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64F2" w14:textId="4DD809BB" w:rsidR="00516C0D" w:rsidRDefault="00516C0D" w:rsidP="00E63F60">
      <w:pPr>
        <w:jc w:val="center"/>
        <w:rPr>
          <w:rFonts w:ascii="Arial" w:hAnsi="Arial" w:cs="Arial"/>
          <w:b/>
        </w:rPr>
      </w:pPr>
      <w:bookmarkStart w:id="0" w:name="_GoBack"/>
      <w:bookmarkEnd w:id="0"/>
    </w:p>
    <w:p w14:paraId="5AFF6D46" w14:textId="461BC056" w:rsidR="00E63F60" w:rsidRDefault="00565E59" w:rsidP="00E63F60">
      <w:pPr>
        <w:jc w:val="center"/>
        <w:rPr>
          <w:rFonts w:ascii="Arial" w:hAnsi="Arial" w:cs="Arial"/>
          <w:b/>
        </w:rPr>
      </w:pPr>
      <w:r w:rsidRPr="00AC598B">
        <w:rPr>
          <w:rFonts w:ascii="Arial" w:hAnsi="Arial" w:cs="Arial"/>
          <w:b/>
        </w:rPr>
        <w:t xml:space="preserve">Half </w:t>
      </w:r>
      <w:r w:rsidR="008E6D54" w:rsidRPr="00AC598B">
        <w:rPr>
          <w:rFonts w:ascii="Arial" w:hAnsi="Arial" w:cs="Arial"/>
          <w:b/>
        </w:rPr>
        <w:t>y</w:t>
      </w:r>
      <w:r w:rsidRPr="00AC598B">
        <w:rPr>
          <w:rFonts w:ascii="Arial" w:hAnsi="Arial" w:cs="Arial"/>
          <w:b/>
        </w:rPr>
        <w:t xml:space="preserve">ear </w:t>
      </w:r>
      <w:r w:rsidR="009D7DE0" w:rsidRPr="00AC598B">
        <w:rPr>
          <w:rFonts w:ascii="Arial" w:hAnsi="Arial" w:cs="Arial"/>
          <w:b/>
        </w:rPr>
        <w:t>results</w:t>
      </w:r>
      <w:r w:rsidR="00E63F60">
        <w:rPr>
          <w:rFonts w:ascii="Arial" w:hAnsi="Arial" w:cs="Arial"/>
          <w:b/>
        </w:rPr>
        <w:t xml:space="preserve"> </w:t>
      </w:r>
      <w:r w:rsidR="00DF23DF" w:rsidRPr="00AC598B">
        <w:rPr>
          <w:rFonts w:ascii="Arial" w:hAnsi="Arial" w:cs="Arial"/>
          <w:b/>
        </w:rPr>
        <w:t>for</w:t>
      </w:r>
      <w:r w:rsidR="00A359EE" w:rsidRPr="00AC598B">
        <w:rPr>
          <w:rFonts w:ascii="Arial" w:hAnsi="Arial" w:cs="Arial"/>
          <w:b/>
        </w:rPr>
        <w:t xml:space="preserve"> the</w:t>
      </w:r>
      <w:r w:rsidR="00DF23DF" w:rsidRPr="00AC598B">
        <w:rPr>
          <w:rFonts w:ascii="Arial" w:hAnsi="Arial" w:cs="Arial"/>
          <w:b/>
        </w:rPr>
        <w:t xml:space="preserve"> 6 months </w:t>
      </w:r>
      <w:r w:rsidR="009D7DE0" w:rsidRPr="00AC598B">
        <w:rPr>
          <w:rFonts w:ascii="Arial" w:hAnsi="Arial" w:cs="Arial"/>
          <w:b/>
        </w:rPr>
        <w:t xml:space="preserve">ended </w:t>
      </w:r>
      <w:r w:rsidR="00686549" w:rsidRPr="00AC598B">
        <w:rPr>
          <w:rFonts w:ascii="Arial" w:hAnsi="Arial" w:cs="Arial"/>
          <w:b/>
        </w:rPr>
        <w:t xml:space="preserve">31 </w:t>
      </w:r>
      <w:r w:rsidR="00DF23DF" w:rsidRPr="00AC598B">
        <w:rPr>
          <w:rFonts w:ascii="Arial" w:hAnsi="Arial" w:cs="Arial"/>
          <w:b/>
        </w:rPr>
        <w:t xml:space="preserve">July </w:t>
      </w:r>
      <w:r w:rsidR="00686549" w:rsidRPr="00AC598B">
        <w:rPr>
          <w:rFonts w:ascii="Arial" w:hAnsi="Arial" w:cs="Arial"/>
          <w:b/>
        </w:rPr>
        <w:t>201</w:t>
      </w:r>
      <w:r w:rsidR="00B46F5A">
        <w:rPr>
          <w:rFonts w:ascii="Arial" w:hAnsi="Arial" w:cs="Arial"/>
          <w:b/>
        </w:rPr>
        <w:t>9</w:t>
      </w:r>
      <w:r w:rsidR="00677896">
        <w:rPr>
          <w:rFonts w:ascii="Arial" w:hAnsi="Arial" w:cs="Arial"/>
          <w:b/>
        </w:rPr>
        <w:t xml:space="preserve"> (unaudited)</w:t>
      </w:r>
      <w:r w:rsidR="001F4811">
        <w:rPr>
          <w:rFonts w:ascii="Arial" w:hAnsi="Arial" w:cs="Arial"/>
          <w:b/>
        </w:rPr>
        <w:t xml:space="preserve"> </w:t>
      </w:r>
    </w:p>
    <w:p w14:paraId="41AFDF46" w14:textId="77E375B0" w:rsidR="007769BE" w:rsidRDefault="007769BE" w:rsidP="00440B16">
      <w:pPr>
        <w:rPr>
          <w:rFonts w:ascii="Arial" w:hAnsi="Arial" w:cs="Arial"/>
          <w:b/>
          <w:bCs/>
          <w:u w:val="single"/>
        </w:rPr>
      </w:pPr>
    </w:p>
    <w:tbl>
      <w:tblPr>
        <w:tblStyle w:val="TableGrid"/>
        <w:tblW w:w="0" w:type="auto"/>
        <w:tblLook w:val="04A0" w:firstRow="1" w:lastRow="0" w:firstColumn="1" w:lastColumn="0" w:noHBand="0" w:noVBand="1"/>
      </w:tblPr>
      <w:tblGrid>
        <w:gridCol w:w="9631"/>
      </w:tblGrid>
      <w:tr w:rsidR="007769BE" w14:paraId="1C18106B" w14:textId="77777777" w:rsidTr="00456F9F">
        <w:tc>
          <w:tcPr>
            <w:tcW w:w="9631" w:type="dxa"/>
          </w:tcPr>
          <w:tbl>
            <w:tblPr>
              <w:tblStyle w:val="TableGrid"/>
              <w:tblW w:w="5000" w:type="pct"/>
              <w:tblLook w:val="04A0" w:firstRow="1" w:lastRow="0" w:firstColumn="1" w:lastColumn="0" w:noHBand="0" w:noVBand="1"/>
            </w:tblPr>
            <w:tblGrid>
              <w:gridCol w:w="2579"/>
              <w:gridCol w:w="1337"/>
              <w:gridCol w:w="1495"/>
              <w:gridCol w:w="1439"/>
              <w:gridCol w:w="1423"/>
              <w:gridCol w:w="1142"/>
            </w:tblGrid>
            <w:tr w:rsidR="00153759" w:rsidRPr="0078455A" w14:paraId="330E72FC" w14:textId="77777777" w:rsidTr="007655ED">
              <w:trPr>
                <w:trHeight w:val="679"/>
              </w:trPr>
              <w:tc>
                <w:tcPr>
                  <w:tcW w:w="5411" w:type="dxa"/>
                  <w:gridSpan w:val="3"/>
                  <w:tcBorders>
                    <w:top w:val="nil"/>
                    <w:left w:val="nil"/>
                    <w:bottom w:val="single" w:sz="4" w:space="0" w:color="auto"/>
                    <w:right w:val="nil"/>
                  </w:tcBorders>
                </w:tcPr>
                <w:p w14:paraId="3776B41B" w14:textId="77777777" w:rsidR="007769BE" w:rsidRPr="007510DF" w:rsidRDefault="007769BE" w:rsidP="00456F9F">
                  <w:pPr>
                    <w:rPr>
                      <w:rFonts w:ascii="Arial" w:hAnsi="Arial" w:cs="Arial"/>
                      <w:bCs/>
                      <w:szCs w:val="22"/>
                    </w:rPr>
                  </w:pPr>
                </w:p>
                <w:p w14:paraId="5FE84EBE" w14:textId="6B8E8422" w:rsidR="007769BE" w:rsidRPr="0078455A" w:rsidRDefault="007769BE" w:rsidP="00456F9F">
                  <w:pPr>
                    <w:rPr>
                      <w:b/>
                      <w:sz w:val="22"/>
                      <w:szCs w:val="22"/>
                    </w:rPr>
                  </w:pPr>
                  <w:r w:rsidRPr="0078455A">
                    <w:rPr>
                      <w:rFonts w:ascii="Arial" w:hAnsi="Arial" w:cs="Arial"/>
                      <w:b/>
                      <w:bCs/>
                    </w:rPr>
                    <w:t>Financial highlights</w:t>
                  </w:r>
                </w:p>
              </w:tc>
              <w:tc>
                <w:tcPr>
                  <w:tcW w:w="1439" w:type="dxa"/>
                  <w:tcBorders>
                    <w:top w:val="nil"/>
                    <w:left w:val="nil"/>
                    <w:bottom w:val="single" w:sz="4" w:space="0" w:color="auto"/>
                    <w:right w:val="nil"/>
                  </w:tcBorders>
                </w:tcPr>
                <w:p w14:paraId="6E21AE2E" w14:textId="77777777" w:rsidR="007769BE" w:rsidRPr="006F1689" w:rsidRDefault="007769BE" w:rsidP="00456F9F">
                  <w:pPr>
                    <w:jc w:val="right"/>
                    <w:rPr>
                      <w:rFonts w:ascii="Arial" w:hAnsi="Arial" w:cs="Arial"/>
                      <w:b/>
                      <w:bCs/>
                      <w:szCs w:val="22"/>
                    </w:rPr>
                  </w:pPr>
                </w:p>
                <w:p w14:paraId="1D240EC7" w14:textId="77777777" w:rsidR="007769BE" w:rsidRPr="00A02016" w:rsidRDefault="007769BE" w:rsidP="00456F9F">
                  <w:pPr>
                    <w:jc w:val="right"/>
                    <w:rPr>
                      <w:rFonts w:ascii="Arial" w:hAnsi="Arial" w:cs="Arial"/>
                      <w:b/>
                      <w:bCs/>
                      <w:szCs w:val="22"/>
                    </w:rPr>
                  </w:pPr>
                  <w:r w:rsidRPr="00A02016">
                    <w:rPr>
                      <w:rFonts w:ascii="Arial" w:hAnsi="Arial" w:cs="Arial"/>
                      <w:b/>
                      <w:bCs/>
                    </w:rPr>
                    <w:t xml:space="preserve">% Total </w:t>
                  </w:r>
                </w:p>
                <w:p w14:paraId="0B57A9B5" w14:textId="77777777" w:rsidR="007769BE" w:rsidRPr="00AD1B1E" w:rsidRDefault="007769BE" w:rsidP="00456F9F">
                  <w:pPr>
                    <w:jc w:val="right"/>
                    <w:rPr>
                      <w:b/>
                      <w:szCs w:val="22"/>
                    </w:rPr>
                  </w:pPr>
                  <w:r w:rsidRPr="00AD1B1E">
                    <w:rPr>
                      <w:rFonts w:ascii="Arial" w:hAnsi="Arial" w:cs="Arial"/>
                      <w:b/>
                      <w:bCs/>
                    </w:rPr>
                    <w:t>Change</w:t>
                  </w:r>
                </w:p>
              </w:tc>
              <w:tc>
                <w:tcPr>
                  <w:tcW w:w="1423" w:type="dxa"/>
                  <w:tcBorders>
                    <w:top w:val="nil"/>
                    <w:left w:val="nil"/>
                    <w:bottom w:val="single" w:sz="4" w:space="0" w:color="auto"/>
                    <w:right w:val="nil"/>
                  </w:tcBorders>
                </w:tcPr>
                <w:p w14:paraId="3D164E2F" w14:textId="77777777" w:rsidR="007769BE" w:rsidRPr="0078455A" w:rsidRDefault="007769BE" w:rsidP="00456F9F">
                  <w:pPr>
                    <w:jc w:val="right"/>
                    <w:rPr>
                      <w:rFonts w:ascii="Arial" w:hAnsi="Arial" w:cs="Arial"/>
                      <w:b/>
                      <w:bCs/>
                      <w:szCs w:val="22"/>
                    </w:rPr>
                  </w:pPr>
                </w:p>
                <w:p w14:paraId="1BC23B37" w14:textId="77777777" w:rsidR="007769BE" w:rsidRPr="0078455A" w:rsidRDefault="007769BE" w:rsidP="00456F9F">
                  <w:pPr>
                    <w:jc w:val="right"/>
                    <w:rPr>
                      <w:b/>
                      <w:szCs w:val="22"/>
                    </w:rPr>
                  </w:pPr>
                  <w:r w:rsidRPr="0078455A">
                    <w:rPr>
                      <w:rFonts w:ascii="Arial" w:hAnsi="Arial" w:cs="Arial"/>
                      <w:b/>
                      <w:bCs/>
                    </w:rPr>
                    <w:t>% Total Change</w:t>
                  </w:r>
                </w:p>
              </w:tc>
              <w:tc>
                <w:tcPr>
                  <w:tcW w:w="1142" w:type="dxa"/>
                  <w:tcBorders>
                    <w:top w:val="nil"/>
                    <w:left w:val="nil"/>
                    <w:bottom w:val="single" w:sz="4" w:space="0" w:color="auto"/>
                    <w:right w:val="nil"/>
                  </w:tcBorders>
                </w:tcPr>
                <w:p w14:paraId="0566742B" w14:textId="77777777" w:rsidR="007769BE" w:rsidRPr="0078455A" w:rsidRDefault="007769BE" w:rsidP="00456F9F">
                  <w:pPr>
                    <w:ind w:right="33"/>
                    <w:jc w:val="right"/>
                    <w:rPr>
                      <w:rFonts w:ascii="Arial" w:hAnsi="Arial" w:cs="Arial"/>
                      <w:b/>
                      <w:bCs/>
                      <w:szCs w:val="22"/>
                    </w:rPr>
                  </w:pPr>
                </w:p>
                <w:p w14:paraId="4683382A" w14:textId="77777777" w:rsidR="007769BE" w:rsidRPr="0078455A" w:rsidRDefault="007769BE" w:rsidP="00456F9F">
                  <w:pPr>
                    <w:ind w:right="33"/>
                    <w:jc w:val="right"/>
                    <w:rPr>
                      <w:b/>
                      <w:szCs w:val="22"/>
                    </w:rPr>
                  </w:pPr>
                  <w:r w:rsidRPr="0078455A">
                    <w:rPr>
                      <w:rFonts w:ascii="Arial" w:hAnsi="Arial" w:cs="Arial"/>
                      <w:b/>
                      <w:bCs/>
                    </w:rPr>
                    <w:t>% LFL* Change</w:t>
                  </w:r>
                </w:p>
              </w:tc>
            </w:tr>
            <w:tr w:rsidR="008F7CE8" w:rsidRPr="0078455A" w14:paraId="6DF2216D" w14:textId="77777777" w:rsidTr="007655ED">
              <w:trPr>
                <w:trHeight w:val="539"/>
              </w:trPr>
              <w:tc>
                <w:tcPr>
                  <w:tcW w:w="2579" w:type="dxa"/>
                  <w:tcBorders>
                    <w:top w:val="single" w:sz="4" w:space="0" w:color="auto"/>
                    <w:left w:val="nil"/>
                    <w:bottom w:val="single" w:sz="4" w:space="0" w:color="auto"/>
                    <w:right w:val="nil"/>
                  </w:tcBorders>
                </w:tcPr>
                <w:p w14:paraId="4C5DEB36" w14:textId="77777777" w:rsidR="007769BE" w:rsidRPr="0078455A" w:rsidRDefault="007769BE" w:rsidP="00456F9F">
                  <w:pPr>
                    <w:rPr>
                      <w:sz w:val="22"/>
                      <w:szCs w:val="22"/>
                    </w:rPr>
                  </w:pPr>
                </w:p>
              </w:tc>
              <w:tc>
                <w:tcPr>
                  <w:tcW w:w="1337" w:type="dxa"/>
                  <w:tcBorders>
                    <w:top w:val="single" w:sz="4" w:space="0" w:color="auto"/>
                    <w:left w:val="nil"/>
                    <w:bottom w:val="single" w:sz="4" w:space="0" w:color="auto"/>
                    <w:right w:val="nil"/>
                  </w:tcBorders>
                </w:tcPr>
                <w:p w14:paraId="4A156343" w14:textId="64B2EE05" w:rsidR="007769BE" w:rsidRPr="0078455A" w:rsidRDefault="007769BE" w:rsidP="00456F9F">
                  <w:pPr>
                    <w:jc w:val="right"/>
                    <w:rPr>
                      <w:rFonts w:ascii="Arial" w:hAnsi="Arial" w:cs="Arial"/>
                      <w:b/>
                      <w:bCs/>
                      <w:szCs w:val="22"/>
                    </w:rPr>
                  </w:pPr>
                  <w:r w:rsidRPr="0078455A">
                    <w:rPr>
                      <w:rFonts w:ascii="Arial" w:hAnsi="Arial" w:cs="Arial"/>
                      <w:b/>
                      <w:bCs/>
                    </w:rPr>
                    <w:t>201</w:t>
                  </w:r>
                  <w:r w:rsidR="00B46F5A" w:rsidRPr="0078455A">
                    <w:rPr>
                      <w:rFonts w:ascii="Arial" w:hAnsi="Arial" w:cs="Arial"/>
                      <w:b/>
                      <w:bCs/>
                    </w:rPr>
                    <w:t>9</w:t>
                  </w:r>
                  <w:r w:rsidR="00132365" w:rsidRPr="0078455A">
                    <w:rPr>
                      <w:rFonts w:ascii="Arial" w:hAnsi="Arial" w:cs="Arial"/>
                      <w:b/>
                      <w:bCs/>
                    </w:rPr>
                    <w:t>/</w:t>
                  </w:r>
                  <w:r w:rsidR="00B46F5A" w:rsidRPr="0078455A">
                    <w:rPr>
                      <w:rFonts w:ascii="Arial" w:hAnsi="Arial" w:cs="Arial"/>
                      <w:b/>
                      <w:bCs/>
                    </w:rPr>
                    <w:t>20</w:t>
                  </w:r>
                </w:p>
                <w:p w14:paraId="318DE9B7" w14:textId="77777777" w:rsidR="007769BE" w:rsidRPr="0078455A" w:rsidRDefault="007769BE" w:rsidP="00456F9F">
                  <w:pPr>
                    <w:jc w:val="right"/>
                    <w:rPr>
                      <w:b/>
                      <w:szCs w:val="22"/>
                    </w:rPr>
                  </w:pPr>
                </w:p>
              </w:tc>
              <w:tc>
                <w:tcPr>
                  <w:tcW w:w="1495" w:type="dxa"/>
                  <w:tcBorders>
                    <w:top w:val="single" w:sz="4" w:space="0" w:color="auto"/>
                    <w:left w:val="nil"/>
                    <w:bottom w:val="single" w:sz="4" w:space="0" w:color="auto"/>
                    <w:right w:val="nil"/>
                  </w:tcBorders>
                </w:tcPr>
                <w:p w14:paraId="2C4BEC4C" w14:textId="0C62C297" w:rsidR="007769BE" w:rsidRPr="0078455A" w:rsidRDefault="007769BE" w:rsidP="00456F9F">
                  <w:pPr>
                    <w:jc w:val="right"/>
                    <w:rPr>
                      <w:rFonts w:ascii="Arial" w:hAnsi="Arial" w:cs="Arial"/>
                      <w:b/>
                      <w:bCs/>
                      <w:szCs w:val="22"/>
                    </w:rPr>
                  </w:pPr>
                  <w:r w:rsidRPr="0078455A">
                    <w:rPr>
                      <w:rFonts w:ascii="Arial" w:hAnsi="Arial" w:cs="Arial"/>
                      <w:b/>
                      <w:bCs/>
                    </w:rPr>
                    <w:t>201</w:t>
                  </w:r>
                  <w:r w:rsidR="00B46F5A" w:rsidRPr="0078455A">
                    <w:rPr>
                      <w:rFonts w:ascii="Arial" w:hAnsi="Arial" w:cs="Arial"/>
                      <w:b/>
                      <w:bCs/>
                    </w:rPr>
                    <w:t>8</w:t>
                  </w:r>
                  <w:r w:rsidR="00132365" w:rsidRPr="0078455A">
                    <w:rPr>
                      <w:rFonts w:ascii="Arial" w:hAnsi="Arial" w:cs="Arial"/>
                      <w:b/>
                      <w:bCs/>
                    </w:rPr>
                    <w:t>/1</w:t>
                  </w:r>
                  <w:r w:rsidR="00B46F5A" w:rsidRPr="0078455A">
                    <w:rPr>
                      <w:rFonts w:ascii="Arial" w:hAnsi="Arial" w:cs="Arial"/>
                      <w:b/>
                      <w:bCs/>
                    </w:rPr>
                    <w:t>9</w:t>
                  </w:r>
                  <w:r w:rsidR="000E3996" w:rsidRPr="0078455A">
                    <w:rPr>
                      <w:rFonts w:ascii="Arial" w:hAnsi="Arial" w:cs="Arial"/>
                      <w:b/>
                      <w:bCs/>
                      <w:vertAlign w:val="superscript"/>
                    </w:rPr>
                    <w:t>(1)</w:t>
                  </w:r>
                </w:p>
                <w:p w14:paraId="77B4D8C7" w14:textId="77777777" w:rsidR="007769BE" w:rsidRPr="0078455A" w:rsidRDefault="007769BE" w:rsidP="00456F9F">
                  <w:pPr>
                    <w:jc w:val="right"/>
                    <w:rPr>
                      <w:b/>
                      <w:szCs w:val="22"/>
                    </w:rPr>
                  </w:pPr>
                </w:p>
              </w:tc>
              <w:tc>
                <w:tcPr>
                  <w:tcW w:w="1439" w:type="dxa"/>
                  <w:tcBorders>
                    <w:top w:val="single" w:sz="4" w:space="0" w:color="auto"/>
                    <w:left w:val="nil"/>
                    <w:bottom w:val="single" w:sz="4" w:space="0" w:color="auto"/>
                    <w:right w:val="nil"/>
                  </w:tcBorders>
                </w:tcPr>
                <w:p w14:paraId="6FED3AD5" w14:textId="77777777" w:rsidR="007769BE" w:rsidRPr="0078455A" w:rsidRDefault="007769BE" w:rsidP="00456F9F">
                  <w:pPr>
                    <w:jc w:val="right"/>
                    <w:rPr>
                      <w:b/>
                      <w:szCs w:val="22"/>
                    </w:rPr>
                  </w:pPr>
                  <w:r w:rsidRPr="0078455A">
                    <w:rPr>
                      <w:rFonts w:ascii="Arial" w:hAnsi="Arial" w:cs="Arial"/>
                      <w:b/>
                      <w:bCs/>
                    </w:rPr>
                    <w:t>Reported</w:t>
                  </w:r>
                </w:p>
              </w:tc>
              <w:tc>
                <w:tcPr>
                  <w:tcW w:w="1423" w:type="dxa"/>
                  <w:tcBorders>
                    <w:top w:val="single" w:sz="4" w:space="0" w:color="auto"/>
                    <w:left w:val="nil"/>
                    <w:bottom w:val="single" w:sz="4" w:space="0" w:color="auto"/>
                    <w:right w:val="nil"/>
                  </w:tcBorders>
                </w:tcPr>
                <w:p w14:paraId="7AF6F6FC" w14:textId="6680D3C5" w:rsidR="007769BE" w:rsidRPr="0078455A" w:rsidRDefault="007769BE" w:rsidP="00456F9F">
                  <w:pPr>
                    <w:jc w:val="right"/>
                    <w:rPr>
                      <w:b/>
                      <w:szCs w:val="22"/>
                    </w:rPr>
                  </w:pPr>
                  <w:r w:rsidRPr="0078455A">
                    <w:rPr>
                      <w:rFonts w:ascii="Arial" w:hAnsi="Arial" w:cs="Arial"/>
                      <w:b/>
                      <w:bCs/>
                    </w:rPr>
                    <w:t>Constant currency</w:t>
                  </w:r>
                  <w:r w:rsidR="00936EA5" w:rsidRPr="0078455A">
                    <w:rPr>
                      <w:rFonts w:ascii="Arial" w:hAnsi="Arial" w:cs="Arial"/>
                      <w:b/>
                      <w:bCs/>
                    </w:rPr>
                    <w:t>*</w:t>
                  </w:r>
                </w:p>
              </w:tc>
              <w:tc>
                <w:tcPr>
                  <w:tcW w:w="1142" w:type="dxa"/>
                  <w:tcBorders>
                    <w:top w:val="single" w:sz="4" w:space="0" w:color="auto"/>
                    <w:left w:val="nil"/>
                    <w:bottom w:val="single" w:sz="4" w:space="0" w:color="auto"/>
                    <w:right w:val="nil"/>
                  </w:tcBorders>
                </w:tcPr>
                <w:p w14:paraId="6F6E1A41" w14:textId="77777777" w:rsidR="007769BE" w:rsidRPr="0078455A" w:rsidRDefault="007769BE" w:rsidP="00456F9F">
                  <w:pPr>
                    <w:jc w:val="right"/>
                    <w:rPr>
                      <w:b/>
                      <w:szCs w:val="22"/>
                    </w:rPr>
                  </w:pPr>
                  <w:r w:rsidRPr="0078455A">
                    <w:rPr>
                      <w:rFonts w:ascii="Arial" w:hAnsi="Arial" w:cs="Arial"/>
                      <w:b/>
                      <w:bCs/>
                    </w:rPr>
                    <w:t>Constant currency</w:t>
                  </w:r>
                </w:p>
              </w:tc>
            </w:tr>
            <w:tr w:rsidR="00B46F5A" w:rsidRPr="0078455A" w14:paraId="7B69C1BE" w14:textId="77777777" w:rsidTr="007655ED">
              <w:trPr>
                <w:trHeight w:val="269"/>
              </w:trPr>
              <w:tc>
                <w:tcPr>
                  <w:tcW w:w="2579" w:type="dxa"/>
                  <w:tcBorders>
                    <w:top w:val="single" w:sz="4" w:space="0" w:color="auto"/>
                    <w:left w:val="nil"/>
                    <w:bottom w:val="nil"/>
                    <w:right w:val="nil"/>
                  </w:tcBorders>
                </w:tcPr>
                <w:p w14:paraId="7CF94F80" w14:textId="55700DAD" w:rsidR="00B46F5A" w:rsidRPr="0078455A" w:rsidRDefault="00B46F5A" w:rsidP="00B46F5A">
                  <w:pPr>
                    <w:jc w:val="left"/>
                    <w:rPr>
                      <w:rFonts w:ascii="Arial" w:hAnsi="Arial" w:cs="Arial"/>
                    </w:rPr>
                  </w:pPr>
                  <w:r w:rsidRPr="0078455A">
                    <w:rPr>
                      <w:rFonts w:ascii="Arial" w:hAnsi="Arial" w:cs="Arial"/>
                    </w:rPr>
                    <w:t>Sales</w:t>
                  </w:r>
                </w:p>
              </w:tc>
              <w:tc>
                <w:tcPr>
                  <w:tcW w:w="1337" w:type="dxa"/>
                  <w:tcBorders>
                    <w:top w:val="single" w:sz="4" w:space="0" w:color="auto"/>
                    <w:left w:val="nil"/>
                    <w:bottom w:val="nil"/>
                    <w:right w:val="nil"/>
                  </w:tcBorders>
                </w:tcPr>
                <w:p w14:paraId="036BD9EA" w14:textId="68A2815C" w:rsidR="00B46F5A" w:rsidRPr="0078455A" w:rsidRDefault="00B46F5A" w:rsidP="00B46F5A">
                  <w:pPr>
                    <w:jc w:val="right"/>
                    <w:rPr>
                      <w:rFonts w:ascii="Arial" w:hAnsi="Arial" w:cs="Arial"/>
                    </w:rPr>
                  </w:pPr>
                  <w:r w:rsidRPr="0078455A">
                    <w:rPr>
                      <w:rFonts w:ascii="Arial" w:hAnsi="Arial" w:cs="Arial"/>
                    </w:rPr>
                    <w:t>£</w:t>
                  </w:r>
                  <w:r w:rsidR="001F4ED6" w:rsidRPr="0078455A">
                    <w:rPr>
                      <w:rFonts w:ascii="Arial" w:hAnsi="Arial" w:cs="Arial"/>
                    </w:rPr>
                    <w:t>5,997</w:t>
                  </w:r>
                  <w:r w:rsidRPr="0078455A">
                    <w:rPr>
                      <w:rFonts w:ascii="Arial" w:hAnsi="Arial" w:cs="Arial"/>
                    </w:rPr>
                    <w:t>m</w:t>
                  </w:r>
                </w:p>
              </w:tc>
              <w:tc>
                <w:tcPr>
                  <w:tcW w:w="1495" w:type="dxa"/>
                  <w:tcBorders>
                    <w:top w:val="single" w:sz="4" w:space="0" w:color="auto"/>
                    <w:left w:val="nil"/>
                    <w:bottom w:val="nil"/>
                    <w:right w:val="nil"/>
                  </w:tcBorders>
                </w:tcPr>
                <w:p w14:paraId="5B939596" w14:textId="0AB99C24" w:rsidR="00B46F5A" w:rsidRPr="0078455A" w:rsidRDefault="00B46F5A" w:rsidP="00B46F5A">
                  <w:pPr>
                    <w:jc w:val="right"/>
                    <w:rPr>
                      <w:rFonts w:ascii="Arial" w:hAnsi="Arial" w:cs="Arial"/>
                    </w:rPr>
                  </w:pPr>
                  <w:r w:rsidRPr="0078455A">
                    <w:rPr>
                      <w:rFonts w:ascii="Arial" w:hAnsi="Arial" w:cs="Arial"/>
                    </w:rPr>
                    <w:t>£6,080m</w:t>
                  </w:r>
                </w:p>
              </w:tc>
              <w:tc>
                <w:tcPr>
                  <w:tcW w:w="1439" w:type="dxa"/>
                  <w:tcBorders>
                    <w:top w:val="single" w:sz="4" w:space="0" w:color="auto"/>
                    <w:left w:val="nil"/>
                    <w:bottom w:val="nil"/>
                    <w:right w:val="nil"/>
                  </w:tcBorders>
                </w:tcPr>
                <w:p w14:paraId="47DE8272" w14:textId="06FEC461" w:rsidR="00B46F5A" w:rsidRPr="007655ED" w:rsidRDefault="00801CCE" w:rsidP="00B46F5A">
                  <w:pPr>
                    <w:jc w:val="right"/>
                    <w:rPr>
                      <w:rFonts w:ascii="Arial" w:hAnsi="Arial" w:cs="Arial"/>
                    </w:rPr>
                  </w:pPr>
                  <w:r w:rsidRPr="0078455A">
                    <w:rPr>
                      <w:rFonts w:ascii="Arial" w:hAnsi="Arial" w:cs="Arial"/>
                    </w:rPr>
                    <w:t>(</w:t>
                  </w:r>
                  <w:r w:rsidR="00B46F5A" w:rsidRPr="0078455A">
                    <w:rPr>
                      <w:rFonts w:ascii="Arial" w:hAnsi="Arial" w:cs="Arial"/>
                    </w:rPr>
                    <w:t>1.</w:t>
                  </w:r>
                  <w:r w:rsidR="004562D6" w:rsidRPr="0078455A">
                    <w:rPr>
                      <w:rFonts w:ascii="Arial" w:hAnsi="Arial" w:cs="Arial"/>
                    </w:rPr>
                    <w:t>4</w:t>
                  </w:r>
                  <w:r w:rsidRPr="0078455A">
                    <w:rPr>
                      <w:rFonts w:ascii="Arial" w:hAnsi="Arial" w:cs="Arial"/>
                    </w:rPr>
                    <w:t>)</w:t>
                  </w:r>
                  <w:r w:rsidR="00B46F5A" w:rsidRPr="0078455A">
                    <w:rPr>
                      <w:rFonts w:ascii="Arial" w:hAnsi="Arial" w:cs="Arial"/>
                    </w:rPr>
                    <w:t>%</w:t>
                  </w:r>
                </w:p>
              </w:tc>
              <w:tc>
                <w:tcPr>
                  <w:tcW w:w="1423" w:type="dxa"/>
                  <w:tcBorders>
                    <w:top w:val="single" w:sz="4" w:space="0" w:color="auto"/>
                    <w:left w:val="nil"/>
                    <w:bottom w:val="nil"/>
                    <w:right w:val="nil"/>
                  </w:tcBorders>
                </w:tcPr>
                <w:p w14:paraId="3E3F18EB" w14:textId="30E5DBF1" w:rsidR="00B46F5A" w:rsidRPr="007655ED" w:rsidRDefault="001F4ED6" w:rsidP="00B46F5A">
                  <w:pPr>
                    <w:jc w:val="right"/>
                    <w:rPr>
                      <w:rFonts w:ascii="Arial" w:hAnsi="Arial" w:cs="Arial"/>
                    </w:rPr>
                  </w:pPr>
                  <w:r w:rsidRPr="0078455A">
                    <w:rPr>
                      <w:rFonts w:ascii="Arial" w:hAnsi="Arial" w:cs="Arial"/>
                    </w:rPr>
                    <w:t>(0.9)</w:t>
                  </w:r>
                  <w:r w:rsidR="00B46F5A" w:rsidRPr="0078455A">
                    <w:rPr>
                      <w:rFonts w:ascii="Arial" w:hAnsi="Arial" w:cs="Arial"/>
                    </w:rPr>
                    <w:t>%</w:t>
                  </w:r>
                </w:p>
              </w:tc>
              <w:tc>
                <w:tcPr>
                  <w:tcW w:w="1142" w:type="dxa"/>
                  <w:tcBorders>
                    <w:top w:val="single" w:sz="4" w:space="0" w:color="auto"/>
                    <w:left w:val="nil"/>
                    <w:bottom w:val="nil"/>
                    <w:right w:val="nil"/>
                  </w:tcBorders>
                </w:tcPr>
                <w:p w14:paraId="15ABD07B" w14:textId="707F370F" w:rsidR="00B46F5A" w:rsidRPr="007655ED" w:rsidRDefault="00B46F5A" w:rsidP="00B46F5A">
                  <w:pPr>
                    <w:jc w:val="right"/>
                    <w:rPr>
                      <w:rFonts w:ascii="Arial" w:hAnsi="Arial" w:cs="Arial"/>
                    </w:rPr>
                  </w:pPr>
                  <w:r w:rsidRPr="0078455A">
                    <w:rPr>
                      <w:rFonts w:ascii="Arial" w:hAnsi="Arial" w:cs="Arial"/>
                    </w:rPr>
                    <w:t>(</w:t>
                  </w:r>
                  <w:r w:rsidR="004562D6" w:rsidRPr="0078455A">
                    <w:rPr>
                      <w:rFonts w:ascii="Arial" w:hAnsi="Arial" w:cs="Arial"/>
                    </w:rPr>
                    <w:t>1.8</w:t>
                  </w:r>
                  <w:r w:rsidRPr="0078455A">
                    <w:rPr>
                      <w:rFonts w:ascii="Arial" w:hAnsi="Arial" w:cs="Arial"/>
                    </w:rPr>
                    <w:t>)%</w:t>
                  </w:r>
                </w:p>
              </w:tc>
            </w:tr>
            <w:tr w:rsidR="00B46F5A" w:rsidRPr="0078455A" w14:paraId="44857D62" w14:textId="77777777" w:rsidTr="007655ED">
              <w:trPr>
                <w:trHeight w:val="269"/>
              </w:trPr>
              <w:tc>
                <w:tcPr>
                  <w:tcW w:w="2579" w:type="dxa"/>
                  <w:tcBorders>
                    <w:top w:val="nil"/>
                    <w:left w:val="nil"/>
                    <w:bottom w:val="nil"/>
                    <w:right w:val="nil"/>
                  </w:tcBorders>
                </w:tcPr>
                <w:p w14:paraId="32EA4B90" w14:textId="49075679" w:rsidR="00B46F5A" w:rsidRPr="0078455A" w:rsidRDefault="00B46F5A" w:rsidP="00B46F5A">
                  <w:pPr>
                    <w:jc w:val="left"/>
                    <w:rPr>
                      <w:rFonts w:ascii="Arial" w:hAnsi="Arial" w:cs="Arial"/>
                    </w:rPr>
                  </w:pPr>
                  <w:r w:rsidRPr="0078455A">
                    <w:rPr>
                      <w:rFonts w:ascii="Arial" w:hAnsi="Arial" w:cs="Arial"/>
                    </w:rPr>
                    <w:t>Gross margin*</w:t>
                  </w:r>
                </w:p>
              </w:tc>
              <w:tc>
                <w:tcPr>
                  <w:tcW w:w="1337" w:type="dxa"/>
                  <w:tcBorders>
                    <w:top w:val="nil"/>
                    <w:left w:val="nil"/>
                    <w:bottom w:val="nil"/>
                    <w:right w:val="nil"/>
                  </w:tcBorders>
                </w:tcPr>
                <w:p w14:paraId="61619CBE" w14:textId="3EE69DFA" w:rsidR="00B46F5A" w:rsidRPr="0078455A" w:rsidRDefault="00B46F5A" w:rsidP="00B46F5A">
                  <w:pPr>
                    <w:jc w:val="right"/>
                    <w:rPr>
                      <w:rFonts w:ascii="Arial" w:hAnsi="Arial" w:cs="Arial"/>
                    </w:rPr>
                  </w:pPr>
                  <w:r w:rsidRPr="0078455A">
                    <w:rPr>
                      <w:rFonts w:ascii="Arial" w:hAnsi="Arial" w:cs="Arial"/>
                    </w:rPr>
                    <w:t>3</w:t>
                  </w:r>
                  <w:r w:rsidR="00945DE4" w:rsidRPr="0078455A">
                    <w:rPr>
                      <w:rFonts w:ascii="Arial" w:hAnsi="Arial" w:cs="Arial"/>
                    </w:rPr>
                    <w:t>7</w:t>
                  </w:r>
                  <w:r w:rsidRPr="0078455A">
                    <w:rPr>
                      <w:rFonts w:ascii="Arial" w:hAnsi="Arial" w:cs="Arial"/>
                    </w:rPr>
                    <w:t>.</w:t>
                  </w:r>
                  <w:r w:rsidR="00382FA0" w:rsidRPr="0078455A">
                    <w:rPr>
                      <w:rFonts w:ascii="Arial" w:hAnsi="Arial" w:cs="Arial"/>
                    </w:rPr>
                    <w:t>0</w:t>
                  </w:r>
                  <w:r w:rsidRPr="0078455A">
                    <w:rPr>
                      <w:rFonts w:ascii="Arial" w:hAnsi="Arial" w:cs="Arial"/>
                    </w:rPr>
                    <w:t>%</w:t>
                  </w:r>
                </w:p>
              </w:tc>
              <w:tc>
                <w:tcPr>
                  <w:tcW w:w="1495" w:type="dxa"/>
                  <w:tcBorders>
                    <w:top w:val="nil"/>
                    <w:left w:val="nil"/>
                    <w:bottom w:val="nil"/>
                    <w:right w:val="nil"/>
                  </w:tcBorders>
                </w:tcPr>
                <w:p w14:paraId="78C6FF29" w14:textId="4773F9E4" w:rsidR="00B46F5A" w:rsidRPr="0078455A" w:rsidRDefault="00B46F5A" w:rsidP="00B46F5A">
                  <w:pPr>
                    <w:jc w:val="right"/>
                    <w:rPr>
                      <w:rFonts w:ascii="Arial" w:hAnsi="Arial" w:cs="Arial"/>
                      <w:b/>
                    </w:rPr>
                  </w:pPr>
                  <w:r w:rsidRPr="0078455A">
                    <w:rPr>
                      <w:rFonts w:ascii="Arial" w:hAnsi="Arial" w:cs="Arial"/>
                    </w:rPr>
                    <w:t>36.</w:t>
                  </w:r>
                  <w:r w:rsidR="009961BF" w:rsidRPr="0078455A">
                    <w:rPr>
                      <w:rFonts w:ascii="Arial" w:hAnsi="Arial" w:cs="Arial"/>
                    </w:rPr>
                    <w:t>4</w:t>
                  </w:r>
                  <w:r w:rsidRPr="0078455A">
                    <w:rPr>
                      <w:rFonts w:ascii="Arial" w:hAnsi="Arial" w:cs="Arial"/>
                    </w:rPr>
                    <w:t>%</w:t>
                  </w:r>
                </w:p>
              </w:tc>
              <w:tc>
                <w:tcPr>
                  <w:tcW w:w="1439" w:type="dxa"/>
                  <w:tcBorders>
                    <w:top w:val="nil"/>
                    <w:left w:val="nil"/>
                    <w:bottom w:val="nil"/>
                    <w:right w:val="nil"/>
                  </w:tcBorders>
                </w:tcPr>
                <w:p w14:paraId="0537B572" w14:textId="75654ECA" w:rsidR="00B46F5A" w:rsidRPr="0078455A" w:rsidRDefault="00945DE4" w:rsidP="00B46F5A">
                  <w:pPr>
                    <w:jc w:val="right"/>
                    <w:rPr>
                      <w:rFonts w:ascii="Arial" w:hAnsi="Arial" w:cs="Arial"/>
                    </w:rPr>
                  </w:pPr>
                  <w:r w:rsidRPr="0078455A">
                    <w:rPr>
                      <w:rFonts w:ascii="Arial" w:hAnsi="Arial" w:cs="Arial"/>
                    </w:rPr>
                    <w:t>+</w:t>
                  </w:r>
                  <w:r w:rsidR="00202B89" w:rsidRPr="0078455A">
                    <w:rPr>
                      <w:rFonts w:ascii="Arial" w:hAnsi="Arial" w:cs="Arial"/>
                    </w:rPr>
                    <w:t>60bps</w:t>
                  </w:r>
                </w:p>
              </w:tc>
              <w:tc>
                <w:tcPr>
                  <w:tcW w:w="1423" w:type="dxa"/>
                  <w:tcBorders>
                    <w:top w:val="nil"/>
                    <w:left w:val="nil"/>
                    <w:bottom w:val="nil"/>
                    <w:right w:val="nil"/>
                  </w:tcBorders>
                </w:tcPr>
                <w:p w14:paraId="4538791B" w14:textId="21003D5B" w:rsidR="00B46F5A" w:rsidRPr="0078455A" w:rsidRDefault="001F4ED6" w:rsidP="00B46F5A">
                  <w:pPr>
                    <w:jc w:val="right"/>
                    <w:rPr>
                      <w:rFonts w:ascii="Arial" w:hAnsi="Arial" w:cs="Arial"/>
                    </w:rPr>
                  </w:pPr>
                  <w:r w:rsidRPr="0078455A">
                    <w:rPr>
                      <w:rFonts w:ascii="Arial" w:hAnsi="Arial" w:cs="Arial"/>
                    </w:rPr>
                    <w:t>+</w:t>
                  </w:r>
                  <w:r w:rsidR="00781603">
                    <w:rPr>
                      <w:rFonts w:ascii="Arial" w:hAnsi="Arial" w:cs="Arial"/>
                    </w:rPr>
                    <w:t>6</w:t>
                  </w:r>
                  <w:r w:rsidR="00781603" w:rsidRPr="0078455A">
                    <w:rPr>
                      <w:rFonts w:ascii="Arial" w:hAnsi="Arial" w:cs="Arial"/>
                    </w:rPr>
                    <w:t>0bps</w:t>
                  </w:r>
                </w:p>
              </w:tc>
              <w:tc>
                <w:tcPr>
                  <w:tcW w:w="1142" w:type="dxa"/>
                  <w:tcBorders>
                    <w:top w:val="nil"/>
                    <w:left w:val="nil"/>
                    <w:bottom w:val="nil"/>
                    <w:right w:val="nil"/>
                  </w:tcBorders>
                </w:tcPr>
                <w:p w14:paraId="228ADE79" w14:textId="77777777" w:rsidR="00B46F5A" w:rsidRPr="007655ED" w:rsidRDefault="00B46F5A" w:rsidP="00B46F5A">
                  <w:pPr>
                    <w:jc w:val="right"/>
                    <w:rPr>
                      <w:rFonts w:ascii="Arial" w:hAnsi="Arial" w:cs="Arial"/>
                    </w:rPr>
                  </w:pPr>
                </w:p>
              </w:tc>
            </w:tr>
            <w:tr w:rsidR="00B46F5A" w:rsidRPr="0078455A" w14:paraId="4A9F7796" w14:textId="77777777" w:rsidTr="007655ED">
              <w:trPr>
                <w:trHeight w:val="269"/>
              </w:trPr>
              <w:tc>
                <w:tcPr>
                  <w:tcW w:w="2579" w:type="dxa"/>
                  <w:tcBorders>
                    <w:top w:val="nil"/>
                    <w:left w:val="nil"/>
                    <w:bottom w:val="nil"/>
                    <w:right w:val="nil"/>
                  </w:tcBorders>
                </w:tcPr>
                <w:p w14:paraId="233A85AB" w14:textId="77777777" w:rsidR="00B46F5A" w:rsidRPr="0078455A" w:rsidRDefault="00B46F5A" w:rsidP="00B46F5A">
                  <w:pPr>
                    <w:jc w:val="left"/>
                    <w:rPr>
                      <w:rFonts w:ascii="Arial" w:hAnsi="Arial" w:cs="Arial"/>
                    </w:rPr>
                  </w:pPr>
                  <w:r w:rsidRPr="0078455A">
                    <w:rPr>
                      <w:rFonts w:ascii="Arial" w:hAnsi="Arial" w:cs="Arial"/>
                    </w:rPr>
                    <w:t>Retail profit*</w:t>
                  </w:r>
                </w:p>
              </w:tc>
              <w:tc>
                <w:tcPr>
                  <w:tcW w:w="1337" w:type="dxa"/>
                  <w:tcBorders>
                    <w:top w:val="nil"/>
                    <w:left w:val="nil"/>
                    <w:bottom w:val="nil"/>
                    <w:right w:val="nil"/>
                  </w:tcBorders>
                </w:tcPr>
                <w:p w14:paraId="1726BD7A" w14:textId="52648AE0" w:rsidR="00B46F5A" w:rsidRPr="0078455A" w:rsidRDefault="00B46F5A" w:rsidP="00B46F5A">
                  <w:pPr>
                    <w:jc w:val="right"/>
                    <w:rPr>
                      <w:rFonts w:ascii="Arial" w:hAnsi="Arial" w:cs="Arial"/>
                    </w:rPr>
                  </w:pPr>
                  <w:r w:rsidRPr="0078455A">
                    <w:rPr>
                      <w:rFonts w:ascii="Arial" w:hAnsi="Arial" w:cs="Arial"/>
                    </w:rPr>
                    <w:t>£</w:t>
                  </w:r>
                  <w:r w:rsidR="00382FA0" w:rsidRPr="0078455A">
                    <w:rPr>
                      <w:rFonts w:ascii="Arial" w:hAnsi="Arial" w:cs="Arial"/>
                    </w:rPr>
                    <w:t>466m</w:t>
                  </w:r>
                </w:p>
              </w:tc>
              <w:tc>
                <w:tcPr>
                  <w:tcW w:w="1495" w:type="dxa"/>
                  <w:tcBorders>
                    <w:top w:val="nil"/>
                    <w:left w:val="nil"/>
                    <w:bottom w:val="nil"/>
                    <w:right w:val="nil"/>
                  </w:tcBorders>
                </w:tcPr>
                <w:p w14:paraId="443FA851" w14:textId="573A92A5" w:rsidR="00B46F5A" w:rsidRPr="0078455A" w:rsidRDefault="00B46F5A" w:rsidP="00B46F5A">
                  <w:pPr>
                    <w:jc w:val="right"/>
                    <w:rPr>
                      <w:rFonts w:ascii="Arial" w:hAnsi="Arial" w:cs="Arial"/>
                    </w:rPr>
                  </w:pPr>
                  <w:r w:rsidRPr="0078455A">
                    <w:rPr>
                      <w:rFonts w:ascii="Arial" w:hAnsi="Arial" w:cs="Arial"/>
                    </w:rPr>
                    <w:t>£4</w:t>
                  </w:r>
                  <w:r w:rsidR="00473282" w:rsidRPr="0078455A">
                    <w:rPr>
                      <w:rFonts w:ascii="Arial" w:hAnsi="Arial" w:cs="Arial"/>
                    </w:rPr>
                    <w:t>90</w:t>
                  </w:r>
                  <w:r w:rsidRPr="0078455A">
                    <w:rPr>
                      <w:rFonts w:ascii="Arial" w:hAnsi="Arial" w:cs="Arial"/>
                    </w:rPr>
                    <w:t>m</w:t>
                  </w:r>
                </w:p>
              </w:tc>
              <w:tc>
                <w:tcPr>
                  <w:tcW w:w="1439" w:type="dxa"/>
                  <w:tcBorders>
                    <w:top w:val="nil"/>
                    <w:left w:val="nil"/>
                    <w:bottom w:val="nil"/>
                    <w:right w:val="nil"/>
                  </w:tcBorders>
                </w:tcPr>
                <w:p w14:paraId="592911B4" w14:textId="7630A710" w:rsidR="00B46F5A" w:rsidRPr="0078455A" w:rsidRDefault="00B46F5A" w:rsidP="00B46F5A">
                  <w:pPr>
                    <w:jc w:val="right"/>
                    <w:rPr>
                      <w:rFonts w:ascii="Arial" w:hAnsi="Arial" w:cs="Arial"/>
                    </w:rPr>
                  </w:pPr>
                  <w:r w:rsidRPr="0078455A">
                    <w:rPr>
                      <w:rFonts w:ascii="Arial" w:hAnsi="Arial" w:cs="Arial"/>
                    </w:rPr>
                    <w:t>(</w:t>
                  </w:r>
                  <w:r w:rsidR="001F4ED6" w:rsidRPr="0078455A">
                    <w:rPr>
                      <w:rFonts w:ascii="Arial" w:hAnsi="Arial" w:cs="Arial"/>
                    </w:rPr>
                    <w:t>4.</w:t>
                  </w:r>
                  <w:r w:rsidR="00202B89" w:rsidRPr="0078455A">
                    <w:rPr>
                      <w:rFonts w:ascii="Arial" w:hAnsi="Arial" w:cs="Arial"/>
                    </w:rPr>
                    <w:t>8</w:t>
                  </w:r>
                  <w:r w:rsidRPr="0078455A">
                    <w:rPr>
                      <w:rFonts w:ascii="Arial" w:hAnsi="Arial" w:cs="Arial"/>
                    </w:rPr>
                    <w:t>)%</w:t>
                  </w:r>
                </w:p>
              </w:tc>
              <w:tc>
                <w:tcPr>
                  <w:tcW w:w="1423" w:type="dxa"/>
                  <w:tcBorders>
                    <w:top w:val="nil"/>
                    <w:left w:val="nil"/>
                    <w:bottom w:val="nil"/>
                    <w:right w:val="nil"/>
                  </w:tcBorders>
                </w:tcPr>
                <w:p w14:paraId="1798FDE9" w14:textId="4385FC09" w:rsidR="00B46F5A" w:rsidRPr="0078455A" w:rsidRDefault="00B46F5A" w:rsidP="00B46F5A">
                  <w:pPr>
                    <w:jc w:val="right"/>
                    <w:rPr>
                      <w:rFonts w:ascii="Arial" w:hAnsi="Arial" w:cs="Arial"/>
                    </w:rPr>
                  </w:pPr>
                  <w:r w:rsidRPr="0078455A">
                    <w:rPr>
                      <w:rFonts w:ascii="Arial" w:hAnsi="Arial" w:cs="Arial"/>
                    </w:rPr>
                    <w:t>(</w:t>
                  </w:r>
                  <w:r w:rsidR="001F4ED6" w:rsidRPr="0078455A">
                    <w:rPr>
                      <w:rFonts w:ascii="Arial" w:hAnsi="Arial" w:cs="Arial"/>
                    </w:rPr>
                    <w:t>4.</w:t>
                  </w:r>
                  <w:r w:rsidR="00E8291F" w:rsidRPr="0078455A">
                    <w:rPr>
                      <w:rFonts w:ascii="Arial" w:hAnsi="Arial" w:cs="Arial"/>
                    </w:rPr>
                    <w:t>4</w:t>
                  </w:r>
                  <w:r w:rsidRPr="0078455A">
                    <w:rPr>
                      <w:rFonts w:ascii="Arial" w:hAnsi="Arial" w:cs="Arial"/>
                    </w:rPr>
                    <w:t>)%</w:t>
                  </w:r>
                </w:p>
              </w:tc>
              <w:tc>
                <w:tcPr>
                  <w:tcW w:w="1142" w:type="dxa"/>
                  <w:tcBorders>
                    <w:top w:val="nil"/>
                    <w:left w:val="nil"/>
                    <w:bottom w:val="nil"/>
                    <w:right w:val="nil"/>
                  </w:tcBorders>
                </w:tcPr>
                <w:p w14:paraId="63518D1D" w14:textId="77777777" w:rsidR="00B46F5A" w:rsidRPr="007655ED" w:rsidRDefault="00B46F5A" w:rsidP="00B46F5A">
                  <w:pPr>
                    <w:jc w:val="right"/>
                    <w:rPr>
                      <w:rFonts w:ascii="Arial" w:hAnsi="Arial" w:cs="Arial"/>
                    </w:rPr>
                  </w:pPr>
                </w:p>
              </w:tc>
            </w:tr>
            <w:tr w:rsidR="00B46F5A" w:rsidRPr="0078455A" w14:paraId="62AE8AAD" w14:textId="77777777" w:rsidTr="007655ED">
              <w:trPr>
                <w:trHeight w:val="269"/>
              </w:trPr>
              <w:tc>
                <w:tcPr>
                  <w:tcW w:w="2579" w:type="dxa"/>
                  <w:tcBorders>
                    <w:top w:val="nil"/>
                    <w:left w:val="nil"/>
                    <w:bottom w:val="nil"/>
                    <w:right w:val="nil"/>
                  </w:tcBorders>
                </w:tcPr>
                <w:p w14:paraId="62BB9E77" w14:textId="2AD94235" w:rsidR="00B46F5A" w:rsidRPr="0078455A" w:rsidRDefault="00B46F5A" w:rsidP="00B46F5A">
                  <w:pPr>
                    <w:jc w:val="left"/>
                    <w:rPr>
                      <w:rFonts w:ascii="Arial" w:hAnsi="Arial" w:cs="Arial"/>
                    </w:rPr>
                  </w:pPr>
                  <w:r w:rsidRPr="0078455A">
                    <w:rPr>
                      <w:rFonts w:ascii="Arial" w:hAnsi="Arial" w:cs="Arial"/>
                    </w:rPr>
                    <w:t>Underlying pre-tax profit*</w:t>
                  </w:r>
                </w:p>
              </w:tc>
              <w:tc>
                <w:tcPr>
                  <w:tcW w:w="1337" w:type="dxa"/>
                  <w:tcBorders>
                    <w:top w:val="nil"/>
                    <w:left w:val="nil"/>
                    <w:bottom w:val="nil"/>
                    <w:right w:val="nil"/>
                  </w:tcBorders>
                </w:tcPr>
                <w:p w14:paraId="52BB276D" w14:textId="77818FEB" w:rsidR="00B46F5A" w:rsidRPr="0078455A" w:rsidRDefault="00B46F5A" w:rsidP="00B46F5A">
                  <w:pPr>
                    <w:jc w:val="right"/>
                    <w:rPr>
                      <w:rFonts w:ascii="Arial" w:hAnsi="Arial" w:cs="Arial"/>
                    </w:rPr>
                  </w:pPr>
                  <w:r w:rsidRPr="0078455A">
                    <w:rPr>
                      <w:rFonts w:ascii="Arial" w:hAnsi="Arial" w:cs="Arial"/>
                    </w:rPr>
                    <w:t>£</w:t>
                  </w:r>
                  <w:r w:rsidR="00202B89" w:rsidRPr="0078455A">
                    <w:rPr>
                      <w:rFonts w:ascii="Arial" w:hAnsi="Arial" w:cs="Arial"/>
                    </w:rPr>
                    <w:t>353m</w:t>
                  </w:r>
                </w:p>
              </w:tc>
              <w:tc>
                <w:tcPr>
                  <w:tcW w:w="1495" w:type="dxa"/>
                  <w:tcBorders>
                    <w:top w:val="nil"/>
                    <w:left w:val="nil"/>
                    <w:bottom w:val="nil"/>
                    <w:right w:val="nil"/>
                  </w:tcBorders>
                </w:tcPr>
                <w:p w14:paraId="70E46586" w14:textId="06EE21B6" w:rsidR="00B46F5A" w:rsidRPr="0078455A" w:rsidRDefault="00B46F5A" w:rsidP="00B46F5A">
                  <w:pPr>
                    <w:jc w:val="right"/>
                    <w:rPr>
                      <w:rFonts w:ascii="Arial" w:hAnsi="Arial" w:cs="Arial"/>
                    </w:rPr>
                  </w:pPr>
                  <w:r w:rsidRPr="0078455A">
                    <w:rPr>
                      <w:rFonts w:ascii="Arial" w:hAnsi="Arial" w:cs="Arial"/>
                    </w:rPr>
                    <w:t>£37</w:t>
                  </w:r>
                  <w:r w:rsidR="00B417E6" w:rsidRPr="0078455A">
                    <w:rPr>
                      <w:rFonts w:ascii="Arial" w:hAnsi="Arial" w:cs="Arial"/>
                    </w:rPr>
                    <w:t>7</w:t>
                  </w:r>
                  <w:r w:rsidRPr="0078455A">
                    <w:rPr>
                      <w:rFonts w:ascii="Arial" w:hAnsi="Arial" w:cs="Arial"/>
                    </w:rPr>
                    <w:t>m</w:t>
                  </w:r>
                </w:p>
              </w:tc>
              <w:tc>
                <w:tcPr>
                  <w:tcW w:w="1439" w:type="dxa"/>
                  <w:tcBorders>
                    <w:top w:val="nil"/>
                    <w:left w:val="nil"/>
                    <w:bottom w:val="nil"/>
                    <w:right w:val="nil"/>
                  </w:tcBorders>
                </w:tcPr>
                <w:p w14:paraId="0517B939" w14:textId="407B2F38" w:rsidR="00B46F5A" w:rsidRPr="0078455A" w:rsidRDefault="00B46F5A" w:rsidP="00B46F5A">
                  <w:pPr>
                    <w:jc w:val="right"/>
                    <w:rPr>
                      <w:rFonts w:ascii="Arial" w:hAnsi="Arial" w:cs="Arial"/>
                    </w:rPr>
                  </w:pPr>
                  <w:r w:rsidRPr="0078455A">
                    <w:rPr>
                      <w:rFonts w:ascii="Arial" w:hAnsi="Arial" w:cs="Arial"/>
                    </w:rPr>
                    <w:t>(</w:t>
                  </w:r>
                  <w:r w:rsidR="00592D19" w:rsidRPr="0078455A">
                    <w:rPr>
                      <w:rFonts w:ascii="Arial" w:hAnsi="Arial" w:cs="Arial"/>
                    </w:rPr>
                    <w:t>6.</w:t>
                  </w:r>
                  <w:r w:rsidR="00202B89" w:rsidRPr="0078455A">
                    <w:rPr>
                      <w:rFonts w:ascii="Arial" w:hAnsi="Arial" w:cs="Arial"/>
                    </w:rPr>
                    <w:t>4</w:t>
                  </w:r>
                  <w:r w:rsidRPr="0078455A">
                    <w:rPr>
                      <w:rFonts w:ascii="Arial" w:hAnsi="Arial" w:cs="Arial"/>
                    </w:rPr>
                    <w:t>)%</w:t>
                  </w:r>
                </w:p>
              </w:tc>
              <w:tc>
                <w:tcPr>
                  <w:tcW w:w="1423" w:type="dxa"/>
                  <w:tcBorders>
                    <w:top w:val="nil"/>
                    <w:left w:val="nil"/>
                    <w:bottom w:val="nil"/>
                    <w:right w:val="nil"/>
                  </w:tcBorders>
                </w:tcPr>
                <w:p w14:paraId="7A2976C7" w14:textId="77777777" w:rsidR="00B46F5A" w:rsidRPr="0078455A" w:rsidRDefault="00B46F5A" w:rsidP="00B46F5A">
                  <w:pPr>
                    <w:jc w:val="right"/>
                    <w:rPr>
                      <w:rFonts w:ascii="Arial" w:hAnsi="Arial" w:cs="Arial"/>
                    </w:rPr>
                  </w:pPr>
                </w:p>
              </w:tc>
              <w:tc>
                <w:tcPr>
                  <w:tcW w:w="1142" w:type="dxa"/>
                  <w:tcBorders>
                    <w:top w:val="nil"/>
                    <w:left w:val="nil"/>
                    <w:bottom w:val="nil"/>
                    <w:right w:val="nil"/>
                  </w:tcBorders>
                </w:tcPr>
                <w:p w14:paraId="23BE9D8A" w14:textId="77777777" w:rsidR="00B46F5A" w:rsidRPr="007655ED" w:rsidRDefault="00B46F5A" w:rsidP="00B46F5A">
                  <w:pPr>
                    <w:jc w:val="right"/>
                    <w:rPr>
                      <w:rFonts w:ascii="Arial" w:hAnsi="Arial" w:cs="Arial"/>
                    </w:rPr>
                  </w:pPr>
                </w:p>
              </w:tc>
            </w:tr>
            <w:tr w:rsidR="00B46F5A" w:rsidRPr="0078455A" w14:paraId="0D5A2B5F" w14:textId="77777777" w:rsidTr="007655ED">
              <w:trPr>
                <w:trHeight w:val="269"/>
              </w:trPr>
              <w:tc>
                <w:tcPr>
                  <w:tcW w:w="2579" w:type="dxa"/>
                  <w:tcBorders>
                    <w:top w:val="nil"/>
                    <w:left w:val="nil"/>
                    <w:bottom w:val="nil"/>
                    <w:right w:val="nil"/>
                  </w:tcBorders>
                </w:tcPr>
                <w:p w14:paraId="5D0AFCFE" w14:textId="59E472C3" w:rsidR="00B46F5A" w:rsidRPr="0078455A" w:rsidRDefault="00B46F5A" w:rsidP="00B46F5A">
                  <w:pPr>
                    <w:jc w:val="left"/>
                    <w:rPr>
                      <w:rFonts w:ascii="Arial" w:hAnsi="Arial" w:cs="Arial"/>
                    </w:rPr>
                  </w:pPr>
                  <w:r w:rsidRPr="0078455A">
                    <w:rPr>
                      <w:rFonts w:ascii="Arial" w:hAnsi="Arial" w:cs="Arial"/>
                    </w:rPr>
                    <w:t>Adjusted pre-tax profit*</w:t>
                  </w:r>
                </w:p>
              </w:tc>
              <w:tc>
                <w:tcPr>
                  <w:tcW w:w="1337" w:type="dxa"/>
                  <w:tcBorders>
                    <w:top w:val="nil"/>
                    <w:left w:val="nil"/>
                    <w:bottom w:val="nil"/>
                    <w:right w:val="nil"/>
                  </w:tcBorders>
                </w:tcPr>
                <w:p w14:paraId="09987691" w14:textId="1A3BF133" w:rsidR="00B46F5A" w:rsidRPr="0078455A" w:rsidRDefault="00B46F5A" w:rsidP="00B46F5A">
                  <w:pPr>
                    <w:jc w:val="right"/>
                    <w:rPr>
                      <w:rFonts w:ascii="Arial" w:hAnsi="Arial" w:cs="Arial"/>
                    </w:rPr>
                  </w:pPr>
                  <w:r w:rsidRPr="0078455A">
                    <w:rPr>
                      <w:rFonts w:ascii="Arial" w:hAnsi="Arial" w:cs="Arial"/>
                    </w:rPr>
                    <w:t>£33</w:t>
                  </w:r>
                  <w:r w:rsidR="000E3996">
                    <w:rPr>
                      <w:rFonts w:ascii="Arial" w:hAnsi="Arial" w:cs="Arial"/>
                    </w:rPr>
                    <w:t>7</w:t>
                  </w:r>
                  <w:r w:rsidRPr="0078455A">
                    <w:rPr>
                      <w:rFonts w:ascii="Arial" w:hAnsi="Arial" w:cs="Arial"/>
                    </w:rPr>
                    <w:t>m</w:t>
                  </w:r>
                </w:p>
              </w:tc>
              <w:tc>
                <w:tcPr>
                  <w:tcW w:w="1495" w:type="dxa"/>
                  <w:tcBorders>
                    <w:top w:val="nil"/>
                    <w:left w:val="nil"/>
                    <w:bottom w:val="nil"/>
                    <w:right w:val="nil"/>
                  </w:tcBorders>
                </w:tcPr>
                <w:p w14:paraId="3909476F" w14:textId="6DA73B71" w:rsidR="00B46F5A" w:rsidRPr="0078455A" w:rsidRDefault="00B46F5A" w:rsidP="00B46F5A">
                  <w:pPr>
                    <w:jc w:val="right"/>
                    <w:rPr>
                      <w:rFonts w:ascii="Arial" w:hAnsi="Arial" w:cs="Arial"/>
                    </w:rPr>
                  </w:pPr>
                  <w:r w:rsidRPr="0078455A">
                    <w:rPr>
                      <w:rFonts w:ascii="Arial" w:hAnsi="Arial" w:cs="Arial"/>
                    </w:rPr>
                    <w:t>£32</w:t>
                  </w:r>
                  <w:r w:rsidR="00945DE4" w:rsidRPr="0078455A">
                    <w:rPr>
                      <w:rFonts w:ascii="Arial" w:hAnsi="Arial" w:cs="Arial"/>
                    </w:rPr>
                    <w:t>5</w:t>
                  </w:r>
                  <w:r w:rsidRPr="0078455A">
                    <w:rPr>
                      <w:rFonts w:ascii="Arial" w:hAnsi="Arial" w:cs="Arial"/>
                    </w:rPr>
                    <w:t>m</w:t>
                  </w:r>
                </w:p>
              </w:tc>
              <w:tc>
                <w:tcPr>
                  <w:tcW w:w="1439" w:type="dxa"/>
                  <w:tcBorders>
                    <w:top w:val="nil"/>
                    <w:left w:val="nil"/>
                    <w:bottom w:val="nil"/>
                    <w:right w:val="nil"/>
                  </w:tcBorders>
                </w:tcPr>
                <w:p w14:paraId="34062DFD" w14:textId="50CF5321" w:rsidR="00B46F5A" w:rsidRPr="0078455A" w:rsidRDefault="00B417E6" w:rsidP="00B46F5A">
                  <w:pPr>
                    <w:jc w:val="right"/>
                    <w:rPr>
                      <w:rFonts w:ascii="Arial" w:hAnsi="Arial" w:cs="Arial"/>
                    </w:rPr>
                  </w:pPr>
                  <w:r w:rsidRPr="0078455A">
                    <w:rPr>
                      <w:rFonts w:ascii="Arial" w:hAnsi="Arial" w:cs="Arial"/>
                    </w:rPr>
                    <w:t>+</w:t>
                  </w:r>
                  <w:r w:rsidR="00202B89" w:rsidRPr="0078455A">
                    <w:rPr>
                      <w:rFonts w:ascii="Arial" w:hAnsi="Arial" w:cs="Arial"/>
                    </w:rPr>
                    <w:t>3.7</w:t>
                  </w:r>
                  <w:r w:rsidR="00B46F5A" w:rsidRPr="0078455A">
                    <w:rPr>
                      <w:rFonts w:ascii="Arial" w:hAnsi="Arial" w:cs="Arial"/>
                    </w:rPr>
                    <w:t>%</w:t>
                  </w:r>
                </w:p>
              </w:tc>
              <w:tc>
                <w:tcPr>
                  <w:tcW w:w="1423" w:type="dxa"/>
                  <w:tcBorders>
                    <w:top w:val="nil"/>
                    <w:left w:val="nil"/>
                    <w:bottom w:val="nil"/>
                    <w:right w:val="nil"/>
                  </w:tcBorders>
                </w:tcPr>
                <w:p w14:paraId="6C1F1361" w14:textId="77777777" w:rsidR="00B46F5A" w:rsidRPr="0078455A" w:rsidRDefault="00B46F5A" w:rsidP="00B46F5A">
                  <w:pPr>
                    <w:jc w:val="right"/>
                    <w:rPr>
                      <w:rFonts w:ascii="Arial" w:hAnsi="Arial" w:cs="Arial"/>
                    </w:rPr>
                  </w:pPr>
                </w:p>
              </w:tc>
              <w:tc>
                <w:tcPr>
                  <w:tcW w:w="1142" w:type="dxa"/>
                  <w:tcBorders>
                    <w:top w:val="nil"/>
                    <w:left w:val="nil"/>
                    <w:bottom w:val="nil"/>
                    <w:right w:val="nil"/>
                  </w:tcBorders>
                </w:tcPr>
                <w:p w14:paraId="7F377396" w14:textId="77777777" w:rsidR="00B46F5A" w:rsidRPr="007655ED" w:rsidRDefault="00B46F5A" w:rsidP="00B46F5A">
                  <w:pPr>
                    <w:jc w:val="right"/>
                    <w:rPr>
                      <w:rFonts w:ascii="Arial" w:hAnsi="Arial" w:cs="Arial"/>
                    </w:rPr>
                  </w:pPr>
                </w:p>
              </w:tc>
            </w:tr>
            <w:tr w:rsidR="00FC6C78" w:rsidRPr="0078455A" w14:paraId="333ABF41" w14:textId="77777777" w:rsidTr="007655ED">
              <w:trPr>
                <w:trHeight w:val="269"/>
              </w:trPr>
              <w:tc>
                <w:tcPr>
                  <w:tcW w:w="2579" w:type="dxa"/>
                  <w:tcBorders>
                    <w:top w:val="nil"/>
                    <w:left w:val="nil"/>
                    <w:bottom w:val="nil"/>
                    <w:right w:val="nil"/>
                  </w:tcBorders>
                </w:tcPr>
                <w:p w14:paraId="52936C49" w14:textId="462992ED" w:rsidR="00FC6C78" w:rsidRPr="0078455A" w:rsidRDefault="00FC6C78" w:rsidP="00FC6C78">
                  <w:pPr>
                    <w:jc w:val="left"/>
                    <w:rPr>
                      <w:rFonts w:ascii="Arial" w:hAnsi="Arial" w:cs="Arial"/>
                    </w:rPr>
                  </w:pPr>
                  <w:r w:rsidRPr="0078455A">
                    <w:rPr>
                      <w:rFonts w:ascii="Arial" w:hAnsi="Arial" w:cs="Arial"/>
                    </w:rPr>
                    <w:t>Statutory pre-tax profit</w:t>
                  </w:r>
                </w:p>
              </w:tc>
              <w:tc>
                <w:tcPr>
                  <w:tcW w:w="1337" w:type="dxa"/>
                  <w:tcBorders>
                    <w:top w:val="nil"/>
                    <w:left w:val="nil"/>
                    <w:bottom w:val="nil"/>
                    <w:right w:val="nil"/>
                  </w:tcBorders>
                </w:tcPr>
                <w:p w14:paraId="7CAE0BE6" w14:textId="3CB50662" w:rsidR="00FC6C78" w:rsidRPr="0078455A" w:rsidRDefault="00FC6C78" w:rsidP="00FC6C78">
                  <w:pPr>
                    <w:jc w:val="right"/>
                    <w:rPr>
                      <w:rFonts w:ascii="Arial" w:hAnsi="Arial" w:cs="Arial"/>
                    </w:rPr>
                  </w:pPr>
                  <w:r w:rsidRPr="0078455A">
                    <w:rPr>
                      <w:rFonts w:ascii="Arial" w:hAnsi="Arial" w:cs="Arial"/>
                    </w:rPr>
                    <w:t>£24</w:t>
                  </w:r>
                  <w:r w:rsidR="00E8291F" w:rsidRPr="0078455A">
                    <w:rPr>
                      <w:rFonts w:ascii="Arial" w:hAnsi="Arial" w:cs="Arial"/>
                    </w:rPr>
                    <w:t>5</w:t>
                  </w:r>
                  <w:r w:rsidRPr="0078455A">
                    <w:rPr>
                      <w:rFonts w:ascii="Arial" w:hAnsi="Arial" w:cs="Arial"/>
                    </w:rPr>
                    <w:t>m</w:t>
                  </w:r>
                </w:p>
              </w:tc>
              <w:tc>
                <w:tcPr>
                  <w:tcW w:w="1495" w:type="dxa"/>
                  <w:tcBorders>
                    <w:top w:val="nil"/>
                    <w:left w:val="nil"/>
                    <w:bottom w:val="nil"/>
                    <w:right w:val="nil"/>
                  </w:tcBorders>
                </w:tcPr>
                <w:p w14:paraId="3C0B7F86" w14:textId="4A7AA5B8" w:rsidR="00FC6C78" w:rsidRPr="0078455A" w:rsidRDefault="00FC6C78" w:rsidP="00FC6C78">
                  <w:pPr>
                    <w:jc w:val="right"/>
                    <w:rPr>
                      <w:rFonts w:ascii="Arial" w:hAnsi="Arial" w:cs="Arial"/>
                    </w:rPr>
                  </w:pPr>
                  <w:r w:rsidRPr="0078455A">
                    <w:rPr>
                      <w:rFonts w:ascii="Arial" w:hAnsi="Arial" w:cs="Arial"/>
                    </w:rPr>
                    <w:t>£280m</w:t>
                  </w:r>
                </w:p>
              </w:tc>
              <w:tc>
                <w:tcPr>
                  <w:tcW w:w="1439" w:type="dxa"/>
                  <w:tcBorders>
                    <w:top w:val="nil"/>
                    <w:left w:val="nil"/>
                    <w:bottom w:val="nil"/>
                    <w:right w:val="nil"/>
                  </w:tcBorders>
                </w:tcPr>
                <w:p w14:paraId="20281305" w14:textId="54F55EA9" w:rsidR="00FC6C78" w:rsidRPr="0078455A" w:rsidRDefault="00FC6C78" w:rsidP="00FC6C78">
                  <w:pPr>
                    <w:jc w:val="right"/>
                    <w:rPr>
                      <w:rFonts w:ascii="Arial" w:hAnsi="Arial" w:cs="Arial"/>
                    </w:rPr>
                  </w:pPr>
                  <w:r w:rsidRPr="0078455A">
                    <w:rPr>
                      <w:rFonts w:ascii="Arial" w:hAnsi="Arial" w:cs="Arial"/>
                    </w:rPr>
                    <w:t>(</w:t>
                  </w:r>
                  <w:r w:rsidR="00E8291F" w:rsidRPr="0078455A">
                    <w:rPr>
                      <w:rFonts w:ascii="Arial" w:hAnsi="Arial" w:cs="Arial"/>
                    </w:rPr>
                    <w:t>12.5</w:t>
                  </w:r>
                  <w:r w:rsidRPr="0078455A">
                    <w:rPr>
                      <w:rFonts w:ascii="Arial" w:hAnsi="Arial" w:cs="Arial"/>
                    </w:rPr>
                    <w:t>)%</w:t>
                  </w:r>
                </w:p>
              </w:tc>
              <w:tc>
                <w:tcPr>
                  <w:tcW w:w="1423" w:type="dxa"/>
                  <w:tcBorders>
                    <w:top w:val="nil"/>
                    <w:left w:val="nil"/>
                    <w:bottom w:val="nil"/>
                    <w:right w:val="nil"/>
                  </w:tcBorders>
                </w:tcPr>
                <w:p w14:paraId="3C6E6A67" w14:textId="77777777" w:rsidR="00FC6C78" w:rsidRPr="0078455A" w:rsidRDefault="00FC6C78" w:rsidP="00FC6C78">
                  <w:pPr>
                    <w:jc w:val="right"/>
                    <w:rPr>
                      <w:rFonts w:ascii="Arial" w:hAnsi="Arial" w:cs="Arial"/>
                    </w:rPr>
                  </w:pPr>
                </w:p>
              </w:tc>
              <w:tc>
                <w:tcPr>
                  <w:tcW w:w="1142" w:type="dxa"/>
                  <w:tcBorders>
                    <w:top w:val="nil"/>
                    <w:left w:val="nil"/>
                    <w:bottom w:val="nil"/>
                    <w:right w:val="nil"/>
                  </w:tcBorders>
                </w:tcPr>
                <w:p w14:paraId="72F4C51C" w14:textId="77777777" w:rsidR="00FC6C78" w:rsidRPr="007655ED" w:rsidRDefault="00FC6C78" w:rsidP="00FC6C78">
                  <w:pPr>
                    <w:jc w:val="right"/>
                    <w:rPr>
                      <w:rFonts w:ascii="Arial" w:hAnsi="Arial" w:cs="Arial"/>
                    </w:rPr>
                  </w:pPr>
                </w:p>
              </w:tc>
            </w:tr>
            <w:tr w:rsidR="00FC6C78" w:rsidRPr="0078455A" w14:paraId="4AA1F22B" w14:textId="77777777" w:rsidTr="007655ED">
              <w:trPr>
                <w:trHeight w:val="269"/>
              </w:trPr>
              <w:tc>
                <w:tcPr>
                  <w:tcW w:w="2579" w:type="dxa"/>
                  <w:tcBorders>
                    <w:top w:val="nil"/>
                    <w:left w:val="nil"/>
                    <w:bottom w:val="nil"/>
                    <w:right w:val="nil"/>
                  </w:tcBorders>
                </w:tcPr>
                <w:p w14:paraId="2CF05C40" w14:textId="43F65E0C" w:rsidR="00FC6C78" w:rsidRPr="0078455A" w:rsidRDefault="00FC6C78" w:rsidP="00FC6C78">
                  <w:pPr>
                    <w:jc w:val="left"/>
                    <w:rPr>
                      <w:rFonts w:ascii="Arial" w:hAnsi="Arial" w:cs="Arial"/>
                    </w:rPr>
                  </w:pPr>
                  <w:r w:rsidRPr="0078455A">
                    <w:rPr>
                      <w:rFonts w:ascii="Arial" w:hAnsi="Arial" w:cs="Arial"/>
                    </w:rPr>
                    <w:t>Statutory post-tax profit</w:t>
                  </w:r>
                </w:p>
              </w:tc>
              <w:tc>
                <w:tcPr>
                  <w:tcW w:w="1337" w:type="dxa"/>
                  <w:tcBorders>
                    <w:top w:val="nil"/>
                    <w:left w:val="nil"/>
                    <w:bottom w:val="nil"/>
                    <w:right w:val="nil"/>
                  </w:tcBorders>
                </w:tcPr>
                <w:p w14:paraId="1C0FCABC" w14:textId="643D6D15" w:rsidR="00FC6C78" w:rsidRPr="0078455A" w:rsidRDefault="00FC6C78" w:rsidP="00FC6C78">
                  <w:pPr>
                    <w:jc w:val="right"/>
                    <w:rPr>
                      <w:rFonts w:ascii="Arial" w:hAnsi="Arial" w:cs="Arial"/>
                    </w:rPr>
                  </w:pPr>
                  <w:r w:rsidRPr="0078455A">
                    <w:rPr>
                      <w:rFonts w:ascii="Arial" w:hAnsi="Arial" w:cs="Arial"/>
                    </w:rPr>
                    <w:t>£17</w:t>
                  </w:r>
                  <w:r w:rsidR="00E8291F" w:rsidRPr="0078455A">
                    <w:rPr>
                      <w:rFonts w:ascii="Arial" w:hAnsi="Arial" w:cs="Arial"/>
                    </w:rPr>
                    <w:t>1</w:t>
                  </w:r>
                  <w:r w:rsidRPr="0078455A">
                    <w:rPr>
                      <w:rFonts w:ascii="Arial" w:hAnsi="Arial" w:cs="Arial"/>
                    </w:rPr>
                    <w:t>m</w:t>
                  </w:r>
                </w:p>
              </w:tc>
              <w:tc>
                <w:tcPr>
                  <w:tcW w:w="1495" w:type="dxa"/>
                  <w:tcBorders>
                    <w:top w:val="nil"/>
                    <w:left w:val="nil"/>
                    <w:bottom w:val="nil"/>
                    <w:right w:val="nil"/>
                  </w:tcBorders>
                </w:tcPr>
                <w:p w14:paraId="24E15837" w14:textId="00244D2A" w:rsidR="00FC6C78" w:rsidRPr="0078455A" w:rsidRDefault="00FC6C78" w:rsidP="00FC6C78">
                  <w:pPr>
                    <w:jc w:val="right"/>
                    <w:rPr>
                      <w:rFonts w:ascii="Arial" w:hAnsi="Arial" w:cs="Arial"/>
                    </w:rPr>
                  </w:pPr>
                  <w:r w:rsidRPr="0078455A">
                    <w:rPr>
                      <w:rFonts w:ascii="Arial" w:hAnsi="Arial" w:cs="Arial"/>
                    </w:rPr>
                    <w:t>£206m</w:t>
                  </w:r>
                </w:p>
              </w:tc>
              <w:tc>
                <w:tcPr>
                  <w:tcW w:w="1439" w:type="dxa"/>
                  <w:tcBorders>
                    <w:top w:val="nil"/>
                    <w:left w:val="nil"/>
                    <w:bottom w:val="nil"/>
                    <w:right w:val="nil"/>
                  </w:tcBorders>
                </w:tcPr>
                <w:p w14:paraId="740203DE" w14:textId="10B2D1BB" w:rsidR="00FC6C78" w:rsidRPr="0078455A" w:rsidRDefault="00FC6C78" w:rsidP="00FC6C78">
                  <w:pPr>
                    <w:jc w:val="right"/>
                    <w:rPr>
                      <w:rFonts w:ascii="Arial" w:hAnsi="Arial" w:cs="Arial"/>
                    </w:rPr>
                  </w:pPr>
                  <w:r w:rsidRPr="0078455A">
                    <w:rPr>
                      <w:rFonts w:ascii="Arial" w:hAnsi="Arial" w:cs="Arial"/>
                    </w:rPr>
                    <w:t>(</w:t>
                  </w:r>
                  <w:r w:rsidR="00E8291F" w:rsidRPr="0078455A">
                    <w:rPr>
                      <w:rFonts w:ascii="Arial" w:hAnsi="Arial" w:cs="Arial"/>
                    </w:rPr>
                    <w:t>17.0</w:t>
                  </w:r>
                  <w:r w:rsidRPr="0078455A">
                    <w:rPr>
                      <w:rFonts w:ascii="Arial" w:hAnsi="Arial" w:cs="Arial"/>
                    </w:rPr>
                    <w:t>)%</w:t>
                  </w:r>
                </w:p>
              </w:tc>
              <w:tc>
                <w:tcPr>
                  <w:tcW w:w="1423" w:type="dxa"/>
                  <w:tcBorders>
                    <w:top w:val="nil"/>
                    <w:left w:val="nil"/>
                    <w:bottom w:val="nil"/>
                    <w:right w:val="nil"/>
                  </w:tcBorders>
                </w:tcPr>
                <w:p w14:paraId="0C5B4198" w14:textId="77777777" w:rsidR="00FC6C78" w:rsidRPr="0078455A" w:rsidRDefault="00FC6C78" w:rsidP="00FC6C78">
                  <w:pPr>
                    <w:jc w:val="right"/>
                    <w:rPr>
                      <w:rFonts w:ascii="Arial" w:hAnsi="Arial" w:cs="Arial"/>
                    </w:rPr>
                  </w:pPr>
                </w:p>
              </w:tc>
              <w:tc>
                <w:tcPr>
                  <w:tcW w:w="1142" w:type="dxa"/>
                  <w:tcBorders>
                    <w:top w:val="nil"/>
                    <w:left w:val="nil"/>
                    <w:bottom w:val="nil"/>
                    <w:right w:val="nil"/>
                  </w:tcBorders>
                </w:tcPr>
                <w:p w14:paraId="23F0094F" w14:textId="77777777" w:rsidR="00FC6C78" w:rsidRPr="007655ED" w:rsidRDefault="00FC6C78" w:rsidP="00FC6C78">
                  <w:pPr>
                    <w:jc w:val="right"/>
                    <w:rPr>
                      <w:rFonts w:ascii="Arial" w:hAnsi="Arial" w:cs="Arial"/>
                    </w:rPr>
                  </w:pPr>
                </w:p>
              </w:tc>
            </w:tr>
            <w:tr w:rsidR="00B46F5A" w:rsidRPr="0078455A" w14:paraId="4272F414" w14:textId="77777777" w:rsidTr="007655ED">
              <w:trPr>
                <w:trHeight w:val="269"/>
              </w:trPr>
              <w:tc>
                <w:tcPr>
                  <w:tcW w:w="2579" w:type="dxa"/>
                  <w:tcBorders>
                    <w:top w:val="nil"/>
                    <w:left w:val="nil"/>
                    <w:bottom w:val="nil"/>
                    <w:right w:val="nil"/>
                  </w:tcBorders>
                </w:tcPr>
                <w:p w14:paraId="573E81F3" w14:textId="554FC0B1" w:rsidR="00B46F5A" w:rsidRPr="0078455A" w:rsidRDefault="00B46F5A" w:rsidP="00B46F5A">
                  <w:pPr>
                    <w:jc w:val="left"/>
                    <w:rPr>
                      <w:rFonts w:ascii="Arial" w:hAnsi="Arial" w:cs="Arial"/>
                    </w:rPr>
                  </w:pPr>
                  <w:r w:rsidRPr="0078455A">
                    <w:rPr>
                      <w:rFonts w:ascii="Arial" w:hAnsi="Arial" w:cs="Arial"/>
                    </w:rPr>
                    <w:t>Underlying basic EPS*</w:t>
                  </w:r>
                </w:p>
              </w:tc>
              <w:tc>
                <w:tcPr>
                  <w:tcW w:w="1337" w:type="dxa"/>
                  <w:tcBorders>
                    <w:top w:val="nil"/>
                    <w:left w:val="nil"/>
                    <w:bottom w:val="nil"/>
                    <w:right w:val="nil"/>
                  </w:tcBorders>
                </w:tcPr>
                <w:p w14:paraId="140C2816" w14:textId="13DA3E47" w:rsidR="00B46F5A" w:rsidRPr="0078455A" w:rsidRDefault="009961BF" w:rsidP="00B46F5A">
                  <w:pPr>
                    <w:jc w:val="right"/>
                    <w:rPr>
                      <w:rFonts w:ascii="Arial" w:hAnsi="Arial" w:cs="Arial"/>
                    </w:rPr>
                  </w:pPr>
                  <w:r w:rsidRPr="0078455A">
                    <w:rPr>
                      <w:rFonts w:ascii="Arial" w:hAnsi="Arial" w:cs="Arial"/>
                    </w:rPr>
                    <w:t>12</w:t>
                  </w:r>
                  <w:r w:rsidR="00B46F5A" w:rsidRPr="0078455A">
                    <w:rPr>
                      <w:rFonts w:ascii="Arial" w:hAnsi="Arial" w:cs="Arial"/>
                    </w:rPr>
                    <w:t>.</w:t>
                  </w:r>
                  <w:r w:rsidR="00202B89" w:rsidRPr="0078455A">
                    <w:rPr>
                      <w:rFonts w:ascii="Arial" w:hAnsi="Arial" w:cs="Arial"/>
                    </w:rPr>
                    <w:t>3p</w:t>
                  </w:r>
                </w:p>
              </w:tc>
              <w:tc>
                <w:tcPr>
                  <w:tcW w:w="1495" w:type="dxa"/>
                  <w:tcBorders>
                    <w:top w:val="nil"/>
                    <w:left w:val="nil"/>
                    <w:bottom w:val="nil"/>
                    <w:right w:val="nil"/>
                  </w:tcBorders>
                </w:tcPr>
                <w:p w14:paraId="316AA18B" w14:textId="728B375F" w:rsidR="00B46F5A" w:rsidRPr="0078455A" w:rsidRDefault="00B46F5A" w:rsidP="00B46F5A">
                  <w:pPr>
                    <w:jc w:val="right"/>
                    <w:rPr>
                      <w:rFonts w:ascii="Arial" w:hAnsi="Arial" w:cs="Arial"/>
                    </w:rPr>
                  </w:pPr>
                  <w:r w:rsidRPr="0078455A">
                    <w:rPr>
                      <w:rFonts w:ascii="Arial" w:hAnsi="Arial" w:cs="Arial"/>
                    </w:rPr>
                    <w:t>12.8p</w:t>
                  </w:r>
                </w:p>
              </w:tc>
              <w:tc>
                <w:tcPr>
                  <w:tcW w:w="1439" w:type="dxa"/>
                  <w:tcBorders>
                    <w:top w:val="nil"/>
                    <w:left w:val="nil"/>
                    <w:bottom w:val="nil"/>
                    <w:right w:val="nil"/>
                  </w:tcBorders>
                </w:tcPr>
                <w:p w14:paraId="62C42B42" w14:textId="3FE46D69" w:rsidR="00B46F5A" w:rsidRPr="0078455A" w:rsidRDefault="00B46F5A" w:rsidP="00B46F5A">
                  <w:pPr>
                    <w:jc w:val="right"/>
                    <w:rPr>
                      <w:rFonts w:ascii="Arial" w:hAnsi="Arial" w:cs="Arial"/>
                    </w:rPr>
                  </w:pPr>
                  <w:r w:rsidRPr="0078455A">
                    <w:rPr>
                      <w:rFonts w:ascii="Arial" w:hAnsi="Arial" w:cs="Arial"/>
                    </w:rPr>
                    <w:t>(</w:t>
                  </w:r>
                  <w:r w:rsidR="00E8291F" w:rsidRPr="0078455A">
                    <w:rPr>
                      <w:rFonts w:ascii="Arial" w:hAnsi="Arial" w:cs="Arial"/>
                    </w:rPr>
                    <w:t>3.9</w:t>
                  </w:r>
                  <w:r w:rsidRPr="0078455A">
                    <w:rPr>
                      <w:rFonts w:ascii="Arial" w:hAnsi="Arial" w:cs="Arial"/>
                    </w:rPr>
                    <w:t>)%</w:t>
                  </w:r>
                </w:p>
              </w:tc>
              <w:tc>
                <w:tcPr>
                  <w:tcW w:w="1423" w:type="dxa"/>
                  <w:tcBorders>
                    <w:top w:val="nil"/>
                    <w:left w:val="nil"/>
                    <w:bottom w:val="nil"/>
                    <w:right w:val="nil"/>
                  </w:tcBorders>
                </w:tcPr>
                <w:p w14:paraId="1ABC740C" w14:textId="77777777" w:rsidR="00B46F5A" w:rsidRPr="0078455A" w:rsidRDefault="00B46F5A" w:rsidP="00B46F5A">
                  <w:pPr>
                    <w:jc w:val="right"/>
                    <w:rPr>
                      <w:rFonts w:ascii="Arial" w:hAnsi="Arial" w:cs="Arial"/>
                    </w:rPr>
                  </w:pPr>
                </w:p>
              </w:tc>
              <w:tc>
                <w:tcPr>
                  <w:tcW w:w="1142" w:type="dxa"/>
                  <w:tcBorders>
                    <w:top w:val="nil"/>
                    <w:left w:val="nil"/>
                    <w:bottom w:val="nil"/>
                    <w:right w:val="nil"/>
                  </w:tcBorders>
                </w:tcPr>
                <w:p w14:paraId="4ABCA782" w14:textId="77777777" w:rsidR="00B46F5A" w:rsidRPr="007655ED" w:rsidRDefault="00B46F5A" w:rsidP="00B46F5A">
                  <w:pPr>
                    <w:jc w:val="right"/>
                    <w:rPr>
                      <w:rFonts w:ascii="Arial" w:hAnsi="Arial" w:cs="Arial"/>
                    </w:rPr>
                  </w:pPr>
                </w:p>
              </w:tc>
            </w:tr>
            <w:tr w:rsidR="00B46F5A" w:rsidRPr="0078455A" w14:paraId="22185A2E" w14:textId="77777777" w:rsidTr="007655ED">
              <w:trPr>
                <w:trHeight w:val="269"/>
              </w:trPr>
              <w:tc>
                <w:tcPr>
                  <w:tcW w:w="2579" w:type="dxa"/>
                  <w:tcBorders>
                    <w:top w:val="nil"/>
                    <w:left w:val="nil"/>
                    <w:bottom w:val="nil"/>
                    <w:right w:val="nil"/>
                  </w:tcBorders>
                </w:tcPr>
                <w:p w14:paraId="4F0A728A" w14:textId="2C8ADE59" w:rsidR="00B46F5A" w:rsidRPr="0078455A" w:rsidRDefault="00B46F5A" w:rsidP="00B46F5A">
                  <w:pPr>
                    <w:jc w:val="left"/>
                    <w:rPr>
                      <w:rFonts w:ascii="Arial" w:hAnsi="Arial" w:cs="Arial"/>
                    </w:rPr>
                  </w:pPr>
                  <w:r w:rsidRPr="0078455A">
                    <w:rPr>
                      <w:rFonts w:ascii="Arial" w:hAnsi="Arial" w:cs="Arial"/>
                    </w:rPr>
                    <w:t>Adjusted basic EPS*</w:t>
                  </w:r>
                </w:p>
              </w:tc>
              <w:tc>
                <w:tcPr>
                  <w:tcW w:w="1337" w:type="dxa"/>
                  <w:tcBorders>
                    <w:top w:val="nil"/>
                    <w:left w:val="nil"/>
                    <w:bottom w:val="nil"/>
                    <w:right w:val="nil"/>
                  </w:tcBorders>
                </w:tcPr>
                <w:p w14:paraId="5ED8F8B7" w14:textId="539F5590" w:rsidR="00B46F5A" w:rsidRPr="0078455A" w:rsidRDefault="009961BF" w:rsidP="00B46F5A">
                  <w:pPr>
                    <w:jc w:val="right"/>
                    <w:rPr>
                      <w:rFonts w:ascii="Arial" w:hAnsi="Arial" w:cs="Arial"/>
                    </w:rPr>
                  </w:pPr>
                  <w:r w:rsidRPr="0078455A">
                    <w:rPr>
                      <w:rFonts w:ascii="Arial" w:hAnsi="Arial" w:cs="Arial"/>
                    </w:rPr>
                    <w:t>11</w:t>
                  </w:r>
                  <w:r w:rsidR="00B46F5A" w:rsidRPr="0078455A">
                    <w:rPr>
                      <w:rFonts w:ascii="Arial" w:hAnsi="Arial" w:cs="Arial"/>
                    </w:rPr>
                    <w:t>.</w:t>
                  </w:r>
                  <w:r w:rsidR="00202B89" w:rsidRPr="0078455A">
                    <w:rPr>
                      <w:rFonts w:ascii="Arial" w:hAnsi="Arial" w:cs="Arial"/>
                    </w:rPr>
                    <w:t>8p</w:t>
                  </w:r>
                </w:p>
              </w:tc>
              <w:tc>
                <w:tcPr>
                  <w:tcW w:w="1495" w:type="dxa"/>
                  <w:tcBorders>
                    <w:top w:val="nil"/>
                    <w:left w:val="nil"/>
                    <w:bottom w:val="nil"/>
                    <w:right w:val="nil"/>
                  </w:tcBorders>
                </w:tcPr>
                <w:p w14:paraId="44CA637D" w14:textId="3AE1C710" w:rsidR="00B46F5A" w:rsidRPr="0078455A" w:rsidRDefault="00B46F5A" w:rsidP="00B46F5A">
                  <w:pPr>
                    <w:jc w:val="right"/>
                    <w:rPr>
                      <w:rFonts w:ascii="Arial" w:hAnsi="Arial" w:cs="Arial"/>
                    </w:rPr>
                  </w:pPr>
                  <w:r w:rsidRPr="0078455A">
                    <w:rPr>
                      <w:rFonts w:ascii="Arial" w:hAnsi="Arial" w:cs="Arial"/>
                    </w:rPr>
                    <w:t>11.0p</w:t>
                  </w:r>
                </w:p>
              </w:tc>
              <w:tc>
                <w:tcPr>
                  <w:tcW w:w="1439" w:type="dxa"/>
                  <w:tcBorders>
                    <w:top w:val="nil"/>
                    <w:left w:val="nil"/>
                    <w:bottom w:val="nil"/>
                    <w:right w:val="nil"/>
                  </w:tcBorders>
                </w:tcPr>
                <w:p w14:paraId="2357988A" w14:textId="0AC4C0EB" w:rsidR="00B46F5A" w:rsidRPr="0078455A" w:rsidRDefault="006C7B21" w:rsidP="00B46F5A">
                  <w:pPr>
                    <w:jc w:val="right"/>
                    <w:rPr>
                      <w:rFonts w:ascii="Arial" w:hAnsi="Arial" w:cs="Arial"/>
                    </w:rPr>
                  </w:pPr>
                  <w:r w:rsidRPr="0078455A">
                    <w:rPr>
                      <w:rFonts w:ascii="Arial" w:hAnsi="Arial" w:cs="Arial"/>
                    </w:rPr>
                    <w:t>+</w:t>
                  </w:r>
                  <w:r w:rsidR="00202B89" w:rsidRPr="0078455A">
                    <w:rPr>
                      <w:rFonts w:ascii="Arial" w:hAnsi="Arial" w:cs="Arial"/>
                    </w:rPr>
                    <w:t>7.3</w:t>
                  </w:r>
                  <w:r w:rsidR="00B46F5A" w:rsidRPr="0078455A">
                    <w:rPr>
                      <w:rFonts w:ascii="Arial" w:hAnsi="Arial" w:cs="Arial"/>
                    </w:rPr>
                    <w:t>%</w:t>
                  </w:r>
                </w:p>
              </w:tc>
              <w:tc>
                <w:tcPr>
                  <w:tcW w:w="1423" w:type="dxa"/>
                  <w:tcBorders>
                    <w:top w:val="nil"/>
                    <w:left w:val="nil"/>
                    <w:bottom w:val="nil"/>
                    <w:right w:val="nil"/>
                  </w:tcBorders>
                </w:tcPr>
                <w:p w14:paraId="7283AFB6" w14:textId="77777777" w:rsidR="00B46F5A" w:rsidRPr="0078455A" w:rsidRDefault="00B46F5A" w:rsidP="00B46F5A">
                  <w:pPr>
                    <w:jc w:val="right"/>
                    <w:rPr>
                      <w:rFonts w:ascii="Arial" w:hAnsi="Arial" w:cs="Arial"/>
                    </w:rPr>
                  </w:pPr>
                </w:p>
              </w:tc>
              <w:tc>
                <w:tcPr>
                  <w:tcW w:w="1142" w:type="dxa"/>
                  <w:tcBorders>
                    <w:top w:val="nil"/>
                    <w:left w:val="nil"/>
                    <w:bottom w:val="nil"/>
                    <w:right w:val="nil"/>
                  </w:tcBorders>
                </w:tcPr>
                <w:p w14:paraId="40F8C131" w14:textId="77777777" w:rsidR="00B46F5A" w:rsidRPr="007655ED" w:rsidRDefault="00B46F5A" w:rsidP="00B46F5A">
                  <w:pPr>
                    <w:jc w:val="right"/>
                    <w:rPr>
                      <w:rFonts w:ascii="Arial" w:hAnsi="Arial" w:cs="Arial"/>
                    </w:rPr>
                  </w:pPr>
                </w:p>
              </w:tc>
            </w:tr>
            <w:tr w:rsidR="00FC6C78" w:rsidRPr="0078455A" w14:paraId="52E883AC" w14:textId="77777777" w:rsidTr="007655ED">
              <w:trPr>
                <w:trHeight w:val="269"/>
              </w:trPr>
              <w:tc>
                <w:tcPr>
                  <w:tcW w:w="2579" w:type="dxa"/>
                  <w:tcBorders>
                    <w:top w:val="nil"/>
                    <w:left w:val="nil"/>
                    <w:bottom w:val="nil"/>
                    <w:right w:val="nil"/>
                  </w:tcBorders>
                </w:tcPr>
                <w:p w14:paraId="7BF9B816" w14:textId="08A0EF92" w:rsidR="00FC6C78" w:rsidRPr="0078455A" w:rsidRDefault="005111B3" w:rsidP="00FC6C78">
                  <w:pPr>
                    <w:jc w:val="left"/>
                    <w:rPr>
                      <w:rFonts w:ascii="Arial" w:hAnsi="Arial" w:cs="Arial"/>
                    </w:rPr>
                  </w:pPr>
                  <w:r>
                    <w:rPr>
                      <w:rFonts w:ascii="Arial" w:hAnsi="Arial" w:cs="Arial"/>
                    </w:rPr>
                    <w:t>Statutory b</w:t>
                  </w:r>
                  <w:r w:rsidR="00FC6C78" w:rsidRPr="0078455A">
                    <w:rPr>
                      <w:rFonts w:ascii="Arial" w:hAnsi="Arial" w:cs="Arial"/>
                    </w:rPr>
                    <w:t>asic EPS</w:t>
                  </w:r>
                </w:p>
              </w:tc>
              <w:tc>
                <w:tcPr>
                  <w:tcW w:w="1337" w:type="dxa"/>
                  <w:tcBorders>
                    <w:top w:val="nil"/>
                    <w:left w:val="nil"/>
                    <w:bottom w:val="nil"/>
                    <w:right w:val="nil"/>
                  </w:tcBorders>
                </w:tcPr>
                <w:p w14:paraId="361824F2" w14:textId="39299BC9" w:rsidR="00FC6C78" w:rsidRPr="0078455A" w:rsidRDefault="00FC6C78" w:rsidP="00FC6C78">
                  <w:pPr>
                    <w:jc w:val="right"/>
                    <w:rPr>
                      <w:rFonts w:ascii="Arial" w:hAnsi="Arial" w:cs="Arial"/>
                    </w:rPr>
                  </w:pPr>
                  <w:r w:rsidRPr="0078455A">
                    <w:rPr>
                      <w:rFonts w:ascii="Arial" w:hAnsi="Arial" w:cs="Arial"/>
                    </w:rPr>
                    <w:t>8.</w:t>
                  </w:r>
                  <w:r w:rsidR="00E8291F" w:rsidRPr="0078455A">
                    <w:rPr>
                      <w:rFonts w:ascii="Arial" w:hAnsi="Arial" w:cs="Arial"/>
                    </w:rPr>
                    <w:t>1</w:t>
                  </w:r>
                  <w:r w:rsidRPr="0078455A">
                    <w:rPr>
                      <w:rFonts w:ascii="Arial" w:hAnsi="Arial" w:cs="Arial"/>
                    </w:rPr>
                    <w:t>p</w:t>
                  </w:r>
                </w:p>
              </w:tc>
              <w:tc>
                <w:tcPr>
                  <w:tcW w:w="1495" w:type="dxa"/>
                  <w:tcBorders>
                    <w:top w:val="nil"/>
                    <w:left w:val="nil"/>
                    <w:bottom w:val="nil"/>
                    <w:right w:val="nil"/>
                  </w:tcBorders>
                </w:tcPr>
                <w:p w14:paraId="574E229E" w14:textId="1C760106" w:rsidR="00FC6C78" w:rsidRPr="0078455A" w:rsidRDefault="00FC6C78" w:rsidP="00FC6C78">
                  <w:pPr>
                    <w:jc w:val="right"/>
                    <w:rPr>
                      <w:rFonts w:ascii="Arial" w:hAnsi="Arial" w:cs="Arial"/>
                    </w:rPr>
                  </w:pPr>
                  <w:r w:rsidRPr="0078455A">
                    <w:rPr>
                      <w:rFonts w:ascii="Arial" w:hAnsi="Arial" w:cs="Arial"/>
                    </w:rPr>
                    <w:t>9.6p</w:t>
                  </w:r>
                </w:p>
              </w:tc>
              <w:tc>
                <w:tcPr>
                  <w:tcW w:w="1439" w:type="dxa"/>
                  <w:tcBorders>
                    <w:top w:val="nil"/>
                    <w:left w:val="nil"/>
                    <w:bottom w:val="nil"/>
                    <w:right w:val="nil"/>
                  </w:tcBorders>
                </w:tcPr>
                <w:p w14:paraId="6B92E4E8" w14:textId="0C4A5280" w:rsidR="00FC6C78" w:rsidRPr="0078455A" w:rsidRDefault="00FC6C78" w:rsidP="00FC6C78">
                  <w:pPr>
                    <w:jc w:val="right"/>
                    <w:rPr>
                      <w:rFonts w:ascii="Arial" w:hAnsi="Arial" w:cs="Arial"/>
                    </w:rPr>
                  </w:pPr>
                  <w:r w:rsidRPr="0078455A">
                    <w:rPr>
                      <w:rFonts w:ascii="Arial" w:hAnsi="Arial" w:cs="Arial"/>
                    </w:rPr>
                    <w:t>(</w:t>
                  </w:r>
                  <w:r w:rsidR="00E8291F" w:rsidRPr="0078455A">
                    <w:rPr>
                      <w:rFonts w:ascii="Arial" w:hAnsi="Arial" w:cs="Arial"/>
                    </w:rPr>
                    <w:t>15.6</w:t>
                  </w:r>
                  <w:r w:rsidRPr="0078455A">
                    <w:rPr>
                      <w:rFonts w:ascii="Arial" w:hAnsi="Arial" w:cs="Arial"/>
                    </w:rPr>
                    <w:t>)%</w:t>
                  </w:r>
                </w:p>
              </w:tc>
              <w:tc>
                <w:tcPr>
                  <w:tcW w:w="1423" w:type="dxa"/>
                  <w:tcBorders>
                    <w:top w:val="nil"/>
                    <w:left w:val="nil"/>
                    <w:bottom w:val="nil"/>
                    <w:right w:val="nil"/>
                  </w:tcBorders>
                </w:tcPr>
                <w:p w14:paraId="7D648C7E" w14:textId="77777777" w:rsidR="00FC6C78" w:rsidRPr="0078455A" w:rsidRDefault="00FC6C78" w:rsidP="00FC6C78">
                  <w:pPr>
                    <w:jc w:val="right"/>
                    <w:rPr>
                      <w:rFonts w:ascii="Arial" w:hAnsi="Arial" w:cs="Arial"/>
                    </w:rPr>
                  </w:pPr>
                </w:p>
              </w:tc>
              <w:tc>
                <w:tcPr>
                  <w:tcW w:w="1142" w:type="dxa"/>
                  <w:tcBorders>
                    <w:top w:val="nil"/>
                    <w:left w:val="nil"/>
                    <w:bottom w:val="nil"/>
                    <w:right w:val="nil"/>
                  </w:tcBorders>
                </w:tcPr>
                <w:p w14:paraId="156EB37D" w14:textId="77777777" w:rsidR="00FC6C78" w:rsidRPr="007655ED" w:rsidRDefault="00FC6C78" w:rsidP="00FC6C78">
                  <w:pPr>
                    <w:jc w:val="right"/>
                    <w:rPr>
                      <w:rFonts w:ascii="Arial" w:hAnsi="Arial" w:cs="Arial"/>
                    </w:rPr>
                  </w:pPr>
                </w:p>
              </w:tc>
            </w:tr>
            <w:tr w:rsidR="00B46F5A" w:rsidRPr="0078455A" w14:paraId="5EAC1F11" w14:textId="77777777" w:rsidTr="007655ED">
              <w:trPr>
                <w:trHeight w:val="269"/>
              </w:trPr>
              <w:tc>
                <w:tcPr>
                  <w:tcW w:w="2579" w:type="dxa"/>
                  <w:tcBorders>
                    <w:top w:val="nil"/>
                    <w:left w:val="nil"/>
                    <w:bottom w:val="nil"/>
                    <w:right w:val="nil"/>
                  </w:tcBorders>
                </w:tcPr>
                <w:p w14:paraId="3FE126A2" w14:textId="211376CD" w:rsidR="00B46F5A" w:rsidRPr="0078455A" w:rsidRDefault="00DE68B4" w:rsidP="00B46F5A">
                  <w:pPr>
                    <w:jc w:val="left"/>
                    <w:rPr>
                      <w:rFonts w:ascii="Arial" w:hAnsi="Arial" w:cs="Arial"/>
                    </w:rPr>
                  </w:pPr>
                  <w:r>
                    <w:rPr>
                      <w:rFonts w:ascii="Arial" w:hAnsi="Arial" w:cs="Arial"/>
                    </w:rPr>
                    <w:t>Interim</w:t>
                  </w:r>
                  <w:r w:rsidR="00B46F5A" w:rsidRPr="0078455A">
                    <w:rPr>
                      <w:rFonts w:ascii="Arial" w:hAnsi="Arial" w:cs="Arial"/>
                    </w:rPr>
                    <w:t xml:space="preserve"> dividend</w:t>
                  </w:r>
                </w:p>
              </w:tc>
              <w:tc>
                <w:tcPr>
                  <w:tcW w:w="1337" w:type="dxa"/>
                  <w:tcBorders>
                    <w:top w:val="nil"/>
                    <w:left w:val="nil"/>
                    <w:bottom w:val="nil"/>
                    <w:right w:val="nil"/>
                  </w:tcBorders>
                </w:tcPr>
                <w:p w14:paraId="3B93F356" w14:textId="22603FCA" w:rsidR="00B46F5A" w:rsidRPr="0078455A" w:rsidRDefault="00B46F5A" w:rsidP="00B46F5A">
                  <w:pPr>
                    <w:jc w:val="right"/>
                    <w:rPr>
                      <w:rFonts w:ascii="Arial" w:hAnsi="Arial" w:cs="Arial"/>
                    </w:rPr>
                  </w:pPr>
                  <w:r w:rsidRPr="0078455A">
                    <w:rPr>
                      <w:rFonts w:ascii="Arial" w:hAnsi="Arial" w:cs="Arial"/>
                    </w:rPr>
                    <w:t>3.33p</w:t>
                  </w:r>
                </w:p>
              </w:tc>
              <w:tc>
                <w:tcPr>
                  <w:tcW w:w="1495" w:type="dxa"/>
                  <w:tcBorders>
                    <w:top w:val="nil"/>
                    <w:left w:val="nil"/>
                    <w:bottom w:val="nil"/>
                    <w:right w:val="nil"/>
                  </w:tcBorders>
                </w:tcPr>
                <w:p w14:paraId="35EB05F5" w14:textId="17EF1232" w:rsidR="00B46F5A" w:rsidRPr="0078455A" w:rsidRDefault="00B46F5A" w:rsidP="00B46F5A">
                  <w:pPr>
                    <w:jc w:val="right"/>
                    <w:rPr>
                      <w:rFonts w:ascii="Arial" w:hAnsi="Arial" w:cs="Arial"/>
                    </w:rPr>
                  </w:pPr>
                  <w:r w:rsidRPr="0078455A">
                    <w:rPr>
                      <w:rFonts w:ascii="Arial" w:hAnsi="Arial" w:cs="Arial"/>
                    </w:rPr>
                    <w:t>3.33p</w:t>
                  </w:r>
                </w:p>
              </w:tc>
              <w:tc>
                <w:tcPr>
                  <w:tcW w:w="1439" w:type="dxa"/>
                  <w:tcBorders>
                    <w:top w:val="nil"/>
                    <w:left w:val="nil"/>
                    <w:bottom w:val="nil"/>
                    <w:right w:val="nil"/>
                  </w:tcBorders>
                </w:tcPr>
                <w:p w14:paraId="14504812" w14:textId="3AE8111A" w:rsidR="00B46F5A" w:rsidRPr="0078455A" w:rsidRDefault="00B46F5A" w:rsidP="00B46F5A">
                  <w:pPr>
                    <w:jc w:val="right"/>
                    <w:rPr>
                      <w:rFonts w:ascii="Arial" w:hAnsi="Arial" w:cs="Arial"/>
                    </w:rPr>
                  </w:pPr>
                  <w:r w:rsidRPr="0078455A">
                    <w:rPr>
                      <w:rFonts w:ascii="Arial" w:hAnsi="Arial" w:cs="Arial"/>
                    </w:rPr>
                    <w:t>-</w:t>
                  </w:r>
                </w:p>
              </w:tc>
              <w:tc>
                <w:tcPr>
                  <w:tcW w:w="1423" w:type="dxa"/>
                  <w:tcBorders>
                    <w:top w:val="nil"/>
                    <w:left w:val="nil"/>
                    <w:bottom w:val="nil"/>
                    <w:right w:val="nil"/>
                  </w:tcBorders>
                </w:tcPr>
                <w:p w14:paraId="66E999A0" w14:textId="77777777" w:rsidR="00B46F5A" w:rsidRPr="0078455A" w:rsidRDefault="00B46F5A" w:rsidP="00B46F5A">
                  <w:pPr>
                    <w:jc w:val="right"/>
                    <w:rPr>
                      <w:rFonts w:ascii="Arial" w:hAnsi="Arial" w:cs="Arial"/>
                    </w:rPr>
                  </w:pPr>
                </w:p>
              </w:tc>
              <w:tc>
                <w:tcPr>
                  <w:tcW w:w="1142" w:type="dxa"/>
                  <w:tcBorders>
                    <w:top w:val="nil"/>
                    <w:left w:val="nil"/>
                    <w:bottom w:val="nil"/>
                    <w:right w:val="nil"/>
                  </w:tcBorders>
                </w:tcPr>
                <w:p w14:paraId="2AB78D15" w14:textId="77777777" w:rsidR="00B46F5A" w:rsidRPr="007655ED" w:rsidRDefault="00B46F5A" w:rsidP="00B46F5A">
                  <w:pPr>
                    <w:jc w:val="right"/>
                    <w:rPr>
                      <w:rFonts w:ascii="Arial" w:hAnsi="Arial" w:cs="Arial"/>
                    </w:rPr>
                  </w:pPr>
                </w:p>
              </w:tc>
            </w:tr>
            <w:tr w:rsidR="00B46F5A" w14:paraId="51BEBA43" w14:textId="77777777" w:rsidTr="007655ED">
              <w:trPr>
                <w:trHeight w:val="269"/>
              </w:trPr>
              <w:tc>
                <w:tcPr>
                  <w:tcW w:w="2579" w:type="dxa"/>
                  <w:tcBorders>
                    <w:top w:val="nil"/>
                    <w:left w:val="nil"/>
                    <w:bottom w:val="single" w:sz="4" w:space="0" w:color="auto"/>
                    <w:right w:val="nil"/>
                  </w:tcBorders>
                </w:tcPr>
                <w:p w14:paraId="0C30B11C" w14:textId="02C16A3F" w:rsidR="00B46F5A" w:rsidRPr="0078455A" w:rsidRDefault="00B46F5A" w:rsidP="00B46F5A">
                  <w:pPr>
                    <w:jc w:val="left"/>
                    <w:rPr>
                      <w:rFonts w:ascii="Arial" w:hAnsi="Arial" w:cs="Arial"/>
                    </w:rPr>
                  </w:pPr>
                  <w:r w:rsidRPr="0078455A">
                    <w:rPr>
                      <w:rFonts w:ascii="Arial" w:hAnsi="Arial" w:cs="Arial"/>
                    </w:rPr>
                    <w:t xml:space="preserve">Net </w:t>
                  </w:r>
                  <w:r w:rsidR="001F4ED6" w:rsidRPr="0078455A">
                    <w:rPr>
                      <w:rFonts w:ascii="Arial" w:hAnsi="Arial" w:cs="Arial"/>
                    </w:rPr>
                    <w:t>debt</w:t>
                  </w:r>
                  <w:r w:rsidR="000E3996">
                    <w:rPr>
                      <w:rFonts w:ascii="Arial" w:hAnsi="Arial" w:cs="Arial"/>
                    </w:rPr>
                    <w:t>*</w:t>
                  </w:r>
                  <w:r w:rsidR="00592DAA" w:rsidRPr="0078455A">
                    <w:rPr>
                      <w:rFonts w:ascii="Arial" w:hAnsi="Arial" w:cs="Arial"/>
                      <w:vertAlign w:val="superscript"/>
                    </w:rPr>
                    <w:t>(2)</w:t>
                  </w:r>
                </w:p>
              </w:tc>
              <w:tc>
                <w:tcPr>
                  <w:tcW w:w="1337" w:type="dxa"/>
                  <w:tcBorders>
                    <w:top w:val="nil"/>
                    <w:left w:val="nil"/>
                    <w:bottom w:val="single" w:sz="4" w:space="0" w:color="auto"/>
                    <w:right w:val="nil"/>
                  </w:tcBorders>
                </w:tcPr>
                <w:p w14:paraId="43074228" w14:textId="4A7DA3BE" w:rsidR="00B46F5A" w:rsidRPr="0078455A" w:rsidRDefault="00B46F5A" w:rsidP="00B46F5A">
                  <w:pPr>
                    <w:jc w:val="right"/>
                    <w:rPr>
                      <w:rFonts w:ascii="Arial" w:hAnsi="Arial" w:cs="Arial"/>
                    </w:rPr>
                  </w:pPr>
                  <w:r w:rsidRPr="0078455A">
                    <w:rPr>
                      <w:rFonts w:ascii="Arial" w:hAnsi="Arial" w:cs="Arial"/>
                    </w:rPr>
                    <w:t>£</w:t>
                  </w:r>
                  <w:r w:rsidR="00683498" w:rsidRPr="0078455A">
                    <w:rPr>
                      <w:rFonts w:ascii="Arial" w:hAnsi="Arial" w:cs="Arial"/>
                    </w:rPr>
                    <w:t>2</w:t>
                  </w:r>
                  <w:r w:rsidR="00BC69A4" w:rsidRPr="0078455A">
                    <w:rPr>
                      <w:rFonts w:ascii="Arial" w:hAnsi="Arial" w:cs="Arial"/>
                    </w:rPr>
                    <w:t>,</w:t>
                  </w:r>
                  <w:r w:rsidR="00E8291F" w:rsidRPr="0078455A">
                    <w:rPr>
                      <w:rFonts w:ascii="Arial" w:hAnsi="Arial" w:cs="Arial"/>
                    </w:rPr>
                    <w:t>3</w:t>
                  </w:r>
                  <w:r w:rsidR="00E07C68">
                    <w:rPr>
                      <w:rFonts w:ascii="Arial" w:hAnsi="Arial" w:cs="Arial"/>
                    </w:rPr>
                    <w:t>84</w:t>
                  </w:r>
                  <w:r w:rsidR="00E8291F" w:rsidRPr="0078455A">
                    <w:rPr>
                      <w:rFonts w:ascii="Arial" w:hAnsi="Arial" w:cs="Arial"/>
                    </w:rPr>
                    <w:t>m</w:t>
                  </w:r>
                </w:p>
              </w:tc>
              <w:tc>
                <w:tcPr>
                  <w:tcW w:w="1495" w:type="dxa"/>
                  <w:tcBorders>
                    <w:top w:val="nil"/>
                    <w:left w:val="nil"/>
                    <w:bottom w:val="single" w:sz="4" w:space="0" w:color="auto"/>
                    <w:right w:val="nil"/>
                  </w:tcBorders>
                </w:tcPr>
                <w:p w14:paraId="0881E136" w14:textId="27272878" w:rsidR="00B46F5A" w:rsidRPr="0078455A" w:rsidRDefault="00B46F5A" w:rsidP="00B46F5A">
                  <w:pPr>
                    <w:jc w:val="right"/>
                    <w:rPr>
                      <w:rFonts w:ascii="Arial" w:hAnsi="Arial" w:cs="Arial"/>
                    </w:rPr>
                  </w:pPr>
                  <w:r w:rsidRPr="0078455A">
                    <w:rPr>
                      <w:rFonts w:ascii="Arial" w:hAnsi="Arial" w:cs="Arial"/>
                    </w:rPr>
                    <w:t>£</w:t>
                  </w:r>
                  <w:r w:rsidR="009961BF" w:rsidRPr="0078455A">
                    <w:rPr>
                      <w:rFonts w:ascii="Arial" w:hAnsi="Arial" w:cs="Arial"/>
                    </w:rPr>
                    <w:t>2</w:t>
                  </w:r>
                  <w:r w:rsidR="00BC69A4" w:rsidRPr="0078455A">
                    <w:rPr>
                      <w:rFonts w:ascii="Arial" w:hAnsi="Arial" w:cs="Arial"/>
                    </w:rPr>
                    <w:t>,</w:t>
                  </w:r>
                  <w:r w:rsidR="00E8291F" w:rsidRPr="0078455A">
                    <w:rPr>
                      <w:rFonts w:ascii="Arial" w:hAnsi="Arial" w:cs="Arial"/>
                    </w:rPr>
                    <w:t>6</w:t>
                  </w:r>
                  <w:r w:rsidR="00E8291F" w:rsidRPr="007655ED">
                    <w:rPr>
                      <w:rFonts w:ascii="Arial" w:hAnsi="Arial" w:cs="Arial"/>
                    </w:rPr>
                    <w:t>61</w:t>
                  </w:r>
                  <w:r w:rsidR="00E8291F" w:rsidRPr="0078455A">
                    <w:rPr>
                      <w:rFonts w:ascii="Arial" w:hAnsi="Arial" w:cs="Arial"/>
                    </w:rPr>
                    <w:t>m</w:t>
                  </w:r>
                </w:p>
              </w:tc>
              <w:tc>
                <w:tcPr>
                  <w:tcW w:w="1439" w:type="dxa"/>
                  <w:tcBorders>
                    <w:top w:val="nil"/>
                    <w:left w:val="nil"/>
                    <w:bottom w:val="single" w:sz="4" w:space="0" w:color="auto"/>
                    <w:right w:val="nil"/>
                  </w:tcBorders>
                </w:tcPr>
                <w:p w14:paraId="79A97E93" w14:textId="0C8BE8BA" w:rsidR="00B46F5A" w:rsidRPr="00035841" w:rsidRDefault="00B46F5A" w:rsidP="00B46F5A">
                  <w:pPr>
                    <w:jc w:val="right"/>
                    <w:rPr>
                      <w:rFonts w:ascii="Arial" w:hAnsi="Arial" w:cs="Arial"/>
                    </w:rPr>
                  </w:pPr>
                  <w:r w:rsidRPr="006F1689">
                    <w:rPr>
                      <w:rFonts w:ascii="Arial" w:hAnsi="Arial" w:cs="Arial"/>
                    </w:rPr>
                    <w:t>n/a</w:t>
                  </w:r>
                </w:p>
              </w:tc>
              <w:tc>
                <w:tcPr>
                  <w:tcW w:w="1423" w:type="dxa"/>
                  <w:tcBorders>
                    <w:top w:val="nil"/>
                    <w:left w:val="nil"/>
                    <w:bottom w:val="single" w:sz="4" w:space="0" w:color="auto"/>
                    <w:right w:val="nil"/>
                  </w:tcBorders>
                </w:tcPr>
                <w:p w14:paraId="7669C2D0" w14:textId="77777777" w:rsidR="00B46F5A" w:rsidRPr="00413FF8" w:rsidRDefault="00B46F5A" w:rsidP="00B46F5A">
                  <w:pPr>
                    <w:jc w:val="right"/>
                    <w:rPr>
                      <w:rFonts w:ascii="Arial" w:hAnsi="Arial" w:cs="Arial"/>
                    </w:rPr>
                  </w:pPr>
                </w:p>
              </w:tc>
              <w:tc>
                <w:tcPr>
                  <w:tcW w:w="1142" w:type="dxa"/>
                  <w:tcBorders>
                    <w:top w:val="nil"/>
                    <w:left w:val="nil"/>
                    <w:bottom w:val="single" w:sz="4" w:space="0" w:color="auto"/>
                    <w:right w:val="nil"/>
                  </w:tcBorders>
                </w:tcPr>
                <w:p w14:paraId="526397AD" w14:textId="77777777" w:rsidR="00B46F5A" w:rsidRPr="007655ED" w:rsidRDefault="00B46F5A" w:rsidP="00B46F5A">
                  <w:pPr>
                    <w:jc w:val="right"/>
                    <w:rPr>
                      <w:rFonts w:ascii="Arial" w:hAnsi="Arial" w:cs="Arial"/>
                    </w:rPr>
                  </w:pPr>
                </w:p>
              </w:tc>
            </w:tr>
            <w:tr w:rsidR="007769BE" w14:paraId="1E681C34" w14:textId="77777777" w:rsidTr="001064D3">
              <w:trPr>
                <w:trHeight w:val="81"/>
              </w:trPr>
              <w:tc>
                <w:tcPr>
                  <w:tcW w:w="9415" w:type="dxa"/>
                  <w:gridSpan w:val="6"/>
                  <w:tcBorders>
                    <w:top w:val="single" w:sz="4" w:space="0" w:color="auto"/>
                    <w:left w:val="nil"/>
                    <w:bottom w:val="nil"/>
                    <w:right w:val="nil"/>
                  </w:tcBorders>
                </w:tcPr>
                <w:p w14:paraId="1CFC8431" w14:textId="77777777" w:rsidR="007769BE" w:rsidRPr="00925EFB" w:rsidRDefault="007769BE" w:rsidP="00456F9F">
                  <w:pPr>
                    <w:jc w:val="left"/>
                    <w:rPr>
                      <w:rFonts w:ascii="Arial" w:hAnsi="Arial" w:cs="Arial"/>
                      <w:i/>
                      <w:sz w:val="18"/>
                      <w:szCs w:val="18"/>
                    </w:rPr>
                  </w:pPr>
                </w:p>
              </w:tc>
            </w:tr>
          </w:tbl>
          <w:p w14:paraId="1B0EA68C" w14:textId="77777777" w:rsidR="007769BE" w:rsidRPr="00D570CA" w:rsidRDefault="007769BE" w:rsidP="00456F9F">
            <w:pPr>
              <w:jc w:val="left"/>
              <w:rPr>
                <w:rFonts w:ascii="Arial" w:hAnsi="Arial" w:cs="Arial"/>
                <w:b/>
                <w:bCs/>
                <w:sz w:val="24"/>
                <w:szCs w:val="24"/>
                <w:u w:val="single"/>
              </w:rPr>
            </w:pPr>
          </w:p>
        </w:tc>
      </w:tr>
    </w:tbl>
    <w:p w14:paraId="183466E2" w14:textId="77777777" w:rsidR="00CC74EB" w:rsidRDefault="00CC74EB" w:rsidP="006E55D8">
      <w:pPr>
        <w:jc w:val="left"/>
        <w:rPr>
          <w:rFonts w:ascii="Arial" w:hAnsi="Arial" w:cs="Arial"/>
          <w:b/>
          <w:bCs/>
        </w:rPr>
      </w:pPr>
    </w:p>
    <w:p w14:paraId="48BDEA83" w14:textId="77777777" w:rsidR="009622E8" w:rsidRPr="00AB52F3" w:rsidRDefault="009622E8" w:rsidP="009622E8">
      <w:pPr>
        <w:jc w:val="left"/>
        <w:rPr>
          <w:rFonts w:ascii="Arial" w:hAnsi="Arial" w:cs="Arial"/>
          <w:b/>
          <w:bCs/>
          <w:u w:val="single"/>
        </w:rPr>
      </w:pPr>
      <w:bookmarkStart w:id="1" w:name="_Hlk524465105"/>
      <w:r w:rsidRPr="00AB52F3">
        <w:rPr>
          <w:rFonts w:ascii="Arial" w:hAnsi="Arial" w:cs="Arial"/>
          <w:b/>
          <w:bCs/>
          <w:u w:val="single"/>
        </w:rPr>
        <w:t>H1 1</w:t>
      </w:r>
      <w:r>
        <w:rPr>
          <w:rFonts w:ascii="Arial" w:hAnsi="Arial" w:cs="Arial"/>
          <w:b/>
          <w:bCs/>
          <w:u w:val="single"/>
        </w:rPr>
        <w:t>9</w:t>
      </w:r>
      <w:r w:rsidRPr="00AB52F3">
        <w:rPr>
          <w:rFonts w:ascii="Arial" w:hAnsi="Arial" w:cs="Arial"/>
          <w:b/>
          <w:bCs/>
          <w:u w:val="single"/>
        </w:rPr>
        <w:t>/</w:t>
      </w:r>
      <w:r>
        <w:rPr>
          <w:rFonts w:ascii="Arial" w:hAnsi="Arial" w:cs="Arial"/>
          <w:b/>
          <w:bCs/>
          <w:u w:val="single"/>
        </w:rPr>
        <w:t>20</w:t>
      </w:r>
      <w:r w:rsidRPr="00AB52F3">
        <w:rPr>
          <w:rFonts w:ascii="Arial" w:hAnsi="Arial" w:cs="Arial"/>
          <w:b/>
          <w:bCs/>
          <w:u w:val="single"/>
        </w:rPr>
        <w:t xml:space="preserve"> Group results:</w:t>
      </w:r>
    </w:p>
    <w:p w14:paraId="574B3C19" w14:textId="4585AE10" w:rsidR="001B4DE6" w:rsidRDefault="001B494B" w:rsidP="001140BA">
      <w:pPr>
        <w:pStyle w:val="ListParagraph"/>
        <w:numPr>
          <w:ilvl w:val="0"/>
          <w:numId w:val="5"/>
        </w:numPr>
        <w:jc w:val="left"/>
        <w:rPr>
          <w:rFonts w:ascii="Arial" w:hAnsi="Arial" w:cs="Arial"/>
          <w:bCs/>
        </w:rPr>
      </w:pPr>
      <w:r w:rsidRPr="00AF307A">
        <w:rPr>
          <w:rFonts w:ascii="Arial" w:hAnsi="Arial" w:cs="Arial"/>
          <w:bCs/>
        </w:rPr>
        <w:t xml:space="preserve">Total sales </w:t>
      </w:r>
      <w:r w:rsidR="008B5AB2">
        <w:rPr>
          <w:rFonts w:ascii="Arial" w:hAnsi="Arial" w:cs="Arial"/>
          <w:bCs/>
        </w:rPr>
        <w:t>down 0.9</w:t>
      </w:r>
      <w:r w:rsidRPr="00AF307A">
        <w:rPr>
          <w:rFonts w:ascii="Arial" w:hAnsi="Arial" w:cs="Arial"/>
          <w:bCs/>
        </w:rPr>
        <w:t xml:space="preserve">% </w:t>
      </w:r>
      <w:r>
        <w:rPr>
          <w:rFonts w:ascii="Arial" w:hAnsi="Arial" w:cs="Arial"/>
          <w:bCs/>
        </w:rPr>
        <w:t>in</w:t>
      </w:r>
      <w:r w:rsidRPr="00AF307A">
        <w:rPr>
          <w:rFonts w:ascii="Arial" w:hAnsi="Arial" w:cs="Arial"/>
          <w:bCs/>
        </w:rPr>
        <w:t xml:space="preserve"> constant currency</w:t>
      </w:r>
    </w:p>
    <w:p w14:paraId="398FA1E2" w14:textId="75618013" w:rsidR="001B4DE6" w:rsidRPr="00103FB6" w:rsidRDefault="001B494B" w:rsidP="001140BA">
      <w:pPr>
        <w:pStyle w:val="ListParagraph"/>
        <w:numPr>
          <w:ilvl w:val="0"/>
          <w:numId w:val="5"/>
        </w:numPr>
        <w:jc w:val="left"/>
        <w:rPr>
          <w:rFonts w:ascii="Arial" w:hAnsi="Arial" w:cs="Arial"/>
          <w:bCs/>
        </w:rPr>
      </w:pPr>
      <w:r w:rsidRPr="00AF307A">
        <w:rPr>
          <w:rFonts w:ascii="Arial" w:hAnsi="Arial" w:cs="Arial"/>
          <w:bCs/>
        </w:rPr>
        <w:t xml:space="preserve">LFL down </w:t>
      </w:r>
      <w:r w:rsidR="008B5AB2">
        <w:rPr>
          <w:rFonts w:ascii="Arial" w:hAnsi="Arial" w:cs="Arial"/>
          <w:bCs/>
        </w:rPr>
        <w:t>1.8</w:t>
      </w:r>
      <w:r w:rsidRPr="00AF307A">
        <w:rPr>
          <w:rFonts w:ascii="Arial" w:hAnsi="Arial" w:cs="Arial"/>
          <w:bCs/>
        </w:rPr>
        <w:t xml:space="preserve">% </w:t>
      </w:r>
      <w:r>
        <w:rPr>
          <w:rFonts w:ascii="Arial" w:hAnsi="Arial" w:cs="Arial"/>
          <w:bCs/>
        </w:rPr>
        <w:t xml:space="preserve">with </w:t>
      </w:r>
      <w:r w:rsidRPr="00AF307A">
        <w:rPr>
          <w:rFonts w:ascii="Arial" w:hAnsi="Arial" w:cs="Arial"/>
          <w:bCs/>
        </w:rPr>
        <w:t xml:space="preserve">growth in Screwfix, Poland </w:t>
      </w:r>
      <w:r>
        <w:rPr>
          <w:rFonts w:ascii="Arial" w:hAnsi="Arial" w:cs="Arial"/>
          <w:bCs/>
        </w:rPr>
        <w:t xml:space="preserve">and Romania </w:t>
      </w:r>
      <w:r w:rsidRPr="00AF307A">
        <w:rPr>
          <w:rFonts w:ascii="Arial" w:hAnsi="Arial" w:cs="Arial"/>
          <w:bCs/>
        </w:rPr>
        <w:t xml:space="preserve">offset by B&amp;Q and </w:t>
      </w:r>
      <w:r w:rsidR="009622E8" w:rsidRPr="00A0671A">
        <w:rPr>
          <w:rFonts w:ascii="Arial" w:hAnsi="Arial" w:cs="Arial"/>
        </w:rPr>
        <w:t>France</w:t>
      </w:r>
    </w:p>
    <w:p w14:paraId="1C396563" w14:textId="387B61CC" w:rsidR="00662584" w:rsidRPr="00B56D28" w:rsidRDefault="00F8275F" w:rsidP="00B56D28">
      <w:pPr>
        <w:pStyle w:val="ListParagraph"/>
        <w:numPr>
          <w:ilvl w:val="0"/>
          <w:numId w:val="5"/>
        </w:numPr>
        <w:jc w:val="left"/>
        <w:rPr>
          <w:rFonts w:ascii="Arial" w:hAnsi="Arial" w:cs="Arial"/>
          <w:bCs/>
        </w:rPr>
      </w:pPr>
      <w:r w:rsidRPr="00B56D28">
        <w:rPr>
          <w:rFonts w:ascii="Arial" w:hAnsi="Arial" w:cs="Arial"/>
          <w:bCs/>
        </w:rPr>
        <w:t>Transformation activity continue</w:t>
      </w:r>
      <w:r w:rsidR="00FC6C78">
        <w:rPr>
          <w:rFonts w:ascii="Arial" w:hAnsi="Arial" w:cs="Arial"/>
          <w:bCs/>
        </w:rPr>
        <w:t>d</w:t>
      </w:r>
      <w:r w:rsidRPr="00B56D28">
        <w:rPr>
          <w:rFonts w:ascii="Arial" w:hAnsi="Arial" w:cs="Arial"/>
          <w:bCs/>
        </w:rPr>
        <w:t xml:space="preserve"> across the Group</w:t>
      </w:r>
      <w:r w:rsidR="00AD5764" w:rsidRPr="00B56D28">
        <w:rPr>
          <w:rFonts w:ascii="Arial" w:hAnsi="Arial" w:cs="Arial"/>
          <w:bCs/>
        </w:rPr>
        <w:t xml:space="preserve"> including </w:t>
      </w:r>
      <w:r w:rsidR="00662584" w:rsidRPr="00B56D28">
        <w:rPr>
          <w:rFonts w:ascii="Arial" w:hAnsi="Arial" w:cs="Arial"/>
          <w:bCs/>
        </w:rPr>
        <w:t>s</w:t>
      </w:r>
      <w:r w:rsidR="00662584" w:rsidRPr="00B56D28">
        <w:rPr>
          <w:rFonts w:ascii="Arial" w:hAnsi="Arial" w:cs="Arial"/>
        </w:rPr>
        <w:t>ignificant new range implementation</w:t>
      </w:r>
      <w:r w:rsidR="00AD5764" w:rsidRPr="00B56D28">
        <w:rPr>
          <w:rFonts w:ascii="Arial" w:hAnsi="Arial" w:cs="Arial"/>
        </w:rPr>
        <w:t xml:space="preserve"> </w:t>
      </w:r>
      <w:r w:rsidR="00740A52">
        <w:rPr>
          <w:rFonts w:ascii="Arial" w:hAnsi="Arial" w:cs="Arial"/>
        </w:rPr>
        <w:t>in H1</w:t>
      </w:r>
    </w:p>
    <w:p w14:paraId="162E5F7D" w14:textId="704ED2B0" w:rsidR="00103FB6" w:rsidRPr="00E67C94" w:rsidRDefault="001B03DA" w:rsidP="001140BA">
      <w:pPr>
        <w:pStyle w:val="ListParagraph"/>
        <w:numPr>
          <w:ilvl w:val="1"/>
          <w:numId w:val="5"/>
        </w:numPr>
        <w:jc w:val="left"/>
        <w:rPr>
          <w:rFonts w:ascii="Arial" w:hAnsi="Arial" w:cs="Arial"/>
          <w:bCs/>
        </w:rPr>
      </w:pPr>
      <w:r>
        <w:rPr>
          <w:rFonts w:ascii="Arial" w:hAnsi="Arial" w:cs="Arial"/>
        </w:rPr>
        <w:t xml:space="preserve">Unified </w:t>
      </w:r>
      <w:r w:rsidR="008C7241">
        <w:rPr>
          <w:rFonts w:ascii="Arial" w:hAnsi="Arial" w:cs="Arial"/>
        </w:rPr>
        <w:t xml:space="preserve">product (COGS) now </w:t>
      </w:r>
      <w:r w:rsidR="00E52E4E">
        <w:rPr>
          <w:rFonts w:ascii="Arial" w:hAnsi="Arial" w:cs="Arial"/>
        </w:rPr>
        <w:t>59</w:t>
      </w:r>
      <w:r>
        <w:rPr>
          <w:rFonts w:ascii="Arial" w:hAnsi="Arial" w:cs="Arial"/>
        </w:rPr>
        <w:t xml:space="preserve">% </w:t>
      </w:r>
      <w:r w:rsidR="00F8275F" w:rsidRPr="00662584">
        <w:rPr>
          <w:rFonts w:ascii="Arial" w:hAnsi="Arial" w:cs="Arial"/>
        </w:rPr>
        <w:t>(</w:t>
      </w:r>
      <w:r w:rsidR="0004561A">
        <w:rPr>
          <w:rFonts w:ascii="Arial" w:hAnsi="Arial" w:cs="Arial"/>
        </w:rPr>
        <w:t xml:space="preserve">H1 </w:t>
      </w:r>
      <w:r>
        <w:rPr>
          <w:rFonts w:ascii="Arial" w:hAnsi="Arial" w:cs="Arial"/>
        </w:rPr>
        <w:t xml:space="preserve">18/19: </w:t>
      </w:r>
      <w:r w:rsidR="00662584" w:rsidRPr="00662584">
        <w:rPr>
          <w:rFonts w:ascii="Arial" w:hAnsi="Arial" w:cs="Arial"/>
        </w:rPr>
        <w:t>42</w:t>
      </w:r>
      <w:r w:rsidR="00F8275F" w:rsidRPr="00662584">
        <w:rPr>
          <w:rFonts w:ascii="Arial" w:hAnsi="Arial" w:cs="Arial"/>
        </w:rPr>
        <w:t>%)</w:t>
      </w:r>
      <w:r w:rsidR="008C7241" w:rsidRPr="00662584">
        <w:rPr>
          <w:rFonts w:ascii="Arial" w:hAnsi="Arial" w:cs="Arial"/>
        </w:rPr>
        <w:t>;</w:t>
      </w:r>
      <w:r w:rsidR="00103FB6" w:rsidRPr="00E67C94">
        <w:rPr>
          <w:rFonts w:ascii="Arial" w:hAnsi="Arial" w:cs="Arial"/>
        </w:rPr>
        <w:t xml:space="preserve"> H1 </w:t>
      </w:r>
      <w:r>
        <w:rPr>
          <w:rFonts w:ascii="Arial" w:hAnsi="Arial" w:cs="Arial"/>
        </w:rPr>
        <w:t xml:space="preserve">unified </w:t>
      </w:r>
      <w:r w:rsidR="00103FB6" w:rsidRPr="00E67C94">
        <w:rPr>
          <w:rFonts w:ascii="Arial" w:hAnsi="Arial" w:cs="Arial"/>
        </w:rPr>
        <w:t xml:space="preserve">sales up </w:t>
      </w:r>
      <w:r w:rsidR="00E67C94" w:rsidRPr="00E67C94">
        <w:rPr>
          <w:rFonts w:ascii="Arial" w:hAnsi="Arial" w:cs="Arial"/>
        </w:rPr>
        <w:t>0.4%</w:t>
      </w:r>
    </w:p>
    <w:p w14:paraId="3CD84A32" w14:textId="4BB760DA" w:rsidR="00103FB6" w:rsidRPr="008B2557" w:rsidRDefault="00103FB6" w:rsidP="001140BA">
      <w:pPr>
        <w:pStyle w:val="ListParagraph"/>
        <w:numPr>
          <w:ilvl w:val="1"/>
          <w:numId w:val="5"/>
        </w:numPr>
        <w:jc w:val="left"/>
        <w:rPr>
          <w:rFonts w:ascii="Arial" w:hAnsi="Arial" w:cs="Arial"/>
          <w:bCs/>
        </w:rPr>
      </w:pPr>
      <w:r>
        <w:rPr>
          <w:rFonts w:ascii="Arial" w:hAnsi="Arial" w:cs="Arial"/>
        </w:rPr>
        <w:t>Digital sales</w:t>
      </w:r>
      <w:r w:rsidRPr="00103FB6">
        <w:rPr>
          <w:rFonts w:ascii="Arial" w:hAnsi="Arial" w:cs="Arial"/>
        </w:rPr>
        <w:t>*</w:t>
      </w:r>
      <w:r>
        <w:rPr>
          <w:rFonts w:ascii="Arial" w:hAnsi="Arial" w:cs="Arial"/>
        </w:rPr>
        <w:t xml:space="preserve"> </w:t>
      </w:r>
      <w:r w:rsidR="008C7241">
        <w:rPr>
          <w:rFonts w:ascii="Arial" w:hAnsi="Arial" w:cs="Arial"/>
        </w:rPr>
        <w:t>up 18%</w:t>
      </w:r>
      <w:r w:rsidR="00B45AC8">
        <w:rPr>
          <w:rFonts w:ascii="Arial" w:hAnsi="Arial" w:cs="Arial"/>
        </w:rPr>
        <w:t>;</w:t>
      </w:r>
      <w:r w:rsidRPr="00103FB6">
        <w:rPr>
          <w:rFonts w:ascii="Arial" w:hAnsi="Arial" w:cs="Arial"/>
        </w:rPr>
        <w:t xml:space="preserve"> now </w:t>
      </w:r>
      <w:r w:rsidRPr="008B5AB2">
        <w:rPr>
          <w:rFonts w:ascii="Arial" w:hAnsi="Arial" w:cs="Arial"/>
        </w:rPr>
        <w:t>7</w:t>
      </w:r>
      <w:r w:rsidRPr="00103FB6">
        <w:rPr>
          <w:rFonts w:ascii="Arial" w:hAnsi="Arial" w:cs="Arial"/>
        </w:rPr>
        <w:t xml:space="preserve">% of </w:t>
      </w:r>
      <w:r w:rsidR="008C7241">
        <w:rPr>
          <w:rFonts w:ascii="Arial" w:hAnsi="Arial" w:cs="Arial"/>
        </w:rPr>
        <w:t xml:space="preserve">total </w:t>
      </w:r>
      <w:r w:rsidRPr="00103FB6">
        <w:rPr>
          <w:rFonts w:ascii="Arial" w:hAnsi="Arial" w:cs="Arial"/>
        </w:rPr>
        <w:t>Group</w:t>
      </w:r>
      <w:r w:rsidR="008C7241">
        <w:rPr>
          <w:rFonts w:ascii="Arial" w:hAnsi="Arial" w:cs="Arial"/>
        </w:rPr>
        <w:t xml:space="preserve"> sales</w:t>
      </w:r>
      <w:r w:rsidRPr="00103FB6">
        <w:rPr>
          <w:rFonts w:ascii="Arial" w:hAnsi="Arial" w:cs="Arial"/>
        </w:rPr>
        <w:t xml:space="preserve"> (</w:t>
      </w:r>
      <w:r w:rsidR="00AF7A55">
        <w:rPr>
          <w:rFonts w:ascii="Arial" w:hAnsi="Arial" w:cs="Arial"/>
        </w:rPr>
        <w:t xml:space="preserve">H1 </w:t>
      </w:r>
      <w:r w:rsidR="00F4402F">
        <w:rPr>
          <w:rFonts w:ascii="Arial" w:hAnsi="Arial" w:cs="Arial"/>
        </w:rPr>
        <w:t xml:space="preserve">18/19: </w:t>
      </w:r>
      <w:r w:rsidRPr="00103FB6">
        <w:rPr>
          <w:rFonts w:ascii="Arial" w:hAnsi="Arial" w:cs="Arial"/>
        </w:rPr>
        <w:t>6%)</w:t>
      </w:r>
    </w:p>
    <w:p w14:paraId="34D1E981" w14:textId="0334161B" w:rsidR="00F4402F" w:rsidRDefault="009622E8" w:rsidP="002864EB">
      <w:pPr>
        <w:pStyle w:val="ListParagraph"/>
        <w:numPr>
          <w:ilvl w:val="0"/>
          <w:numId w:val="5"/>
        </w:numPr>
        <w:jc w:val="left"/>
        <w:rPr>
          <w:rFonts w:ascii="Arial" w:hAnsi="Arial" w:cs="Arial"/>
          <w:bCs/>
        </w:rPr>
      </w:pPr>
      <w:r w:rsidRPr="009E6791">
        <w:rPr>
          <w:rFonts w:ascii="Arial" w:hAnsi="Arial" w:cs="Arial"/>
          <w:bCs/>
        </w:rPr>
        <w:t xml:space="preserve">H1 Group gross margin </w:t>
      </w:r>
      <w:r w:rsidR="004D33FE">
        <w:rPr>
          <w:rFonts w:ascii="Arial" w:hAnsi="Arial" w:cs="Arial"/>
          <w:bCs/>
        </w:rPr>
        <w:t xml:space="preserve">% </w:t>
      </w:r>
      <w:r>
        <w:rPr>
          <w:rFonts w:ascii="Arial" w:hAnsi="Arial" w:cs="Arial"/>
          <w:bCs/>
        </w:rPr>
        <w:t xml:space="preserve">up </w:t>
      </w:r>
      <w:r w:rsidR="00781603">
        <w:rPr>
          <w:rFonts w:ascii="Arial" w:hAnsi="Arial" w:cs="Arial"/>
          <w:bCs/>
        </w:rPr>
        <w:t xml:space="preserve">60 </w:t>
      </w:r>
      <w:r w:rsidR="00644360">
        <w:rPr>
          <w:rFonts w:ascii="Arial" w:hAnsi="Arial" w:cs="Arial"/>
          <w:bCs/>
        </w:rPr>
        <w:t>basis points</w:t>
      </w:r>
      <w:r w:rsidR="005870A3">
        <w:rPr>
          <w:rFonts w:ascii="Arial" w:hAnsi="Arial" w:cs="Arial"/>
          <w:bCs/>
        </w:rPr>
        <w:t>,</w:t>
      </w:r>
      <w:r w:rsidR="009961BF">
        <w:rPr>
          <w:rFonts w:ascii="Arial" w:hAnsi="Arial" w:cs="Arial"/>
          <w:bCs/>
        </w:rPr>
        <w:t xml:space="preserve"> </w:t>
      </w:r>
      <w:r w:rsidR="00F4402F">
        <w:rPr>
          <w:rFonts w:ascii="Arial" w:hAnsi="Arial" w:cs="Arial"/>
          <w:bCs/>
        </w:rPr>
        <w:t xml:space="preserve">largely </w:t>
      </w:r>
      <w:r>
        <w:rPr>
          <w:rFonts w:ascii="Arial" w:hAnsi="Arial" w:cs="Arial"/>
          <w:bCs/>
        </w:rPr>
        <w:t xml:space="preserve">driven </w:t>
      </w:r>
      <w:r w:rsidR="001C1E3F">
        <w:rPr>
          <w:rFonts w:ascii="Arial" w:hAnsi="Arial" w:cs="Arial"/>
          <w:bCs/>
        </w:rPr>
        <w:t xml:space="preserve">by </w:t>
      </w:r>
      <w:r w:rsidR="00802EB6">
        <w:rPr>
          <w:rFonts w:ascii="Arial" w:hAnsi="Arial" w:cs="Arial"/>
          <w:bCs/>
        </w:rPr>
        <w:t>sourcing benefits</w:t>
      </w:r>
    </w:p>
    <w:p w14:paraId="52C11F2C" w14:textId="58A2B5CD" w:rsidR="00F4402F" w:rsidRPr="00A0671A" w:rsidRDefault="00F4402F" w:rsidP="00F4402F">
      <w:pPr>
        <w:pStyle w:val="ListParagraph"/>
        <w:numPr>
          <w:ilvl w:val="1"/>
          <w:numId w:val="5"/>
        </w:numPr>
        <w:jc w:val="left"/>
        <w:rPr>
          <w:rFonts w:ascii="Arial" w:hAnsi="Arial" w:cs="Arial"/>
          <w:bCs/>
        </w:rPr>
      </w:pPr>
      <w:r>
        <w:rPr>
          <w:rFonts w:ascii="Arial" w:hAnsi="Arial" w:cs="Arial"/>
          <w:bCs/>
        </w:rPr>
        <w:t>Unified sourcing benefits contributed 80</w:t>
      </w:r>
      <w:r w:rsidR="00224EA6">
        <w:rPr>
          <w:rFonts w:ascii="Arial" w:hAnsi="Arial" w:cs="Arial"/>
          <w:bCs/>
        </w:rPr>
        <w:t xml:space="preserve"> basis points </w:t>
      </w:r>
      <w:r>
        <w:rPr>
          <w:rFonts w:ascii="Arial" w:hAnsi="Arial" w:cs="Arial"/>
          <w:bCs/>
        </w:rPr>
        <w:t>to Group g</w:t>
      </w:r>
      <w:r w:rsidRPr="00103FB6">
        <w:rPr>
          <w:rFonts w:ascii="Arial" w:hAnsi="Arial" w:cs="Arial"/>
          <w:bCs/>
        </w:rPr>
        <w:t>ross margin</w:t>
      </w:r>
      <w:r w:rsidR="004D33FE">
        <w:rPr>
          <w:rFonts w:ascii="Arial" w:hAnsi="Arial" w:cs="Arial"/>
          <w:bCs/>
        </w:rPr>
        <w:t xml:space="preserve"> %</w:t>
      </w:r>
      <w:r>
        <w:rPr>
          <w:rFonts w:ascii="Arial" w:hAnsi="Arial" w:cs="Arial"/>
          <w:bCs/>
        </w:rPr>
        <w:t xml:space="preserve">, outweighing clearance impact of </w:t>
      </w:r>
      <w:r w:rsidR="005111B3">
        <w:rPr>
          <w:rFonts w:ascii="Arial" w:hAnsi="Arial" w:cs="Arial"/>
          <w:bCs/>
        </w:rPr>
        <w:t>-</w:t>
      </w:r>
      <w:r>
        <w:rPr>
          <w:rFonts w:ascii="Arial" w:hAnsi="Arial" w:cs="Arial"/>
          <w:bCs/>
        </w:rPr>
        <w:t>40</w:t>
      </w:r>
      <w:r w:rsidR="00224EA6">
        <w:rPr>
          <w:rFonts w:ascii="Arial" w:hAnsi="Arial" w:cs="Arial"/>
          <w:bCs/>
        </w:rPr>
        <w:t xml:space="preserve"> basis points</w:t>
      </w:r>
      <w:r w:rsidRPr="00103FB6">
        <w:rPr>
          <w:rFonts w:ascii="Arial" w:hAnsi="Arial" w:cs="Arial"/>
          <w:bCs/>
        </w:rPr>
        <w:t xml:space="preserve"> </w:t>
      </w:r>
    </w:p>
    <w:p w14:paraId="330D3F7C" w14:textId="3A03A70B" w:rsidR="009622E8" w:rsidRPr="002864EB" w:rsidRDefault="00F4402F" w:rsidP="00B56D28">
      <w:pPr>
        <w:pStyle w:val="ListParagraph"/>
        <w:numPr>
          <w:ilvl w:val="1"/>
          <w:numId w:val="5"/>
        </w:numPr>
        <w:jc w:val="left"/>
        <w:rPr>
          <w:rFonts w:ascii="Arial" w:hAnsi="Arial" w:cs="Arial"/>
          <w:bCs/>
        </w:rPr>
      </w:pPr>
      <w:r>
        <w:rPr>
          <w:rFonts w:ascii="Arial" w:hAnsi="Arial" w:cs="Arial"/>
          <w:bCs/>
        </w:rPr>
        <w:t xml:space="preserve">Gross margin </w:t>
      </w:r>
      <w:r w:rsidR="00FC6C78">
        <w:rPr>
          <w:rFonts w:ascii="Arial" w:hAnsi="Arial" w:cs="Arial"/>
          <w:bCs/>
        </w:rPr>
        <w:t xml:space="preserve">% </w:t>
      </w:r>
      <w:r>
        <w:rPr>
          <w:rFonts w:ascii="Arial" w:hAnsi="Arial" w:cs="Arial"/>
          <w:bCs/>
        </w:rPr>
        <w:t xml:space="preserve">for </w:t>
      </w:r>
      <w:r w:rsidR="008B5AB2" w:rsidRPr="002864EB">
        <w:rPr>
          <w:rFonts w:ascii="Arial" w:hAnsi="Arial" w:cs="Arial"/>
          <w:bCs/>
        </w:rPr>
        <w:t>UK</w:t>
      </w:r>
      <w:r w:rsidR="001B494B" w:rsidRPr="002864EB">
        <w:rPr>
          <w:rFonts w:ascii="Arial" w:hAnsi="Arial" w:cs="Arial"/>
          <w:bCs/>
        </w:rPr>
        <w:t xml:space="preserve"> and Brico Dépôt France</w:t>
      </w:r>
      <w:r w:rsidR="00802EB6" w:rsidRPr="002864EB">
        <w:rPr>
          <w:rFonts w:ascii="Arial" w:hAnsi="Arial" w:cs="Arial"/>
          <w:bCs/>
        </w:rPr>
        <w:t xml:space="preserve"> up</w:t>
      </w:r>
      <w:r w:rsidR="009622E8" w:rsidRPr="002864EB">
        <w:rPr>
          <w:rFonts w:ascii="Arial" w:hAnsi="Arial" w:cs="Arial"/>
          <w:bCs/>
        </w:rPr>
        <w:t xml:space="preserve"> </w:t>
      </w:r>
    </w:p>
    <w:p w14:paraId="1541B769" w14:textId="75256DE9" w:rsidR="002F32F4" w:rsidRDefault="00FC6C78" w:rsidP="001140BA">
      <w:pPr>
        <w:pStyle w:val="ListParagraph"/>
        <w:numPr>
          <w:ilvl w:val="0"/>
          <w:numId w:val="5"/>
        </w:numPr>
        <w:jc w:val="left"/>
        <w:rPr>
          <w:rFonts w:ascii="Arial" w:hAnsi="Arial" w:cs="Arial"/>
          <w:bCs/>
        </w:rPr>
      </w:pPr>
      <w:r w:rsidRPr="00957FC4">
        <w:rPr>
          <w:rFonts w:ascii="Arial" w:hAnsi="Arial" w:cs="Arial"/>
          <w:bCs/>
        </w:rPr>
        <w:t>Retail profit down 4.</w:t>
      </w:r>
      <w:r w:rsidR="00B45AC8">
        <w:rPr>
          <w:rFonts w:ascii="Arial" w:hAnsi="Arial" w:cs="Arial"/>
          <w:bCs/>
        </w:rPr>
        <w:t>4</w:t>
      </w:r>
      <w:r w:rsidRPr="00957FC4">
        <w:rPr>
          <w:rFonts w:ascii="Arial" w:hAnsi="Arial" w:cs="Arial"/>
          <w:bCs/>
        </w:rPr>
        <w:t>% in constant currency</w:t>
      </w:r>
      <w:r w:rsidR="00B45AC8">
        <w:rPr>
          <w:rFonts w:ascii="Arial" w:hAnsi="Arial" w:cs="Arial"/>
          <w:bCs/>
        </w:rPr>
        <w:t>,</w:t>
      </w:r>
      <w:r w:rsidR="002F32F4">
        <w:rPr>
          <w:rFonts w:ascii="Arial" w:hAnsi="Arial" w:cs="Arial"/>
          <w:bCs/>
        </w:rPr>
        <w:t xml:space="preserve"> largely driven by France</w:t>
      </w:r>
    </w:p>
    <w:p w14:paraId="6018BCB1" w14:textId="02F9DDF3" w:rsidR="007655ED" w:rsidRDefault="002F32F4" w:rsidP="001140BA">
      <w:pPr>
        <w:pStyle w:val="ListParagraph"/>
        <w:numPr>
          <w:ilvl w:val="0"/>
          <w:numId w:val="5"/>
        </w:numPr>
        <w:jc w:val="left"/>
        <w:rPr>
          <w:rFonts w:ascii="Arial" w:hAnsi="Arial"/>
        </w:rPr>
      </w:pPr>
      <w:r>
        <w:rPr>
          <w:rFonts w:ascii="Arial" w:hAnsi="Arial" w:cs="Arial"/>
          <w:bCs/>
        </w:rPr>
        <w:t>A</w:t>
      </w:r>
      <w:bookmarkStart w:id="2" w:name="_Hlk524456632"/>
      <w:r w:rsidR="005D64AE">
        <w:rPr>
          <w:rFonts w:ascii="Arial" w:hAnsi="Arial"/>
        </w:rPr>
        <w:t xml:space="preserve">djusted </w:t>
      </w:r>
      <w:r w:rsidR="007655ED">
        <w:rPr>
          <w:rFonts w:ascii="Arial" w:hAnsi="Arial"/>
        </w:rPr>
        <w:t xml:space="preserve">pre-tax profit </w:t>
      </w:r>
      <w:r w:rsidR="005D64AE">
        <w:rPr>
          <w:rFonts w:ascii="Arial" w:hAnsi="Arial"/>
        </w:rPr>
        <w:t xml:space="preserve">up </w:t>
      </w:r>
      <w:r w:rsidR="00CF639E">
        <w:rPr>
          <w:rFonts w:ascii="Arial" w:hAnsi="Arial"/>
        </w:rPr>
        <w:t>3.7</w:t>
      </w:r>
      <w:r w:rsidR="005D64AE">
        <w:rPr>
          <w:rFonts w:ascii="Arial" w:hAnsi="Arial"/>
        </w:rPr>
        <w:t>%</w:t>
      </w:r>
      <w:r w:rsidR="00B45AC8">
        <w:rPr>
          <w:rFonts w:ascii="Arial" w:hAnsi="Arial"/>
        </w:rPr>
        <w:t>,</w:t>
      </w:r>
      <w:r w:rsidR="005D64AE">
        <w:rPr>
          <w:rFonts w:ascii="Arial" w:hAnsi="Arial"/>
        </w:rPr>
        <w:t xml:space="preserve"> reflecting lower transformation </w:t>
      </w:r>
      <w:r w:rsidR="00565DA4">
        <w:rPr>
          <w:rFonts w:ascii="Arial" w:hAnsi="Arial"/>
        </w:rPr>
        <w:t xml:space="preserve">P&amp;L </w:t>
      </w:r>
      <w:r w:rsidR="005D64AE">
        <w:rPr>
          <w:rFonts w:ascii="Arial" w:hAnsi="Arial"/>
        </w:rPr>
        <w:t>costs</w:t>
      </w:r>
      <w:r w:rsidR="00565DA4">
        <w:rPr>
          <w:rFonts w:ascii="Arial" w:hAnsi="Arial"/>
        </w:rPr>
        <w:t>*</w:t>
      </w:r>
    </w:p>
    <w:p w14:paraId="335CE4CA" w14:textId="0A748192" w:rsidR="005D64AE" w:rsidRPr="005D64AE" w:rsidRDefault="007655ED" w:rsidP="001140BA">
      <w:pPr>
        <w:pStyle w:val="ListParagraph"/>
        <w:numPr>
          <w:ilvl w:val="0"/>
          <w:numId w:val="5"/>
        </w:numPr>
        <w:jc w:val="left"/>
        <w:rPr>
          <w:rFonts w:ascii="Arial" w:hAnsi="Arial"/>
        </w:rPr>
      </w:pPr>
      <w:r>
        <w:rPr>
          <w:rFonts w:ascii="Arial" w:hAnsi="Arial"/>
        </w:rPr>
        <w:t>S</w:t>
      </w:r>
      <w:r w:rsidR="003C0CFF">
        <w:rPr>
          <w:rFonts w:ascii="Arial" w:hAnsi="Arial"/>
        </w:rPr>
        <w:t>tatutory pre-tax profit down 12.5%</w:t>
      </w:r>
      <w:r w:rsidR="00B45AC8">
        <w:rPr>
          <w:rFonts w:ascii="Arial" w:hAnsi="Arial"/>
        </w:rPr>
        <w:t xml:space="preserve">, </w:t>
      </w:r>
      <w:r w:rsidR="00F807D8">
        <w:rPr>
          <w:rFonts w:ascii="Arial" w:hAnsi="Arial"/>
        </w:rPr>
        <w:t xml:space="preserve">after </w:t>
      </w:r>
      <w:r w:rsidR="00B45AC8">
        <w:rPr>
          <w:rFonts w:ascii="Arial" w:hAnsi="Arial"/>
        </w:rPr>
        <w:t>exceptional items</w:t>
      </w:r>
      <w:r w:rsidR="00565DA4">
        <w:rPr>
          <w:rFonts w:ascii="Arial" w:hAnsi="Arial"/>
        </w:rPr>
        <w:t>*</w:t>
      </w:r>
    </w:p>
    <w:p w14:paraId="40DCA576" w14:textId="674A6E03" w:rsidR="00F4402F" w:rsidRPr="00F4402F" w:rsidRDefault="009622E8" w:rsidP="001140BA">
      <w:pPr>
        <w:pStyle w:val="ListParagraph"/>
        <w:numPr>
          <w:ilvl w:val="0"/>
          <w:numId w:val="5"/>
        </w:numPr>
        <w:jc w:val="left"/>
        <w:rPr>
          <w:rFonts w:ascii="Arial" w:hAnsi="Arial"/>
        </w:rPr>
      </w:pPr>
      <w:bookmarkStart w:id="3" w:name="_Hlk17919536"/>
      <w:r w:rsidRPr="00F52385">
        <w:rPr>
          <w:rFonts w:ascii="Arial" w:hAnsi="Arial" w:cs="Arial"/>
          <w:bCs/>
        </w:rPr>
        <w:t xml:space="preserve">Balance sheet remains </w:t>
      </w:r>
      <w:r w:rsidRPr="00507DB4">
        <w:rPr>
          <w:rFonts w:ascii="Arial" w:hAnsi="Arial" w:cs="Arial"/>
          <w:bCs/>
        </w:rPr>
        <w:t>strong</w:t>
      </w:r>
      <w:r w:rsidR="00CB5EFA">
        <w:rPr>
          <w:rFonts w:ascii="Arial" w:hAnsi="Arial" w:cs="Arial"/>
          <w:bCs/>
        </w:rPr>
        <w:t xml:space="preserve"> </w:t>
      </w:r>
    </w:p>
    <w:p w14:paraId="773D7D1E" w14:textId="5E7D9214" w:rsidR="002B69FC" w:rsidRPr="002B69FC" w:rsidRDefault="00F4402F" w:rsidP="00B56D28">
      <w:pPr>
        <w:pStyle w:val="ListParagraph"/>
        <w:numPr>
          <w:ilvl w:val="1"/>
          <w:numId w:val="5"/>
        </w:numPr>
        <w:jc w:val="left"/>
        <w:rPr>
          <w:rFonts w:ascii="Arial" w:hAnsi="Arial"/>
        </w:rPr>
      </w:pPr>
      <w:r>
        <w:rPr>
          <w:rFonts w:ascii="Arial" w:hAnsi="Arial" w:cs="Arial"/>
          <w:bCs/>
        </w:rPr>
        <w:t>N</w:t>
      </w:r>
      <w:r w:rsidR="00520C0E">
        <w:rPr>
          <w:rFonts w:ascii="Arial" w:hAnsi="Arial" w:cs="Arial"/>
          <w:bCs/>
        </w:rPr>
        <w:t>et debt (post</w:t>
      </w:r>
      <w:r>
        <w:rPr>
          <w:rFonts w:ascii="Arial" w:hAnsi="Arial" w:cs="Arial"/>
          <w:bCs/>
        </w:rPr>
        <w:t>-</w:t>
      </w:r>
      <w:r w:rsidR="00520C0E">
        <w:rPr>
          <w:rFonts w:ascii="Arial" w:hAnsi="Arial" w:cs="Arial"/>
          <w:bCs/>
        </w:rPr>
        <w:t>IFRS</w:t>
      </w:r>
      <w:r>
        <w:rPr>
          <w:rFonts w:ascii="Arial" w:hAnsi="Arial" w:cs="Arial"/>
          <w:bCs/>
        </w:rPr>
        <w:t xml:space="preserve"> </w:t>
      </w:r>
      <w:r w:rsidR="00520C0E">
        <w:rPr>
          <w:rFonts w:ascii="Arial" w:hAnsi="Arial" w:cs="Arial"/>
          <w:bCs/>
        </w:rPr>
        <w:t>16) reduced by £</w:t>
      </w:r>
      <w:r w:rsidR="00CF639E">
        <w:rPr>
          <w:rFonts w:ascii="Arial" w:hAnsi="Arial" w:cs="Arial"/>
          <w:bCs/>
        </w:rPr>
        <w:t>1</w:t>
      </w:r>
      <w:r w:rsidR="00A7055A">
        <w:rPr>
          <w:rFonts w:ascii="Arial" w:hAnsi="Arial" w:cs="Arial"/>
          <w:bCs/>
        </w:rPr>
        <w:t>58</w:t>
      </w:r>
      <w:r w:rsidR="00CF639E">
        <w:rPr>
          <w:rFonts w:ascii="Arial" w:hAnsi="Arial" w:cs="Arial"/>
          <w:bCs/>
        </w:rPr>
        <w:t xml:space="preserve">m </w:t>
      </w:r>
      <w:r w:rsidR="00520C0E">
        <w:rPr>
          <w:rFonts w:ascii="Arial" w:hAnsi="Arial" w:cs="Arial"/>
          <w:bCs/>
        </w:rPr>
        <w:t>since year</w:t>
      </w:r>
      <w:r w:rsidR="00D43CEA">
        <w:rPr>
          <w:rFonts w:ascii="Arial" w:hAnsi="Arial" w:cs="Arial"/>
          <w:bCs/>
        </w:rPr>
        <w:t xml:space="preserve"> </w:t>
      </w:r>
      <w:r w:rsidR="00520C0E">
        <w:rPr>
          <w:rFonts w:ascii="Arial" w:hAnsi="Arial" w:cs="Arial"/>
          <w:bCs/>
        </w:rPr>
        <w:t>end</w:t>
      </w:r>
    </w:p>
    <w:p w14:paraId="0CF5EC13" w14:textId="329B7D94" w:rsidR="002B69FC" w:rsidRPr="00A7055A" w:rsidRDefault="002B69FC" w:rsidP="002B69FC">
      <w:pPr>
        <w:pStyle w:val="ListParagraph"/>
        <w:numPr>
          <w:ilvl w:val="1"/>
          <w:numId w:val="5"/>
        </w:numPr>
        <w:jc w:val="left"/>
        <w:rPr>
          <w:rFonts w:ascii="Arial" w:hAnsi="Arial"/>
        </w:rPr>
      </w:pPr>
      <w:r>
        <w:rPr>
          <w:rFonts w:ascii="Arial" w:hAnsi="Arial" w:cs="Arial"/>
          <w:bCs/>
        </w:rPr>
        <w:t xml:space="preserve">Net debt </w:t>
      </w:r>
      <w:r w:rsidR="0080289A">
        <w:rPr>
          <w:rFonts w:ascii="Arial" w:hAnsi="Arial" w:cs="Arial"/>
          <w:bCs/>
        </w:rPr>
        <w:t xml:space="preserve">(post-IFRS 16) </w:t>
      </w:r>
      <w:r>
        <w:rPr>
          <w:rFonts w:ascii="Arial" w:hAnsi="Arial" w:cs="Arial"/>
          <w:bCs/>
        </w:rPr>
        <w:t>to last twelve months’ EBITDA</w:t>
      </w:r>
      <w:r w:rsidR="00565DA4">
        <w:rPr>
          <w:rFonts w:ascii="Arial" w:hAnsi="Arial" w:cs="Arial"/>
          <w:bCs/>
        </w:rPr>
        <w:t>*</w:t>
      </w:r>
      <w:r>
        <w:rPr>
          <w:rFonts w:ascii="Arial" w:hAnsi="Arial" w:cs="Arial"/>
          <w:bCs/>
        </w:rPr>
        <w:t xml:space="preserve"> multiple of 1.8 times</w:t>
      </w:r>
    </w:p>
    <w:bookmarkEnd w:id="3"/>
    <w:bookmarkEnd w:id="2"/>
    <w:p w14:paraId="4203A43E" w14:textId="77777777" w:rsidR="009622E8" w:rsidRPr="008876D4" w:rsidRDefault="009622E8" w:rsidP="009622E8">
      <w:pPr>
        <w:rPr>
          <w:rFonts w:ascii="Arial" w:hAnsi="Arial" w:cs="Arial"/>
          <w:b/>
          <w:color w:val="FF0000"/>
        </w:rPr>
      </w:pPr>
    </w:p>
    <w:p w14:paraId="44D204AE" w14:textId="53A1F014" w:rsidR="00CC74EB" w:rsidRPr="00AB52F3" w:rsidRDefault="00E67C94" w:rsidP="00CC74EB">
      <w:pPr>
        <w:jc w:val="left"/>
        <w:rPr>
          <w:rFonts w:ascii="Arial" w:hAnsi="Arial" w:cs="Arial"/>
          <w:b/>
          <w:bCs/>
          <w:u w:val="single"/>
        </w:rPr>
      </w:pPr>
      <w:bookmarkStart w:id="4" w:name="_Hlk524455500"/>
      <w:bookmarkEnd w:id="1"/>
      <w:r>
        <w:rPr>
          <w:rFonts w:ascii="Arial" w:hAnsi="Arial" w:cs="Arial"/>
          <w:b/>
          <w:bCs/>
          <w:u w:val="single"/>
        </w:rPr>
        <w:t xml:space="preserve">Outlook for </w:t>
      </w:r>
      <w:r w:rsidR="004F69CC" w:rsidRPr="00AB52F3">
        <w:rPr>
          <w:rFonts w:ascii="Arial" w:hAnsi="Arial" w:cs="Arial"/>
          <w:b/>
          <w:bCs/>
          <w:u w:val="single"/>
        </w:rPr>
        <w:t>FY 1</w:t>
      </w:r>
      <w:r w:rsidR="00B46F5A">
        <w:rPr>
          <w:rFonts w:ascii="Arial" w:hAnsi="Arial" w:cs="Arial"/>
          <w:b/>
          <w:bCs/>
          <w:u w:val="single"/>
        </w:rPr>
        <w:t>9</w:t>
      </w:r>
      <w:r w:rsidR="004F69CC" w:rsidRPr="00AB52F3">
        <w:rPr>
          <w:rFonts w:ascii="Arial" w:hAnsi="Arial" w:cs="Arial"/>
          <w:b/>
          <w:bCs/>
          <w:u w:val="single"/>
        </w:rPr>
        <w:t>/</w:t>
      </w:r>
      <w:r w:rsidR="00B46F5A">
        <w:rPr>
          <w:rFonts w:ascii="Arial" w:hAnsi="Arial" w:cs="Arial"/>
          <w:b/>
          <w:bCs/>
          <w:u w:val="single"/>
        </w:rPr>
        <w:t>20</w:t>
      </w:r>
      <w:r>
        <w:rPr>
          <w:rFonts w:ascii="Arial" w:hAnsi="Arial" w:cs="Arial"/>
          <w:b/>
          <w:bCs/>
          <w:u w:val="single"/>
        </w:rPr>
        <w:t>:</w:t>
      </w:r>
    </w:p>
    <w:bookmarkEnd w:id="4"/>
    <w:p w14:paraId="6FA9AA11" w14:textId="3BD29938" w:rsidR="001B494B" w:rsidRDefault="00D67A98" w:rsidP="001140BA">
      <w:pPr>
        <w:pStyle w:val="ListParagraph"/>
        <w:numPr>
          <w:ilvl w:val="0"/>
          <w:numId w:val="5"/>
        </w:numPr>
        <w:jc w:val="left"/>
        <w:rPr>
          <w:rFonts w:ascii="Arial" w:hAnsi="Arial" w:cs="Arial"/>
          <w:bCs/>
        </w:rPr>
      </w:pPr>
      <w:r>
        <w:rPr>
          <w:rFonts w:ascii="Arial" w:hAnsi="Arial" w:cs="Arial"/>
          <w:bCs/>
        </w:rPr>
        <w:t xml:space="preserve">Focused on </w:t>
      </w:r>
      <w:r w:rsidR="00845FF6">
        <w:rPr>
          <w:rFonts w:ascii="Arial" w:hAnsi="Arial" w:cs="Arial"/>
          <w:bCs/>
        </w:rPr>
        <w:t xml:space="preserve">improving execution and </w:t>
      </w:r>
      <w:r w:rsidR="00750FCF">
        <w:rPr>
          <w:rFonts w:ascii="Arial" w:hAnsi="Arial" w:cs="Arial"/>
          <w:bCs/>
        </w:rPr>
        <w:t xml:space="preserve">delivering priorities </w:t>
      </w:r>
      <w:r w:rsidR="004B5353">
        <w:rPr>
          <w:rFonts w:ascii="Arial" w:hAnsi="Arial" w:cs="Arial"/>
          <w:bCs/>
        </w:rPr>
        <w:t>for the year,</w:t>
      </w:r>
      <w:r w:rsidR="00750FCF">
        <w:rPr>
          <w:rFonts w:ascii="Arial" w:hAnsi="Arial" w:cs="Arial"/>
          <w:bCs/>
        </w:rPr>
        <w:t xml:space="preserve"> including </w:t>
      </w:r>
      <w:r w:rsidR="003C27CF">
        <w:rPr>
          <w:rFonts w:ascii="Arial" w:hAnsi="Arial" w:cs="Arial"/>
          <w:bCs/>
        </w:rPr>
        <w:t xml:space="preserve">the </w:t>
      </w:r>
      <w:r w:rsidR="00750FCF">
        <w:rPr>
          <w:rFonts w:ascii="Arial" w:hAnsi="Arial" w:cs="Arial"/>
          <w:bCs/>
        </w:rPr>
        <w:t xml:space="preserve">launch of </w:t>
      </w:r>
      <w:r w:rsidR="009C759E">
        <w:rPr>
          <w:rFonts w:ascii="Arial" w:hAnsi="Arial" w:cs="Arial"/>
          <w:bCs/>
        </w:rPr>
        <w:t xml:space="preserve">key </w:t>
      </w:r>
      <w:r>
        <w:rPr>
          <w:rFonts w:ascii="Arial" w:hAnsi="Arial" w:cs="Arial"/>
          <w:bCs/>
        </w:rPr>
        <w:t xml:space="preserve">new </w:t>
      </w:r>
      <w:r w:rsidR="0080733A">
        <w:rPr>
          <w:rFonts w:ascii="Arial" w:hAnsi="Arial" w:cs="Arial"/>
          <w:bCs/>
        </w:rPr>
        <w:t xml:space="preserve">and differentiated </w:t>
      </w:r>
      <w:r>
        <w:rPr>
          <w:rFonts w:ascii="Arial" w:hAnsi="Arial" w:cs="Arial"/>
          <w:bCs/>
        </w:rPr>
        <w:t>ranges (e.g. B&amp;Q kitchens</w:t>
      </w:r>
      <w:r w:rsidR="002864EB">
        <w:rPr>
          <w:rFonts w:ascii="Arial" w:hAnsi="Arial" w:cs="Arial"/>
          <w:bCs/>
        </w:rPr>
        <w:t xml:space="preserve"> in H2</w:t>
      </w:r>
      <w:r w:rsidR="009C759E">
        <w:rPr>
          <w:rFonts w:ascii="Arial" w:hAnsi="Arial" w:cs="Arial"/>
          <w:bCs/>
        </w:rPr>
        <w:t xml:space="preserve"> 19/20</w:t>
      </w:r>
      <w:r>
        <w:rPr>
          <w:rFonts w:ascii="Arial" w:hAnsi="Arial" w:cs="Arial"/>
          <w:bCs/>
        </w:rPr>
        <w:t>)</w:t>
      </w:r>
      <w:r w:rsidR="00750FCF">
        <w:rPr>
          <w:rFonts w:ascii="Arial" w:hAnsi="Arial" w:cs="Arial"/>
          <w:bCs/>
        </w:rPr>
        <w:t xml:space="preserve"> and</w:t>
      </w:r>
      <w:r>
        <w:rPr>
          <w:rFonts w:ascii="Arial" w:hAnsi="Arial" w:cs="Arial"/>
          <w:bCs/>
        </w:rPr>
        <w:t xml:space="preserve"> </w:t>
      </w:r>
      <w:r w:rsidR="00ED5A3E">
        <w:rPr>
          <w:rFonts w:ascii="Arial" w:hAnsi="Arial" w:cs="Arial"/>
          <w:bCs/>
        </w:rPr>
        <w:t xml:space="preserve">optimising </w:t>
      </w:r>
      <w:r w:rsidR="003C27CF">
        <w:rPr>
          <w:rFonts w:ascii="Arial" w:hAnsi="Arial" w:cs="Arial"/>
          <w:bCs/>
        </w:rPr>
        <w:t xml:space="preserve">the </w:t>
      </w:r>
      <w:r w:rsidR="00750FCF" w:rsidRPr="00750FCF">
        <w:rPr>
          <w:rFonts w:ascii="Arial" w:hAnsi="Arial" w:cs="Arial"/>
          <w:bCs/>
        </w:rPr>
        <w:t xml:space="preserve">implementation of key transformation </w:t>
      </w:r>
      <w:r w:rsidR="009C759E">
        <w:rPr>
          <w:rFonts w:ascii="Arial" w:hAnsi="Arial" w:cs="Arial"/>
          <w:bCs/>
        </w:rPr>
        <w:t>enablers</w:t>
      </w:r>
    </w:p>
    <w:p w14:paraId="78A7F80D" w14:textId="5EE3FB7D" w:rsidR="009C759E" w:rsidRPr="009C759E" w:rsidRDefault="009C759E" w:rsidP="001140BA">
      <w:pPr>
        <w:pStyle w:val="ListParagraph"/>
        <w:numPr>
          <w:ilvl w:val="0"/>
          <w:numId w:val="18"/>
        </w:numPr>
        <w:jc w:val="left"/>
        <w:rPr>
          <w:rFonts w:ascii="Arial" w:hAnsi="Arial" w:cs="Arial"/>
          <w:bCs/>
        </w:rPr>
      </w:pPr>
      <w:r>
        <w:rPr>
          <w:rFonts w:ascii="Arial" w:hAnsi="Arial" w:cs="Arial"/>
          <w:bCs/>
        </w:rPr>
        <w:t>Outlook by geography remains mixed; continued uncertainty around UK consumer demand</w:t>
      </w:r>
    </w:p>
    <w:p w14:paraId="0E195810" w14:textId="194CDB5A" w:rsidR="009622E8" w:rsidRPr="009622E8" w:rsidRDefault="001B4DE6" w:rsidP="001140BA">
      <w:pPr>
        <w:pStyle w:val="ListParagraph"/>
        <w:numPr>
          <w:ilvl w:val="0"/>
          <w:numId w:val="18"/>
        </w:numPr>
        <w:jc w:val="left"/>
        <w:rPr>
          <w:rFonts w:ascii="Arial" w:hAnsi="Arial" w:cs="Arial"/>
          <w:bCs/>
        </w:rPr>
      </w:pPr>
      <w:r>
        <w:rPr>
          <w:rFonts w:ascii="Arial" w:hAnsi="Arial"/>
        </w:rPr>
        <w:t>Continue to e</w:t>
      </w:r>
      <w:r w:rsidR="009622E8" w:rsidRPr="009622E8">
        <w:rPr>
          <w:rFonts w:ascii="Arial" w:hAnsi="Arial"/>
        </w:rPr>
        <w:t>xpect FY 19/20 gross margi</w:t>
      </w:r>
      <w:r>
        <w:rPr>
          <w:rFonts w:ascii="Arial" w:hAnsi="Arial"/>
        </w:rPr>
        <w:t xml:space="preserve">n </w:t>
      </w:r>
      <w:r w:rsidR="00D43CEA">
        <w:rPr>
          <w:rFonts w:ascii="Arial" w:hAnsi="Arial"/>
        </w:rPr>
        <w:t xml:space="preserve">% </w:t>
      </w:r>
      <w:r>
        <w:rPr>
          <w:rFonts w:ascii="Arial" w:hAnsi="Arial"/>
        </w:rPr>
        <w:t>after clearance to be flat</w:t>
      </w:r>
      <w:r w:rsidR="009622E8" w:rsidRPr="009622E8">
        <w:rPr>
          <w:rFonts w:ascii="Arial" w:hAnsi="Arial"/>
          <w:vertAlign w:val="superscript"/>
        </w:rPr>
        <w:t>(</w:t>
      </w:r>
      <w:r w:rsidR="000F0471">
        <w:rPr>
          <w:rFonts w:ascii="Arial" w:hAnsi="Arial"/>
          <w:vertAlign w:val="superscript"/>
        </w:rPr>
        <w:t>3</w:t>
      </w:r>
      <w:r w:rsidR="009622E8" w:rsidRPr="009622E8">
        <w:rPr>
          <w:rFonts w:ascii="Arial" w:hAnsi="Arial"/>
          <w:vertAlign w:val="superscript"/>
        </w:rPr>
        <w:t>)</w:t>
      </w:r>
      <w:r w:rsidR="00740A52">
        <w:rPr>
          <w:rFonts w:ascii="Arial" w:hAnsi="Arial" w:cs="Arial"/>
          <w:bCs/>
        </w:rPr>
        <w:t>, including c. £30</w:t>
      </w:r>
      <w:r w:rsidR="0017717D">
        <w:rPr>
          <w:rFonts w:ascii="Arial" w:hAnsi="Arial" w:cs="Arial"/>
          <w:bCs/>
        </w:rPr>
        <w:t>-35</w:t>
      </w:r>
      <w:r w:rsidR="00740A52">
        <w:rPr>
          <w:rFonts w:ascii="Arial" w:hAnsi="Arial" w:cs="Arial"/>
          <w:bCs/>
        </w:rPr>
        <w:t xml:space="preserve">m </w:t>
      </w:r>
      <w:r w:rsidR="00D43CEA">
        <w:rPr>
          <w:rFonts w:ascii="Arial" w:hAnsi="Arial" w:cs="Arial"/>
          <w:bCs/>
        </w:rPr>
        <w:t xml:space="preserve">of </w:t>
      </w:r>
      <w:r w:rsidR="00740A52">
        <w:rPr>
          <w:rFonts w:ascii="Arial" w:hAnsi="Arial" w:cs="Arial"/>
          <w:bCs/>
        </w:rPr>
        <w:t>incremental clearance costs</w:t>
      </w:r>
      <w:r w:rsidR="0080289A">
        <w:rPr>
          <w:rFonts w:ascii="Arial" w:hAnsi="Arial" w:cs="Arial"/>
          <w:bCs/>
        </w:rPr>
        <w:t xml:space="preserve"> </w:t>
      </w:r>
      <w:bookmarkStart w:id="5" w:name="_Hlk18862788"/>
      <w:r w:rsidR="0080289A">
        <w:rPr>
          <w:rFonts w:ascii="Arial" w:hAnsi="Arial" w:cs="Arial"/>
          <w:bCs/>
        </w:rPr>
        <w:t>(</w:t>
      </w:r>
      <w:r w:rsidR="00C5499C">
        <w:rPr>
          <w:rFonts w:ascii="Arial" w:hAnsi="Arial" w:cs="Arial"/>
          <w:bCs/>
        </w:rPr>
        <w:t xml:space="preserve">including </w:t>
      </w:r>
      <w:r w:rsidR="0080289A">
        <w:rPr>
          <w:rFonts w:ascii="Arial" w:hAnsi="Arial" w:cs="Arial"/>
          <w:bCs/>
        </w:rPr>
        <w:t>B&amp;Q kitchens in H2 19/20)</w:t>
      </w:r>
      <w:r w:rsidR="00740A52">
        <w:rPr>
          <w:rFonts w:ascii="Arial" w:hAnsi="Arial" w:cs="Arial"/>
          <w:bCs/>
        </w:rPr>
        <w:t xml:space="preserve"> </w:t>
      </w:r>
    </w:p>
    <w:bookmarkEnd w:id="5"/>
    <w:p w14:paraId="61D653F7" w14:textId="766005C4" w:rsidR="0039029E" w:rsidRPr="008B2557" w:rsidRDefault="0039029E" w:rsidP="001140BA">
      <w:pPr>
        <w:pStyle w:val="ListParagraph"/>
        <w:numPr>
          <w:ilvl w:val="0"/>
          <w:numId w:val="18"/>
        </w:numPr>
        <w:jc w:val="left"/>
        <w:rPr>
          <w:rFonts w:ascii="Arial" w:hAnsi="Arial" w:cs="Arial"/>
          <w:bCs/>
        </w:rPr>
      </w:pPr>
      <w:r>
        <w:rPr>
          <w:rFonts w:ascii="Arial" w:hAnsi="Arial" w:cs="Arial"/>
          <w:bCs/>
        </w:rPr>
        <w:t>Thierry Garnier to join as CEO on 25 September</w:t>
      </w:r>
    </w:p>
    <w:p w14:paraId="7D2E56D1" w14:textId="49279BD1" w:rsidR="00695D4D" w:rsidRPr="009F71DB" w:rsidRDefault="00695D4D" w:rsidP="009F71DB">
      <w:pPr>
        <w:rPr>
          <w:rFonts w:ascii="Arial" w:hAnsi="Arial"/>
          <w:b/>
          <w:color w:val="FF0000"/>
        </w:rPr>
      </w:pPr>
    </w:p>
    <w:p w14:paraId="50466022" w14:textId="77777777" w:rsidR="00164C17" w:rsidRPr="002110D5" w:rsidRDefault="00164C17" w:rsidP="002110D5">
      <w:pPr>
        <w:rPr>
          <w:rFonts w:ascii="Arial" w:hAnsi="Arial" w:cs="Arial"/>
          <w:b/>
          <w:color w:val="FF0000"/>
        </w:rPr>
      </w:pPr>
    </w:p>
    <w:p w14:paraId="65441FA9" w14:textId="56469AB5" w:rsidR="00E02848" w:rsidRDefault="00E02848" w:rsidP="00E02848">
      <w:pPr>
        <w:rPr>
          <w:rFonts w:ascii="Arial" w:hAnsi="Arial" w:cs="Arial"/>
          <w:i/>
          <w:iCs/>
          <w:sz w:val="18"/>
          <w:szCs w:val="18"/>
        </w:rPr>
      </w:pPr>
      <w:r w:rsidRPr="000C04E8">
        <w:rPr>
          <w:rFonts w:ascii="Arial" w:hAnsi="Arial" w:cs="Arial"/>
          <w:i/>
          <w:iCs/>
          <w:sz w:val="18"/>
          <w:szCs w:val="18"/>
        </w:rPr>
        <w:t xml:space="preserve">*Throughout this release ‘*’ indicates </w:t>
      </w:r>
      <w:r>
        <w:rPr>
          <w:rFonts w:ascii="Arial" w:hAnsi="Arial" w:cs="Arial"/>
          <w:i/>
          <w:iCs/>
          <w:sz w:val="18"/>
          <w:szCs w:val="18"/>
        </w:rPr>
        <w:t xml:space="preserve">the </w:t>
      </w:r>
      <w:r w:rsidRPr="000C04E8">
        <w:rPr>
          <w:rFonts w:ascii="Arial" w:hAnsi="Arial" w:cs="Arial"/>
          <w:i/>
          <w:iCs/>
          <w:sz w:val="18"/>
          <w:szCs w:val="18"/>
        </w:rPr>
        <w:t xml:space="preserve">first instance of a term defined </w:t>
      </w:r>
      <w:r w:rsidRPr="0078455A">
        <w:rPr>
          <w:rFonts w:ascii="Arial" w:hAnsi="Arial" w:cs="Arial"/>
          <w:i/>
          <w:iCs/>
          <w:sz w:val="18"/>
          <w:szCs w:val="18"/>
        </w:rPr>
        <w:t>and explained in the Glossary (</w:t>
      </w:r>
      <w:r w:rsidRPr="007655ED">
        <w:rPr>
          <w:rFonts w:ascii="Arial" w:hAnsi="Arial" w:cs="Arial"/>
          <w:i/>
          <w:iCs/>
          <w:sz w:val="18"/>
          <w:szCs w:val="18"/>
        </w:rPr>
        <w:t>Section 5</w:t>
      </w:r>
      <w:r w:rsidRPr="0078455A">
        <w:rPr>
          <w:rFonts w:ascii="Arial" w:hAnsi="Arial" w:cs="Arial"/>
          <w:i/>
          <w:iCs/>
          <w:sz w:val="18"/>
          <w:szCs w:val="18"/>
        </w:rPr>
        <w:t xml:space="preserve">). Not all of the figures and ratios used are readily available from the unaudited half year results included in </w:t>
      </w:r>
      <w:r w:rsidRPr="006F1689">
        <w:rPr>
          <w:rFonts w:ascii="Arial" w:hAnsi="Arial" w:cs="Arial"/>
          <w:i/>
          <w:iCs/>
          <w:sz w:val="18"/>
          <w:szCs w:val="18"/>
        </w:rPr>
        <w:t>part 2 of the announcement. These non-GAAP measures</w:t>
      </w:r>
      <w:r w:rsidRPr="00035841">
        <w:rPr>
          <w:rFonts w:ascii="Arial" w:hAnsi="Arial" w:cs="Arial"/>
          <w:i/>
          <w:iCs/>
          <w:sz w:val="18"/>
          <w:szCs w:val="18"/>
        </w:rPr>
        <w:t xml:space="preserve"> (also known as alternative performance measures)</w:t>
      </w:r>
      <w:r w:rsidRPr="00413FF8">
        <w:rPr>
          <w:rFonts w:ascii="Arial" w:hAnsi="Arial" w:cs="Arial"/>
          <w:i/>
          <w:iCs/>
          <w:sz w:val="18"/>
          <w:szCs w:val="18"/>
        </w:rPr>
        <w:t>, including constant currency and like-for-like sales growth, underlying and adjusted profit measures, management believes are both useful and necessary to better understand the Group’s results. Where required, a reconciliation to statutory amounts is set out in the Financial Review (</w:t>
      </w:r>
      <w:r w:rsidRPr="007655ED">
        <w:rPr>
          <w:rFonts w:ascii="Arial" w:hAnsi="Arial" w:cs="Arial"/>
          <w:i/>
          <w:iCs/>
          <w:sz w:val="18"/>
          <w:szCs w:val="18"/>
        </w:rPr>
        <w:t>Section 4</w:t>
      </w:r>
      <w:r w:rsidRPr="0078455A">
        <w:rPr>
          <w:rFonts w:ascii="Arial" w:hAnsi="Arial" w:cs="Arial"/>
          <w:i/>
          <w:iCs/>
          <w:sz w:val="18"/>
          <w:szCs w:val="18"/>
        </w:rPr>
        <w:t>).</w:t>
      </w:r>
    </w:p>
    <w:p w14:paraId="6DA9EE10" w14:textId="2B1ED3A0" w:rsidR="00164C17" w:rsidRDefault="00164C17">
      <w:pPr>
        <w:jc w:val="left"/>
        <w:rPr>
          <w:rFonts w:ascii="Arial" w:hAnsi="Arial" w:cs="Arial"/>
          <w:i/>
          <w:iCs/>
          <w:sz w:val="18"/>
          <w:szCs w:val="18"/>
        </w:rPr>
      </w:pPr>
      <w:r>
        <w:rPr>
          <w:rFonts w:ascii="Arial" w:hAnsi="Arial" w:cs="Arial"/>
          <w:i/>
          <w:iCs/>
          <w:sz w:val="18"/>
          <w:szCs w:val="18"/>
        </w:rPr>
        <w:br w:type="page"/>
      </w:r>
    </w:p>
    <w:p w14:paraId="1FC53C80" w14:textId="542D1CDA" w:rsidR="00E02848" w:rsidRPr="00E02848" w:rsidRDefault="00413FF8" w:rsidP="00E02848">
      <w:pPr>
        <w:pStyle w:val="ListParagraph"/>
        <w:numPr>
          <w:ilvl w:val="0"/>
          <w:numId w:val="25"/>
        </w:numPr>
        <w:rPr>
          <w:rFonts w:ascii="Arial" w:hAnsi="Arial" w:cs="Arial"/>
          <w:sz w:val="18"/>
        </w:rPr>
      </w:pPr>
      <w:r>
        <w:rPr>
          <w:rFonts w:ascii="Arial" w:hAnsi="Arial" w:cs="Arial"/>
          <w:sz w:val="18"/>
        </w:rPr>
        <w:lastRenderedPageBreak/>
        <w:t xml:space="preserve">FY </w:t>
      </w:r>
      <w:r w:rsidR="00E02848" w:rsidRPr="007655ED">
        <w:rPr>
          <w:rFonts w:ascii="Arial" w:hAnsi="Arial" w:cs="Arial"/>
          <w:sz w:val="18"/>
        </w:rPr>
        <w:t>18/19 comparatives have been restated for IFRS 16 ‘Leases’. Refer to note 18 of the half year condensed financial</w:t>
      </w:r>
      <w:r w:rsidR="00E02848" w:rsidRPr="007655ED">
        <w:rPr>
          <w:rFonts w:ascii="Arial" w:hAnsi="Arial" w:cs="Arial"/>
          <w:sz w:val="18"/>
          <w:szCs w:val="24"/>
        </w:rPr>
        <w:t xml:space="preserve"> statements (in part 2 of this announcement) for detailed restatement tables and associated commentary</w:t>
      </w:r>
    </w:p>
    <w:p w14:paraId="7CB2CB0B" w14:textId="30669CA6" w:rsidR="00D05D0C" w:rsidRPr="007655ED" w:rsidRDefault="00D05D0C" w:rsidP="00D05D0C">
      <w:pPr>
        <w:pStyle w:val="ListParagraph"/>
        <w:numPr>
          <w:ilvl w:val="0"/>
          <w:numId w:val="25"/>
        </w:numPr>
        <w:rPr>
          <w:rFonts w:ascii="Arial" w:hAnsi="Arial" w:cs="Arial"/>
          <w:sz w:val="18"/>
        </w:rPr>
      </w:pPr>
      <w:r w:rsidRPr="00811960">
        <w:rPr>
          <w:rFonts w:ascii="Arial" w:hAnsi="Arial" w:cs="Arial"/>
          <w:sz w:val="18"/>
        </w:rPr>
        <w:t>Net debt includes £2.6 billion</w:t>
      </w:r>
      <w:r w:rsidR="00C21CDF">
        <w:rPr>
          <w:rFonts w:ascii="Arial" w:hAnsi="Arial" w:cs="Arial"/>
          <w:sz w:val="18"/>
        </w:rPr>
        <w:t xml:space="preserve"> lease liabilit</w:t>
      </w:r>
      <w:r w:rsidR="00740A52">
        <w:rPr>
          <w:rFonts w:ascii="Arial" w:hAnsi="Arial" w:cs="Arial"/>
          <w:sz w:val="18"/>
        </w:rPr>
        <w:t>ies</w:t>
      </w:r>
      <w:r w:rsidR="00274D57">
        <w:rPr>
          <w:rFonts w:ascii="Arial" w:hAnsi="Arial" w:cs="Arial"/>
          <w:sz w:val="18"/>
        </w:rPr>
        <w:t xml:space="preserve"> </w:t>
      </w:r>
      <w:r w:rsidRPr="00811960">
        <w:rPr>
          <w:rFonts w:ascii="Arial" w:hAnsi="Arial" w:cs="Arial"/>
          <w:sz w:val="18"/>
        </w:rPr>
        <w:t>under IFRS</w:t>
      </w:r>
      <w:r w:rsidR="00740A52">
        <w:rPr>
          <w:rFonts w:ascii="Arial" w:hAnsi="Arial" w:cs="Arial"/>
          <w:sz w:val="18"/>
        </w:rPr>
        <w:t xml:space="preserve"> </w:t>
      </w:r>
      <w:r w:rsidRPr="00811960">
        <w:rPr>
          <w:rFonts w:ascii="Arial" w:hAnsi="Arial" w:cs="Arial"/>
          <w:sz w:val="18"/>
        </w:rPr>
        <w:t xml:space="preserve">16 </w:t>
      </w:r>
      <w:r w:rsidR="00274D57">
        <w:rPr>
          <w:rFonts w:ascii="Arial" w:hAnsi="Arial" w:cs="Arial"/>
          <w:sz w:val="18"/>
        </w:rPr>
        <w:t>in H</w:t>
      </w:r>
      <w:r w:rsidR="0041309B">
        <w:rPr>
          <w:rFonts w:ascii="Arial" w:hAnsi="Arial" w:cs="Arial"/>
          <w:sz w:val="18"/>
        </w:rPr>
        <w:t>1</w:t>
      </w:r>
      <w:r w:rsidR="00274D57">
        <w:rPr>
          <w:rFonts w:ascii="Arial" w:hAnsi="Arial" w:cs="Arial"/>
          <w:sz w:val="18"/>
        </w:rPr>
        <w:t xml:space="preserve"> 19/20 </w:t>
      </w:r>
      <w:r w:rsidR="00737AF7">
        <w:rPr>
          <w:rFonts w:ascii="Arial" w:hAnsi="Arial" w:cs="Arial"/>
          <w:sz w:val="18"/>
        </w:rPr>
        <w:t>(</w:t>
      </w:r>
      <w:r w:rsidR="0017717D">
        <w:rPr>
          <w:rFonts w:ascii="Arial" w:hAnsi="Arial" w:cs="Arial"/>
          <w:sz w:val="18"/>
        </w:rPr>
        <w:t>H</w:t>
      </w:r>
      <w:r w:rsidR="0041309B">
        <w:rPr>
          <w:rFonts w:ascii="Arial" w:hAnsi="Arial" w:cs="Arial"/>
          <w:sz w:val="18"/>
        </w:rPr>
        <w:t>1</w:t>
      </w:r>
      <w:r w:rsidR="0017717D">
        <w:rPr>
          <w:rFonts w:ascii="Arial" w:hAnsi="Arial" w:cs="Arial"/>
          <w:sz w:val="18"/>
        </w:rPr>
        <w:t xml:space="preserve"> 18/19: </w:t>
      </w:r>
      <w:r w:rsidR="00737AF7">
        <w:rPr>
          <w:rFonts w:ascii="Arial" w:hAnsi="Arial" w:cs="Arial"/>
          <w:sz w:val="18"/>
        </w:rPr>
        <w:t>£2.8 billion)</w:t>
      </w:r>
    </w:p>
    <w:p w14:paraId="26816F40" w14:textId="39A44E0F" w:rsidR="000F0471" w:rsidRPr="00D05D0C" w:rsidRDefault="000F0471" w:rsidP="000F0471">
      <w:pPr>
        <w:pStyle w:val="ListParagraph"/>
        <w:numPr>
          <w:ilvl w:val="0"/>
          <w:numId w:val="25"/>
        </w:numPr>
        <w:rPr>
          <w:rFonts w:ascii="Arial" w:hAnsi="Arial" w:cs="Arial"/>
          <w:sz w:val="18"/>
        </w:rPr>
      </w:pPr>
      <w:r w:rsidRPr="00D05D0C">
        <w:rPr>
          <w:rFonts w:ascii="Arial" w:hAnsi="Arial" w:cs="Arial"/>
          <w:sz w:val="18"/>
        </w:rPr>
        <w:t xml:space="preserve">Gross margin </w:t>
      </w:r>
      <w:r w:rsidR="004D33FE">
        <w:rPr>
          <w:rFonts w:ascii="Arial" w:hAnsi="Arial" w:cs="Arial"/>
          <w:sz w:val="18"/>
        </w:rPr>
        <w:t xml:space="preserve">% </w:t>
      </w:r>
      <w:r w:rsidRPr="00D05D0C">
        <w:rPr>
          <w:rFonts w:ascii="Arial" w:hAnsi="Arial" w:cs="Arial"/>
          <w:sz w:val="18"/>
        </w:rPr>
        <w:t>movement excluding Russia and Iberia</w:t>
      </w:r>
    </w:p>
    <w:p w14:paraId="58EB5739" w14:textId="77777777" w:rsidR="00FC6C78" w:rsidRDefault="00FC6C78" w:rsidP="00FD4DC7">
      <w:pPr>
        <w:rPr>
          <w:rFonts w:ascii="Arial" w:hAnsi="Arial" w:cs="Arial"/>
          <w:b/>
          <w:szCs w:val="24"/>
        </w:rPr>
      </w:pPr>
      <w:bookmarkStart w:id="6" w:name="_Hlk17381645"/>
    </w:p>
    <w:p w14:paraId="2B0C3BEF" w14:textId="2D3B59A8" w:rsidR="00FD4DC7" w:rsidRPr="009844EF" w:rsidRDefault="00FD4DC7" w:rsidP="00FD4DC7">
      <w:pPr>
        <w:rPr>
          <w:rFonts w:ascii="Arial" w:hAnsi="Arial" w:cs="Arial"/>
          <w:b/>
          <w:bCs/>
          <w:szCs w:val="24"/>
        </w:rPr>
      </w:pPr>
      <w:r w:rsidRPr="009844EF">
        <w:rPr>
          <w:rFonts w:ascii="Arial" w:hAnsi="Arial" w:cs="Arial"/>
          <w:b/>
          <w:szCs w:val="24"/>
        </w:rPr>
        <w:t>Véronique Laury, Chief Executive</w:t>
      </w:r>
      <w:r w:rsidR="007C47AE" w:rsidRPr="009844EF">
        <w:rPr>
          <w:rFonts w:ascii="Arial" w:hAnsi="Arial" w:cs="Arial"/>
          <w:b/>
          <w:szCs w:val="24"/>
        </w:rPr>
        <w:t xml:space="preserve"> Officer</w:t>
      </w:r>
      <w:r w:rsidRPr="009844EF">
        <w:rPr>
          <w:rFonts w:ascii="Arial" w:hAnsi="Arial" w:cs="Arial"/>
          <w:b/>
          <w:szCs w:val="24"/>
        </w:rPr>
        <w:t>, said</w:t>
      </w:r>
      <w:r w:rsidRPr="009844EF">
        <w:rPr>
          <w:rFonts w:ascii="Arial" w:hAnsi="Arial" w:cs="Arial"/>
          <w:b/>
          <w:bCs/>
          <w:szCs w:val="24"/>
        </w:rPr>
        <w:t>:</w:t>
      </w:r>
    </w:p>
    <w:p w14:paraId="33495A26" w14:textId="77777777" w:rsidR="004F1839" w:rsidRPr="009844EF" w:rsidRDefault="004F1839" w:rsidP="00926779">
      <w:pPr>
        <w:jc w:val="left"/>
        <w:rPr>
          <w:rFonts w:ascii="Arial" w:hAnsi="Arial" w:cs="Arial"/>
          <w:bCs/>
          <w:szCs w:val="24"/>
        </w:rPr>
      </w:pPr>
    </w:p>
    <w:p w14:paraId="476D8BBB" w14:textId="04E539A0" w:rsidR="0091284F" w:rsidRPr="0091284F" w:rsidRDefault="0091284F" w:rsidP="0091284F">
      <w:pPr>
        <w:jc w:val="left"/>
        <w:rPr>
          <w:rFonts w:ascii="Arial" w:hAnsi="Arial" w:cs="Arial"/>
          <w:bCs/>
          <w:szCs w:val="24"/>
        </w:rPr>
      </w:pPr>
      <w:bookmarkStart w:id="7" w:name="_Hlk491880840"/>
      <w:r w:rsidRPr="0091284F">
        <w:rPr>
          <w:rFonts w:ascii="Arial" w:hAnsi="Arial" w:cs="Arial"/>
          <w:bCs/>
          <w:szCs w:val="24"/>
        </w:rPr>
        <w:t xml:space="preserve">“Our transformation activity continued in the first half of this year, including new range launches </w:t>
      </w:r>
      <w:r w:rsidR="00081DC0">
        <w:rPr>
          <w:rFonts w:ascii="Arial" w:hAnsi="Arial" w:cs="Arial"/>
          <w:bCs/>
          <w:szCs w:val="24"/>
        </w:rPr>
        <w:t xml:space="preserve">across the Group </w:t>
      </w:r>
      <w:r w:rsidRPr="0091284F">
        <w:rPr>
          <w:rFonts w:ascii="Arial" w:hAnsi="Arial" w:cs="Arial"/>
          <w:bCs/>
          <w:szCs w:val="24"/>
        </w:rPr>
        <w:t xml:space="preserve">and the rollout of </w:t>
      </w:r>
      <w:r w:rsidR="00863F51">
        <w:rPr>
          <w:rFonts w:ascii="Arial" w:hAnsi="Arial" w:cs="Arial"/>
          <w:bCs/>
          <w:szCs w:val="24"/>
        </w:rPr>
        <w:t xml:space="preserve">further capabilities within </w:t>
      </w:r>
      <w:r w:rsidRPr="0091284F">
        <w:rPr>
          <w:rFonts w:ascii="Arial" w:hAnsi="Arial" w:cs="Arial"/>
          <w:bCs/>
          <w:szCs w:val="24"/>
        </w:rPr>
        <w:t xml:space="preserve">our unified IT platform. These activities resulted in some ongoing disruption that impacted </w:t>
      </w:r>
      <w:r w:rsidR="006D3F4A">
        <w:rPr>
          <w:rFonts w:ascii="Arial" w:hAnsi="Arial" w:cs="Arial"/>
          <w:bCs/>
          <w:szCs w:val="24"/>
        </w:rPr>
        <w:t xml:space="preserve">sales at </w:t>
      </w:r>
      <w:r w:rsidRPr="0091284F">
        <w:rPr>
          <w:rFonts w:ascii="Arial" w:hAnsi="Arial" w:cs="Arial"/>
          <w:bCs/>
          <w:szCs w:val="24"/>
        </w:rPr>
        <w:t>B&amp;Q and Castorama France. This was partly offset by positive</w:t>
      </w:r>
      <w:r w:rsidR="006D3F4A">
        <w:rPr>
          <w:rFonts w:ascii="Arial" w:hAnsi="Arial" w:cs="Arial"/>
          <w:bCs/>
          <w:szCs w:val="24"/>
        </w:rPr>
        <w:t xml:space="preserve"> sales</w:t>
      </w:r>
      <w:r w:rsidRPr="0091284F">
        <w:rPr>
          <w:rFonts w:ascii="Arial" w:hAnsi="Arial" w:cs="Arial"/>
          <w:bCs/>
          <w:szCs w:val="24"/>
        </w:rPr>
        <w:t xml:space="preserve"> performances in Screwfix, which continues to grow its market share</w:t>
      </w:r>
      <w:r w:rsidR="005D7509">
        <w:rPr>
          <w:rFonts w:ascii="Arial" w:hAnsi="Arial" w:cs="Arial"/>
          <w:bCs/>
          <w:szCs w:val="24"/>
        </w:rPr>
        <w:t>, and Poland</w:t>
      </w:r>
      <w:r w:rsidRPr="0091284F">
        <w:rPr>
          <w:rFonts w:ascii="Arial" w:hAnsi="Arial" w:cs="Arial"/>
          <w:bCs/>
          <w:szCs w:val="24"/>
        </w:rPr>
        <w:t xml:space="preserve">. </w:t>
      </w:r>
    </w:p>
    <w:p w14:paraId="5096515C" w14:textId="77777777" w:rsidR="0091284F" w:rsidRPr="0091284F" w:rsidRDefault="0091284F" w:rsidP="0091284F">
      <w:pPr>
        <w:jc w:val="left"/>
        <w:rPr>
          <w:rFonts w:ascii="Arial" w:hAnsi="Arial" w:cs="Arial"/>
          <w:bCs/>
          <w:szCs w:val="24"/>
        </w:rPr>
      </w:pPr>
    </w:p>
    <w:p w14:paraId="24605442" w14:textId="07737720" w:rsidR="0091284F" w:rsidRDefault="0091284F" w:rsidP="0091284F">
      <w:pPr>
        <w:jc w:val="left"/>
        <w:rPr>
          <w:rFonts w:ascii="Arial" w:hAnsi="Arial" w:cs="Arial"/>
          <w:bCs/>
          <w:szCs w:val="24"/>
        </w:rPr>
      </w:pPr>
      <w:r w:rsidRPr="0091284F">
        <w:rPr>
          <w:rFonts w:ascii="Arial" w:hAnsi="Arial" w:cs="Arial"/>
          <w:bCs/>
          <w:szCs w:val="24"/>
        </w:rPr>
        <w:t>“It has been a great privilege to lead Kingfisher during a period of significant change, both in retail and within our business, and I would like to take this opportunity to thank all of our colleagues for their tireless commitment.”</w:t>
      </w:r>
    </w:p>
    <w:p w14:paraId="1ED95A27" w14:textId="73ADC689" w:rsidR="00E41CA3" w:rsidRPr="009844EF" w:rsidRDefault="00E41CA3" w:rsidP="00E41CA3">
      <w:pPr>
        <w:jc w:val="left"/>
        <w:rPr>
          <w:rFonts w:ascii="Arial" w:hAnsi="Arial" w:cs="Arial"/>
          <w:bCs/>
          <w:szCs w:val="24"/>
        </w:rPr>
      </w:pPr>
    </w:p>
    <w:bookmarkEnd w:id="7"/>
    <w:p w14:paraId="3445290A" w14:textId="5A53DDB5" w:rsidR="00D501F9" w:rsidRPr="009844EF" w:rsidRDefault="00D501F9" w:rsidP="00D501F9">
      <w:pPr>
        <w:rPr>
          <w:rFonts w:ascii="Arial" w:hAnsi="Arial" w:cs="Arial"/>
          <w:b/>
          <w:bCs/>
          <w:szCs w:val="24"/>
        </w:rPr>
      </w:pPr>
      <w:r w:rsidRPr="009844EF">
        <w:rPr>
          <w:rFonts w:ascii="Arial" w:hAnsi="Arial" w:cs="Arial"/>
          <w:b/>
          <w:szCs w:val="24"/>
        </w:rPr>
        <w:t>Andy Cosslett, Chairman, said</w:t>
      </w:r>
      <w:r w:rsidRPr="009844EF">
        <w:rPr>
          <w:rFonts w:ascii="Arial" w:hAnsi="Arial" w:cs="Arial"/>
          <w:b/>
          <w:bCs/>
          <w:szCs w:val="24"/>
        </w:rPr>
        <w:t>:</w:t>
      </w:r>
    </w:p>
    <w:p w14:paraId="5C443BFF" w14:textId="6FE3CF7F" w:rsidR="00D501F9" w:rsidRDefault="00D501F9" w:rsidP="00D501F9">
      <w:pPr>
        <w:jc w:val="left"/>
        <w:rPr>
          <w:rFonts w:ascii="Arial" w:hAnsi="Arial" w:cs="Arial"/>
          <w:bCs/>
          <w:szCs w:val="24"/>
        </w:rPr>
      </w:pPr>
    </w:p>
    <w:p w14:paraId="33312F4C" w14:textId="10E02FD8" w:rsidR="00863F51" w:rsidRPr="00863F51" w:rsidRDefault="00863F51" w:rsidP="00863F51">
      <w:pPr>
        <w:jc w:val="left"/>
        <w:rPr>
          <w:rFonts w:ascii="Arial" w:hAnsi="Arial" w:cs="Arial"/>
          <w:bCs/>
          <w:szCs w:val="24"/>
        </w:rPr>
      </w:pPr>
      <w:r w:rsidRPr="00863F51">
        <w:rPr>
          <w:rFonts w:ascii="Arial" w:hAnsi="Arial" w:cs="Arial"/>
          <w:bCs/>
          <w:szCs w:val="24"/>
        </w:rPr>
        <w:t xml:space="preserve">“The Board and I would like to thank Véronique for her vision and her determination in laying the foundations for our future growth. She leaves with our best wishes. </w:t>
      </w:r>
    </w:p>
    <w:p w14:paraId="00F03B19" w14:textId="77777777" w:rsidR="00863F51" w:rsidRPr="00863F51" w:rsidRDefault="00863F51" w:rsidP="00863F51">
      <w:pPr>
        <w:jc w:val="left"/>
        <w:rPr>
          <w:rFonts w:ascii="Arial" w:hAnsi="Arial" w:cs="Arial"/>
          <w:bCs/>
          <w:szCs w:val="24"/>
        </w:rPr>
      </w:pPr>
    </w:p>
    <w:p w14:paraId="1B17E24F" w14:textId="58E775E6" w:rsidR="00863F51" w:rsidRPr="00863F51" w:rsidRDefault="00863F51" w:rsidP="00863F51">
      <w:pPr>
        <w:jc w:val="left"/>
        <w:rPr>
          <w:rFonts w:ascii="Arial" w:hAnsi="Arial" w:cs="Arial"/>
          <w:bCs/>
          <w:szCs w:val="24"/>
        </w:rPr>
      </w:pPr>
      <w:r w:rsidRPr="00863F51">
        <w:rPr>
          <w:rFonts w:ascii="Arial" w:hAnsi="Arial" w:cs="Arial"/>
          <w:bCs/>
          <w:szCs w:val="24"/>
        </w:rPr>
        <w:t xml:space="preserve">“In Thierry Garnier, who joins Kingfisher next week, we have found the right individual with the right skills </w:t>
      </w:r>
      <w:r w:rsidR="00081DC0">
        <w:rPr>
          <w:rFonts w:ascii="Arial" w:hAnsi="Arial" w:cs="Arial"/>
          <w:bCs/>
          <w:szCs w:val="24"/>
        </w:rPr>
        <w:t xml:space="preserve">and experience </w:t>
      </w:r>
      <w:r w:rsidRPr="00863F51">
        <w:rPr>
          <w:rFonts w:ascii="Arial" w:hAnsi="Arial" w:cs="Arial"/>
          <w:bCs/>
          <w:szCs w:val="24"/>
        </w:rPr>
        <w:t xml:space="preserve">to </w:t>
      </w:r>
      <w:r w:rsidR="009313CE">
        <w:rPr>
          <w:rFonts w:ascii="Arial" w:hAnsi="Arial" w:cs="Arial"/>
          <w:bCs/>
          <w:szCs w:val="24"/>
        </w:rPr>
        <w:t xml:space="preserve">build on </w:t>
      </w:r>
      <w:r w:rsidRPr="00863F51">
        <w:rPr>
          <w:rFonts w:ascii="Arial" w:hAnsi="Arial" w:cs="Arial"/>
          <w:bCs/>
          <w:szCs w:val="24"/>
        </w:rPr>
        <w:t xml:space="preserve">the platform that </w:t>
      </w:r>
      <w:r w:rsidR="00F662AE">
        <w:rPr>
          <w:rFonts w:ascii="Arial" w:hAnsi="Arial" w:cs="Arial"/>
          <w:bCs/>
          <w:szCs w:val="24"/>
        </w:rPr>
        <w:t xml:space="preserve">we are </w:t>
      </w:r>
      <w:r w:rsidRPr="00863F51">
        <w:rPr>
          <w:rFonts w:ascii="Arial" w:hAnsi="Arial" w:cs="Arial"/>
          <w:bCs/>
          <w:szCs w:val="24"/>
        </w:rPr>
        <w:t>establish</w:t>
      </w:r>
      <w:r w:rsidR="00F662AE">
        <w:rPr>
          <w:rFonts w:ascii="Arial" w:hAnsi="Arial" w:cs="Arial"/>
          <w:bCs/>
          <w:szCs w:val="24"/>
        </w:rPr>
        <w:t>ing</w:t>
      </w:r>
      <w:r w:rsidRPr="00863F51">
        <w:rPr>
          <w:rFonts w:ascii="Arial" w:hAnsi="Arial" w:cs="Arial"/>
          <w:bCs/>
          <w:szCs w:val="24"/>
        </w:rPr>
        <w:t>.</w:t>
      </w:r>
      <w:r w:rsidR="009313CE">
        <w:rPr>
          <w:rFonts w:ascii="Arial" w:hAnsi="Arial" w:cs="Arial"/>
          <w:bCs/>
          <w:szCs w:val="24"/>
        </w:rPr>
        <w:t xml:space="preserve"> </w:t>
      </w:r>
      <w:r w:rsidR="00BC1A1D">
        <w:rPr>
          <w:rFonts w:ascii="Arial" w:hAnsi="Arial" w:cs="Arial"/>
          <w:bCs/>
          <w:szCs w:val="24"/>
        </w:rPr>
        <w:t xml:space="preserve">In the near term our focus will be on improving execution and delivering on our key priorities for the year. </w:t>
      </w:r>
      <w:r w:rsidR="009313CE" w:rsidRPr="00863F51">
        <w:rPr>
          <w:rFonts w:ascii="Arial" w:hAnsi="Arial" w:cs="Arial"/>
          <w:bCs/>
          <w:szCs w:val="24"/>
        </w:rPr>
        <w:t xml:space="preserve">Thierry will bring a fresh perspective to </w:t>
      </w:r>
      <w:r w:rsidR="009313CE">
        <w:rPr>
          <w:rFonts w:ascii="Arial" w:hAnsi="Arial" w:cs="Arial"/>
          <w:bCs/>
          <w:szCs w:val="24"/>
        </w:rPr>
        <w:t>the Group as we focus on delivering growth in shareholder value and creating a compelling experience for our customers and colleagues</w:t>
      </w:r>
      <w:r w:rsidR="009313CE" w:rsidRPr="00863F51">
        <w:rPr>
          <w:rFonts w:ascii="Arial" w:hAnsi="Arial" w:cs="Arial"/>
          <w:bCs/>
          <w:szCs w:val="24"/>
        </w:rPr>
        <w:t>.</w:t>
      </w:r>
      <w:r w:rsidR="00BC1A1D">
        <w:rPr>
          <w:rFonts w:ascii="Arial" w:hAnsi="Arial" w:cs="Arial"/>
          <w:bCs/>
          <w:szCs w:val="24"/>
        </w:rPr>
        <w:t>”</w:t>
      </w:r>
    </w:p>
    <w:p w14:paraId="60A9BE58" w14:textId="77777777" w:rsidR="00863F51" w:rsidRPr="00BC1A1D" w:rsidRDefault="00863F51" w:rsidP="00D501F9">
      <w:pPr>
        <w:jc w:val="left"/>
        <w:rPr>
          <w:rFonts w:ascii="Arial" w:hAnsi="Arial" w:cs="Arial"/>
          <w:bCs/>
          <w:szCs w:val="24"/>
        </w:rPr>
      </w:pPr>
    </w:p>
    <w:p w14:paraId="12CE66F1" w14:textId="09D692DB" w:rsidR="00E2024A" w:rsidRPr="009844EF" w:rsidRDefault="003C4FFB" w:rsidP="00AD5BF9">
      <w:pPr>
        <w:jc w:val="left"/>
        <w:rPr>
          <w:rFonts w:ascii="Arial" w:hAnsi="Arial" w:cs="Arial"/>
          <w:b/>
          <w:bCs/>
          <w:szCs w:val="24"/>
          <w:u w:val="single"/>
        </w:rPr>
      </w:pPr>
      <w:bookmarkStart w:id="8" w:name="_Hlk524455004"/>
      <w:bookmarkEnd w:id="6"/>
      <w:r w:rsidRPr="009844EF">
        <w:rPr>
          <w:rFonts w:ascii="Arial" w:hAnsi="Arial" w:cs="Arial"/>
          <w:b/>
          <w:bCs/>
          <w:szCs w:val="24"/>
        </w:rPr>
        <w:t>Contacts</w:t>
      </w:r>
    </w:p>
    <w:tbl>
      <w:tblPr>
        <w:tblW w:w="5055" w:type="pct"/>
        <w:tblInd w:w="-106" w:type="dxa"/>
        <w:tblLook w:val="01E0" w:firstRow="1" w:lastRow="1" w:firstColumn="1" w:lastColumn="1" w:noHBand="0" w:noVBand="0"/>
      </w:tblPr>
      <w:tblGrid>
        <w:gridCol w:w="2718"/>
        <w:gridCol w:w="3194"/>
        <w:gridCol w:w="4064"/>
      </w:tblGrid>
      <w:tr w:rsidR="00340EF0" w:rsidRPr="009844EF" w14:paraId="6C93410F" w14:textId="2A2945D4" w:rsidTr="00AC598B">
        <w:tc>
          <w:tcPr>
            <w:tcW w:w="1362" w:type="pct"/>
            <w:hideMark/>
          </w:tcPr>
          <w:p w14:paraId="669147B8" w14:textId="77777777" w:rsidR="00340EF0" w:rsidRPr="009844EF" w:rsidRDefault="00340EF0" w:rsidP="008F7BE3">
            <w:pPr>
              <w:jc w:val="left"/>
              <w:rPr>
                <w:rFonts w:ascii="Arial" w:hAnsi="Arial" w:cs="Arial"/>
                <w:szCs w:val="24"/>
              </w:rPr>
            </w:pPr>
          </w:p>
          <w:p w14:paraId="7B2E9592" w14:textId="77777777" w:rsidR="00340EF0" w:rsidRPr="009844EF" w:rsidRDefault="00340EF0" w:rsidP="008F7BE3">
            <w:pPr>
              <w:jc w:val="left"/>
              <w:rPr>
                <w:rFonts w:ascii="Arial" w:hAnsi="Arial" w:cs="Arial"/>
                <w:szCs w:val="24"/>
              </w:rPr>
            </w:pPr>
            <w:r w:rsidRPr="009844EF">
              <w:rPr>
                <w:rFonts w:ascii="Arial" w:hAnsi="Arial" w:cs="Arial"/>
                <w:szCs w:val="24"/>
              </w:rPr>
              <w:t>Investor Relations</w:t>
            </w:r>
          </w:p>
        </w:tc>
        <w:tc>
          <w:tcPr>
            <w:tcW w:w="1601" w:type="pct"/>
            <w:hideMark/>
          </w:tcPr>
          <w:p w14:paraId="6E7957D3" w14:textId="0BBCD376" w:rsidR="00340EF0" w:rsidRPr="009844EF" w:rsidRDefault="00340EF0" w:rsidP="008F7BE3">
            <w:pPr>
              <w:jc w:val="right"/>
              <w:rPr>
                <w:rFonts w:ascii="Arial" w:hAnsi="Arial" w:cs="Arial"/>
                <w:szCs w:val="24"/>
              </w:rPr>
            </w:pPr>
            <w:r w:rsidRPr="009844EF">
              <w:rPr>
                <w:rFonts w:ascii="Arial" w:hAnsi="Arial" w:cs="Arial"/>
                <w:szCs w:val="24"/>
              </w:rPr>
              <w:t>Tel:</w:t>
            </w:r>
          </w:p>
          <w:p w14:paraId="452D0E88" w14:textId="2BF4D6D9" w:rsidR="00340EF0" w:rsidRPr="009844EF" w:rsidRDefault="00340EF0" w:rsidP="008F7BE3">
            <w:pPr>
              <w:jc w:val="right"/>
              <w:rPr>
                <w:rFonts w:ascii="Arial" w:hAnsi="Arial" w:cs="Arial"/>
                <w:szCs w:val="24"/>
              </w:rPr>
            </w:pPr>
            <w:r w:rsidRPr="009844EF">
              <w:rPr>
                <w:rFonts w:ascii="Arial" w:hAnsi="Arial" w:cs="Arial"/>
                <w:szCs w:val="24"/>
              </w:rPr>
              <w:t>+44 (0) 20 7644 1082</w:t>
            </w:r>
          </w:p>
        </w:tc>
        <w:tc>
          <w:tcPr>
            <w:tcW w:w="2037" w:type="pct"/>
          </w:tcPr>
          <w:p w14:paraId="063C774F" w14:textId="29052F11" w:rsidR="002C1898" w:rsidRPr="009844EF" w:rsidRDefault="00462DA9" w:rsidP="008F7BE3">
            <w:pPr>
              <w:jc w:val="right"/>
              <w:rPr>
                <w:rFonts w:ascii="Arial" w:hAnsi="Arial" w:cs="Arial"/>
                <w:color w:val="000000" w:themeColor="text1"/>
                <w:szCs w:val="24"/>
              </w:rPr>
            </w:pPr>
            <w:r w:rsidRPr="009844EF">
              <w:rPr>
                <w:rFonts w:ascii="Arial" w:hAnsi="Arial" w:cs="Arial"/>
                <w:color w:val="000000" w:themeColor="text1"/>
                <w:szCs w:val="24"/>
              </w:rPr>
              <w:t>Email:</w:t>
            </w:r>
          </w:p>
          <w:p w14:paraId="0C688DEA" w14:textId="344B1103" w:rsidR="00340EF0" w:rsidRPr="009844EF" w:rsidRDefault="00F8309D" w:rsidP="008F7BE3">
            <w:pPr>
              <w:jc w:val="right"/>
              <w:rPr>
                <w:rFonts w:ascii="Arial" w:hAnsi="Arial" w:cs="Arial"/>
                <w:color w:val="000000" w:themeColor="text1"/>
              </w:rPr>
            </w:pPr>
            <w:hyperlink r:id="rId11" w:history="1">
              <w:r w:rsidR="00340EF0" w:rsidRPr="009844EF">
                <w:rPr>
                  <w:rStyle w:val="Hyperlink"/>
                  <w:rFonts w:ascii="Arial" w:hAnsi="Arial" w:cs="Arial"/>
                  <w:color w:val="000000" w:themeColor="text1"/>
                  <w:u w:val="none"/>
                </w:rPr>
                <w:t>investorenquiries@kingfisher.com</w:t>
              </w:r>
            </w:hyperlink>
          </w:p>
        </w:tc>
      </w:tr>
      <w:tr w:rsidR="00340EF0" w:rsidRPr="009844EF" w14:paraId="2F161DC7" w14:textId="221910D1" w:rsidTr="00AC598B">
        <w:tc>
          <w:tcPr>
            <w:tcW w:w="1362" w:type="pct"/>
            <w:hideMark/>
          </w:tcPr>
          <w:p w14:paraId="6833CB7E" w14:textId="7AEF69A9" w:rsidR="00340EF0" w:rsidRPr="009844EF" w:rsidRDefault="00340EF0" w:rsidP="00340EF0">
            <w:pPr>
              <w:jc w:val="left"/>
              <w:rPr>
                <w:rFonts w:ascii="Arial" w:hAnsi="Arial" w:cs="Arial"/>
                <w:szCs w:val="24"/>
              </w:rPr>
            </w:pPr>
            <w:r w:rsidRPr="009844EF">
              <w:rPr>
                <w:rFonts w:ascii="Arial" w:hAnsi="Arial" w:cs="Arial"/>
                <w:szCs w:val="24"/>
              </w:rPr>
              <w:t>Media Relations</w:t>
            </w:r>
          </w:p>
        </w:tc>
        <w:tc>
          <w:tcPr>
            <w:tcW w:w="1601" w:type="pct"/>
            <w:hideMark/>
          </w:tcPr>
          <w:p w14:paraId="2612821B" w14:textId="77777777" w:rsidR="00340EF0" w:rsidRPr="009844EF" w:rsidRDefault="00340EF0" w:rsidP="00340EF0">
            <w:pPr>
              <w:jc w:val="right"/>
              <w:rPr>
                <w:rFonts w:ascii="Arial" w:hAnsi="Arial" w:cs="Arial"/>
                <w:szCs w:val="24"/>
              </w:rPr>
            </w:pPr>
            <w:r w:rsidRPr="009844EF">
              <w:rPr>
                <w:rFonts w:ascii="Arial" w:hAnsi="Arial" w:cs="Arial"/>
                <w:szCs w:val="24"/>
              </w:rPr>
              <w:t>+44 (0) 20 7644 1030</w:t>
            </w:r>
          </w:p>
        </w:tc>
        <w:tc>
          <w:tcPr>
            <w:tcW w:w="2037" w:type="pct"/>
          </w:tcPr>
          <w:p w14:paraId="36A6EE5B" w14:textId="4051B39E" w:rsidR="00340EF0" w:rsidRPr="009844EF" w:rsidRDefault="00340EF0" w:rsidP="00340EF0">
            <w:pPr>
              <w:jc w:val="right"/>
              <w:rPr>
                <w:rFonts w:ascii="Arial" w:hAnsi="Arial" w:cs="Arial"/>
              </w:rPr>
            </w:pPr>
            <w:r w:rsidRPr="009844EF">
              <w:rPr>
                <w:rFonts w:ascii="Arial" w:hAnsi="Arial" w:cs="Arial"/>
              </w:rPr>
              <w:t>corpcomms@kingfisher.com</w:t>
            </w:r>
          </w:p>
        </w:tc>
      </w:tr>
      <w:tr w:rsidR="00340EF0" w:rsidRPr="00667C8E" w14:paraId="15B3B4C7" w14:textId="3D12D706" w:rsidTr="00AC598B">
        <w:tc>
          <w:tcPr>
            <w:tcW w:w="1362" w:type="pct"/>
            <w:hideMark/>
          </w:tcPr>
          <w:p w14:paraId="7E811835" w14:textId="16E70440" w:rsidR="00340EF0" w:rsidRPr="009844EF" w:rsidRDefault="00340EF0" w:rsidP="00340EF0">
            <w:pPr>
              <w:jc w:val="left"/>
              <w:rPr>
                <w:rFonts w:ascii="Arial" w:hAnsi="Arial" w:cs="Arial"/>
                <w:sz w:val="14"/>
                <w:szCs w:val="16"/>
              </w:rPr>
            </w:pPr>
            <w:r w:rsidRPr="009844EF">
              <w:rPr>
                <w:rFonts w:ascii="Arial" w:hAnsi="Arial" w:cs="Arial"/>
                <w:szCs w:val="24"/>
              </w:rPr>
              <w:t>Teneo</w:t>
            </w:r>
          </w:p>
        </w:tc>
        <w:tc>
          <w:tcPr>
            <w:tcW w:w="1601" w:type="pct"/>
            <w:hideMark/>
          </w:tcPr>
          <w:p w14:paraId="4CA04A2D" w14:textId="4D63975C" w:rsidR="00340EF0" w:rsidRPr="009844EF" w:rsidRDefault="00340EF0" w:rsidP="00340EF0">
            <w:pPr>
              <w:jc w:val="right"/>
              <w:rPr>
                <w:rFonts w:ascii="Arial" w:hAnsi="Arial" w:cs="Arial"/>
                <w:szCs w:val="24"/>
              </w:rPr>
            </w:pPr>
            <w:r w:rsidRPr="009844EF">
              <w:rPr>
                <w:rFonts w:ascii="Arial" w:hAnsi="Arial" w:cs="Arial"/>
                <w:szCs w:val="24"/>
              </w:rPr>
              <w:t>+44 (0) 20 7260 2700</w:t>
            </w:r>
          </w:p>
          <w:p w14:paraId="398A9CF2" w14:textId="4B2ED2BB" w:rsidR="00340EF0" w:rsidRPr="009844EF" w:rsidRDefault="00340EF0" w:rsidP="00340EF0">
            <w:pPr>
              <w:jc w:val="right"/>
              <w:rPr>
                <w:rFonts w:ascii="Arial" w:hAnsi="Arial" w:cs="Arial"/>
                <w:sz w:val="14"/>
                <w:szCs w:val="16"/>
              </w:rPr>
            </w:pPr>
          </w:p>
        </w:tc>
        <w:tc>
          <w:tcPr>
            <w:tcW w:w="2037" w:type="pct"/>
          </w:tcPr>
          <w:p w14:paraId="16CFE357" w14:textId="68BA6F59" w:rsidR="00340EF0" w:rsidRPr="00367110" w:rsidRDefault="00340EF0" w:rsidP="00340EF0">
            <w:pPr>
              <w:jc w:val="right"/>
              <w:rPr>
                <w:rFonts w:ascii="Arial" w:hAnsi="Arial" w:cs="Arial"/>
              </w:rPr>
            </w:pPr>
            <w:r w:rsidRPr="009844EF">
              <w:rPr>
                <w:rFonts w:ascii="Arial" w:hAnsi="Arial" w:cs="Arial"/>
              </w:rPr>
              <w:t>Kfteam@teneo.com</w:t>
            </w:r>
          </w:p>
        </w:tc>
      </w:tr>
    </w:tbl>
    <w:p w14:paraId="2FE9CACA" w14:textId="77777777" w:rsidR="00FB1B43" w:rsidRPr="00AC598B" w:rsidRDefault="00FB1B43" w:rsidP="00440B16">
      <w:pPr>
        <w:autoSpaceDE w:val="0"/>
        <w:autoSpaceDN w:val="0"/>
        <w:adjustRightInd w:val="0"/>
        <w:jc w:val="left"/>
        <w:rPr>
          <w:rFonts w:ascii="Arial" w:hAnsi="Arial" w:cs="Arial"/>
          <w:szCs w:val="24"/>
        </w:rPr>
      </w:pPr>
    </w:p>
    <w:p w14:paraId="63B455A2" w14:textId="783A67F8" w:rsidR="00047B6B" w:rsidRDefault="00603AF1" w:rsidP="00440B16">
      <w:pPr>
        <w:autoSpaceDE w:val="0"/>
        <w:autoSpaceDN w:val="0"/>
        <w:adjustRightInd w:val="0"/>
        <w:jc w:val="left"/>
        <w:rPr>
          <w:rFonts w:ascii="Arial" w:hAnsi="Arial" w:cs="Arial"/>
          <w:bCs/>
          <w:szCs w:val="24"/>
        </w:rPr>
      </w:pPr>
      <w:r w:rsidRPr="00047B6B">
        <w:rPr>
          <w:rFonts w:ascii="Arial" w:hAnsi="Arial" w:cs="Arial"/>
          <w:bCs/>
          <w:szCs w:val="24"/>
        </w:rPr>
        <w:t xml:space="preserve">This announcement can be downloaded from </w:t>
      </w:r>
      <w:hyperlink r:id="rId12" w:history="1">
        <w:r w:rsidR="00ED5C6B" w:rsidRPr="00ED5C6B">
          <w:rPr>
            <w:rStyle w:val="Hyperlink"/>
            <w:rFonts w:ascii="Arial" w:hAnsi="Arial" w:cs="Arial"/>
            <w:bCs/>
            <w:szCs w:val="24"/>
          </w:rPr>
          <w:t>www.kingfisher.com</w:t>
        </w:r>
      </w:hyperlink>
      <w:r w:rsidRPr="00B56D28">
        <w:rPr>
          <w:rFonts w:ascii="Arial" w:hAnsi="Arial" w:cs="Arial"/>
          <w:bCs/>
          <w:szCs w:val="24"/>
        </w:rPr>
        <w:t>.</w:t>
      </w:r>
      <w:r w:rsidRPr="00047B6B">
        <w:rPr>
          <w:rFonts w:ascii="Arial" w:hAnsi="Arial" w:cs="Arial"/>
          <w:bCs/>
          <w:szCs w:val="24"/>
        </w:rPr>
        <w:t xml:space="preserve"> We can be followed on Twitter </w:t>
      </w:r>
      <w:r w:rsidR="00ED5C6B">
        <w:rPr>
          <w:rFonts w:ascii="Arial" w:hAnsi="Arial" w:cs="Arial"/>
          <w:bCs/>
          <w:szCs w:val="24"/>
        </w:rPr>
        <w:t>(</w:t>
      </w:r>
      <w:r w:rsidRPr="00047B6B">
        <w:rPr>
          <w:rFonts w:ascii="Arial" w:hAnsi="Arial" w:cs="Arial"/>
          <w:bCs/>
          <w:szCs w:val="24"/>
        </w:rPr>
        <w:t>@kingfisherplc</w:t>
      </w:r>
      <w:r w:rsidR="00ED5C6B">
        <w:rPr>
          <w:rFonts w:ascii="Arial" w:hAnsi="Arial" w:cs="Arial"/>
          <w:bCs/>
          <w:szCs w:val="24"/>
        </w:rPr>
        <w:t>)</w:t>
      </w:r>
      <w:r w:rsidRPr="00047B6B">
        <w:rPr>
          <w:rFonts w:ascii="Arial" w:hAnsi="Arial" w:cs="Arial"/>
          <w:bCs/>
          <w:szCs w:val="24"/>
        </w:rPr>
        <w:t xml:space="preserve"> with the </w:t>
      </w:r>
      <w:r w:rsidR="0070706A" w:rsidRPr="00047B6B">
        <w:rPr>
          <w:rFonts w:ascii="Arial" w:hAnsi="Arial" w:cs="Arial"/>
          <w:bCs/>
          <w:szCs w:val="24"/>
        </w:rPr>
        <w:t xml:space="preserve">half </w:t>
      </w:r>
      <w:r w:rsidRPr="00047B6B">
        <w:rPr>
          <w:rFonts w:ascii="Arial" w:hAnsi="Arial" w:cs="Arial"/>
          <w:bCs/>
          <w:szCs w:val="24"/>
        </w:rPr>
        <w:t>year results tag #</w:t>
      </w:r>
      <w:r w:rsidR="0070706A" w:rsidRPr="00047B6B">
        <w:rPr>
          <w:rFonts w:ascii="Arial" w:hAnsi="Arial" w:cs="Arial"/>
          <w:bCs/>
          <w:szCs w:val="24"/>
        </w:rPr>
        <w:t>KGFH</w:t>
      </w:r>
      <w:r w:rsidR="0070706A" w:rsidRPr="00ED5C6B">
        <w:rPr>
          <w:rFonts w:ascii="Arial" w:hAnsi="Arial" w:cs="Arial"/>
          <w:bCs/>
          <w:szCs w:val="24"/>
        </w:rPr>
        <w:t>Y</w:t>
      </w:r>
      <w:r w:rsidRPr="00B56D28">
        <w:rPr>
          <w:rFonts w:ascii="Arial" w:hAnsi="Arial" w:cs="Arial"/>
          <w:bCs/>
          <w:szCs w:val="24"/>
        </w:rPr>
        <w:t>.</w:t>
      </w:r>
      <w:r w:rsidR="0070706A" w:rsidRPr="00B56D28">
        <w:rPr>
          <w:rFonts w:ascii="Arial" w:hAnsi="Arial" w:cs="Arial"/>
          <w:bCs/>
          <w:szCs w:val="24"/>
        </w:rPr>
        <w:t xml:space="preserve"> </w:t>
      </w:r>
      <w:bookmarkStart w:id="9" w:name="_Hlk524454375"/>
      <w:bookmarkEnd w:id="8"/>
    </w:p>
    <w:p w14:paraId="52316429" w14:textId="77777777" w:rsidR="00047B6B" w:rsidRDefault="00047B6B" w:rsidP="00440B16">
      <w:pPr>
        <w:autoSpaceDE w:val="0"/>
        <w:autoSpaceDN w:val="0"/>
        <w:adjustRightInd w:val="0"/>
        <w:jc w:val="left"/>
        <w:rPr>
          <w:rFonts w:ascii="Arial" w:hAnsi="Arial" w:cs="Arial"/>
          <w:bCs/>
          <w:szCs w:val="24"/>
        </w:rPr>
      </w:pPr>
    </w:p>
    <w:p w14:paraId="558A4B76" w14:textId="68E0544A" w:rsidR="00047B6B" w:rsidRPr="00047B6B" w:rsidRDefault="00D501F9" w:rsidP="00440B16">
      <w:pPr>
        <w:autoSpaceDE w:val="0"/>
        <w:autoSpaceDN w:val="0"/>
        <w:adjustRightInd w:val="0"/>
        <w:jc w:val="left"/>
        <w:rPr>
          <w:rFonts w:ascii="Arial" w:hAnsi="Arial" w:cs="Arial"/>
          <w:bCs/>
          <w:szCs w:val="24"/>
        </w:rPr>
      </w:pPr>
      <w:r w:rsidRPr="00047B6B">
        <w:rPr>
          <w:rFonts w:ascii="Arial" w:hAnsi="Arial" w:cs="Arial"/>
          <w:bCs/>
          <w:szCs w:val="24"/>
        </w:rPr>
        <w:t>We will host a results presentation to analysts and investors today at 09.00</w:t>
      </w:r>
      <w:r w:rsidRPr="00ED5C6B">
        <w:rPr>
          <w:rFonts w:ascii="Arial" w:hAnsi="Arial" w:cs="Arial"/>
          <w:bCs/>
          <w:szCs w:val="24"/>
        </w:rPr>
        <w:t xml:space="preserve"> (UK time) at </w:t>
      </w:r>
      <w:r w:rsidR="00446D91" w:rsidRPr="00ED5C6B">
        <w:rPr>
          <w:rFonts w:ascii="Arial" w:hAnsi="Arial" w:cs="Arial"/>
          <w:bCs/>
          <w:szCs w:val="24"/>
        </w:rPr>
        <w:t xml:space="preserve">the London Stock Exchange, 10 Paternoster </w:t>
      </w:r>
      <w:r w:rsidR="00D234D8">
        <w:rPr>
          <w:rFonts w:ascii="Arial" w:hAnsi="Arial" w:cs="Arial"/>
          <w:bCs/>
          <w:szCs w:val="24"/>
        </w:rPr>
        <w:t>Square</w:t>
      </w:r>
      <w:r w:rsidR="00446D91" w:rsidRPr="00ED5C6B">
        <w:rPr>
          <w:rFonts w:ascii="Arial" w:hAnsi="Arial" w:cs="Arial"/>
          <w:bCs/>
          <w:szCs w:val="24"/>
        </w:rPr>
        <w:t>,</w:t>
      </w:r>
      <w:r w:rsidR="00446D91" w:rsidRPr="000E6B98">
        <w:rPr>
          <w:rFonts w:ascii="Arial" w:hAnsi="Arial" w:cs="Arial"/>
          <w:bCs/>
          <w:szCs w:val="24"/>
        </w:rPr>
        <w:t xml:space="preserve"> London, EC4M 7LS</w:t>
      </w:r>
      <w:r w:rsidRPr="005A0C82">
        <w:rPr>
          <w:rFonts w:ascii="Arial" w:hAnsi="Arial" w:cs="Arial"/>
          <w:bCs/>
          <w:szCs w:val="24"/>
        </w:rPr>
        <w:t xml:space="preserve">. A simultaneous live audiocast of the presentation will be available via the Investors section of the Company’s website at </w:t>
      </w:r>
      <w:hyperlink r:id="rId13" w:history="1">
        <w:r w:rsidR="00ED5C6B" w:rsidRPr="00F0213E">
          <w:rPr>
            <w:rStyle w:val="Hyperlink"/>
            <w:rFonts w:ascii="Arial" w:hAnsi="Arial" w:cs="Arial"/>
            <w:bCs/>
            <w:szCs w:val="24"/>
          </w:rPr>
          <w:t>www.kingfisher.com</w:t>
        </w:r>
      </w:hyperlink>
      <w:r w:rsidR="00ED5C6B">
        <w:rPr>
          <w:rFonts w:ascii="Arial" w:hAnsi="Arial" w:cs="Arial"/>
          <w:bCs/>
          <w:szCs w:val="24"/>
        </w:rPr>
        <w:t xml:space="preserve"> </w:t>
      </w:r>
      <w:r w:rsidRPr="00047B6B">
        <w:rPr>
          <w:rFonts w:ascii="Arial" w:hAnsi="Arial" w:cs="Arial"/>
          <w:bCs/>
          <w:szCs w:val="24"/>
        </w:rPr>
        <w:t>and where, subsequent to the live audiocast, a copy of the results presentation will also be available for viewing.</w:t>
      </w:r>
      <w:r w:rsidR="00FB7207" w:rsidRPr="00047B6B">
        <w:rPr>
          <w:rFonts w:ascii="Arial" w:hAnsi="Arial" w:cs="Arial"/>
          <w:bCs/>
          <w:szCs w:val="24"/>
        </w:rPr>
        <w:t xml:space="preserve"> </w:t>
      </w:r>
    </w:p>
    <w:p w14:paraId="3997BBF5" w14:textId="77777777" w:rsidR="00047B6B" w:rsidRPr="00ED5C6B" w:rsidRDefault="00047B6B" w:rsidP="00440B16">
      <w:pPr>
        <w:autoSpaceDE w:val="0"/>
        <w:autoSpaceDN w:val="0"/>
        <w:adjustRightInd w:val="0"/>
        <w:jc w:val="left"/>
        <w:rPr>
          <w:rFonts w:ascii="Arial" w:hAnsi="Arial" w:cs="Arial"/>
          <w:bCs/>
          <w:szCs w:val="24"/>
        </w:rPr>
      </w:pPr>
    </w:p>
    <w:p w14:paraId="693372E3" w14:textId="357DE3C5" w:rsidR="00D2542C" w:rsidRDefault="00D2542C" w:rsidP="00440B16">
      <w:pPr>
        <w:autoSpaceDE w:val="0"/>
        <w:autoSpaceDN w:val="0"/>
        <w:adjustRightInd w:val="0"/>
        <w:jc w:val="left"/>
        <w:rPr>
          <w:rFonts w:ascii="Arial" w:hAnsi="Arial" w:cs="Arial"/>
          <w:szCs w:val="24"/>
        </w:rPr>
      </w:pPr>
      <w:r w:rsidRPr="00AC598B">
        <w:rPr>
          <w:rFonts w:ascii="Arial" w:hAnsi="Arial" w:cs="Arial"/>
          <w:szCs w:val="24"/>
        </w:rPr>
        <w:t>Our next announcement will be the Q3 trading update for the period ended 31 October 201</w:t>
      </w:r>
      <w:r w:rsidR="00D501F9">
        <w:rPr>
          <w:rFonts w:ascii="Arial" w:hAnsi="Arial" w:cs="Arial"/>
          <w:szCs w:val="24"/>
        </w:rPr>
        <w:t>9</w:t>
      </w:r>
      <w:r w:rsidR="00F528E1">
        <w:rPr>
          <w:rFonts w:ascii="Arial" w:hAnsi="Arial" w:cs="Arial"/>
          <w:szCs w:val="24"/>
        </w:rPr>
        <w:t>,</w:t>
      </w:r>
      <w:r w:rsidRPr="00AC598B">
        <w:rPr>
          <w:rFonts w:ascii="Arial" w:hAnsi="Arial" w:cs="Arial"/>
          <w:szCs w:val="24"/>
        </w:rPr>
        <w:t xml:space="preserve"> on </w:t>
      </w:r>
      <w:r w:rsidR="0082320F" w:rsidRPr="0082320F">
        <w:rPr>
          <w:rFonts w:ascii="Arial" w:hAnsi="Arial" w:cs="Arial"/>
          <w:color w:val="000000" w:themeColor="text1"/>
          <w:szCs w:val="24"/>
        </w:rPr>
        <w:t>2</w:t>
      </w:r>
      <w:r w:rsidR="00D501F9">
        <w:rPr>
          <w:rFonts w:ascii="Arial" w:hAnsi="Arial" w:cs="Arial"/>
          <w:color w:val="000000" w:themeColor="text1"/>
          <w:szCs w:val="24"/>
        </w:rPr>
        <w:t>0</w:t>
      </w:r>
      <w:r w:rsidRPr="00AC598B">
        <w:rPr>
          <w:rFonts w:ascii="Arial" w:hAnsi="Arial" w:cs="Arial"/>
          <w:szCs w:val="24"/>
        </w:rPr>
        <w:t xml:space="preserve"> November 201</w:t>
      </w:r>
      <w:r w:rsidR="00D501F9">
        <w:rPr>
          <w:rFonts w:ascii="Arial" w:hAnsi="Arial" w:cs="Arial"/>
          <w:szCs w:val="24"/>
        </w:rPr>
        <w:t>9</w:t>
      </w:r>
      <w:r w:rsidRPr="00AC598B">
        <w:rPr>
          <w:rFonts w:ascii="Arial" w:hAnsi="Arial" w:cs="Arial"/>
          <w:szCs w:val="24"/>
        </w:rPr>
        <w:t>.</w:t>
      </w:r>
    </w:p>
    <w:p w14:paraId="270E32B3" w14:textId="66BBC149" w:rsidR="00A939D2" w:rsidRDefault="00A939D2" w:rsidP="00440B16">
      <w:pPr>
        <w:autoSpaceDE w:val="0"/>
        <w:autoSpaceDN w:val="0"/>
        <w:adjustRightInd w:val="0"/>
        <w:jc w:val="left"/>
        <w:rPr>
          <w:rFonts w:ascii="Arial" w:hAnsi="Arial" w:cs="Arial"/>
          <w:szCs w:val="24"/>
        </w:rPr>
      </w:pPr>
    </w:p>
    <w:tbl>
      <w:tblPr>
        <w:tblStyle w:val="TableGrid"/>
        <w:tblW w:w="0" w:type="auto"/>
        <w:tblLook w:val="04A0" w:firstRow="1" w:lastRow="0" w:firstColumn="1" w:lastColumn="0" w:noHBand="0" w:noVBand="1"/>
      </w:tblPr>
      <w:tblGrid>
        <w:gridCol w:w="3118"/>
        <w:gridCol w:w="2721"/>
      </w:tblGrid>
      <w:tr w:rsidR="00A939D2" w:rsidRPr="00D72F65" w14:paraId="5F0113B1" w14:textId="77777777" w:rsidTr="00802EB6">
        <w:tc>
          <w:tcPr>
            <w:tcW w:w="3118" w:type="dxa"/>
          </w:tcPr>
          <w:p w14:paraId="2DA91A83" w14:textId="77777777" w:rsidR="00A939D2" w:rsidRPr="00D72F65" w:rsidRDefault="00A939D2" w:rsidP="00802EB6">
            <w:pPr>
              <w:jc w:val="left"/>
              <w:rPr>
                <w:rFonts w:ascii="Arial" w:hAnsi="Arial" w:cs="Arial"/>
                <w:sz w:val="22"/>
                <w:szCs w:val="22"/>
              </w:rPr>
            </w:pPr>
            <w:r w:rsidRPr="00D72F65">
              <w:rPr>
                <w:rFonts w:ascii="Arial" w:hAnsi="Arial" w:cs="Arial"/>
              </w:rPr>
              <w:t>2019/20 interim dividend</w:t>
            </w:r>
          </w:p>
        </w:tc>
        <w:tc>
          <w:tcPr>
            <w:tcW w:w="2721" w:type="dxa"/>
          </w:tcPr>
          <w:p w14:paraId="4B6AE5DC" w14:textId="387D6723" w:rsidR="00A939D2" w:rsidRPr="00D72F65" w:rsidRDefault="00A939D2" w:rsidP="00802EB6">
            <w:pPr>
              <w:jc w:val="left"/>
              <w:rPr>
                <w:rFonts w:ascii="Arial" w:hAnsi="Arial" w:cs="Arial"/>
                <w:sz w:val="22"/>
                <w:szCs w:val="22"/>
              </w:rPr>
            </w:pPr>
            <w:r w:rsidRPr="00D72F65">
              <w:rPr>
                <w:rFonts w:ascii="Arial" w:hAnsi="Arial" w:cs="Arial"/>
              </w:rPr>
              <w:t>8 November 2019</w:t>
            </w:r>
          </w:p>
        </w:tc>
      </w:tr>
      <w:tr w:rsidR="00A939D2" w:rsidRPr="00D72F65" w14:paraId="4F726F3C" w14:textId="77777777" w:rsidTr="00802EB6">
        <w:tc>
          <w:tcPr>
            <w:tcW w:w="3118" w:type="dxa"/>
          </w:tcPr>
          <w:p w14:paraId="475D6749" w14:textId="3DEA8C8C" w:rsidR="00A939D2" w:rsidRPr="00D72F65" w:rsidRDefault="00A939D2" w:rsidP="00802EB6">
            <w:pPr>
              <w:jc w:val="left"/>
              <w:rPr>
                <w:rFonts w:ascii="Arial" w:hAnsi="Arial" w:cs="Arial"/>
                <w:sz w:val="22"/>
                <w:szCs w:val="22"/>
              </w:rPr>
            </w:pPr>
            <w:r w:rsidRPr="00D72F65">
              <w:rPr>
                <w:rFonts w:ascii="Arial" w:hAnsi="Arial" w:cs="Arial"/>
              </w:rPr>
              <w:t xml:space="preserve">Q3 </w:t>
            </w:r>
            <w:r w:rsidR="00047B6B">
              <w:rPr>
                <w:rFonts w:ascii="Arial" w:hAnsi="Arial" w:cs="Arial"/>
              </w:rPr>
              <w:t>trading update</w:t>
            </w:r>
          </w:p>
        </w:tc>
        <w:tc>
          <w:tcPr>
            <w:tcW w:w="2721" w:type="dxa"/>
          </w:tcPr>
          <w:p w14:paraId="65502A44" w14:textId="6A1EA0BD" w:rsidR="00A939D2" w:rsidRPr="00D72F65" w:rsidRDefault="00A939D2" w:rsidP="00802EB6">
            <w:pPr>
              <w:jc w:val="left"/>
              <w:rPr>
                <w:rFonts w:ascii="Arial" w:hAnsi="Arial" w:cs="Arial"/>
                <w:sz w:val="22"/>
                <w:szCs w:val="22"/>
              </w:rPr>
            </w:pPr>
            <w:r w:rsidRPr="00D72F65">
              <w:rPr>
                <w:rFonts w:ascii="Arial" w:hAnsi="Arial" w:cs="Arial"/>
              </w:rPr>
              <w:t>20 November 2019</w:t>
            </w:r>
          </w:p>
        </w:tc>
      </w:tr>
      <w:tr w:rsidR="00A939D2" w:rsidRPr="00D72F65" w14:paraId="40CB6032" w14:textId="77777777" w:rsidTr="00802EB6">
        <w:tc>
          <w:tcPr>
            <w:tcW w:w="3118" w:type="dxa"/>
          </w:tcPr>
          <w:p w14:paraId="7422264A" w14:textId="77777777" w:rsidR="00A939D2" w:rsidRPr="00D72F65" w:rsidRDefault="00A939D2" w:rsidP="00802EB6">
            <w:pPr>
              <w:jc w:val="left"/>
              <w:rPr>
                <w:rFonts w:ascii="Arial" w:hAnsi="Arial" w:cs="Arial"/>
                <w:sz w:val="22"/>
                <w:szCs w:val="22"/>
              </w:rPr>
            </w:pPr>
            <w:r>
              <w:rPr>
                <w:rFonts w:ascii="Arial" w:hAnsi="Arial" w:cs="Arial"/>
              </w:rPr>
              <w:t>2019/20 f</w:t>
            </w:r>
            <w:r w:rsidRPr="00D72F65">
              <w:rPr>
                <w:rFonts w:ascii="Arial" w:hAnsi="Arial" w:cs="Arial"/>
              </w:rPr>
              <w:t>inal results</w:t>
            </w:r>
          </w:p>
        </w:tc>
        <w:tc>
          <w:tcPr>
            <w:tcW w:w="2721" w:type="dxa"/>
          </w:tcPr>
          <w:p w14:paraId="5D23C863" w14:textId="41664405" w:rsidR="00A939D2" w:rsidRPr="00D72F65" w:rsidRDefault="00507DB4" w:rsidP="00802EB6">
            <w:pPr>
              <w:jc w:val="left"/>
              <w:rPr>
                <w:rFonts w:ascii="Arial" w:hAnsi="Arial" w:cs="Arial"/>
                <w:sz w:val="22"/>
                <w:szCs w:val="22"/>
              </w:rPr>
            </w:pPr>
            <w:r w:rsidRPr="00B56D28">
              <w:rPr>
                <w:rFonts w:ascii="Arial" w:hAnsi="Arial" w:cs="Arial"/>
              </w:rPr>
              <w:t>24</w:t>
            </w:r>
            <w:r w:rsidR="00A939D2" w:rsidRPr="00F528E1">
              <w:rPr>
                <w:rFonts w:ascii="Arial" w:hAnsi="Arial" w:cs="Arial"/>
              </w:rPr>
              <w:t xml:space="preserve"> March 2020</w:t>
            </w:r>
            <w:r w:rsidR="00565DA4" w:rsidRPr="002110D5">
              <w:rPr>
                <w:rFonts w:ascii="Arial" w:hAnsi="Arial" w:cs="Arial"/>
                <w:vertAlign w:val="superscript"/>
              </w:rPr>
              <w:t>(1)</w:t>
            </w:r>
          </w:p>
        </w:tc>
      </w:tr>
    </w:tbl>
    <w:p w14:paraId="1CCFE75F" w14:textId="0B4C3EC0" w:rsidR="00A939D2" w:rsidRPr="00E630F1" w:rsidRDefault="00565DA4" w:rsidP="00A939D2">
      <w:pPr>
        <w:jc w:val="left"/>
        <w:rPr>
          <w:rFonts w:ascii="Arial" w:hAnsi="Arial" w:cs="Arial"/>
          <w:sz w:val="14"/>
          <w:lang w:val="en-US"/>
        </w:rPr>
      </w:pPr>
      <w:r w:rsidRPr="00AF7A55">
        <w:rPr>
          <w:rFonts w:ascii="Arial" w:hAnsi="Arial" w:cs="Arial"/>
          <w:sz w:val="14"/>
          <w:szCs w:val="14"/>
          <w:lang w:val="en-US"/>
        </w:rPr>
        <w:t xml:space="preserve">(1) </w:t>
      </w:r>
      <w:r w:rsidR="00F528E1" w:rsidRPr="00AF7A55">
        <w:rPr>
          <w:rFonts w:ascii="Arial" w:hAnsi="Arial" w:cs="Arial"/>
          <w:sz w:val="14"/>
          <w:szCs w:val="14"/>
          <w:lang w:val="en-US"/>
        </w:rPr>
        <w:t>This</w:t>
      </w:r>
      <w:r w:rsidR="00F528E1">
        <w:rPr>
          <w:rFonts w:ascii="Arial" w:hAnsi="Arial" w:cs="Arial"/>
          <w:sz w:val="14"/>
          <w:lang w:val="en-US"/>
        </w:rPr>
        <w:t xml:space="preserve"> </w:t>
      </w:r>
      <w:r w:rsidR="00A939D2" w:rsidRPr="00E630F1">
        <w:rPr>
          <w:rFonts w:ascii="Arial" w:hAnsi="Arial" w:cs="Arial"/>
          <w:sz w:val="14"/>
          <w:lang w:val="en-US"/>
        </w:rPr>
        <w:t xml:space="preserve">date </w:t>
      </w:r>
      <w:r w:rsidR="00F528E1">
        <w:rPr>
          <w:rFonts w:ascii="Arial" w:hAnsi="Arial" w:cs="Arial"/>
          <w:sz w:val="14"/>
          <w:lang w:val="en-US"/>
        </w:rPr>
        <w:t xml:space="preserve">is </w:t>
      </w:r>
      <w:r w:rsidR="00A939D2" w:rsidRPr="00E630F1">
        <w:rPr>
          <w:rFonts w:ascii="Arial" w:hAnsi="Arial" w:cs="Arial"/>
          <w:sz w:val="14"/>
          <w:lang w:val="en-US"/>
        </w:rPr>
        <w:t>provisional and may be subject to change.</w:t>
      </w:r>
    </w:p>
    <w:p w14:paraId="1D175CF7" w14:textId="77777777" w:rsidR="00F528E1" w:rsidRDefault="00F528E1" w:rsidP="001064D3">
      <w:pPr>
        <w:autoSpaceDE w:val="0"/>
        <w:autoSpaceDN w:val="0"/>
        <w:adjustRightInd w:val="0"/>
        <w:jc w:val="left"/>
        <w:rPr>
          <w:rFonts w:ascii="Arial" w:hAnsi="Arial" w:cs="Arial"/>
          <w:szCs w:val="24"/>
          <w:lang w:val="en-US"/>
        </w:rPr>
      </w:pPr>
    </w:p>
    <w:p w14:paraId="05132043" w14:textId="6A7A6D2F" w:rsidR="00D2542C" w:rsidRDefault="004F1839" w:rsidP="001064D3">
      <w:pPr>
        <w:autoSpaceDE w:val="0"/>
        <w:autoSpaceDN w:val="0"/>
        <w:adjustRightInd w:val="0"/>
        <w:jc w:val="left"/>
        <w:rPr>
          <w:rFonts w:ascii="Arial" w:hAnsi="Arial" w:cs="Arial"/>
          <w:szCs w:val="24"/>
        </w:rPr>
      </w:pPr>
      <w:r w:rsidRPr="00AC598B">
        <w:rPr>
          <w:rFonts w:ascii="Arial" w:hAnsi="Arial" w:cs="Arial"/>
          <w:szCs w:val="24"/>
        </w:rPr>
        <w:t xml:space="preserve">Kingfisher American Depository Receipts are traded in the US on the OTCQX platform: (OTCQX: KGFHY) </w:t>
      </w:r>
      <w:hyperlink r:id="rId14" w:history="1">
        <w:r w:rsidR="00ED5C6B" w:rsidRPr="00F0213E">
          <w:rPr>
            <w:rStyle w:val="Hyperlink"/>
            <w:rFonts w:ascii="Arial" w:hAnsi="Arial" w:cs="Arial"/>
            <w:szCs w:val="24"/>
          </w:rPr>
          <w:t>http://www.otcmarkets.com/stock/KGFHY/quote</w:t>
        </w:r>
      </w:hyperlink>
      <w:bookmarkEnd w:id="9"/>
      <w:r w:rsidR="00ED5C6B">
        <w:rPr>
          <w:rFonts w:ascii="Arial" w:hAnsi="Arial" w:cs="Arial"/>
          <w:szCs w:val="24"/>
        </w:rPr>
        <w:t>.</w:t>
      </w:r>
    </w:p>
    <w:p w14:paraId="341C514E" w14:textId="60C7C2E8" w:rsidR="00FB7207" w:rsidRDefault="00FB7207" w:rsidP="00EE1E29">
      <w:pPr>
        <w:jc w:val="left"/>
        <w:rPr>
          <w:rFonts w:ascii="Arial" w:hAnsi="Arial" w:cs="Arial"/>
          <w:szCs w:val="24"/>
        </w:rPr>
      </w:pPr>
    </w:p>
    <w:p w14:paraId="0182C398" w14:textId="77777777" w:rsidR="00094E7B" w:rsidRDefault="00094E7B" w:rsidP="00EE1E29">
      <w:pPr>
        <w:jc w:val="left"/>
        <w:rPr>
          <w:rFonts w:ascii="Arial" w:hAnsi="Arial" w:cs="Arial"/>
          <w:szCs w:val="24"/>
        </w:rPr>
      </w:pPr>
    </w:p>
    <w:p w14:paraId="659F71DF" w14:textId="48E197F4" w:rsidR="00164C17" w:rsidRDefault="00164C17">
      <w:pPr>
        <w:jc w:val="left"/>
        <w:rPr>
          <w:rFonts w:ascii="Arial" w:hAnsi="Arial" w:cs="Arial"/>
          <w:szCs w:val="24"/>
        </w:rPr>
      </w:pPr>
      <w:r>
        <w:rPr>
          <w:rFonts w:ascii="Arial" w:hAnsi="Arial" w:cs="Arial"/>
          <w:szCs w:val="24"/>
        </w:rPr>
        <w:br w:type="page"/>
      </w:r>
    </w:p>
    <w:p w14:paraId="4B7983F1" w14:textId="6FFB25C4" w:rsidR="00CC45F6" w:rsidRDefault="00181E03" w:rsidP="00EE1E29">
      <w:pPr>
        <w:jc w:val="left"/>
        <w:rPr>
          <w:rFonts w:ascii="Arial" w:hAnsi="Arial" w:cs="Arial"/>
          <w:szCs w:val="24"/>
        </w:rPr>
      </w:pPr>
      <w:r w:rsidRPr="00AC598B">
        <w:rPr>
          <w:rFonts w:ascii="Arial" w:hAnsi="Arial" w:cs="Arial"/>
          <w:szCs w:val="24"/>
        </w:rPr>
        <w:lastRenderedPageBreak/>
        <w:t xml:space="preserve">The remainder of this release </w:t>
      </w:r>
      <w:r w:rsidR="009B6367" w:rsidRPr="00AC598B">
        <w:rPr>
          <w:rFonts w:ascii="Arial" w:hAnsi="Arial" w:cs="Arial"/>
          <w:szCs w:val="24"/>
        </w:rPr>
        <w:t xml:space="preserve">is broken down into </w:t>
      </w:r>
      <w:r w:rsidR="004F4BB9" w:rsidRPr="00AC598B">
        <w:rPr>
          <w:rFonts w:ascii="Arial" w:hAnsi="Arial" w:cs="Arial"/>
          <w:szCs w:val="24"/>
        </w:rPr>
        <w:t xml:space="preserve">six </w:t>
      </w:r>
      <w:r w:rsidRPr="00AC598B">
        <w:rPr>
          <w:rFonts w:ascii="Arial" w:hAnsi="Arial" w:cs="Arial"/>
          <w:szCs w:val="24"/>
        </w:rPr>
        <w:t>main sections:</w:t>
      </w:r>
    </w:p>
    <w:p w14:paraId="10E4BB0E" w14:textId="77777777" w:rsidR="00ED5C6B" w:rsidRDefault="00ED5C6B" w:rsidP="00EE1E29">
      <w:pPr>
        <w:jc w:val="left"/>
        <w:rPr>
          <w:rFonts w:ascii="Arial" w:hAnsi="Arial" w:cs="Arial"/>
          <w:szCs w:val="24"/>
        </w:rPr>
      </w:pPr>
    </w:p>
    <w:p w14:paraId="061CAF1A" w14:textId="46B6C654" w:rsidR="00C34F2D" w:rsidRPr="002840E3" w:rsidRDefault="00446D91" w:rsidP="004B173A">
      <w:pPr>
        <w:numPr>
          <w:ilvl w:val="0"/>
          <w:numId w:val="1"/>
        </w:numPr>
        <w:ind w:left="360"/>
        <w:jc w:val="left"/>
        <w:rPr>
          <w:rFonts w:ascii="Arial" w:hAnsi="Arial" w:cs="Arial"/>
          <w:szCs w:val="24"/>
        </w:rPr>
      </w:pPr>
      <w:r w:rsidRPr="002840E3">
        <w:rPr>
          <w:rFonts w:ascii="Arial" w:hAnsi="Arial" w:cs="Arial"/>
          <w:szCs w:val="24"/>
        </w:rPr>
        <w:t>Group update</w:t>
      </w:r>
    </w:p>
    <w:p w14:paraId="157630B8" w14:textId="36D5A09A" w:rsidR="003E3617" w:rsidRPr="00AC598B" w:rsidRDefault="0058650E" w:rsidP="004B173A">
      <w:pPr>
        <w:numPr>
          <w:ilvl w:val="0"/>
          <w:numId w:val="1"/>
        </w:numPr>
        <w:ind w:left="360"/>
        <w:jc w:val="left"/>
        <w:rPr>
          <w:rFonts w:ascii="Arial" w:hAnsi="Arial" w:cs="Arial"/>
          <w:szCs w:val="24"/>
        </w:rPr>
      </w:pPr>
      <w:r w:rsidRPr="00AC598B">
        <w:rPr>
          <w:rFonts w:ascii="Arial" w:hAnsi="Arial" w:cs="Arial"/>
          <w:szCs w:val="24"/>
        </w:rPr>
        <w:t>Trading</w:t>
      </w:r>
      <w:r w:rsidR="007B306A" w:rsidRPr="00AC598B">
        <w:rPr>
          <w:rFonts w:ascii="Arial" w:hAnsi="Arial" w:cs="Arial"/>
          <w:szCs w:val="24"/>
        </w:rPr>
        <w:t xml:space="preserve"> rev</w:t>
      </w:r>
      <w:r w:rsidR="003E3617" w:rsidRPr="00AC598B">
        <w:rPr>
          <w:rFonts w:ascii="Arial" w:hAnsi="Arial" w:cs="Arial"/>
          <w:szCs w:val="24"/>
        </w:rPr>
        <w:t xml:space="preserve">iew by </w:t>
      </w:r>
      <w:r w:rsidR="00130A12" w:rsidRPr="00AC598B">
        <w:rPr>
          <w:rFonts w:ascii="Arial" w:hAnsi="Arial" w:cs="Arial"/>
          <w:szCs w:val="24"/>
        </w:rPr>
        <w:t>division</w:t>
      </w:r>
    </w:p>
    <w:p w14:paraId="12FDB545" w14:textId="02ECE351" w:rsidR="0030578B" w:rsidRPr="00AC598B" w:rsidRDefault="0030578B" w:rsidP="0030578B">
      <w:pPr>
        <w:numPr>
          <w:ilvl w:val="0"/>
          <w:numId w:val="1"/>
        </w:numPr>
        <w:ind w:left="360"/>
        <w:jc w:val="left"/>
        <w:rPr>
          <w:rFonts w:ascii="Arial" w:hAnsi="Arial" w:cs="Arial"/>
          <w:szCs w:val="24"/>
        </w:rPr>
      </w:pPr>
      <w:r w:rsidRPr="00AC598B">
        <w:rPr>
          <w:rFonts w:ascii="Arial" w:hAnsi="Arial" w:cs="Arial"/>
          <w:szCs w:val="24"/>
        </w:rPr>
        <w:t>FY 201</w:t>
      </w:r>
      <w:r w:rsidR="00D501F9">
        <w:rPr>
          <w:rFonts w:ascii="Arial" w:hAnsi="Arial" w:cs="Arial"/>
          <w:szCs w:val="24"/>
        </w:rPr>
        <w:t>9</w:t>
      </w:r>
      <w:r w:rsidRPr="00AC598B">
        <w:rPr>
          <w:rFonts w:ascii="Arial" w:hAnsi="Arial" w:cs="Arial"/>
          <w:szCs w:val="24"/>
        </w:rPr>
        <w:t>/</w:t>
      </w:r>
      <w:r w:rsidR="00D501F9">
        <w:rPr>
          <w:rFonts w:ascii="Arial" w:hAnsi="Arial" w:cs="Arial"/>
          <w:szCs w:val="24"/>
        </w:rPr>
        <w:t>20</w:t>
      </w:r>
      <w:r w:rsidRPr="00AC598B">
        <w:rPr>
          <w:rFonts w:ascii="Arial" w:hAnsi="Arial" w:cs="Arial"/>
          <w:szCs w:val="24"/>
        </w:rPr>
        <w:t xml:space="preserve"> Technical guidance</w:t>
      </w:r>
    </w:p>
    <w:p w14:paraId="7237C620" w14:textId="04B93728" w:rsidR="003A35D2" w:rsidRPr="00AC598B" w:rsidRDefault="00931630" w:rsidP="004B173A">
      <w:pPr>
        <w:numPr>
          <w:ilvl w:val="0"/>
          <w:numId w:val="1"/>
        </w:numPr>
        <w:ind w:left="360"/>
        <w:jc w:val="left"/>
        <w:rPr>
          <w:rFonts w:ascii="Arial" w:hAnsi="Arial" w:cs="Arial"/>
          <w:b/>
          <w:bCs/>
          <w:sz w:val="26"/>
          <w:szCs w:val="28"/>
        </w:rPr>
      </w:pPr>
      <w:r w:rsidRPr="00AC598B">
        <w:rPr>
          <w:rFonts w:ascii="Arial" w:hAnsi="Arial" w:cs="Arial"/>
          <w:szCs w:val="24"/>
        </w:rPr>
        <w:t>H</w:t>
      </w:r>
      <w:r w:rsidR="0041309B">
        <w:rPr>
          <w:rFonts w:ascii="Arial" w:hAnsi="Arial" w:cs="Arial"/>
          <w:szCs w:val="24"/>
        </w:rPr>
        <w:t>1</w:t>
      </w:r>
      <w:r w:rsidRPr="00AC598B">
        <w:rPr>
          <w:rFonts w:ascii="Arial" w:hAnsi="Arial" w:cs="Arial"/>
          <w:szCs w:val="24"/>
        </w:rPr>
        <w:t xml:space="preserve"> </w:t>
      </w:r>
      <w:r w:rsidR="006B02CB" w:rsidRPr="00AC598B">
        <w:rPr>
          <w:rFonts w:ascii="Arial" w:hAnsi="Arial" w:cs="Arial"/>
          <w:szCs w:val="24"/>
        </w:rPr>
        <w:t>201</w:t>
      </w:r>
      <w:r w:rsidR="00D501F9">
        <w:rPr>
          <w:rFonts w:ascii="Arial" w:hAnsi="Arial" w:cs="Arial"/>
          <w:szCs w:val="24"/>
        </w:rPr>
        <w:t>9</w:t>
      </w:r>
      <w:r w:rsidR="0073779C">
        <w:rPr>
          <w:rFonts w:ascii="Arial" w:hAnsi="Arial" w:cs="Arial"/>
          <w:szCs w:val="24"/>
        </w:rPr>
        <w:t>/</w:t>
      </w:r>
      <w:r w:rsidR="00D501F9">
        <w:rPr>
          <w:rFonts w:ascii="Arial" w:hAnsi="Arial" w:cs="Arial"/>
          <w:szCs w:val="24"/>
        </w:rPr>
        <w:t>20</w:t>
      </w:r>
      <w:r w:rsidR="006B02CB" w:rsidRPr="00AC598B">
        <w:rPr>
          <w:rFonts w:ascii="Arial" w:hAnsi="Arial" w:cs="Arial"/>
          <w:szCs w:val="24"/>
        </w:rPr>
        <w:t xml:space="preserve"> </w:t>
      </w:r>
      <w:r w:rsidR="003A35D2" w:rsidRPr="00AC598B">
        <w:rPr>
          <w:rFonts w:ascii="Arial" w:hAnsi="Arial" w:cs="Arial"/>
          <w:szCs w:val="24"/>
        </w:rPr>
        <w:t xml:space="preserve">Financial </w:t>
      </w:r>
      <w:r w:rsidR="007341CC" w:rsidRPr="00AC598B">
        <w:rPr>
          <w:rFonts w:ascii="Arial" w:hAnsi="Arial" w:cs="Arial"/>
          <w:szCs w:val="24"/>
        </w:rPr>
        <w:t>r</w:t>
      </w:r>
      <w:r w:rsidR="003A35D2" w:rsidRPr="00AC598B">
        <w:rPr>
          <w:rFonts w:ascii="Arial" w:hAnsi="Arial" w:cs="Arial"/>
          <w:szCs w:val="24"/>
        </w:rPr>
        <w:t xml:space="preserve">eview and, in part 2 of this </w:t>
      </w:r>
      <w:r w:rsidR="0058650E" w:rsidRPr="00AC598B">
        <w:rPr>
          <w:rFonts w:ascii="Arial" w:hAnsi="Arial" w:cs="Arial"/>
          <w:szCs w:val="24"/>
        </w:rPr>
        <w:t>announcement</w:t>
      </w:r>
      <w:r w:rsidR="003A35D2" w:rsidRPr="00AC598B">
        <w:rPr>
          <w:rFonts w:ascii="Arial" w:hAnsi="Arial" w:cs="Arial"/>
          <w:szCs w:val="24"/>
        </w:rPr>
        <w:t>, the</w:t>
      </w:r>
      <w:r w:rsidR="007D43ED" w:rsidRPr="00AC598B">
        <w:rPr>
          <w:rFonts w:ascii="Arial" w:hAnsi="Arial" w:cs="Arial"/>
          <w:szCs w:val="24"/>
        </w:rPr>
        <w:t xml:space="preserve"> </w:t>
      </w:r>
      <w:r w:rsidR="00265815" w:rsidRPr="00AC598B">
        <w:rPr>
          <w:rFonts w:ascii="Arial" w:hAnsi="Arial" w:cs="Arial"/>
          <w:szCs w:val="24"/>
        </w:rPr>
        <w:t xml:space="preserve">half </w:t>
      </w:r>
      <w:r w:rsidR="007A5E76" w:rsidRPr="00AC598B">
        <w:rPr>
          <w:rFonts w:ascii="Arial" w:hAnsi="Arial" w:cs="Arial"/>
          <w:szCs w:val="24"/>
        </w:rPr>
        <w:t xml:space="preserve">year </w:t>
      </w:r>
      <w:r w:rsidR="00265815" w:rsidRPr="00AC598B">
        <w:rPr>
          <w:rFonts w:ascii="Arial" w:hAnsi="Arial" w:cs="Arial"/>
          <w:szCs w:val="24"/>
        </w:rPr>
        <w:t xml:space="preserve">condensed </w:t>
      </w:r>
      <w:r w:rsidR="003A35D2" w:rsidRPr="00AC598B">
        <w:rPr>
          <w:rFonts w:ascii="Arial" w:hAnsi="Arial" w:cs="Arial"/>
          <w:szCs w:val="24"/>
        </w:rPr>
        <w:t>Financial Statements</w:t>
      </w:r>
    </w:p>
    <w:p w14:paraId="37468DDD" w14:textId="28BD17A6" w:rsidR="008B440F" w:rsidRPr="00AC598B" w:rsidRDefault="008B440F" w:rsidP="0047127B">
      <w:pPr>
        <w:numPr>
          <w:ilvl w:val="0"/>
          <w:numId w:val="1"/>
        </w:numPr>
        <w:ind w:left="360"/>
        <w:jc w:val="left"/>
        <w:rPr>
          <w:rFonts w:ascii="Arial" w:hAnsi="Arial" w:cs="Arial"/>
          <w:szCs w:val="24"/>
        </w:rPr>
      </w:pPr>
      <w:r w:rsidRPr="00AC598B">
        <w:rPr>
          <w:rFonts w:ascii="Arial" w:hAnsi="Arial" w:cs="Arial"/>
          <w:szCs w:val="24"/>
        </w:rPr>
        <w:t>Glossary</w:t>
      </w:r>
    </w:p>
    <w:p w14:paraId="4003C319" w14:textId="27509AA0" w:rsidR="00BF424C" w:rsidRPr="00D2542C" w:rsidRDefault="00F865E8" w:rsidP="001064D3">
      <w:pPr>
        <w:numPr>
          <w:ilvl w:val="0"/>
          <w:numId w:val="1"/>
        </w:numPr>
        <w:ind w:left="360"/>
        <w:jc w:val="left"/>
        <w:rPr>
          <w:rFonts w:ascii="Arial" w:hAnsi="Arial" w:cs="Arial"/>
          <w:b/>
          <w:sz w:val="24"/>
          <w:szCs w:val="24"/>
        </w:rPr>
      </w:pPr>
      <w:r w:rsidRPr="00AC598B">
        <w:rPr>
          <w:rFonts w:ascii="Arial" w:hAnsi="Arial" w:cs="Arial"/>
          <w:szCs w:val="24"/>
        </w:rPr>
        <w:t>Forward-looking statements</w:t>
      </w:r>
    </w:p>
    <w:p w14:paraId="2863D570" w14:textId="41077B30" w:rsidR="003E3617" w:rsidRPr="00565B33" w:rsidRDefault="00557FFB" w:rsidP="00516C0D">
      <w:pPr>
        <w:pageBreakBefore/>
        <w:jc w:val="left"/>
        <w:rPr>
          <w:rFonts w:ascii="Arial" w:hAnsi="Arial" w:cs="Arial"/>
          <w:b/>
        </w:rPr>
      </w:pPr>
      <w:r w:rsidRPr="00565B33">
        <w:rPr>
          <w:rFonts w:ascii="Arial" w:hAnsi="Arial" w:cs="Arial"/>
          <w:b/>
          <w:sz w:val="24"/>
          <w:szCs w:val="24"/>
        </w:rPr>
        <w:lastRenderedPageBreak/>
        <w:t xml:space="preserve">Section 1: </w:t>
      </w:r>
      <w:r w:rsidR="00395914" w:rsidRPr="00565B33">
        <w:rPr>
          <w:rFonts w:ascii="Arial" w:hAnsi="Arial" w:cs="Arial"/>
          <w:b/>
        </w:rPr>
        <w:t>Group update</w:t>
      </w:r>
    </w:p>
    <w:p w14:paraId="18FFEB1A" w14:textId="77777777" w:rsidR="00593A8E" w:rsidRPr="00565B33" w:rsidRDefault="00593A8E" w:rsidP="006C2C39">
      <w:pPr>
        <w:jc w:val="left"/>
      </w:pPr>
    </w:p>
    <w:p w14:paraId="41D8A946" w14:textId="4328BA1B" w:rsidR="009226A6" w:rsidRPr="00565B33" w:rsidRDefault="0039782F" w:rsidP="00925EFB">
      <w:pPr>
        <w:jc w:val="left"/>
        <w:rPr>
          <w:rFonts w:ascii="Arial" w:hAnsi="Arial" w:cs="Arial"/>
        </w:rPr>
      </w:pPr>
      <w:r w:rsidRPr="00565B33">
        <w:rPr>
          <w:rFonts w:ascii="Arial" w:hAnsi="Arial" w:cs="Arial"/>
        </w:rPr>
        <w:t>Kingfisher</w:t>
      </w:r>
      <w:r w:rsidR="000270B9">
        <w:rPr>
          <w:rFonts w:ascii="Arial" w:hAnsi="Arial" w:cs="Arial"/>
        </w:rPr>
        <w:t>’s</w:t>
      </w:r>
      <w:r w:rsidR="00395914" w:rsidRPr="00565B33">
        <w:rPr>
          <w:rFonts w:ascii="Arial" w:hAnsi="Arial" w:cs="Arial"/>
        </w:rPr>
        <w:t xml:space="preserve"> transformation</w:t>
      </w:r>
      <w:r w:rsidRPr="00565B33">
        <w:rPr>
          <w:rFonts w:ascii="Arial" w:hAnsi="Arial" w:cs="Arial"/>
        </w:rPr>
        <w:t xml:space="preserve"> plan</w:t>
      </w:r>
      <w:r w:rsidR="00847F4B" w:rsidRPr="00565B33">
        <w:rPr>
          <w:rFonts w:ascii="Arial" w:hAnsi="Arial" w:cs="Arial"/>
        </w:rPr>
        <w:t>,</w:t>
      </w:r>
      <w:r w:rsidR="002C1898" w:rsidRPr="00565B33">
        <w:rPr>
          <w:rFonts w:ascii="Arial" w:hAnsi="Arial" w:cs="Arial"/>
        </w:rPr>
        <w:t xml:space="preserve"> </w:t>
      </w:r>
      <w:r w:rsidR="000270B9">
        <w:rPr>
          <w:rFonts w:ascii="Arial" w:hAnsi="Arial" w:cs="Arial"/>
        </w:rPr>
        <w:t xml:space="preserve">which commenced </w:t>
      </w:r>
      <w:r w:rsidR="00A26556" w:rsidRPr="00565B33">
        <w:rPr>
          <w:rFonts w:ascii="Arial" w:hAnsi="Arial" w:cs="Arial"/>
        </w:rPr>
        <w:t xml:space="preserve">in </w:t>
      </w:r>
      <w:r w:rsidR="00847F4B" w:rsidRPr="00565B33">
        <w:rPr>
          <w:rFonts w:ascii="Arial" w:hAnsi="Arial" w:cs="Arial"/>
        </w:rPr>
        <w:t xml:space="preserve">FY </w:t>
      </w:r>
      <w:r w:rsidR="00C25D15" w:rsidRPr="00565B33">
        <w:rPr>
          <w:rFonts w:ascii="Arial" w:hAnsi="Arial" w:cs="Arial"/>
        </w:rPr>
        <w:t>16/</w:t>
      </w:r>
      <w:r w:rsidR="00847F4B" w:rsidRPr="00565B33">
        <w:rPr>
          <w:rFonts w:ascii="Arial" w:hAnsi="Arial" w:cs="Arial"/>
        </w:rPr>
        <w:t>1</w:t>
      </w:r>
      <w:r w:rsidR="00C25D15" w:rsidRPr="00565B33">
        <w:rPr>
          <w:rFonts w:ascii="Arial" w:hAnsi="Arial" w:cs="Arial"/>
        </w:rPr>
        <w:t>7</w:t>
      </w:r>
      <w:r w:rsidR="00A26556" w:rsidRPr="00565B33">
        <w:rPr>
          <w:rFonts w:ascii="Arial" w:hAnsi="Arial" w:cs="Arial"/>
        </w:rPr>
        <w:t>,</w:t>
      </w:r>
      <w:r w:rsidRPr="00565B33">
        <w:rPr>
          <w:rFonts w:ascii="Arial" w:hAnsi="Arial" w:cs="Arial"/>
        </w:rPr>
        <w:t xml:space="preserve"> </w:t>
      </w:r>
      <w:r w:rsidR="00240214" w:rsidRPr="00565B33">
        <w:rPr>
          <w:rFonts w:ascii="Arial" w:hAnsi="Arial" w:cs="Arial"/>
        </w:rPr>
        <w:t xml:space="preserve">has </w:t>
      </w:r>
      <w:r w:rsidR="000270B9">
        <w:rPr>
          <w:rFonts w:ascii="Arial" w:hAnsi="Arial" w:cs="Arial"/>
        </w:rPr>
        <w:t xml:space="preserve">centred around </w:t>
      </w:r>
      <w:r w:rsidR="00395914" w:rsidRPr="00565B33">
        <w:rPr>
          <w:rFonts w:ascii="Arial" w:hAnsi="Arial" w:cs="Arial"/>
        </w:rPr>
        <w:t>leverag</w:t>
      </w:r>
      <w:r w:rsidR="00240214" w:rsidRPr="00565B33">
        <w:rPr>
          <w:rFonts w:ascii="Arial" w:hAnsi="Arial" w:cs="Arial"/>
        </w:rPr>
        <w:t>ing</w:t>
      </w:r>
      <w:r w:rsidRPr="00565B33">
        <w:rPr>
          <w:rFonts w:ascii="Arial" w:hAnsi="Arial" w:cs="Arial"/>
        </w:rPr>
        <w:t xml:space="preserve"> the scale of the </w:t>
      </w:r>
      <w:r w:rsidR="00240214" w:rsidRPr="00565B33">
        <w:rPr>
          <w:rFonts w:ascii="Arial" w:hAnsi="Arial" w:cs="Arial"/>
        </w:rPr>
        <w:t>Group for the benefit of</w:t>
      </w:r>
      <w:r w:rsidR="00395914" w:rsidRPr="00565B33">
        <w:rPr>
          <w:rFonts w:ascii="Arial" w:hAnsi="Arial" w:cs="Arial"/>
        </w:rPr>
        <w:t xml:space="preserve"> </w:t>
      </w:r>
      <w:r w:rsidR="000270B9">
        <w:rPr>
          <w:rFonts w:ascii="Arial" w:hAnsi="Arial" w:cs="Arial"/>
        </w:rPr>
        <w:t xml:space="preserve">its </w:t>
      </w:r>
      <w:r w:rsidR="00395914" w:rsidRPr="00565B33">
        <w:rPr>
          <w:rFonts w:ascii="Arial" w:hAnsi="Arial" w:cs="Arial"/>
        </w:rPr>
        <w:t xml:space="preserve">customers and </w:t>
      </w:r>
      <w:r w:rsidR="00240214" w:rsidRPr="00565B33">
        <w:rPr>
          <w:rFonts w:ascii="Arial" w:hAnsi="Arial" w:cs="Arial"/>
        </w:rPr>
        <w:t xml:space="preserve">the </w:t>
      </w:r>
      <w:r w:rsidR="000270B9">
        <w:rPr>
          <w:rFonts w:ascii="Arial" w:hAnsi="Arial" w:cs="Arial"/>
        </w:rPr>
        <w:t xml:space="preserve">wider </w:t>
      </w:r>
      <w:r w:rsidR="00395914" w:rsidRPr="00565B33">
        <w:rPr>
          <w:rFonts w:ascii="Arial" w:hAnsi="Arial" w:cs="Arial"/>
        </w:rPr>
        <w:t xml:space="preserve">business. The transformation </w:t>
      </w:r>
      <w:r w:rsidR="00240214" w:rsidRPr="00565B33">
        <w:rPr>
          <w:rFonts w:ascii="Arial" w:hAnsi="Arial" w:cs="Arial"/>
        </w:rPr>
        <w:t>activity has</w:t>
      </w:r>
      <w:r w:rsidR="00395914" w:rsidRPr="00565B33">
        <w:rPr>
          <w:rFonts w:ascii="Arial" w:hAnsi="Arial" w:cs="Arial"/>
        </w:rPr>
        <w:t xml:space="preserve"> </w:t>
      </w:r>
      <w:r w:rsidR="00BD1638" w:rsidRPr="00565B33">
        <w:rPr>
          <w:rFonts w:ascii="Arial" w:hAnsi="Arial" w:cs="Arial"/>
        </w:rPr>
        <w:t xml:space="preserve">concentrated on </w:t>
      </w:r>
      <w:r w:rsidR="00395914" w:rsidRPr="00565B33">
        <w:rPr>
          <w:rFonts w:ascii="Arial" w:hAnsi="Arial" w:cs="Arial"/>
        </w:rPr>
        <w:t>three key strategic pillars:</w:t>
      </w:r>
    </w:p>
    <w:p w14:paraId="7D05E8ED" w14:textId="77777777" w:rsidR="00A77D26" w:rsidRPr="00565B33" w:rsidRDefault="00A77D26" w:rsidP="00566696">
      <w:pPr>
        <w:jc w:val="left"/>
        <w:rPr>
          <w:rFonts w:ascii="Arial" w:hAnsi="Arial" w:cs="Arial"/>
        </w:rPr>
      </w:pPr>
    </w:p>
    <w:p w14:paraId="6E0EA09F" w14:textId="77777777" w:rsidR="00F60281" w:rsidRPr="00565B33" w:rsidRDefault="00F60281" w:rsidP="001140BA">
      <w:pPr>
        <w:numPr>
          <w:ilvl w:val="0"/>
          <w:numId w:val="8"/>
        </w:numPr>
        <w:jc w:val="left"/>
        <w:rPr>
          <w:rFonts w:ascii="Arial" w:hAnsi="Arial" w:cs="Arial"/>
        </w:rPr>
      </w:pPr>
      <w:r w:rsidRPr="00565B33">
        <w:rPr>
          <w:rFonts w:ascii="Arial" w:hAnsi="Arial" w:cs="Arial"/>
        </w:rPr>
        <w:t xml:space="preserve">creating a unified, unique and leading home improvement </w:t>
      </w:r>
      <w:r w:rsidRPr="008305DA">
        <w:rPr>
          <w:rFonts w:ascii="Arial" w:hAnsi="Arial" w:cs="Arial"/>
          <w:b/>
          <w:bCs/>
        </w:rPr>
        <w:t>offer</w:t>
      </w:r>
      <w:r w:rsidRPr="00565B33">
        <w:rPr>
          <w:rFonts w:ascii="Arial" w:hAnsi="Arial" w:cs="Arial"/>
        </w:rPr>
        <w:t xml:space="preserve">; </w:t>
      </w:r>
    </w:p>
    <w:p w14:paraId="4234E414" w14:textId="3C0EACC9" w:rsidR="00F60281" w:rsidRPr="00565B33" w:rsidRDefault="00F60281" w:rsidP="001140BA">
      <w:pPr>
        <w:numPr>
          <w:ilvl w:val="0"/>
          <w:numId w:val="8"/>
        </w:numPr>
        <w:jc w:val="left"/>
        <w:rPr>
          <w:rFonts w:ascii="Arial" w:hAnsi="Arial" w:cs="Arial"/>
        </w:rPr>
      </w:pPr>
      <w:r w:rsidRPr="00565B33">
        <w:rPr>
          <w:rFonts w:ascii="Arial" w:hAnsi="Arial" w:cs="Arial"/>
        </w:rPr>
        <w:t xml:space="preserve">driving </w:t>
      </w:r>
      <w:r w:rsidRPr="008305DA">
        <w:rPr>
          <w:rFonts w:ascii="Arial" w:hAnsi="Arial" w:cs="Arial"/>
          <w:b/>
          <w:bCs/>
        </w:rPr>
        <w:t>digital</w:t>
      </w:r>
      <w:r w:rsidRPr="00565B33">
        <w:rPr>
          <w:rFonts w:ascii="Arial" w:hAnsi="Arial" w:cs="Arial"/>
        </w:rPr>
        <w:t xml:space="preserve"> capability; and </w:t>
      </w:r>
    </w:p>
    <w:p w14:paraId="021EB7E6" w14:textId="12D53011" w:rsidR="00F60281" w:rsidRPr="00565B33" w:rsidRDefault="00F60281" w:rsidP="001140BA">
      <w:pPr>
        <w:numPr>
          <w:ilvl w:val="0"/>
          <w:numId w:val="8"/>
        </w:numPr>
        <w:jc w:val="left"/>
        <w:rPr>
          <w:rFonts w:ascii="Arial" w:hAnsi="Arial" w:cs="Arial"/>
        </w:rPr>
      </w:pPr>
      <w:r w:rsidRPr="00565B33">
        <w:rPr>
          <w:rFonts w:ascii="Arial" w:hAnsi="Arial" w:cs="Arial"/>
        </w:rPr>
        <w:t xml:space="preserve">optimising </w:t>
      </w:r>
      <w:r w:rsidRPr="008305DA">
        <w:rPr>
          <w:rFonts w:ascii="Arial" w:hAnsi="Arial" w:cs="Arial"/>
          <w:b/>
          <w:bCs/>
        </w:rPr>
        <w:t>operational efficiency</w:t>
      </w:r>
      <w:r w:rsidRPr="00565B33">
        <w:rPr>
          <w:rFonts w:ascii="Arial" w:hAnsi="Arial" w:cs="Arial"/>
        </w:rPr>
        <w:t xml:space="preserve">. </w:t>
      </w:r>
    </w:p>
    <w:p w14:paraId="630508EC" w14:textId="17A1B473" w:rsidR="00BD5D04" w:rsidRPr="00BF5E94" w:rsidRDefault="00BD5D04" w:rsidP="0002565A">
      <w:pPr>
        <w:jc w:val="left"/>
        <w:rPr>
          <w:rFonts w:ascii="Arial" w:hAnsi="Arial" w:cs="Arial"/>
          <w:b/>
          <w:highlight w:val="yellow"/>
        </w:rPr>
      </w:pPr>
    </w:p>
    <w:p w14:paraId="00B34D3A" w14:textId="32303B6C" w:rsidR="00052FF1" w:rsidRDefault="00052FF1" w:rsidP="00856B2C">
      <w:pPr>
        <w:jc w:val="left"/>
        <w:rPr>
          <w:rFonts w:ascii="Arial" w:hAnsi="Arial" w:cs="Arial"/>
        </w:rPr>
      </w:pPr>
      <w:r>
        <w:rPr>
          <w:rFonts w:ascii="Arial" w:hAnsi="Arial" w:cs="Arial"/>
          <w:bCs/>
          <w:lang w:val="en-US"/>
        </w:rPr>
        <w:t>T</w:t>
      </w:r>
      <w:r w:rsidRPr="00052FF1">
        <w:rPr>
          <w:rFonts w:ascii="Arial" w:hAnsi="Arial" w:cs="Arial"/>
          <w:bCs/>
          <w:lang w:val="en-US"/>
        </w:rPr>
        <w:t xml:space="preserve">he aim </w:t>
      </w:r>
      <w:r>
        <w:rPr>
          <w:rFonts w:ascii="Arial" w:hAnsi="Arial" w:cs="Arial"/>
          <w:bCs/>
          <w:lang w:val="en-US"/>
        </w:rPr>
        <w:t xml:space="preserve">of the transformation </w:t>
      </w:r>
      <w:r w:rsidR="00774771">
        <w:rPr>
          <w:rFonts w:ascii="Arial" w:hAnsi="Arial" w:cs="Arial"/>
          <w:bCs/>
          <w:lang w:val="en-US"/>
        </w:rPr>
        <w:t>is</w:t>
      </w:r>
      <w:r w:rsidR="00D42DC4">
        <w:rPr>
          <w:rFonts w:ascii="Arial" w:hAnsi="Arial" w:cs="Arial"/>
          <w:bCs/>
          <w:lang w:val="en-US"/>
        </w:rPr>
        <w:t xml:space="preserve"> </w:t>
      </w:r>
      <w:r w:rsidRPr="00052FF1">
        <w:rPr>
          <w:rFonts w:ascii="Arial" w:hAnsi="Arial" w:cs="Arial"/>
          <w:bCs/>
          <w:lang w:val="en-US"/>
        </w:rPr>
        <w:t xml:space="preserve">to build a strong </w:t>
      </w:r>
      <w:r>
        <w:rPr>
          <w:rFonts w:ascii="Arial" w:hAnsi="Arial" w:cs="Arial"/>
          <w:bCs/>
          <w:lang w:val="en-US"/>
        </w:rPr>
        <w:t xml:space="preserve">foundation </w:t>
      </w:r>
      <w:r w:rsidRPr="00052FF1">
        <w:rPr>
          <w:rFonts w:ascii="Arial" w:hAnsi="Arial" w:cs="Arial"/>
          <w:bCs/>
          <w:lang w:val="en-US"/>
        </w:rPr>
        <w:t xml:space="preserve">from which </w:t>
      </w:r>
      <w:r>
        <w:rPr>
          <w:rFonts w:ascii="Arial" w:hAnsi="Arial" w:cs="Arial"/>
          <w:bCs/>
          <w:lang w:val="en-US"/>
        </w:rPr>
        <w:t xml:space="preserve">the Group </w:t>
      </w:r>
      <w:r w:rsidR="005A2F64">
        <w:rPr>
          <w:rFonts w:ascii="Arial" w:hAnsi="Arial" w:cs="Arial"/>
          <w:bCs/>
          <w:lang w:val="en-US"/>
        </w:rPr>
        <w:t xml:space="preserve">can </w:t>
      </w:r>
      <w:r w:rsidRPr="00052FF1">
        <w:rPr>
          <w:rFonts w:ascii="Arial" w:hAnsi="Arial" w:cs="Arial"/>
          <w:bCs/>
          <w:lang w:val="en-US"/>
        </w:rPr>
        <w:t xml:space="preserve">create a superior customer proposition, </w:t>
      </w:r>
      <w:r w:rsidR="00340E44">
        <w:rPr>
          <w:rFonts w:ascii="Arial" w:hAnsi="Arial" w:cs="Arial"/>
          <w:bCs/>
          <w:lang w:val="en-US"/>
        </w:rPr>
        <w:t>adapt</w:t>
      </w:r>
      <w:r w:rsidR="00340E44" w:rsidRPr="00052FF1">
        <w:rPr>
          <w:rFonts w:ascii="Arial" w:hAnsi="Arial" w:cs="Arial"/>
          <w:bCs/>
          <w:lang w:val="en-US"/>
        </w:rPr>
        <w:t xml:space="preserve"> to changes in consumer</w:t>
      </w:r>
      <w:r w:rsidR="00340E44">
        <w:rPr>
          <w:rFonts w:ascii="Arial" w:hAnsi="Arial" w:cs="Arial"/>
          <w:bCs/>
          <w:lang w:val="en-US"/>
        </w:rPr>
        <w:t xml:space="preserve"> shopping habits </w:t>
      </w:r>
      <w:r w:rsidRPr="00052FF1">
        <w:rPr>
          <w:rFonts w:ascii="Arial" w:hAnsi="Arial" w:cs="Arial"/>
          <w:bCs/>
          <w:lang w:val="en-US"/>
        </w:rPr>
        <w:t xml:space="preserve">and </w:t>
      </w:r>
      <w:r w:rsidR="00D42DC4">
        <w:rPr>
          <w:rFonts w:ascii="Arial" w:hAnsi="Arial" w:cs="Arial"/>
          <w:bCs/>
          <w:lang w:val="en-US"/>
        </w:rPr>
        <w:t xml:space="preserve">to </w:t>
      </w:r>
      <w:r w:rsidRPr="00052FF1">
        <w:rPr>
          <w:rFonts w:ascii="Arial" w:hAnsi="Arial" w:cs="Arial"/>
          <w:bCs/>
          <w:lang w:val="en-US"/>
        </w:rPr>
        <w:t xml:space="preserve">deliver more profitable growth. </w:t>
      </w:r>
    </w:p>
    <w:p w14:paraId="11574976" w14:textId="77777777" w:rsidR="00D42DC4" w:rsidRDefault="00D42DC4" w:rsidP="00856B2C">
      <w:pPr>
        <w:jc w:val="left"/>
        <w:rPr>
          <w:rFonts w:ascii="Arial" w:hAnsi="Arial" w:cs="Arial"/>
        </w:rPr>
      </w:pPr>
    </w:p>
    <w:p w14:paraId="4F4C91D7" w14:textId="51BEB950" w:rsidR="00433D76" w:rsidRDefault="00BD1638" w:rsidP="00856B2C">
      <w:pPr>
        <w:jc w:val="left"/>
        <w:rPr>
          <w:rFonts w:ascii="Arial" w:hAnsi="Arial" w:cs="Arial"/>
        </w:rPr>
      </w:pPr>
      <w:r w:rsidRPr="001652D3">
        <w:rPr>
          <w:rFonts w:ascii="Arial" w:hAnsi="Arial" w:cs="Arial"/>
        </w:rPr>
        <w:t xml:space="preserve">After three and </w:t>
      </w:r>
      <w:r w:rsidR="000270B9">
        <w:rPr>
          <w:rFonts w:ascii="Arial" w:hAnsi="Arial" w:cs="Arial"/>
        </w:rPr>
        <w:t xml:space="preserve">a </w:t>
      </w:r>
      <w:r w:rsidRPr="001652D3">
        <w:rPr>
          <w:rFonts w:ascii="Arial" w:hAnsi="Arial" w:cs="Arial"/>
        </w:rPr>
        <w:t>half years of transformation</w:t>
      </w:r>
      <w:r w:rsidR="00591DB0" w:rsidRPr="001652D3">
        <w:rPr>
          <w:rFonts w:ascii="Arial" w:hAnsi="Arial" w:cs="Arial"/>
        </w:rPr>
        <w:t xml:space="preserve"> activity</w:t>
      </w:r>
      <w:r w:rsidRPr="001652D3">
        <w:rPr>
          <w:rFonts w:ascii="Arial" w:hAnsi="Arial" w:cs="Arial"/>
        </w:rPr>
        <w:t xml:space="preserve">, </w:t>
      </w:r>
      <w:r w:rsidR="00591DB0" w:rsidRPr="001652D3">
        <w:rPr>
          <w:rFonts w:ascii="Arial" w:hAnsi="Arial" w:cs="Arial"/>
        </w:rPr>
        <w:t xml:space="preserve">the business has been </w:t>
      </w:r>
      <w:r w:rsidRPr="001652D3">
        <w:rPr>
          <w:rFonts w:ascii="Arial" w:hAnsi="Arial" w:cs="Arial"/>
        </w:rPr>
        <w:t>significantly reorganised including establishing a single buying organisation</w:t>
      </w:r>
      <w:r w:rsidR="00D42DC4">
        <w:rPr>
          <w:rFonts w:ascii="Arial" w:hAnsi="Arial" w:cs="Arial"/>
        </w:rPr>
        <w:t xml:space="preserve"> in order </w:t>
      </w:r>
      <w:r w:rsidR="00591DB0" w:rsidRPr="001652D3">
        <w:rPr>
          <w:rFonts w:ascii="Arial" w:hAnsi="Arial" w:cs="Arial"/>
        </w:rPr>
        <w:t>to</w:t>
      </w:r>
      <w:r w:rsidRPr="001652D3">
        <w:rPr>
          <w:rFonts w:ascii="Arial" w:hAnsi="Arial" w:cs="Arial"/>
        </w:rPr>
        <w:t xml:space="preserve"> leverag</w:t>
      </w:r>
      <w:r w:rsidR="00591DB0" w:rsidRPr="001652D3">
        <w:rPr>
          <w:rFonts w:ascii="Arial" w:hAnsi="Arial" w:cs="Arial"/>
        </w:rPr>
        <w:t>e</w:t>
      </w:r>
      <w:r w:rsidRPr="001652D3">
        <w:rPr>
          <w:rFonts w:ascii="Arial" w:hAnsi="Arial" w:cs="Arial"/>
        </w:rPr>
        <w:t xml:space="preserve"> the </w:t>
      </w:r>
      <w:r w:rsidR="00591DB0" w:rsidRPr="001652D3">
        <w:rPr>
          <w:rFonts w:ascii="Arial" w:hAnsi="Arial" w:cs="Arial"/>
        </w:rPr>
        <w:t xml:space="preserve">buying </w:t>
      </w:r>
      <w:r w:rsidRPr="001652D3">
        <w:rPr>
          <w:rFonts w:ascii="Arial" w:hAnsi="Arial" w:cs="Arial"/>
        </w:rPr>
        <w:t>scale of the Group</w:t>
      </w:r>
      <w:r w:rsidR="00433D76">
        <w:rPr>
          <w:rFonts w:ascii="Arial" w:hAnsi="Arial" w:cs="Arial"/>
        </w:rPr>
        <w:t xml:space="preserve">. </w:t>
      </w:r>
      <w:r w:rsidR="00E52E4E">
        <w:rPr>
          <w:rFonts w:ascii="Arial" w:hAnsi="Arial" w:cs="Arial"/>
        </w:rPr>
        <w:t>59%</w:t>
      </w:r>
      <w:r w:rsidRPr="001652D3">
        <w:rPr>
          <w:rFonts w:ascii="Arial" w:hAnsi="Arial" w:cs="Arial"/>
        </w:rPr>
        <w:t xml:space="preserve"> of product ranges (COGS) </w:t>
      </w:r>
      <w:r w:rsidR="009140DE" w:rsidRPr="001652D3">
        <w:rPr>
          <w:rFonts w:ascii="Arial" w:hAnsi="Arial" w:cs="Arial"/>
        </w:rPr>
        <w:t>have been unified</w:t>
      </w:r>
      <w:r w:rsidR="00EA2D65">
        <w:rPr>
          <w:rFonts w:ascii="Arial" w:hAnsi="Arial" w:cs="Arial"/>
        </w:rPr>
        <w:t>,</w:t>
      </w:r>
      <w:r w:rsidR="009140DE" w:rsidRPr="001652D3">
        <w:rPr>
          <w:rFonts w:ascii="Arial" w:hAnsi="Arial" w:cs="Arial"/>
        </w:rPr>
        <w:t xml:space="preserve"> </w:t>
      </w:r>
      <w:r w:rsidRPr="001652D3">
        <w:rPr>
          <w:rFonts w:ascii="Arial" w:hAnsi="Arial" w:cs="Arial"/>
        </w:rPr>
        <w:t xml:space="preserve">with sales and </w:t>
      </w:r>
      <w:r w:rsidR="00EA2D65">
        <w:rPr>
          <w:rFonts w:ascii="Arial" w:hAnsi="Arial" w:cs="Arial"/>
        </w:rPr>
        <w:t xml:space="preserve">gross </w:t>
      </w:r>
      <w:r w:rsidRPr="001652D3">
        <w:rPr>
          <w:rFonts w:ascii="Arial" w:hAnsi="Arial" w:cs="Arial"/>
        </w:rPr>
        <w:t xml:space="preserve">margin </w:t>
      </w:r>
      <w:r w:rsidR="004D33FE">
        <w:rPr>
          <w:rFonts w:ascii="Arial" w:hAnsi="Arial" w:cs="Arial"/>
        </w:rPr>
        <w:t xml:space="preserve">% </w:t>
      </w:r>
      <w:r w:rsidRPr="001652D3">
        <w:rPr>
          <w:rFonts w:ascii="Arial" w:hAnsi="Arial" w:cs="Arial"/>
        </w:rPr>
        <w:t>from unified ranges grow</w:t>
      </w:r>
      <w:r w:rsidR="009140DE" w:rsidRPr="001652D3">
        <w:rPr>
          <w:rFonts w:ascii="Arial" w:hAnsi="Arial" w:cs="Arial"/>
        </w:rPr>
        <w:t>ing</w:t>
      </w:r>
      <w:r w:rsidRPr="001652D3">
        <w:rPr>
          <w:rFonts w:ascii="Arial" w:hAnsi="Arial" w:cs="Arial"/>
        </w:rPr>
        <w:t xml:space="preserve"> and outperforming non-unified ranges. </w:t>
      </w:r>
    </w:p>
    <w:p w14:paraId="230209F1" w14:textId="77777777" w:rsidR="00433D76" w:rsidRDefault="00433D76" w:rsidP="00856B2C">
      <w:pPr>
        <w:jc w:val="left"/>
        <w:rPr>
          <w:rFonts w:ascii="Arial" w:hAnsi="Arial" w:cs="Arial"/>
        </w:rPr>
      </w:pPr>
    </w:p>
    <w:p w14:paraId="3F69A31D" w14:textId="7E82CC5C" w:rsidR="00565B33" w:rsidRPr="001652D3" w:rsidRDefault="00732D03" w:rsidP="00856B2C">
      <w:pPr>
        <w:jc w:val="left"/>
        <w:rPr>
          <w:rFonts w:ascii="Arial" w:hAnsi="Arial" w:cs="Arial"/>
        </w:rPr>
      </w:pPr>
      <w:r w:rsidRPr="001652D3">
        <w:rPr>
          <w:rFonts w:ascii="Arial" w:hAnsi="Arial" w:cs="Arial"/>
        </w:rPr>
        <w:t>In H</w:t>
      </w:r>
      <w:r w:rsidR="00FF2D78">
        <w:rPr>
          <w:rFonts w:ascii="Arial" w:hAnsi="Arial" w:cs="Arial"/>
        </w:rPr>
        <w:t>1</w:t>
      </w:r>
      <w:r w:rsidR="009D75B8" w:rsidRPr="001652D3">
        <w:rPr>
          <w:rFonts w:ascii="Arial" w:hAnsi="Arial" w:cs="Arial"/>
        </w:rPr>
        <w:t xml:space="preserve"> </w:t>
      </w:r>
      <w:r w:rsidRPr="001652D3">
        <w:rPr>
          <w:rFonts w:ascii="Arial" w:hAnsi="Arial" w:cs="Arial"/>
        </w:rPr>
        <w:t>19/20</w:t>
      </w:r>
      <w:r w:rsidR="009D75B8" w:rsidRPr="001652D3">
        <w:rPr>
          <w:rFonts w:ascii="Arial" w:hAnsi="Arial" w:cs="Arial"/>
        </w:rPr>
        <w:t xml:space="preserve">, </w:t>
      </w:r>
      <w:r w:rsidR="00EA2D65">
        <w:rPr>
          <w:rFonts w:ascii="Arial" w:hAnsi="Arial" w:cs="Arial"/>
        </w:rPr>
        <w:t xml:space="preserve">the </w:t>
      </w:r>
      <w:r w:rsidR="009D75B8" w:rsidRPr="001652D3">
        <w:rPr>
          <w:rFonts w:ascii="Arial" w:hAnsi="Arial" w:cs="Arial"/>
        </w:rPr>
        <w:t xml:space="preserve">gross margin </w:t>
      </w:r>
      <w:r w:rsidR="004D33FE">
        <w:rPr>
          <w:rFonts w:ascii="Arial" w:hAnsi="Arial" w:cs="Arial"/>
        </w:rPr>
        <w:t xml:space="preserve">% </w:t>
      </w:r>
      <w:r w:rsidR="009D75B8" w:rsidRPr="001652D3">
        <w:rPr>
          <w:rFonts w:ascii="Arial" w:hAnsi="Arial" w:cs="Arial"/>
        </w:rPr>
        <w:t xml:space="preserve">for unified ranges increased by </w:t>
      </w:r>
      <w:r w:rsidR="00EA2D65">
        <w:rPr>
          <w:rFonts w:ascii="Arial" w:hAnsi="Arial" w:cs="Arial"/>
        </w:rPr>
        <w:t xml:space="preserve">c. </w:t>
      </w:r>
      <w:r w:rsidR="00507DB4" w:rsidRPr="001652D3">
        <w:rPr>
          <w:rFonts w:ascii="Arial" w:hAnsi="Arial" w:cs="Arial"/>
        </w:rPr>
        <w:t>150</w:t>
      </w:r>
      <w:r w:rsidR="00FF2D78">
        <w:rPr>
          <w:rFonts w:ascii="Arial" w:hAnsi="Arial" w:cs="Arial"/>
        </w:rPr>
        <w:t xml:space="preserve"> basis points </w:t>
      </w:r>
      <w:r w:rsidR="00EA2D65">
        <w:rPr>
          <w:rFonts w:ascii="Arial" w:hAnsi="Arial" w:cs="Arial"/>
        </w:rPr>
        <w:t>year on year</w:t>
      </w:r>
      <w:r w:rsidR="009D75B8" w:rsidRPr="001652D3">
        <w:rPr>
          <w:rFonts w:ascii="Arial" w:hAnsi="Arial" w:cs="Arial"/>
        </w:rPr>
        <w:t>, after cost price inflation and price investment (</w:t>
      </w:r>
      <w:r w:rsidR="00EA2D65">
        <w:rPr>
          <w:rFonts w:ascii="Arial" w:hAnsi="Arial" w:cs="Arial"/>
        </w:rPr>
        <w:t xml:space="preserve">but </w:t>
      </w:r>
      <w:r w:rsidR="009D75B8" w:rsidRPr="001652D3">
        <w:rPr>
          <w:rFonts w:ascii="Arial" w:hAnsi="Arial" w:cs="Arial"/>
        </w:rPr>
        <w:t xml:space="preserve">before clearance and the impact of </w:t>
      </w:r>
      <w:r w:rsidR="002A5FCA" w:rsidRPr="001652D3">
        <w:rPr>
          <w:rFonts w:ascii="Arial" w:hAnsi="Arial" w:cs="Arial"/>
        </w:rPr>
        <w:t xml:space="preserve">logistics </w:t>
      </w:r>
      <w:r w:rsidR="00927EA2">
        <w:rPr>
          <w:rFonts w:ascii="Arial" w:hAnsi="Arial" w:cs="Arial"/>
        </w:rPr>
        <w:t xml:space="preserve">&amp; </w:t>
      </w:r>
      <w:r w:rsidR="002A5FCA" w:rsidRPr="001652D3">
        <w:rPr>
          <w:rFonts w:ascii="Arial" w:hAnsi="Arial" w:cs="Arial"/>
        </w:rPr>
        <w:t>stock</w:t>
      </w:r>
      <w:r w:rsidR="009D75B8" w:rsidRPr="001652D3">
        <w:rPr>
          <w:rFonts w:ascii="Arial" w:hAnsi="Arial" w:cs="Arial"/>
        </w:rPr>
        <w:t xml:space="preserve"> inefficiencies)</w:t>
      </w:r>
      <w:r w:rsidR="00EA2D65">
        <w:rPr>
          <w:rFonts w:ascii="Arial" w:hAnsi="Arial" w:cs="Arial"/>
        </w:rPr>
        <w:t>,</w:t>
      </w:r>
      <w:r w:rsidRPr="001652D3">
        <w:rPr>
          <w:rFonts w:ascii="Arial" w:hAnsi="Arial" w:cs="Arial"/>
        </w:rPr>
        <w:t xml:space="preserve"> equat</w:t>
      </w:r>
      <w:r w:rsidR="00EA2D65">
        <w:rPr>
          <w:rFonts w:ascii="Arial" w:hAnsi="Arial" w:cs="Arial"/>
        </w:rPr>
        <w:t>ing</w:t>
      </w:r>
      <w:r w:rsidRPr="001652D3">
        <w:rPr>
          <w:rFonts w:ascii="Arial" w:hAnsi="Arial" w:cs="Arial"/>
        </w:rPr>
        <w:t xml:space="preserve"> to a </w:t>
      </w:r>
      <w:r w:rsidR="00EA2D65">
        <w:rPr>
          <w:rFonts w:ascii="Arial" w:hAnsi="Arial" w:cs="Arial"/>
        </w:rPr>
        <w:t xml:space="preserve">c. </w:t>
      </w:r>
      <w:r w:rsidR="0053520C" w:rsidRPr="001652D3">
        <w:rPr>
          <w:rFonts w:ascii="Arial" w:hAnsi="Arial" w:cs="Arial"/>
        </w:rPr>
        <w:t>8</w:t>
      </w:r>
      <w:r w:rsidR="00507DB4" w:rsidRPr="001652D3">
        <w:rPr>
          <w:rFonts w:ascii="Arial" w:hAnsi="Arial" w:cs="Arial"/>
        </w:rPr>
        <w:t>0</w:t>
      </w:r>
      <w:r w:rsidRPr="001652D3">
        <w:rPr>
          <w:rFonts w:ascii="Arial" w:hAnsi="Arial" w:cs="Arial"/>
        </w:rPr>
        <w:t xml:space="preserve"> basis points improve</w:t>
      </w:r>
      <w:r w:rsidR="00EA2D65">
        <w:rPr>
          <w:rFonts w:ascii="Arial" w:hAnsi="Arial" w:cs="Arial"/>
        </w:rPr>
        <w:t>ment</w:t>
      </w:r>
      <w:r w:rsidRPr="001652D3">
        <w:rPr>
          <w:rFonts w:ascii="Arial" w:hAnsi="Arial" w:cs="Arial"/>
        </w:rPr>
        <w:t xml:space="preserve"> at a Group level</w:t>
      </w:r>
      <w:r w:rsidR="009D75B8" w:rsidRPr="001652D3">
        <w:rPr>
          <w:rFonts w:ascii="Arial" w:hAnsi="Arial" w:cs="Arial"/>
        </w:rPr>
        <w:t xml:space="preserve">. </w:t>
      </w:r>
    </w:p>
    <w:p w14:paraId="14702639" w14:textId="15578FCF" w:rsidR="001652D3" w:rsidRDefault="001652D3" w:rsidP="00856B2C">
      <w:pPr>
        <w:jc w:val="left"/>
        <w:rPr>
          <w:rFonts w:ascii="Arial" w:hAnsi="Arial" w:cs="Arial"/>
        </w:rPr>
      </w:pPr>
    </w:p>
    <w:p w14:paraId="5B34BA6F" w14:textId="39D573E2" w:rsidR="00EA2D65" w:rsidRDefault="00EA2D65" w:rsidP="00856B2C">
      <w:pPr>
        <w:jc w:val="left"/>
        <w:rPr>
          <w:rFonts w:ascii="Arial" w:hAnsi="Arial" w:cs="Arial"/>
        </w:rPr>
      </w:pPr>
      <w:r w:rsidRPr="00433D76">
        <w:rPr>
          <w:rFonts w:ascii="Arial" w:hAnsi="Arial" w:cs="Arial"/>
          <w:bCs/>
          <w:lang w:val="en-US"/>
        </w:rPr>
        <w:t xml:space="preserve">Alongside </w:t>
      </w:r>
      <w:r>
        <w:rPr>
          <w:rFonts w:ascii="Arial" w:hAnsi="Arial" w:cs="Arial"/>
          <w:bCs/>
          <w:lang w:val="en-US"/>
        </w:rPr>
        <w:t xml:space="preserve">sourcing </w:t>
      </w:r>
      <w:r w:rsidRPr="00433D76">
        <w:rPr>
          <w:rFonts w:ascii="Arial" w:hAnsi="Arial" w:cs="Arial"/>
          <w:bCs/>
          <w:lang w:val="en-US"/>
        </w:rPr>
        <w:t xml:space="preserve">benefits, this </w:t>
      </w:r>
      <w:r>
        <w:rPr>
          <w:rFonts w:ascii="Arial" w:hAnsi="Arial" w:cs="Arial"/>
          <w:bCs/>
          <w:lang w:val="en-US"/>
        </w:rPr>
        <w:t xml:space="preserve">unified approach </w:t>
      </w:r>
      <w:r w:rsidR="007003E2">
        <w:rPr>
          <w:rFonts w:ascii="Arial" w:hAnsi="Arial" w:cs="Arial"/>
          <w:bCs/>
          <w:lang w:val="en-US"/>
        </w:rPr>
        <w:t xml:space="preserve">has also </w:t>
      </w:r>
      <w:r w:rsidRPr="00433D76">
        <w:rPr>
          <w:rFonts w:ascii="Arial" w:hAnsi="Arial" w:cs="Arial"/>
          <w:bCs/>
          <w:lang w:val="en-US"/>
        </w:rPr>
        <w:t>allow</w:t>
      </w:r>
      <w:r w:rsidR="007003E2">
        <w:rPr>
          <w:rFonts w:ascii="Arial" w:hAnsi="Arial" w:cs="Arial"/>
          <w:bCs/>
          <w:lang w:val="en-US"/>
        </w:rPr>
        <w:t>ed</w:t>
      </w:r>
      <w:r w:rsidRPr="00433D76">
        <w:rPr>
          <w:rFonts w:ascii="Arial" w:hAnsi="Arial" w:cs="Arial"/>
          <w:bCs/>
          <w:lang w:val="en-US"/>
        </w:rPr>
        <w:t xml:space="preserve"> </w:t>
      </w:r>
      <w:r w:rsidR="007003E2">
        <w:rPr>
          <w:rFonts w:ascii="Arial" w:hAnsi="Arial" w:cs="Arial"/>
          <w:bCs/>
          <w:lang w:val="en-US"/>
        </w:rPr>
        <w:t xml:space="preserve">the Group </w:t>
      </w:r>
      <w:r w:rsidRPr="00433D76">
        <w:rPr>
          <w:rFonts w:ascii="Arial" w:hAnsi="Arial" w:cs="Arial"/>
          <w:bCs/>
          <w:lang w:val="en-US"/>
        </w:rPr>
        <w:t xml:space="preserve">to leverage </w:t>
      </w:r>
      <w:r w:rsidR="007003E2">
        <w:rPr>
          <w:rFonts w:ascii="Arial" w:hAnsi="Arial" w:cs="Arial"/>
          <w:bCs/>
          <w:lang w:val="en-US"/>
        </w:rPr>
        <w:t xml:space="preserve">its </w:t>
      </w:r>
      <w:r w:rsidRPr="00433D76">
        <w:rPr>
          <w:rFonts w:ascii="Arial" w:hAnsi="Arial" w:cs="Arial"/>
          <w:bCs/>
          <w:lang w:val="en-US"/>
        </w:rPr>
        <w:t>deep understanding of customer needs</w:t>
      </w:r>
      <w:r w:rsidR="00032E7B">
        <w:rPr>
          <w:rFonts w:ascii="Arial" w:hAnsi="Arial" w:cs="Arial"/>
          <w:bCs/>
          <w:lang w:val="en-US"/>
        </w:rPr>
        <w:t xml:space="preserve"> </w:t>
      </w:r>
      <w:r w:rsidR="00DB3707">
        <w:rPr>
          <w:rFonts w:ascii="Arial" w:hAnsi="Arial" w:cs="Arial"/>
          <w:bCs/>
          <w:lang w:val="en-US"/>
        </w:rPr>
        <w:t>to</w:t>
      </w:r>
      <w:r w:rsidR="00032E7B">
        <w:rPr>
          <w:rFonts w:ascii="Arial" w:hAnsi="Arial" w:cs="Arial"/>
          <w:bCs/>
          <w:lang w:val="en-US"/>
        </w:rPr>
        <w:t xml:space="preserve"> create its own exclusive brands</w:t>
      </w:r>
      <w:r w:rsidR="00DB3707">
        <w:rPr>
          <w:rFonts w:ascii="Arial" w:hAnsi="Arial" w:cs="Arial"/>
          <w:bCs/>
          <w:lang w:val="en-US"/>
        </w:rPr>
        <w:t xml:space="preserve"> and develop</w:t>
      </w:r>
      <w:r w:rsidRPr="00EA2D65">
        <w:rPr>
          <w:rFonts w:ascii="Arial" w:hAnsi="Arial" w:cs="Arial"/>
          <w:bCs/>
          <w:lang w:val="en-US"/>
        </w:rPr>
        <w:t xml:space="preserve"> </w:t>
      </w:r>
      <w:r w:rsidR="007003E2">
        <w:rPr>
          <w:rFonts w:ascii="Arial" w:hAnsi="Arial" w:cs="Arial"/>
          <w:bCs/>
          <w:lang w:val="en-US"/>
        </w:rPr>
        <w:t>‘</w:t>
      </w:r>
      <w:r w:rsidR="00032E7B">
        <w:rPr>
          <w:rFonts w:ascii="Arial" w:hAnsi="Arial" w:cs="Arial"/>
          <w:bCs/>
          <w:lang w:val="en-US"/>
        </w:rPr>
        <w:t>u</w:t>
      </w:r>
      <w:r w:rsidRPr="00EA2D65">
        <w:rPr>
          <w:rFonts w:ascii="Arial" w:hAnsi="Arial" w:cs="Arial"/>
          <w:bCs/>
          <w:lang w:val="en-US"/>
        </w:rPr>
        <w:t>nique</w:t>
      </w:r>
      <w:r w:rsidR="007003E2">
        <w:rPr>
          <w:rFonts w:ascii="Arial" w:hAnsi="Arial" w:cs="Arial"/>
          <w:bCs/>
          <w:lang w:val="en-US"/>
        </w:rPr>
        <w:t>’</w:t>
      </w:r>
      <w:r w:rsidRPr="00EA2D65">
        <w:rPr>
          <w:rFonts w:ascii="Arial" w:hAnsi="Arial" w:cs="Arial"/>
          <w:bCs/>
          <w:lang w:val="en-US"/>
        </w:rPr>
        <w:t xml:space="preserve"> ranges offering differentiated design</w:t>
      </w:r>
      <w:r w:rsidR="007003E2">
        <w:rPr>
          <w:rFonts w:ascii="Arial" w:hAnsi="Arial" w:cs="Arial"/>
          <w:bCs/>
          <w:lang w:val="en-US"/>
        </w:rPr>
        <w:t>, high functionality</w:t>
      </w:r>
      <w:r w:rsidR="00032E7B">
        <w:rPr>
          <w:rFonts w:ascii="Arial" w:hAnsi="Arial" w:cs="Arial"/>
          <w:bCs/>
          <w:lang w:val="en-US"/>
        </w:rPr>
        <w:t>,</w:t>
      </w:r>
      <w:r w:rsidR="007003E2">
        <w:rPr>
          <w:rFonts w:ascii="Arial" w:hAnsi="Arial" w:cs="Arial"/>
          <w:bCs/>
          <w:lang w:val="en-US"/>
        </w:rPr>
        <w:t xml:space="preserve"> and quality at an affordable price</w:t>
      </w:r>
      <w:r w:rsidRPr="00EA2D65">
        <w:rPr>
          <w:rFonts w:ascii="Arial" w:hAnsi="Arial" w:cs="Arial"/>
          <w:bCs/>
          <w:lang w:val="en-US"/>
        </w:rPr>
        <w:t>.</w:t>
      </w:r>
      <w:r w:rsidR="00032E7B">
        <w:rPr>
          <w:rFonts w:ascii="Arial" w:hAnsi="Arial" w:cs="Arial"/>
          <w:bCs/>
          <w:lang w:val="en-US"/>
        </w:rPr>
        <w:t xml:space="preserve"> Sales from unique ranges are a small </w:t>
      </w:r>
      <w:r w:rsidR="004E2BC6">
        <w:rPr>
          <w:rFonts w:ascii="Arial" w:hAnsi="Arial" w:cs="Arial"/>
          <w:bCs/>
          <w:lang w:val="en-US"/>
        </w:rPr>
        <w:t xml:space="preserve">but growing </w:t>
      </w:r>
      <w:r w:rsidR="00032E7B">
        <w:rPr>
          <w:rFonts w:ascii="Arial" w:hAnsi="Arial" w:cs="Arial"/>
          <w:bCs/>
          <w:lang w:val="en-US"/>
        </w:rPr>
        <w:t xml:space="preserve">proportion of </w:t>
      </w:r>
      <w:r w:rsidR="004377A3">
        <w:rPr>
          <w:rFonts w:ascii="Arial" w:hAnsi="Arial" w:cs="Arial"/>
          <w:bCs/>
          <w:lang w:val="en-US"/>
        </w:rPr>
        <w:t xml:space="preserve">overall sales </w:t>
      </w:r>
      <w:r w:rsidR="00032E7B">
        <w:rPr>
          <w:rFonts w:ascii="Arial" w:hAnsi="Arial" w:cs="Arial"/>
          <w:bCs/>
          <w:lang w:val="en-US"/>
        </w:rPr>
        <w:t>today</w:t>
      </w:r>
      <w:r w:rsidR="004E2BC6">
        <w:rPr>
          <w:rFonts w:ascii="Arial" w:hAnsi="Arial" w:cs="Arial"/>
          <w:bCs/>
          <w:lang w:val="en-US"/>
        </w:rPr>
        <w:t>.</w:t>
      </w:r>
    </w:p>
    <w:p w14:paraId="28308D2B" w14:textId="77777777" w:rsidR="00EA2D65" w:rsidRPr="001652D3" w:rsidRDefault="00EA2D65" w:rsidP="00856B2C">
      <w:pPr>
        <w:jc w:val="left"/>
        <w:rPr>
          <w:rFonts w:ascii="Arial" w:hAnsi="Arial" w:cs="Arial"/>
        </w:rPr>
      </w:pPr>
    </w:p>
    <w:p w14:paraId="7DD924C1" w14:textId="2C32A7E8" w:rsidR="00DF5240" w:rsidRDefault="004377A3" w:rsidP="00DF5240">
      <w:pPr>
        <w:jc w:val="left"/>
        <w:rPr>
          <w:rFonts w:ascii="Arial" w:hAnsi="Arial" w:cs="Arial"/>
        </w:rPr>
      </w:pPr>
      <w:r>
        <w:rPr>
          <w:rFonts w:ascii="Arial" w:hAnsi="Arial" w:cs="Arial"/>
          <w:bCs/>
          <w:lang w:val="en-US"/>
        </w:rPr>
        <w:t xml:space="preserve">Kingfisher is </w:t>
      </w:r>
      <w:r w:rsidRPr="004377A3">
        <w:rPr>
          <w:rFonts w:ascii="Arial" w:hAnsi="Arial" w:cs="Arial"/>
          <w:bCs/>
          <w:lang w:val="en-US"/>
        </w:rPr>
        <w:t>transform</w:t>
      </w:r>
      <w:r>
        <w:rPr>
          <w:rFonts w:ascii="Arial" w:hAnsi="Arial" w:cs="Arial"/>
          <w:bCs/>
          <w:lang w:val="en-US"/>
        </w:rPr>
        <w:t>ing</w:t>
      </w:r>
      <w:r w:rsidRPr="004377A3">
        <w:rPr>
          <w:rFonts w:ascii="Arial" w:hAnsi="Arial" w:cs="Arial"/>
          <w:bCs/>
          <w:lang w:val="en-US"/>
        </w:rPr>
        <w:t xml:space="preserve"> </w:t>
      </w:r>
      <w:r>
        <w:rPr>
          <w:rFonts w:ascii="Arial" w:hAnsi="Arial" w:cs="Arial"/>
          <w:bCs/>
          <w:lang w:val="en-US"/>
        </w:rPr>
        <w:t xml:space="preserve">its </w:t>
      </w:r>
      <w:r w:rsidRPr="004377A3">
        <w:rPr>
          <w:rFonts w:ascii="Arial" w:hAnsi="Arial" w:cs="Arial"/>
          <w:bCs/>
          <w:lang w:val="en-US"/>
        </w:rPr>
        <w:t xml:space="preserve">digital capability through </w:t>
      </w:r>
      <w:r>
        <w:rPr>
          <w:rFonts w:ascii="Arial" w:hAnsi="Arial" w:cs="Arial"/>
          <w:bCs/>
          <w:lang w:val="en-US"/>
        </w:rPr>
        <w:t xml:space="preserve">its </w:t>
      </w:r>
      <w:r w:rsidRPr="004377A3">
        <w:rPr>
          <w:rFonts w:ascii="Arial" w:hAnsi="Arial" w:cs="Arial"/>
          <w:bCs/>
          <w:lang w:val="en-US"/>
        </w:rPr>
        <w:t>unified IT platform</w:t>
      </w:r>
      <w:r w:rsidR="00025F32">
        <w:rPr>
          <w:rFonts w:ascii="Arial" w:hAnsi="Arial" w:cs="Arial"/>
          <w:bCs/>
          <w:lang w:val="en-US"/>
        </w:rPr>
        <w:t xml:space="preserve"> </w:t>
      </w:r>
      <w:r w:rsidR="00413FF8">
        <w:rPr>
          <w:rFonts w:ascii="Arial" w:hAnsi="Arial" w:cs="Arial"/>
          <w:bCs/>
          <w:lang w:val="en-US"/>
        </w:rPr>
        <w:t xml:space="preserve">in order </w:t>
      </w:r>
      <w:r w:rsidR="00025F32">
        <w:rPr>
          <w:rFonts w:ascii="Arial" w:hAnsi="Arial" w:cs="Arial"/>
          <w:bCs/>
          <w:lang w:val="en-US"/>
        </w:rPr>
        <w:t xml:space="preserve">to deliver </w:t>
      </w:r>
      <w:r w:rsidR="00DE68B4">
        <w:rPr>
          <w:rFonts w:ascii="Arial" w:hAnsi="Arial" w:cs="Arial"/>
          <w:bCs/>
          <w:lang w:val="en-US"/>
        </w:rPr>
        <w:t xml:space="preserve">long-term </w:t>
      </w:r>
      <w:r w:rsidR="00F17144">
        <w:rPr>
          <w:rFonts w:ascii="Arial" w:hAnsi="Arial" w:cs="Arial"/>
          <w:bCs/>
          <w:lang w:val="en-US"/>
        </w:rPr>
        <w:t xml:space="preserve">operational </w:t>
      </w:r>
      <w:r w:rsidR="00025F32">
        <w:rPr>
          <w:rFonts w:ascii="Arial" w:hAnsi="Arial" w:cs="Arial"/>
          <w:bCs/>
          <w:lang w:val="en-US"/>
        </w:rPr>
        <w:t xml:space="preserve">efficiency and customer </w:t>
      </w:r>
      <w:r w:rsidR="00F17144">
        <w:rPr>
          <w:rFonts w:ascii="Arial" w:hAnsi="Arial" w:cs="Arial"/>
          <w:bCs/>
          <w:lang w:val="en-US"/>
        </w:rPr>
        <w:t>benefits.</w:t>
      </w:r>
      <w:r w:rsidR="00F17144">
        <w:rPr>
          <w:rFonts w:ascii="Arial" w:hAnsi="Arial" w:cs="Arial"/>
        </w:rPr>
        <w:t xml:space="preserve"> T</w:t>
      </w:r>
      <w:r>
        <w:rPr>
          <w:rFonts w:ascii="Arial" w:hAnsi="Arial" w:cs="Arial"/>
        </w:rPr>
        <w:t xml:space="preserve">he </w:t>
      </w:r>
      <w:r w:rsidR="001652D3" w:rsidRPr="001652D3">
        <w:rPr>
          <w:rFonts w:ascii="Arial" w:hAnsi="Arial" w:cs="Arial"/>
        </w:rPr>
        <w:t xml:space="preserve">rollout </w:t>
      </w:r>
      <w:r>
        <w:rPr>
          <w:rFonts w:ascii="Arial" w:hAnsi="Arial" w:cs="Arial"/>
        </w:rPr>
        <w:t xml:space="preserve">of </w:t>
      </w:r>
      <w:r w:rsidR="00F17144">
        <w:rPr>
          <w:rFonts w:ascii="Arial" w:hAnsi="Arial" w:cs="Arial"/>
        </w:rPr>
        <w:t xml:space="preserve">the </w:t>
      </w:r>
      <w:r w:rsidR="004F6CB3">
        <w:rPr>
          <w:rFonts w:ascii="Arial" w:hAnsi="Arial" w:cs="Arial"/>
        </w:rPr>
        <w:t xml:space="preserve">base </w:t>
      </w:r>
      <w:r w:rsidR="00F17144">
        <w:rPr>
          <w:rFonts w:ascii="Arial" w:hAnsi="Arial" w:cs="Arial"/>
        </w:rPr>
        <w:t>platform</w:t>
      </w:r>
      <w:r>
        <w:rPr>
          <w:rFonts w:ascii="Arial" w:hAnsi="Arial" w:cs="Arial"/>
        </w:rPr>
        <w:t xml:space="preserve"> </w:t>
      </w:r>
      <w:r w:rsidR="001652D3" w:rsidRPr="001652D3">
        <w:rPr>
          <w:rFonts w:ascii="Arial" w:hAnsi="Arial" w:cs="Arial"/>
        </w:rPr>
        <w:t xml:space="preserve">is </w:t>
      </w:r>
      <w:r w:rsidR="001652D3" w:rsidRPr="00025F32">
        <w:rPr>
          <w:rFonts w:ascii="Arial" w:hAnsi="Arial" w:cs="Arial"/>
        </w:rPr>
        <w:t xml:space="preserve">substantially complete. </w:t>
      </w:r>
      <w:r w:rsidR="009140DE" w:rsidRPr="001652D3">
        <w:rPr>
          <w:rFonts w:ascii="Arial" w:hAnsi="Arial" w:cs="Arial"/>
        </w:rPr>
        <w:t>D</w:t>
      </w:r>
      <w:r w:rsidR="00BD1638" w:rsidRPr="001652D3">
        <w:rPr>
          <w:rFonts w:ascii="Arial" w:hAnsi="Arial" w:cs="Arial"/>
        </w:rPr>
        <w:t xml:space="preserve">igital sales </w:t>
      </w:r>
      <w:r>
        <w:rPr>
          <w:rFonts w:ascii="Arial" w:hAnsi="Arial" w:cs="Arial"/>
        </w:rPr>
        <w:t xml:space="preserve">for the Group </w:t>
      </w:r>
      <w:r w:rsidR="00B463F0">
        <w:rPr>
          <w:rFonts w:ascii="Arial" w:hAnsi="Arial"/>
        </w:rPr>
        <w:t xml:space="preserve">grew by </w:t>
      </w:r>
      <w:r w:rsidR="00565B33" w:rsidRPr="001652D3">
        <w:rPr>
          <w:rFonts w:ascii="Arial" w:hAnsi="Arial"/>
        </w:rPr>
        <w:t>18% in H1</w:t>
      </w:r>
      <w:r>
        <w:rPr>
          <w:rFonts w:ascii="Arial" w:hAnsi="Arial"/>
        </w:rPr>
        <w:t xml:space="preserve"> </w:t>
      </w:r>
      <w:r w:rsidR="00565B33" w:rsidRPr="001652D3">
        <w:rPr>
          <w:rFonts w:ascii="Arial" w:hAnsi="Arial"/>
        </w:rPr>
        <w:t>19/20</w:t>
      </w:r>
      <w:r w:rsidR="00B463F0">
        <w:rPr>
          <w:rFonts w:ascii="Arial" w:hAnsi="Arial"/>
        </w:rPr>
        <w:t xml:space="preserve"> (click &amp; collect +24%)</w:t>
      </w:r>
      <w:r w:rsidR="00BD1638" w:rsidRPr="001652D3">
        <w:rPr>
          <w:rFonts w:ascii="Arial" w:hAnsi="Arial" w:cs="Arial"/>
        </w:rPr>
        <w:t xml:space="preserve">, </w:t>
      </w:r>
      <w:r w:rsidR="00B463F0">
        <w:rPr>
          <w:rFonts w:ascii="Arial" w:hAnsi="Arial" w:cs="Arial"/>
        </w:rPr>
        <w:t>now account</w:t>
      </w:r>
      <w:r w:rsidR="002B13F6">
        <w:rPr>
          <w:rFonts w:ascii="Arial" w:hAnsi="Arial" w:cs="Arial"/>
        </w:rPr>
        <w:t>ing</w:t>
      </w:r>
      <w:r w:rsidR="00B463F0">
        <w:rPr>
          <w:rFonts w:ascii="Arial" w:hAnsi="Arial" w:cs="Arial"/>
        </w:rPr>
        <w:t xml:space="preserve"> for </w:t>
      </w:r>
      <w:r w:rsidR="00BD1638" w:rsidRPr="001652D3">
        <w:rPr>
          <w:rFonts w:ascii="Arial" w:hAnsi="Arial"/>
        </w:rPr>
        <w:t>7</w:t>
      </w:r>
      <w:r w:rsidR="00BD1638" w:rsidRPr="001652D3">
        <w:rPr>
          <w:rFonts w:ascii="Arial" w:hAnsi="Arial" w:cs="Arial"/>
        </w:rPr>
        <w:t>% of Group</w:t>
      </w:r>
      <w:r w:rsidR="00591DB0" w:rsidRPr="001652D3">
        <w:rPr>
          <w:rFonts w:ascii="Arial" w:hAnsi="Arial" w:cs="Arial"/>
        </w:rPr>
        <w:t xml:space="preserve"> </w:t>
      </w:r>
      <w:r w:rsidR="006F1689">
        <w:rPr>
          <w:rFonts w:ascii="Arial" w:hAnsi="Arial" w:cs="Arial"/>
        </w:rPr>
        <w:t xml:space="preserve">sales </w:t>
      </w:r>
      <w:r w:rsidR="00591DB0" w:rsidRPr="001652D3">
        <w:rPr>
          <w:rFonts w:ascii="Arial" w:hAnsi="Arial" w:cs="Arial"/>
        </w:rPr>
        <w:t>(</w:t>
      </w:r>
      <w:r w:rsidR="002B13F6">
        <w:rPr>
          <w:rFonts w:ascii="Arial" w:hAnsi="Arial" w:cs="Arial"/>
        </w:rPr>
        <w:t xml:space="preserve">6% in H1 18/19; </w:t>
      </w:r>
      <w:r w:rsidR="00591DB0" w:rsidRPr="001652D3">
        <w:rPr>
          <w:rFonts w:ascii="Arial" w:hAnsi="Arial" w:cs="Arial"/>
        </w:rPr>
        <w:t>3% in FY 1</w:t>
      </w:r>
      <w:r w:rsidR="000453DF">
        <w:rPr>
          <w:rFonts w:ascii="Arial" w:hAnsi="Arial" w:cs="Arial"/>
        </w:rPr>
        <w:t>5</w:t>
      </w:r>
      <w:r w:rsidR="00591DB0" w:rsidRPr="001652D3">
        <w:rPr>
          <w:rFonts w:ascii="Arial" w:hAnsi="Arial" w:cs="Arial"/>
        </w:rPr>
        <w:t>/1</w:t>
      </w:r>
      <w:r w:rsidR="000453DF">
        <w:rPr>
          <w:rFonts w:ascii="Arial" w:hAnsi="Arial" w:cs="Arial"/>
        </w:rPr>
        <w:t>6</w:t>
      </w:r>
      <w:r w:rsidR="00591DB0" w:rsidRPr="001652D3">
        <w:rPr>
          <w:rFonts w:ascii="Arial" w:hAnsi="Arial" w:cs="Arial"/>
        </w:rPr>
        <w:t>)</w:t>
      </w:r>
      <w:r w:rsidR="00BD1638" w:rsidRPr="001652D3">
        <w:rPr>
          <w:rFonts w:ascii="Arial" w:hAnsi="Arial" w:cs="Arial"/>
        </w:rPr>
        <w:t xml:space="preserve">. </w:t>
      </w:r>
      <w:r w:rsidR="004F6CB3">
        <w:rPr>
          <w:rFonts w:ascii="Arial" w:hAnsi="Arial" w:cs="Arial"/>
        </w:rPr>
        <w:t xml:space="preserve">In H1 19/20, </w:t>
      </w:r>
      <w:r w:rsidR="004F6CB3" w:rsidRPr="004F6CB3">
        <w:rPr>
          <w:rFonts w:ascii="Arial" w:hAnsi="Arial" w:cs="Arial"/>
        </w:rPr>
        <w:t>digital sales</w:t>
      </w:r>
      <w:r w:rsidR="004F6CB3">
        <w:rPr>
          <w:rFonts w:ascii="Arial" w:hAnsi="Arial" w:cs="Arial"/>
        </w:rPr>
        <w:t xml:space="preserve"> (including </w:t>
      </w:r>
      <w:r w:rsidR="004F6CB3" w:rsidRPr="004F6CB3">
        <w:rPr>
          <w:rFonts w:ascii="Arial" w:hAnsi="Arial" w:cs="Arial"/>
        </w:rPr>
        <w:t>click &amp; collect</w:t>
      </w:r>
      <w:r w:rsidR="001C37C1">
        <w:rPr>
          <w:rFonts w:ascii="Arial" w:hAnsi="Arial" w:cs="Arial"/>
        </w:rPr>
        <w:t xml:space="preserve"> sales</w:t>
      </w:r>
      <w:r w:rsidR="004F6CB3">
        <w:rPr>
          <w:rFonts w:ascii="Arial" w:hAnsi="Arial" w:cs="Arial"/>
        </w:rPr>
        <w:t>)</w:t>
      </w:r>
      <w:r w:rsidR="004F6CB3" w:rsidRPr="004F6CB3">
        <w:rPr>
          <w:rFonts w:ascii="Arial" w:hAnsi="Arial" w:cs="Arial"/>
        </w:rPr>
        <w:t xml:space="preserve">, </w:t>
      </w:r>
      <w:r w:rsidR="004F6CB3">
        <w:rPr>
          <w:rFonts w:ascii="Arial" w:hAnsi="Arial" w:cs="Arial"/>
        </w:rPr>
        <w:t xml:space="preserve">website </w:t>
      </w:r>
      <w:r w:rsidR="004F6CB3" w:rsidRPr="004F6CB3">
        <w:rPr>
          <w:rFonts w:ascii="Arial" w:hAnsi="Arial" w:cs="Arial"/>
        </w:rPr>
        <w:t xml:space="preserve">conversion rates and digital penetration </w:t>
      </w:r>
      <w:r w:rsidR="00DF5240">
        <w:rPr>
          <w:rFonts w:ascii="Arial" w:hAnsi="Arial" w:cs="Arial"/>
        </w:rPr>
        <w:t xml:space="preserve">each </w:t>
      </w:r>
      <w:r w:rsidR="004F6CB3">
        <w:rPr>
          <w:rFonts w:ascii="Arial" w:hAnsi="Arial" w:cs="Arial"/>
        </w:rPr>
        <w:t xml:space="preserve">increased in </w:t>
      </w:r>
      <w:r w:rsidR="00DF5240">
        <w:rPr>
          <w:rFonts w:ascii="Arial" w:hAnsi="Arial" w:cs="Arial"/>
        </w:rPr>
        <w:t xml:space="preserve">all </w:t>
      </w:r>
      <w:r w:rsidR="004F6CB3">
        <w:rPr>
          <w:rFonts w:ascii="Arial" w:hAnsi="Arial" w:cs="Arial"/>
        </w:rPr>
        <w:t>operating companies.</w:t>
      </w:r>
    </w:p>
    <w:p w14:paraId="2D86D3EF" w14:textId="77777777" w:rsidR="00DF5240" w:rsidRDefault="00DF5240" w:rsidP="00DF5240">
      <w:pPr>
        <w:jc w:val="left"/>
        <w:rPr>
          <w:rFonts w:ascii="Arial" w:hAnsi="Arial" w:cs="Arial"/>
        </w:rPr>
      </w:pPr>
    </w:p>
    <w:p w14:paraId="1699175E" w14:textId="717C4442" w:rsidR="0070134A" w:rsidRDefault="00EE79F7" w:rsidP="0070134A">
      <w:pPr>
        <w:jc w:val="left"/>
        <w:rPr>
          <w:rFonts w:ascii="Arial" w:hAnsi="Arial" w:cs="Arial"/>
        </w:rPr>
      </w:pPr>
      <w:r w:rsidRPr="0070134A">
        <w:rPr>
          <w:rFonts w:ascii="Arial" w:hAnsi="Arial" w:cs="Arial"/>
        </w:rPr>
        <w:t xml:space="preserve">The scale of the Group </w:t>
      </w:r>
      <w:r w:rsidR="0070134A" w:rsidRPr="00774771">
        <w:rPr>
          <w:rFonts w:ascii="Arial" w:hAnsi="Arial" w:cs="Arial"/>
        </w:rPr>
        <w:t xml:space="preserve">is </w:t>
      </w:r>
      <w:r w:rsidR="006F1689">
        <w:rPr>
          <w:rFonts w:ascii="Arial" w:hAnsi="Arial" w:cs="Arial"/>
        </w:rPr>
        <w:t xml:space="preserve">also </w:t>
      </w:r>
      <w:r w:rsidR="0070134A" w:rsidRPr="00774771">
        <w:rPr>
          <w:rFonts w:ascii="Arial" w:hAnsi="Arial" w:cs="Arial"/>
        </w:rPr>
        <w:t>being</w:t>
      </w:r>
      <w:r w:rsidRPr="0070134A">
        <w:rPr>
          <w:rFonts w:ascii="Arial" w:hAnsi="Arial" w:cs="Arial"/>
        </w:rPr>
        <w:t xml:space="preserve"> leveraged to </w:t>
      </w:r>
      <w:r w:rsidR="006C303F" w:rsidRPr="0070134A">
        <w:rPr>
          <w:rFonts w:ascii="Arial" w:hAnsi="Arial" w:cs="Arial"/>
        </w:rPr>
        <w:t>implement</w:t>
      </w:r>
      <w:r w:rsidRPr="0070134A">
        <w:rPr>
          <w:rFonts w:ascii="Arial" w:hAnsi="Arial" w:cs="Arial"/>
        </w:rPr>
        <w:t xml:space="preserve"> </w:t>
      </w:r>
      <w:r w:rsidR="006C303F" w:rsidRPr="0070134A">
        <w:rPr>
          <w:rFonts w:ascii="Arial" w:hAnsi="Arial" w:cs="Arial"/>
        </w:rPr>
        <w:t xml:space="preserve">a number of </w:t>
      </w:r>
      <w:r w:rsidRPr="0070134A">
        <w:rPr>
          <w:rFonts w:ascii="Arial" w:hAnsi="Arial" w:cs="Arial"/>
        </w:rPr>
        <w:t>o</w:t>
      </w:r>
      <w:r w:rsidR="00BD1638" w:rsidRPr="0070134A">
        <w:rPr>
          <w:rFonts w:ascii="Arial" w:hAnsi="Arial" w:cs="Arial"/>
        </w:rPr>
        <w:t>perational efficiency initiatives</w:t>
      </w:r>
      <w:r w:rsidR="006F1689">
        <w:rPr>
          <w:rFonts w:ascii="Arial" w:hAnsi="Arial" w:cs="Arial"/>
        </w:rPr>
        <w:t>,</w:t>
      </w:r>
      <w:r w:rsidR="0070134A" w:rsidRPr="0070134A">
        <w:rPr>
          <w:rFonts w:ascii="Arial" w:hAnsi="Arial" w:cs="Arial"/>
        </w:rPr>
        <w:t xml:space="preserve"> including a shared services centre established in Poland.</w:t>
      </w:r>
      <w:r w:rsidR="0070134A">
        <w:rPr>
          <w:rFonts w:ascii="Arial" w:hAnsi="Arial" w:cs="Arial"/>
        </w:rPr>
        <w:t xml:space="preserve"> In</w:t>
      </w:r>
      <w:r w:rsidR="00B7614D" w:rsidRPr="001652D3">
        <w:rPr>
          <w:rFonts w:ascii="Arial" w:hAnsi="Arial" w:cs="Arial"/>
        </w:rPr>
        <w:t xml:space="preserve"> excess of £100m</w:t>
      </w:r>
      <w:r w:rsidR="00BD1638" w:rsidRPr="001652D3">
        <w:rPr>
          <w:rFonts w:ascii="Arial" w:hAnsi="Arial" w:cs="Arial"/>
        </w:rPr>
        <w:t xml:space="preserve"> of savings </w:t>
      </w:r>
      <w:r w:rsidR="0070134A">
        <w:rPr>
          <w:rFonts w:ascii="Arial" w:hAnsi="Arial" w:cs="Arial"/>
        </w:rPr>
        <w:t>(largely driven by GNFR</w:t>
      </w:r>
      <w:r w:rsidR="00413FF8">
        <w:rPr>
          <w:rFonts w:ascii="Arial" w:hAnsi="Arial" w:cs="Arial"/>
        </w:rPr>
        <w:t>*</w:t>
      </w:r>
      <w:r w:rsidR="0070134A">
        <w:rPr>
          <w:rFonts w:ascii="Arial" w:hAnsi="Arial" w:cs="Arial"/>
        </w:rPr>
        <w:t xml:space="preserve"> initiatives</w:t>
      </w:r>
      <w:r w:rsidR="006F1689">
        <w:rPr>
          <w:rFonts w:ascii="Arial" w:hAnsi="Arial" w:cs="Arial"/>
        </w:rPr>
        <w:t>, to date</w:t>
      </w:r>
      <w:r w:rsidR="0070134A">
        <w:rPr>
          <w:rFonts w:ascii="Arial" w:hAnsi="Arial" w:cs="Arial"/>
        </w:rPr>
        <w:t xml:space="preserve">) have been delivered </w:t>
      </w:r>
      <w:r>
        <w:rPr>
          <w:rFonts w:ascii="Arial" w:hAnsi="Arial" w:cs="Arial"/>
        </w:rPr>
        <w:t xml:space="preserve">over </w:t>
      </w:r>
      <w:r w:rsidR="0070134A">
        <w:rPr>
          <w:rFonts w:ascii="Arial" w:hAnsi="Arial" w:cs="Arial"/>
        </w:rPr>
        <w:t xml:space="preserve">the last </w:t>
      </w:r>
      <w:r>
        <w:rPr>
          <w:rFonts w:ascii="Arial" w:hAnsi="Arial" w:cs="Arial"/>
        </w:rPr>
        <w:t>three and a half years</w:t>
      </w:r>
      <w:r w:rsidR="0070134A">
        <w:rPr>
          <w:rFonts w:ascii="Arial" w:hAnsi="Arial" w:cs="Arial"/>
        </w:rPr>
        <w:t>.</w:t>
      </w:r>
      <w:r w:rsidR="00856B2C" w:rsidRPr="001652D3">
        <w:rPr>
          <w:rFonts w:ascii="Arial" w:hAnsi="Arial" w:cs="Arial"/>
        </w:rPr>
        <w:t xml:space="preserve"> </w:t>
      </w:r>
    </w:p>
    <w:p w14:paraId="62C73AB6" w14:textId="1CCD24DC" w:rsidR="00BD1638" w:rsidRPr="00BF5E94" w:rsidRDefault="00BD1638" w:rsidP="0002565A">
      <w:pPr>
        <w:jc w:val="left"/>
        <w:rPr>
          <w:rFonts w:ascii="Arial" w:hAnsi="Arial" w:cs="Arial"/>
          <w:highlight w:val="yellow"/>
        </w:rPr>
      </w:pPr>
    </w:p>
    <w:p w14:paraId="0BFF4CF5" w14:textId="094A91F9" w:rsidR="0070134A" w:rsidRPr="001652D3" w:rsidRDefault="00F26481" w:rsidP="0070134A">
      <w:pPr>
        <w:jc w:val="left"/>
        <w:rPr>
          <w:rFonts w:ascii="Arial" w:hAnsi="Arial" w:cs="Arial"/>
          <w:b/>
        </w:rPr>
      </w:pPr>
      <w:r>
        <w:rPr>
          <w:rFonts w:ascii="Arial" w:hAnsi="Arial" w:cs="Arial"/>
        </w:rPr>
        <w:t>Over the same timeframe, t</w:t>
      </w:r>
      <w:r w:rsidR="0070134A">
        <w:rPr>
          <w:rFonts w:ascii="Arial" w:hAnsi="Arial" w:cs="Arial"/>
        </w:rPr>
        <w:t xml:space="preserve">he total cost of the </w:t>
      </w:r>
      <w:r w:rsidR="0070134A" w:rsidRPr="001652D3">
        <w:rPr>
          <w:rFonts w:ascii="Arial" w:hAnsi="Arial" w:cs="Arial"/>
        </w:rPr>
        <w:t xml:space="preserve">transformation </w:t>
      </w:r>
      <w:r>
        <w:rPr>
          <w:rFonts w:ascii="Arial" w:hAnsi="Arial" w:cs="Arial"/>
        </w:rPr>
        <w:t xml:space="preserve">plan </w:t>
      </w:r>
      <w:r w:rsidR="0070134A" w:rsidRPr="001652D3">
        <w:rPr>
          <w:rFonts w:ascii="Arial" w:hAnsi="Arial" w:cs="Arial"/>
        </w:rPr>
        <w:t xml:space="preserve">(P&amp;L, exceptional and </w:t>
      </w:r>
      <w:r w:rsidR="0070134A">
        <w:rPr>
          <w:rFonts w:ascii="Arial" w:hAnsi="Arial" w:cs="Arial"/>
        </w:rPr>
        <w:t>capital expenditure</w:t>
      </w:r>
      <w:r w:rsidR="0070134A" w:rsidRPr="001652D3">
        <w:rPr>
          <w:rFonts w:ascii="Arial" w:hAnsi="Arial" w:cs="Arial"/>
        </w:rPr>
        <w:t xml:space="preserve">) </w:t>
      </w:r>
      <w:r w:rsidR="0070134A">
        <w:rPr>
          <w:rFonts w:ascii="Arial" w:hAnsi="Arial" w:cs="Arial"/>
        </w:rPr>
        <w:t xml:space="preserve">is </w:t>
      </w:r>
      <w:r w:rsidR="0070134A" w:rsidRPr="001652D3">
        <w:rPr>
          <w:rFonts w:ascii="Arial" w:hAnsi="Arial" w:cs="Arial"/>
        </w:rPr>
        <w:t>£53</w:t>
      </w:r>
      <w:r w:rsidR="004A4D4A">
        <w:rPr>
          <w:rFonts w:ascii="Arial" w:hAnsi="Arial" w:cs="Arial"/>
        </w:rPr>
        <w:t>7</w:t>
      </w:r>
      <w:r w:rsidR="0070134A" w:rsidRPr="001652D3">
        <w:rPr>
          <w:rFonts w:ascii="Arial" w:hAnsi="Arial" w:cs="Arial"/>
        </w:rPr>
        <w:t xml:space="preserve">m, and over the five-year period </w:t>
      </w:r>
      <w:r w:rsidR="0070134A">
        <w:rPr>
          <w:rFonts w:ascii="Arial" w:hAnsi="Arial" w:cs="Arial"/>
        </w:rPr>
        <w:t xml:space="preserve">is </w:t>
      </w:r>
      <w:r w:rsidR="0041309B">
        <w:rPr>
          <w:rFonts w:ascii="Arial" w:hAnsi="Arial" w:cs="Arial"/>
        </w:rPr>
        <w:t xml:space="preserve">expected to be </w:t>
      </w:r>
      <w:r w:rsidR="0070134A" w:rsidRPr="001652D3">
        <w:rPr>
          <w:rFonts w:ascii="Arial" w:hAnsi="Arial" w:cs="Arial"/>
        </w:rPr>
        <w:t xml:space="preserve">less than </w:t>
      </w:r>
      <w:r w:rsidR="0070134A">
        <w:rPr>
          <w:rFonts w:ascii="Arial" w:hAnsi="Arial" w:cs="Arial"/>
        </w:rPr>
        <w:t xml:space="preserve">the </w:t>
      </w:r>
      <w:r w:rsidR="0070134A" w:rsidRPr="001652D3">
        <w:rPr>
          <w:rFonts w:ascii="Arial" w:hAnsi="Arial" w:cs="Arial"/>
        </w:rPr>
        <w:t>£800m</w:t>
      </w:r>
      <w:r w:rsidR="0070134A">
        <w:rPr>
          <w:rFonts w:ascii="Arial" w:hAnsi="Arial" w:cs="Arial"/>
        </w:rPr>
        <w:t xml:space="preserve"> originally anticipated</w:t>
      </w:r>
      <w:r w:rsidR="0070134A" w:rsidRPr="001652D3">
        <w:rPr>
          <w:rFonts w:ascii="Arial" w:hAnsi="Arial" w:cs="Arial"/>
        </w:rPr>
        <w:t>.</w:t>
      </w:r>
    </w:p>
    <w:p w14:paraId="2CAC9CC6" w14:textId="77777777" w:rsidR="0070134A" w:rsidRDefault="0070134A" w:rsidP="00BD1638">
      <w:pPr>
        <w:jc w:val="left"/>
        <w:rPr>
          <w:rFonts w:ascii="Arial" w:hAnsi="Arial" w:cs="Arial"/>
        </w:rPr>
      </w:pPr>
    </w:p>
    <w:p w14:paraId="3F23E3A2" w14:textId="70FEEBA4" w:rsidR="009140DE" w:rsidRPr="008305DA" w:rsidRDefault="00BD1638" w:rsidP="00BD1638">
      <w:pPr>
        <w:jc w:val="left"/>
        <w:rPr>
          <w:rFonts w:ascii="Arial" w:hAnsi="Arial" w:cs="Arial"/>
        </w:rPr>
      </w:pPr>
      <w:r w:rsidRPr="008305DA">
        <w:rPr>
          <w:rFonts w:ascii="Arial" w:hAnsi="Arial" w:cs="Arial"/>
        </w:rPr>
        <w:t>Transformation on th</w:t>
      </w:r>
      <w:r w:rsidR="007172A1">
        <w:rPr>
          <w:rFonts w:ascii="Arial" w:hAnsi="Arial" w:cs="Arial"/>
        </w:rPr>
        <w:t>e</w:t>
      </w:r>
      <w:r w:rsidRPr="008305DA">
        <w:rPr>
          <w:rFonts w:ascii="Arial" w:hAnsi="Arial" w:cs="Arial"/>
        </w:rPr>
        <w:t xml:space="preserve"> scale </w:t>
      </w:r>
      <w:r w:rsidR="007172A1">
        <w:rPr>
          <w:rFonts w:ascii="Arial" w:hAnsi="Arial" w:cs="Arial"/>
        </w:rPr>
        <w:t xml:space="preserve">undertaken by the Group </w:t>
      </w:r>
      <w:r w:rsidR="00812A70" w:rsidRPr="008305DA">
        <w:rPr>
          <w:rFonts w:ascii="Arial" w:hAnsi="Arial"/>
        </w:rPr>
        <w:t xml:space="preserve">has been a </w:t>
      </w:r>
      <w:r w:rsidR="00433A24" w:rsidRPr="008305DA">
        <w:rPr>
          <w:rFonts w:ascii="Arial" w:hAnsi="Arial"/>
        </w:rPr>
        <w:t xml:space="preserve">complex and </w:t>
      </w:r>
      <w:r w:rsidR="00812A70" w:rsidRPr="008305DA">
        <w:rPr>
          <w:rFonts w:ascii="Arial" w:hAnsi="Arial"/>
        </w:rPr>
        <w:t xml:space="preserve">substantial </w:t>
      </w:r>
      <w:r w:rsidR="007172A1">
        <w:rPr>
          <w:rFonts w:ascii="Arial" w:hAnsi="Arial"/>
        </w:rPr>
        <w:t>programme</w:t>
      </w:r>
      <w:r w:rsidR="00812A70" w:rsidRPr="008305DA">
        <w:rPr>
          <w:rFonts w:ascii="Arial" w:hAnsi="Arial"/>
        </w:rPr>
        <w:t xml:space="preserve">, involving </w:t>
      </w:r>
      <w:r w:rsidR="00993528">
        <w:rPr>
          <w:rFonts w:ascii="Arial" w:hAnsi="Arial"/>
        </w:rPr>
        <w:t xml:space="preserve">the </w:t>
      </w:r>
      <w:r w:rsidR="007037B9">
        <w:rPr>
          <w:rFonts w:ascii="Arial" w:hAnsi="Arial"/>
        </w:rPr>
        <w:t>setup</w:t>
      </w:r>
      <w:r w:rsidR="00993528">
        <w:rPr>
          <w:rFonts w:ascii="Arial" w:hAnsi="Arial"/>
        </w:rPr>
        <w:t xml:space="preserve"> of </w:t>
      </w:r>
      <w:r w:rsidR="00433A24" w:rsidRPr="008305DA">
        <w:rPr>
          <w:rFonts w:ascii="Arial" w:hAnsi="Arial"/>
        </w:rPr>
        <w:t xml:space="preserve">new </w:t>
      </w:r>
      <w:r w:rsidR="00993528">
        <w:rPr>
          <w:rFonts w:ascii="Arial" w:hAnsi="Arial"/>
        </w:rPr>
        <w:t>organisation</w:t>
      </w:r>
      <w:r w:rsidR="007037B9">
        <w:rPr>
          <w:rFonts w:ascii="Arial" w:hAnsi="Arial"/>
        </w:rPr>
        <w:t>al structures</w:t>
      </w:r>
      <w:r w:rsidR="00993528">
        <w:rPr>
          <w:rFonts w:ascii="Arial" w:hAnsi="Arial"/>
        </w:rPr>
        <w:t xml:space="preserve">, </w:t>
      </w:r>
      <w:r w:rsidR="00433A24" w:rsidRPr="008305DA">
        <w:rPr>
          <w:rFonts w:ascii="Arial" w:hAnsi="Arial"/>
        </w:rPr>
        <w:t xml:space="preserve">systems </w:t>
      </w:r>
      <w:r w:rsidR="00993528">
        <w:rPr>
          <w:rFonts w:ascii="Arial" w:hAnsi="Arial"/>
        </w:rPr>
        <w:t>and processes</w:t>
      </w:r>
      <w:r w:rsidR="00812A70" w:rsidRPr="008305DA">
        <w:rPr>
          <w:rFonts w:ascii="Arial" w:hAnsi="Arial"/>
        </w:rPr>
        <w:t>.</w:t>
      </w:r>
      <w:r w:rsidR="001652D3" w:rsidRPr="008305DA">
        <w:rPr>
          <w:rFonts w:ascii="Arial" w:hAnsi="Arial"/>
        </w:rPr>
        <w:t xml:space="preserve"> </w:t>
      </w:r>
      <w:r w:rsidR="00812A70" w:rsidRPr="008305DA">
        <w:rPr>
          <w:rFonts w:ascii="Arial" w:hAnsi="Arial" w:cs="Arial"/>
        </w:rPr>
        <w:t xml:space="preserve">As explained at the </w:t>
      </w:r>
      <w:r w:rsidR="00812A70" w:rsidRPr="008305DA">
        <w:rPr>
          <w:rFonts w:ascii="Arial" w:hAnsi="Arial"/>
        </w:rPr>
        <w:t>FY18/19 results t</w:t>
      </w:r>
      <w:r w:rsidR="004F0A1A" w:rsidRPr="008305DA">
        <w:rPr>
          <w:rFonts w:ascii="Arial" w:hAnsi="Arial"/>
        </w:rPr>
        <w:t>he transformation i</w:t>
      </w:r>
      <w:r w:rsidR="00812A70" w:rsidRPr="008305DA">
        <w:rPr>
          <w:rFonts w:ascii="Arial" w:hAnsi="Arial"/>
        </w:rPr>
        <w:t xml:space="preserve">s delivering </w:t>
      </w:r>
      <w:r w:rsidR="00993528">
        <w:rPr>
          <w:rFonts w:ascii="Arial" w:hAnsi="Arial"/>
        </w:rPr>
        <w:t xml:space="preserve">clear customer and business </w:t>
      </w:r>
      <w:r w:rsidR="00812A70" w:rsidRPr="008305DA">
        <w:rPr>
          <w:rFonts w:ascii="Arial" w:hAnsi="Arial"/>
        </w:rPr>
        <w:t>benefits</w:t>
      </w:r>
      <w:r w:rsidR="00F26481">
        <w:rPr>
          <w:rFonts w:ascii="Arial" w:hAnsi="Arial"/>
        </w:rPr>
        <w:t>,</w:t>
      </w:r>
      <w:r w:rsidR="00812A70" w:rsidRPr="008305DA">
        <w:rPr>
          <w:rFonts w:ascii="Arial" w:hAnsi="Arial"/>
        </w:rPr>
        <w:t xml:space="preserve"> which have been offset by a combination of ‘internal’ and ‘external’ factors. </w:t>
      </w:r>
      <w:r w:rsidR="00812A70" w:rsidRPr="008305DA">
        <w:rPr>
          <w:rFonts w:ascii="Arial" w:hAnsi="Arial" w:cs="Arial"/>
        </w:rPr>
        <w:t xml:space="preserve">‘Internal’ factors </w:t>
      </w:r>
      <w:r w:rsidR="00993528">
        <w:rPr>
          <w:rFonts w:ascii="Arial" w:hAnsi="Arial" w:cs="Arial"/>
        </w:rPr>
        <w:t xml:space="preserve">have </w:t>
      </w:r>
      <w:r w:rsidR="00812A70" w:rsidRPr="008305DA">
        <w:rPr>
          <w:rFonts w:ascii="Arial" w:hAnsi="Arial" w:cs="Arial"/>
        </w:rPr>
        <w:t>include</w:t>
      </w:r>
      <w:r w:rsidR="00993528">
        <w:rPr>
          <w:rFonts w:ascii="Arial" w:hAnsi="Arial" w:cs="Arial"/>
        </w:rPr>
        <w:t>d</w:t>
      </w:r>
      <w:r w:rsidR="00812A70" w:rsidRPr="008305DA">
        <w:rPr>
          <w:rFonts w:ascii="Arial" w:hAnsi="Arial" w:cs="Arial"/>
        </w:rPr>
        <w:t xml:space="preserve"> transformation-related disruption and the underperformance of Castorama France.</w:t>
      </w:r>
      <w:r w:rsidR="00591DB0" w:rsidRPr="008305DA">
        <w:rPr>
          <w:rFonts w:ascii="Arial" w:hAnsi="Arial" w:cs="Arial"/>
        </w:rPr>
        <w:t xml:space="preserve"> ‘External’ challenges have included weaker than expected economic growth in the UK, significant cost price inflation (commodity prices and FX) and higher wage inflation in the UK and Poland.</w:t>
      </w:r>
      <w:r w:rsidR="009140DE" w:rsidRPr="008305DA">
        <w:rPr>
          <w:rFonts w:ascii="Arial" w:hAnsi="Arial" w:cs="Arial"/>
        </w:rPr>
        <w:t xml:space="preserve"> </w:t>
      </w:r>
    </w:p>
    <w:p w14:paraId="67F4A0CF" w14:textId="77777777" w:rsidR="009140DE" w:rsidRPr="00BF5E94" w:rsidRDefault="009140DE" w:rsidP="00BD1638">
      <w:pPr>
        <w:jc w:val="left"/>
        <w:rPr>
          <w:rFonts w:ascii="Arial" w:hAnsi="Arial" w:cs="Arial"/>
          <w:highlight w:val="yellow"/>
        </w:rPr>
      </w:pPr>
    </w:p>
    <w:p w14:paraId="0F5B8558" w14:textId="0DBF87EA" w:rsidR="00C87AE7" w:rsidRPr="008305DA" w:rsidRDefault="000F479D" w:rsidP="00C87AE7">
      <w:pPr>
        <w:jc w:val="left"/>
        <w:rPr>
          <w:rFonts w:ascii="Arial" w:hAnsi="Arial" w:cs="Arial"/>
        </w:rPr>
      </w:pPr>
      <w:r w:rsidRPr="008305DA">
        <w:rPr>
          <w:rFonts w:ascii="Arial" w:hAnsi="Arial" w:cs="Arial"/>
        </w:rPr>
        <w:t>H1 19</w:t>
      </w:r>
      <w:r w:rsidR="00856B2C" w:rsidRPr="008305DA">
        <w:rPr>
          <w:rFonts w:ascii="Arial" w:hAnsi="Arial" w:cs="Arial"/>
        </w:rPr>
        <w:t xml:space="preserve">/20 has </w:t>
      </w:r>
      <w:r w:rsidR="002840E3" w:rsidRPr="008305DA">
        <w:rPr>
          <w:rFonts w:ascii="Arial" w:hAnsi="Arial" w:cs="Arial"/>
        </w:rPr>
        <w:t>followed</w:t>
      </w:r>
      <w:r w:rsidR="00856B2C" w:rsidRPr="008305DA">
        <w:rPr>
          <w:rFonts w:ascii="Arial" w:hAnsi="Arial" w:cs="Arial"/>
        </w:rPr>
        <w:t xml:space="preserve"> a </w:t>
      </w:r>
      <w:r w:rsidR="002840E3" w:rsidRPr="008305DA">
        <w:rPr>
          <w:rFonts w:ascii="Arial" w:hAnsi="Arial" w:cs="Arial"/>
        </w:rPr>
        <w:t>similar pattern</w:t>
      </w:r>
      <w:r w:rsidR="007835A7">
        <w:rPr>
          <w:rFonts w:ascii="Arial" w:hAnsi="Arial" w:cs="Arial"/>
        </w:rPr>
        <w:t>,</w:t>
      </w:r>
      <w:r w:rsidR="00856B2C" w:rsidRPr="008305DA">
        <w:rPr>
          <w:rFonts w:ascii="Arial" w:hAnsi="Arial" w:cs="Arial"/>
        </w:rPr>
        <w:t xml:space="preserve"> resulting in </w:t>
      </w:r>
      <w:r w:rsidR="00F26481">
        <w:rPr>
          <w:rFonts w:ascii="Arial" w:hAnsi="Arial" w:cs="Arial"/>
        </w:rPr>
        <w:t xml:space="preserve">a </w:t>
      </w:r>
      <w:r w:rsidR="00856B2C" w:rsidRPr="008305DA">
        <w:rPr>
          <w:rFonts w:ascii="Arial" w:hAnsi="Arial" w:cs="Arial"/>
        </w:rPr>
        <w:t xml:space="preserve">mixed </w:t>
      </w:r>
      <w:r w:rsidR="002840E3" w:rsidRPr="008305DA">
        <w:rPr>
          <w:rFonts w:ascii="Arial" w:hAnsi="Arial" w:cs="Arial"/>
        </w:rPr>
        <w:t xml:space="preserve">overall </w:t>
      </w:r>
      <w:r w:rsidR="008305DA" w:rsidRPr="008305DA">
        <w:rPr>
          <w:rFonts w:ascii="Arial" w:hAnsi="Arial" w:cs="Arial"/>
        </w:rPr>
        <w:t xml:space="preserve">financial </w:t>
      </w:r>
      <w:r w:rsidR="00856B2C" w:rsidRPr="008305DA">
        <w:rPr>
          <w:rFonts w:ascii="Arial" w:hAnsi="Arial" w:cs="Arial"/>
        </w:rPr>
        <w:t>performance for the Group.</w:t>
      </w:r>
      <w:r w:rsidR="00433A24" w:rsidRPr="008305DA">
        <w:rPr>
          <w:rFonts w:ascii="Arial" w:hAnsi="Arial" w:cs="Arial"/>
        </w:rPr>
        <w:t xml:space="preserve"> </w:t>
      </w:r>
      <w:r w:rsidR="003255BF" w:rsidRPr="008305DA">
        <w:rPr>
          <w:rFonts w:ascii="Arial" w:hAnsi="Arial" w:cs="Arial"/>
        </w:rPr>
        <w:t>Improving operational execution has been a major focus during the period</w:t>
      </w:r>
      <w:r w:rsidR="007835A7">
        <w:rPr>
          <w:rFonts w:ascii="Arial" w:hAnsi="Arial" w:cs="Arial"/>
        </w:rPr>
        <w:t>,</w:t>
      </w:r>
      <w:r w:rsidR="003255BF" w:rsidRPr="008305DA">
        <w:rPr>
          <w:rFonts w:ascii="Arial" w:hAnsi="Arial" w:cs="Arial"/>
        </w:rPr>
        <w:t xml:space="preserve"> </w:t>
      </w:r>
      <w:r w:rsidR="007835A7">
        <w:rPr>
          <w:rFonts w:ascii="Arial" w:hAnsi="Arial" w:cs="Arial"/>
        </w:rPr>
        <w:t xml:space="preserve">although </w:t>
      </w:r>
      <w:r w:rsidR="003255BF" w:rsidRPr="008305DA">
        <w:rPr>
          <w:rFonts w:ascii="Arial" w:hAnsi="Arial" w:cs="Arial"/>
        </w:rPr>
        <w:t>h</w:t>
      </w:r>
      <w:r w:rsidRPr="008305DA">
        <w:rPr>
          <w:rFonts w:ascii="Arial" w:hAnsi="Arial" w:cs="Arial"/>
        </w:rPr>
        <w:t xml:space="preserve">igh levels of transformation activity continue to have an impact on </w:t>
      </w:r>
      <w:r w:rsidR="008305DA" w:rsidRPr="008305DA">
        <w:rPr>
          <w:rFonts w:ascii="Arial" w:hAnsi="Arial" w:cs="Arial"/>
        </w:rPr>
        <w:t xml:space="preserve">operational </w:t>
      </w:r>
      <w:r w:rsidR="003255BF" w:rsidRPr="008305DA">
        <w:rPr>
          <w:rFonts w:ascii="Arial" w:hAnsi="Arial" w:cs="Arial"/>
        </w:rPr>
        <w:t>performance.</w:t>
      </w:r>
      <w:r w:rsidRPr="008305DA">
        <w:rPr>
          <w:rFonts w:ascii="Arial" w:hAnsi="Arial" w:cs="Arial"/>
        </w:rPr>
        <w:t xml:space="preserve"> </w:t>
      </w:r>
      <w:r w:rsidR="009140DE" w:rsidRPr="008305DA">
        <w:rPr>
          <w:rFonts w:ascii="Arial" w:hAnsi="Arial" w:cs="Arial"/>
        </w:rPr>
        <w:t xml:space="preserve">At the </w:t>
      </w:r>
      <w:r w:rsidR="009140DE" w:rsidRPr="008305DA">
        <w:rPr>
          <w:rFonts w:ascii="Arial" w:hAnsi="Arial"/>
        </w:rPr>
        <w:t>FY</w:t>
      </w:r>
      <w:r w:rsidR="007835A7">
        <w:rPr>
          <w:rFonts w:ascii="Arial" w:hAnsi="Arial"/>
        </w:rPr>
        <w:t xml:space="preserve"> </w:t>
      </w:r>
      <w:r w:rsidR="009140DE" w:rsidRPr="008305DA">
        <w:rPr>
          <w:rFonts w:ascii="Arial" w:hAnsi="Arial"/>
        </w:rPr>
        <w:t xml:space="preserve">18/19 results </w:t>
      </w:r>
      <w:r w:rsidR="00C933A0" w:rsidRPr="008305DA">
        <w:rPr>
          <w:rFonts w:ascii="Arial" w:hAnsi="Arial"/>
        </w:rPr>
        <w:t xml:space="preserve">in March </w:t>
      </w:r>
      <w:r w:rsidR="007835A7">
        <w:rPr>
          <w:rFonts w:ascii="Arial" w:hAnsi="Arial"/>
        </w:rPr>
        <w:t xml:space="preserve">2019, </w:t>
      </w:r>
      <w:r w:rsidR="009140DE" w:rsidRPr="008305DA">
        <w:rPr>
          <w:rFonts w:ascii="Arial" w:hAnsi="Arial"/>
        </w:rPr>
        <w:t xml:space="preserve">clear priorities </w:t>
      </w:r>
      <w:r w:rsidR="00856B2C" w:rsidRPr="008305DA">
        <w:rPr>
          <w:rFonts w:ascii="Arial" w:hAnsi="Arial"/>
        </w:rPr>
        <w:t xml:space="preserve">were set for </w:t>
      </w:r>
      <w:r w:rsidR="00C933A0" w:rsidRPr="008305DA">
        <w:rPr>
          <w:rFonts w:ascii="Arial" w:hAnsi="Arial"/>
        </w:rPr>
        <w:t>the year ahead</w:t>
      </w:r>
      <w:r w:rsidR="007835A7">
        <w:rPr>
          <w:rFonts w:ascii="Arial" w:hAnsi="Arial"/>
        </w:rPr>
        <w:t xml:space="preserve">. The </w:t>
      </w:r>
      <w:r w:rsidR="00C87AE7" w:rsidRPr="008305DA">
        <w:rPr>
          <w:rFonts w:ascii="Arial" w:hAnsi="Arial" w:cs="Arial"/>
        </w:rPr>
        <w:t>next section provides an update on each</w:t>
      </w:r>
      <w:r w:rsidR="00CD3604" w:rsidRPr="008305DA">
        <w:rPr>
          <w:rFonts w:ascii="Arial" w:hAnsi="Arial" w:cs="Arial"/>
        </w:rPr>
        <w:t>.</w:t>
      </w:r>
    </w:p>
    <w:p w14:paraId="3CA139AE" w14:textId="77777777" w:rsidR="009140DE" w:rsidRPr="00BF5E94" w:rsidRDefault="009140DE" w:rsidP="009140DE">
      <w:pPr>
        <w:jc w:val="left"/>
        <w:rPr>
          <w:rFonts w:ascii="Arial" w:hAnsi="Arial"/>
          <w:highlight w:val="yellow"/>
        </w:rPr>
      </w:pPr>
    </w:p>
    <w:p w14:paraId="64872D2A" w14:textId="07CDD5B5" w:rsidR="00C87AE7" w:rsidRPr="000A1BDC" w:rsidRDefault="000A1BDC" w:rsidP="00BD1638">
      <w:pPr>
        <w:jc w:val="left"/>
        <w:rPr>
          <w:rFonts w:ascii="Arial" w:hAnsi="Arial" w:cs="Arial"/>
          <w:b/>
          <w:bCs/>
        </w:rPr>
      </w:pPr>
      <w:r w:rsidRPr="000A1BDC">
        <w:rPr>
          <w:rFonts w:ascii="Arial" w:hAnsi="Arial" w:cs="Arial"/>
          <w:b/>
          <w:bCs/>
        </w:rPr>
        <w:lastRenderedPageBreak/>
        <w:t xml:space="preserve">Focused on delivering priorities for </w:t>
      </w:r>
      <w:r w:rsidR="000E6B98">
        <w:rPr>
          <w:rFonts w:ascii="Arial" w:hAnsi="Arial" w:cs="Arial"/>
          <w:b/>
          <w:bCs/>
        </w:rPr>
        <w:t xml:space="preserve">FY 19/20 </w:t>
      </w:r>
      <w:r w:rsidRPr="000A1BDC">
        <w:rPr>
          <w:rFonts w:ascii="Arial" w:hAnsi="Arial" w:cs="Arial"/>
          <w:b/>
          <w:bCs/>
        </w:rPr>
        <w:t>and improving execution</w:t>
      </w:r>
    </w:p>
    <w:p w14:paraId="058085A3" w14:textId="2E936900" w:rsidR="000A1BDC" w:rsidRPr="000A1BDC" w:rsidRDefault="000A1BDC" w:rsidP="0002565A">
      <w:pPr>
        <w:jc w:val="left"/>
        <w:rPr>
          <w:rFonts w:ascii="Arial" w:hAnsi="Arial" w:cs="Arial"/>
        </w:rPr>
      </w:pPr>
    </w:p>
    <w:p w14:paraId="1F30C067" w14:textId="4BA08619" w:rsidR="000A1BDC" w:rsidRPr="000A1BDC" w:rsidRDefault="000A1BDC" w:rsidP="000A1BDC">
      <w:pPr>
        <w:pStyle w:val="ListParagraph"/>
        <w:numPr>
          <w:ilvl w:val="0"/>
          <w:numId w:val="22"/>
        </w:numPr>
        <w:jc w:val="left"/>
        <w:rPr>
          <w:rFonts w:ascii="Arial" w:hAnsi="Arial" w:cs="Arial"/>
          <w:b/>
        </w:rPr>
      </w:pPr>
      <w:r w:rsidRPr="000A1BDC">
        <w:rPr>
          <w:rFonts w:ascii="Arial" w:hAnsi="Arial" w:cs="Arial"/>
          <w:b/>
        </w:rPr>
        <w:t xml:space="preserve">Continue key unified </w:t>
      </w:r>
      <w:r w:rsidR="0076384C">
        <w:rPr>
          <w:rFonts w:ascii="Arial" w:hAnsi="Arial" w:cs="Arial"/>
          <w:b/>
        </w:rPr>
        <w:t xml:space="preserve">&amp; unique </w:t>
      </w:r>
      <w:r w:rsidRPr="000A1BDC">
        <w:rPr>
          <w:rFonts w:ascii="Arial" w:hAnsi="Arial" w:cs="Arial"/>
          <w:b/>
        </w:rPr>
        <w:t xml:space="preserve">range implementations </w:t>
      </w:r>
    </w:p>
    <w:p w14:paraId="2C51E0CC" w14:textId="607E2434" w:rsidR="000A1BDC" w:rsidRDefault="000A1BDC" w:rsidP="000A1BDC">
      <w:pPr>
        <w:jc w:val="left"/>
        <w:rPr>
          <w:rFonts w:ascii="Arial" w:hAnsi="Arial" w:cs="Arial"/>
        </w:rPr>
      </w:pPr>
    </w:p>
    <w:p w14:paraId="06EDC667" w14:textId="2445D140" w:rsidR="000E6B98" w:rsidRDefault="000E6B98" w:rsidP="000E6B98">
      <w:pPr>
        <w:jc w:val="left"/>
        <w:rPr>
          <w:rFonts w:ascii="Arial" w:hAnsi="Arial" w:cs="Arial"/>
        </w:rPr>
      </w:pPr>
      <w:bookmarkStart w:id="10" w:name="_Hlk18436200"/>
      <w:r>
        <w:rPr>
          <w:rFonts w:ascii="Arial" w:hAnsi="Arial" w:cs="Arial"/>
        </w:rPr>
        <w:t xml:space="preserve">Over the last three and a half years, we have leveraged our scale in order to </w:t>
      </w:r>
      <w:r w:rsidRPr="00B56D28">
        <w:rPr>
          <w:rFonts w:ascii="Arial" w:hAnsi="Arial" w:cs="Arial"/>
          <w:b/>
          <w:bCs/>
        </w:rPr>
        <w:t>unify</w:t>
      </w:r>
      <w:r w:rsidRPr="00C66741">
        <w:rPr>
          <w:rFonts w:ascii="Arial" w:hAnsi="Arial" w:cs="Arial"/>
        </w:rPr>
        <w:t xml:space="preserve"> our offer, </w:t>
      </w:r>
      <w:r>
        <w:rPr>
          <w:rFonts w:ascii="Arial" w:hAnsi="Arial" w:cs="Arial"/>
        </w:rPr>
        <w:t xml:space="preserve">which </w:t>
      </w:r>
      <w:r w:rsidRPr="00D978CF">
        <w:rPr>
          <w:rFonts w:ascii="Arial" w:hAnsi="Arial" w:cs="Arial"/>
        </w:rPr>
        <w:t>means rationalising the number of SKUs</w:t>
      </w:r>
      <w:r w:rsidR="00BD21E0">
        <w:rPr>
          <w:rFonts w:ascii="Arial" w:hAnsi="Arial" w:cs="Arial"/>
        </w:rPr>
        <w:t>*</w:t>
      </w:r>
      <w:r w:rsidRPr="00D978CF">
        <w:rPr>
          <w:rFonts w:ascii="Arial" w:hAnsi="Arial" w:cs="Arial"/>
        </w:rPr>
        <w:t xml:space="preserve"> and suppliers whilst improving the quality and functionality for our customers</w:t>
      </w:r>
      <w:r>
        <w:rPr>
          <w:rFonts w:ascii="Arial" w:hAnsi="Arial" w:cs="Arial"/>
        </w:rPr>
        <w:t xml:space="preserve">. </w:t>
      </w:r>
      <w:r w:rsidRPr="00D978CF">
        <w:rPr>
          <w:rFonts w:ascii="Arial" w:hAnsi="Arial" w:cs="Arial"/>
        </w:rPr>
        <w:t xml:space="preserve">This </w:t>
      </w:r>
      <w:r>
        <w:rPr>
          <w:rFonts w:ascii="Arial" w:hAnsi="Arial" w:cs="Arial"/>
        </w:rPr>
        <w:t xml:space="preserve">has allowed us to achieve </w:t>
      </w:r>
      <w:r w:rsidRPr="00D978CF">
        <w:rPr>
          <w:rFonts w:ascii="Arial" w:hAnsi="Arial" w:cs="Arial"/>
        </w:rPr>
        <w:t>cost price reduction</w:t>
      </w:r>
      <w:r>
        <w:rPr>
          <w:rFonts w:ascii="Arial" w:hAnsi="Arial" w:cs="Arial"/>
        </w:rPr>
        <w:t>s</w:t>
      </w:r>
      <w:r w:rsidRPr="00D978CF">
        <w:rPr>
          <w:rFonts w:ascii="Arial" w:hAnsi="Arial" w:cs="Arial"/>
        </w:rPr>
        <w:t xml:space="preserve"> and </w:t>
      </w:r>
      <w:r>
        <w:rPr>
          <w:rFonts w:ascii="Arial" w:hAnsi="Arial" w:cs="Arial"/>
        </w:rPr>
        <w:t xml:space="preserve">therefore </w:t>
      </w:r>
      <w:r w:rsidRPr="00D978CF">
        <w:rPr>
          <w:rFonts w:ascii="Arial" w:hAnsi="Arial" w:cs="Arial"/>
        </w:rPr>
        <w:t xml:space="preserve">better prices for </w:t>
      </w:r>
      <w:r>
        <w:rPr>
          <w:rFonts w:ascii="Arial" w:hAnsi="Arial" w:cs="Arial"/>
        </w:rPr>
        <w:t xml:space="preserve">our </w:t>
      </w:r>
      <w:r w:rsidRPr="00D978CF">
        <w:rPr>
          <w:rFonts w:ascii="Arial" w:hAnsi="Arial" w:cs="Arial"/>
        </w:rPr>
        <w:t>customers.</w:t>
      </w:r>
      <w:r w:rsidR="0015021E">
        <w:rPr>
          <w:rFonts w:ascii="Arial" w:hAnsi="Arial" w:cs="Arial"/>
        </w:rPr>
        <w:t xml:space="preserve"> </w:t>
      </w:r>
      <w:r w:rsidR="0015021E" w:rsidRPr="00D978CF">
        <w:rPr>
          <w:rFonts w:ascii="Arial" w:hAnsi="Arial" w:cs="Arial"/>
        </w:rPr>
        <w:t xml:space="preserve">Products are </w:t>
      </w:r>
      <w:r w:rsidR="0015021E">
        <w:rPr>
          <w:rFonts w:ascii="Arial" w:hAnsi="Arial" w:cs="Arial"/>
        </w:rPr>
        <w:t xml:space="preserve">typically </w:t>
      </w:r>
      <w:r w:rsidR="0015021E" w:rsidRPr="00D978CF">
        <w:rPr>
          <w:rFonts w:ascii="Arial" w:hAnsi="Arial" w:cs="Arial"/>
        </w:rPr>
        <w:t>unified across the whole range</w:t>
      </w:r>
      <w:r w:rsidR="0015021E">
        <w:rPr>
          <w:rFonts w:ascii="Arial" w:hAnsi="Arial" w:cs="Arial"/>
        </w:rPr>
        <w:t>;</w:t>
      </w:r>
      <w:r w:rsidR="0015021E" w:rsidRPr="00D978CF">
        <w:rPr>
          <w:rFonts w:ascii="Arial" w:hAnsi="Arial" w:cs="Arial"/>
        </w:rPr>
        <w:t xml:space="preserve"> from selling the same product in all our markets to having some customer</w:t>
      </w:r>
      <w:r w:rsidR="0015021E">
        <w:rPr>
          <w:rFonts w:ascii="Arial" w:hAnsi="Arial" w:cs="Arial"/>
        </w:rPr>
        <w:t>-</w:t>
      </w:r>
      <w:r w:rsidR="0015021E" w:rsidRPr="00D978CF">
        <w:rPr>
          <w:rFonts w:ascii="Arial" w:hAnsi="Arial" w:cs="Arial"/>
        </w:rPr>
        <w:t xml:space="preserve">driven market adaptions where needed. Unified </w:t>
      </w:r>
      <w:r w:rsidR="0015021E">
        <w:rPr>
          <w:rFonts w:ascii="Arial" w:hAnsi="Arial" w:cs="Arial"/>
        </w:rPr>
        <w:t>includes</w:t>
      </w:r>
      <w:r w:rsidR="0015021E" w:rsidRPr="00D978CF">
        <w:rPr>
          <w:rFonts w:ascii="Arial" w:hAnsi="Arial" w:cs="Arial"/>
        </w:rPr>
        <w:t xml:space="preserve"> our own exclusive brands alongside international and national brands.</w:t>
      </w:r>
    </w:p>
    <w:p w14:paraId="637EB6CE" w14:textId="1FBCED84" w:rsidR="0015021E" w:rsidRDefault="0015021E" w:rsidP="000E6B98">
      <w:pPr>
        <w:jc w:val="left"/>
        <w:rPr>
          <w:rFonts w:ascii="Arial" w:hAnsi="Arial" w:cs="Arial"/>
        </w:rPr>
      </w:pPr>
    </w:p>
    <w:p w14:paraId="2DF0A66A" w14:textId="7EA2D7BA" w:rsidR="00147BD6" w:rsidRDefault="00147BD6" w:rsidP="000E6B98">
      <w:pPr>
        <w:jc w:val="left"/>
        <w:rPr>
          <w:rFonts w:ascii="Arial" w:hAnsi="Arial" w:cs="Arial"/>
        </w:rPr>
      </w:pPr>
      <w:r>
        <w:rPr>
          <w:rFonts w:ascii="Arial" w:hAnsi="Arial" w:cs="Arial"/>
        </w:rPr>
        <w:t xml:space="preserve">During the period we also continued the design and development of our own </w:t>
      </w:r>
      <w:r w:rsidRPr="00B56D28">
        <w:rPr>
          <w:rFonts w:ascii="Arial" w:hAnsi="Arial" w:cs="Arial"/>
          <w:b/>
          <w:bCs/>
        </w:rPr>
        <w:t>unique</w:t>
      </w:r>
      <w:r w:rsidRPr="00A8620E">
        <w:rPr>
          <w:rFonts w:ascii="Arial" w:hAnsi="Arial" w:cs="Arial"/>
        </w:rPr>
        <w:t xml:space="preserve"> </w:t>
      </w:r>
      <w:r>
        <w:rPr>
          <w:rFonts w:ascii="Arial" w:hAnsi="Arial" w:cs="Arial"/>
        </w:rPr>
        <w:t xml:space="preserve">and differentiated </w:t>
      </w:r>
      <w:r w:rsidRPr="00A8620E">
        <w:rPr>
          <w:rFonts w:ascii="Arial" w:hAnsi="Arial" w:cs="Arial"/>
        </w:rPr>
        <w:t>product</w:t>
      </w:r>
      <w:r>
        <w:rPr>
          <w:rFonts w:ascii="Arial" w:hAnsi="Arial" w:cs="Arial"/>
        </w:rPr>
        <w:t>, some of which was demonstrated at the Group’s Innovation Day in London, in May 2019</w:t>
      </w:r>
      <w:r w:rsidRPr="00147BD6">
        <w:rPr>
          <w:rFonts w:ascii="Arial" w:hAnsi="Arial" w:cs="Arial"/>
        </w:rPr>
        <w:t xml:space="preserve">. </w:t>
      </w:r>
      <w:r w:rsidRPr="00B56D28">
        <w:rPr>
          <w:rFonts w:ascii="Arial" w:hAnsi="Arial" w:cs="Arial"/>
        </w:rPr>
        <w:t xml:space="preserve">Unique </w:t>
      </w:r>
      <w:r w:rsidRPr="00147BD6">
        <w:rPr>
          <w:rFonts w:ascii="Arial" w:hAnsi="Arial" w:cs="Arial"/>
        </w:rPr>
        <w:t>ranges relate to the development of our own ranges to provide differentiation for customers</w:t>
      </w:r>
      <w:r>
        <w:rPr>
          <w:rFonts w:ascii="Arial" w:hAnsi="Arial" w:cs="Arial"/>
        </w:rPr>
        <w:t xml:space="preserve"> and offer great value for money and quality</w:t>
      </w:r>
      <w:r w:rsidRPr="00147BD6">
        <w:rPr>
          <w:rFonts w:ascii="Arial" w:hAnsi="Arial" w:cs="Arial"/>
        </w:rPr>
        <w:t xml:space="preserve">. These ranges are not available elsewhere and are sold under our own exclusive brands. </w:t>
      </w:r>
    </w:p>
    <w:p w14:paraId="4B639300" w14:textId="77777777" w:rsidR="00147BD6" w:rsidRDefault="00147BD6" w:rsidP="000E6B98">
      <w:pPr>
        <w:jc w:val="left"/>
        <w:rPr>
          <w:rFonts w:ascii="Arial" w:hAnsi="Arial" w:cs="Arial"/>
        </w:rPr>
      </w:pPr>
    </w:p>
    <w:p w14:paraId="6E399A66" w14:textId="4B184A4F" w:rsidR="00E26503" w:rsidRDefault="00231550" w:rsidP="00E26503">
      <w:pPr>
        <w:jc w:val="left"/>
        <w:rPr>
          <w:rFonts w:ascii="Arial" w:hAnsi="Arial" w:cs="Arial"/>
        </w:rPr>
      </w:pPr>
      <w:bookmarkStart w:id="11" w:name="_Hlk18435173"/>
      <w:r w:rsidRPr="00E26503">
        <w:rPr>
          <w:rFonts w:ascii="Arial" w:hAnsi="Arial" w:cs="Arial"/>
        </w:rPr>
        <w:t xml:space="preserve">New unified </w:t>
      </w:r>
      <w:r w:rsidR="00473464">
        <w:rPr>
          <w:rFonts w:ascii="Arial" w:hAnsi="Arial" w:cs="Arial"/>
        </w:rPr>
        <w:t xml:space="preserve">&amp; unique </w:t>
      </w:r>
      <w:r w:rsidRPr="00E26503">
        <w:rPr>
          <w:rFonts w:ascii="Arial" w:hAnsi="Arial" w:cs="Arial"/>
        </w:rPr>
        <w:t>range implementation</w:t>
      </w:r>
      <w:r w:rsidR="000A1BDC" w:rsidRPr="00E26503">
        <w:rPr>
          <w:rFonts w:ascii="Arial" w:hAnsi="Arial" w:cs="Arial"/>
        </w:rPr>
        <w:t xml:space="preserve"> continued </w:t>
      </w:r>
      <w:r w:rsidR="00C22189">
        <w:rPr>
          <w:rFonts w:ascii="Arial" w:hAnsi="Arial" w:cs="Arial"/>
        </w:rPr>
        <w:t xml:space="preserve">across the Group </w:t>
      </w:r>
      <w:r w:rsidR="000A1BDC" w:rsidRPr="00E26503">
        <w:rPr>
          <w:rFonts w:ascii="Arial" w:hAnsi="Arial" w:cs="Arial"/>
        </w:rPr>
        <w:t xml:space="preserve">during </w:t>
      </w:r>
      <w:r w:rsidR="00C22189">
        <w:rPr>
          <w:rFonts w:ascii="Arial" w:hAnsi="Arial" w:cs="Arial"/>
        </w:rPr>
        <w:t xml:space="preserve">H1 19/20, </w:t>
      </w:r>
      <w:r w:rsidR="000A1BDC" w:rsidRPr="00E26503">
        <w:rPr>
          <w:rFonts w:ascii="Arial" w:hAnsi="Arial" w:cs="Arial"/>
        </w:rPr>
        <w:t xml:space="preserve">with </w:t>
      </w:r>
      <w:r w:rsidR="00C22189">
        <w:rPr>
          <w:rFonts w:ascii="Arial" w:hAnsi="Arial" w:cs="Arial"/>
        </w:rPr>
        <w:t xml:space="preserve">several </w:t>
      </w:r>
      <w:r w:rsidR="000A1BDC" w:rsidRPr="00E26503">
        <w:rPr>
          <w:rFonts w:ascii="Arial" w:hAnsi="Arial" w:cs="Arial"/>
        </w:rPr>
        <w:t xml:space="preserve">significant new ranges implemented within categories such as </w:t>
      </w:r>
      <w:r w:rsidR="007962AC">
        <w:rPr>
          <w:rFonts w:ascii="Arial" w:hAnsi="Arial" w:cs="Arial"/>
        </w:rPr>
        <w:t xml:space="preserve">outdoor, </w:t>
      </w:r>
      <w:r w:rsidR="000A1BDC" w:rsidRPr="00E26503">
        <w:rPr>
          <w:rFonts w:ascii="Arial" w:hAnsi="Arial" w:cs="Arial"/>
        </w:rPr>
        <w:t>surfaces &amp; décor, bathroom &amp; storage</w:t>
      </w:r>
      <w:r w:rsidR="007962AC">
        <w:rPr>
          <w:rFonts w:ascii="Arial" w:hAnsi="Arial" w:cs="Arial"/>
        </w:rPr>
        <w:t>,</w:t>
      </w:r>
      <w:r w:rsidR="000A1BDC" w:rsidRPr="00E26503">
        <w:rPr>
          <w:rFonts w:ascii="Arial" w:hAnsi="Arial" w:cs="Arial"/>
        </w:rPr>
        <w:t xml:space="preserve"> and tools &amp; hardware. </w:t>
      </w:r>
      <w:bookmarkStart w:id="12" w:name="_Hlk18435009"/>
      <w:r w:rsidR="00473464">
        <w:rPr>
          <w:rFonts w:ascii="Arial" w:hAnsi="Arial" w:cs="Arial"/>
        </w:rPr>
        <w:t>Within this, e</w:t>
      </w:r>
      <w:r w:rsidR="00E26503">
        <w:rPr>
          <w:rFonts w:ascii="Arial" w:hAnsi="Arial" w:cs="Arial"/>
        </w:rPr>
        <w:t>xamples of</w:t>
      </w:r>
      <w:r w:rsidR="00E26503" w:rsidRPr="00E26503">
        <w:rPr>
          <w:rFonts w:ascii="Arial" w:hAnsi="Arial" w:cs="Arial"/>
        </w:rPr>
        <w:t xml:space="preserve"> differentiated products </w:t>
      </w:r>
      <w:r w:rsidR="0015021E">
        <w:rPr>
          <w:rFonts w:ascii="Arial" w:hAnsi="Arial" w:cs="Arial"/>
        </w:rPr>
        <w:t xml:space="preserve">launched in the period </w:t>
      </w:r>
      <w:r w:rsidR="00E26503">
        <w:rPr>
          <w:rFonts w:ascii="Arial" w:hAnsi="Arial" w:cs="Arial"/>
        </w:rPr>
        <w:t>include the</w:t>
      </w:r>
      <w:r w:rsidR="00E26503" w:rsidRPr="00E26503">
        <w:rPr>
          <w:rFonts w:ascii="Arial" w:hAnsi="Arial" w:cs="Arial"/>
        </w:rPr>
        <w:t xml:space="preserve"> GoodHome bathroom range, Erbauer cordless </w:t>
      </w:r>
      <w:r w:rsidR="009B7B7D">
        <w:rPr>
          <w:rFonts w:ascii="Arial" w:hAnsi="Arial" w:cs="Arial"/>
        </w:rPr>
        <w:t xml:space="preserve">power </w:t>
      </w:r>
      <w:r w:rsidR="00E26503" w:rsidRPr="00E26503">
        <w:rPr>
          <w:rFonts w:ascii="Arial" w:hAnsi="Arial" w:cs="Arial"/>
        </w:rPr>
        <w:t>tools range,</w:t>
      </w:r>
      <w:r w:rsidR="007962AC">
        <w:rPr>
          <w:rFonts w:ascii="Arial" w:hAnsi="Arial" w:cs="Arial"/>
        </w:rPr>
        <w:t xml:space="preserve"> and</w:t>
      </w:r>
      <w:r w:rsidR="00E26503" w:rsidRPr="00E26503">
        <w:rPr>
          <w:rFonts w:ascii="Arial" w:hAnsi="Arial" w:cs="Arial"/>
        </w:rPr>
        <w:t xml:space="preserve"> </w:t>
      </w:r>
      <w:bookmarkEnd w:id="12"/>
      <w:r w:rsidR="009B7B7D">
        <w:rPr>
          <w:rFonts w:ascii="Arial" w:hAnsi="Arial" w:cs="Arial"/>
        </w:rPr>
        <w:t>GoodHome</w:t>
      </w:r>
      <w:bookmarkEnd w:id="11"/>
      <w:bookmarkEnd w:id="10"/>
      <w:r w:rsidR="009B7B7D">
        <w:rPr>
          <w:rFonts w:ascii="Arial" w:hAnsi="Arial" w:cs="Arial"/>
        </w:rPr>
        <w:t xml:space="preserve"> paint.</w:t>
      </w:r>
      <w:r w:rsidR="00E26503">
        <w:rPr>
          <w:rFonts w:ascii="Arial" w:hAnsi="Arial" w:cs="Arial"/>
        </w:rPr>
        <w:t xml:space="preserve"> </w:t>
      </w:r>
      <w:r w:rsidR="007962AC">
        <w:rPr>
          <w:rFonts w:ascii="Arial" w:hAnsi="Arial" w:cs="Arial"/>
        </w:rPr>
        <w:t xml:space="preserve">These new ranges were supported by </w:t>
      </w:r>
      <w:r w:rsidR="00A96977">
        <w:rPr>
          <w:rFonts w:ascii="Arial" w:hAnsi="Arial" w:cs="Arial"/>
        </w:rPr>
        <w:t xml:space="preserve">a </w:t>
      </w:r>
      <w:r w:rsidR="00E26503" w:rsidRPr="00E26503">
        <w:rPr>
          <w:rFonts w:ascii="Arial" w:hAnsi="Arial" w:cs="Arial"/>
        </w:rPr>
        <w:t>series of global</w:t>
      </w:r>
      <w:r w:rsidR="0076384C">
        <w:rPr>
          <w:rFonts w:ascii="Arial" w:hAnsi="Arial" w:cs="Arial"/>
        </w:rPr>
        <w:t>ly</w:t>
      </w:r>
      <w:r w:rsidR="00E26503" w:rsidRPr="00E26503">
        <w:rPr>
          <w:rFonts w:ascii="Arial" w:hAnsi="Arial" w:cs="Arial"/>
        </w:rPr>
        <w:t xml:space="preserve"> coordinated marketing campaigns</w:t>
      </w:r>
      <w:r w:rsidR="00F662AE">
        <w:rPr>
          <w:rFonts w:ascii="Arial" w:hAnsi="Arial" w:cs="Arial"/>
        </w:rPr>
        <w:t xml:space="preserve"> to build awareness of new Kingfisher brands.</w:t>
      </w:r>
    </w:p>
    <w:p w14:paraId="4930C467" w14:textId="6A26CE0D" w:rsidR="00E26503" w:rsidRDefault="00E26503" w:rsidP="000A1BDC">
      <w:pPr>
        <w:jc w:val="left"/>
        <w:rPr>
          <w:rFonts w:ascii="Arial" w:hAnsi="Arial" w:cs="Arial"/>
        </w:rPr>
      </w:pPr>
    </w:p>
    <w:p w14:paraId="61B46EEB" w14:textId="38D37F76" w:rsidR="000A1BDC" w:rsidRPr="00E26503" w:rsidRDefault="000A1BDC" w:rsidP="000A1BDC">
      <w:pPr>
        <w:jc w:val="left"/>
        <w:rPr>
          <w:rFonts w:ascii="Arial" w:hAnsi="Arial" w:cs="Arial"/>
        </w:rPr>
      </w:pPr>
      <w:r w:rsidRPr="00E26503">
        <w:rPr>
          <w:rFonts w:ascii="Arial" w:hAnsi="Arial" w:cs="Arial"/>
        </w:rPr>
        <w:t xml:space="preserve">During H1 </w:t>
      </w:r>
      <w:r w:rsidR="00473464">
        <w:rPr>
          <w:rFonts w:ascii="Arial" w:hAnsi="Arial" w:cs="Arial"/>
        </w:rPr>
        <w:t xml:space="preserve">19/20, </w:t>
      </w:r>
      <w:r w:rsidRPr="00E26503">
        <w:rPr>
          <w:rFonts w:ascii="Arial" w:hAnsi="Arial" w:cs="Arial"/>
        </w:rPr>
        <w:t>59% of products (COGS) were unified (4</w:t>
      </w:r>
      <w:r w:rsidR="00565DA4">
        <w:rPr>
          <w:rFonts w:ascii="Arial" w:hAnsi="Arial" w:cs="Arial"/>
        </w:rPr>
        <w:t>2</w:t>
      </w:r>
      <w:r w:rsidRPr="00E26503">
        <w:rPr>
          <w:rFonts w:ascii="Arial" w:hAnsi="Arial" w:cs="Arial"/>
        </w:rPr>
        <w:t xml:space="preserve">% </w:t>
      </w:r>
      <w:r w:rsidR="00473464">
        <w:rPr>
          <w:rFonts w:ascii="Arial" w:hAnsi="Arial" w:cs="Arial"/>
        </w:rPr>
        <w:t xml:space="preserve">in </w:t>
      </w:r>
      <w:r w:rsidR="00565DA4">
        <w:rPr>
          <w:rFonts w:ascii="Arial" w:hAnsi="Arial" w:cs="Arial"/>
        </w:rPr>
        <w:t>H1</w:t>
      </w:r>
      <w:r w:rsidR="00565DA4" w:rsidRPr="00E26503">
        <w:rPr>
          <w:rFonts w:ascii="Arial" w:hAnsi="Arial" w:cs="Arial"/>
        </w:rPr>
        <w:t xml:space="preserve"> </w:t>
      </w:r>
      <w:r w:rsidRPr="00E26503">
        <w:rPr>
          <w:rFonts w:ascii="Arial" w:hAnsi="Arial" w:cs="Arial"/>
        </w:rPr>
        <w:t>18/19)</w:t>
      </w:r>
      <w:r w:rsidR="00473464">
        <w:rPr>
          <w:rFonts w:ascii="Arial" w:hAnsi="Arial" w:cs="Arial"/>
        </w:rPr>
        <w:t>,</w:t>
      </w:r>
      <w:r w:rsidRPr="00E26503">
        <w:rPr>
          <w:rFonts w:ascii="Arial" w:hAnsi="Arial" w:cs="Arial"/>
        </w:rPr>
        <w:t xml:space="preserve"> helping to drive </w:t>
      </w:r>
      <w:r w:rsidR="00956D3D">
        <w:rPr>
          <w:rFonts w:ascii="Arial" w:hAnsi="Arial" w:cs="Arial"/>
        </w:rPr>
        <w:t xml:space="preserve">an overall uplift in </w:t>
      </w:r>
      <w:r w:rsidRPr="00E26503">
        <w:rPr>
          <w:rFonts w:ascii="Arial" w:hAnsi="Arial" w:cs="Arial"/>
        </w:rPr>
        <w:t xml:space="preserve">gross margin </w:t>
      </w:r>
      <w:r w:rsidR="004D33FE">
        <w:rPr>
          <w:rFonts w:ascii="Arial" w:hAnsi="Arial" w:cs="Arial"/>
        </w:rPr>
        <w:t xml:space="preserve">% </w:t>
      </w:r>
      <w:r w:rsidRPr="00E26503">
        <w:rPr>
          <w:rFonts w:ascii="Arial" w:hAnsi="Arial" w:cs="Arial"/>
        </w:rPr>
        <w:t xml:space="preserve">for the Group: </w:t>
      </w:r>
    </w:p>
    <w:p w14:paraId="621012F9" w14:textId="77777777" w:rsidR="000A1BDC" w:rsidRPr="00E26503" w:rsidRDefault="000A1BDC" w:rsidP="000A1BDC">
      <w:pPr>
        <w:jc w:val="left"/>
        <w:rPr>
          <w:rFonts w:ascii="Arial" w:hAnsi="Arial" w:cs="Arial"/>
        </w:rPr>
      </w:pPr>
    </w:p>
    <w:p w14:paraId="1DB4BFFD" w14:textId="77777777" w:rsidR="000A1BDC" w:rsidRPr="00E26503" w:rsidRDefault="000A1BDC" w:rsidP="000A1BDC">
      <w:pPr>
        <w:pStyle w:val="ListParagraph"/>
        <w:numPr>
          <w:ilvl w:val="0"/>
          <w:numId w:val="23"/>
        </w:numPr>
        <w:jc w:val="left"/>
        <w:rPr>
          <w:rFonts w:ascii="Arial" w:hAnsi="Arial" w:cs="Arial"/>
        </w:rPr>
      </w:pPr>
      <w:r w:rsidRPr="00E26503">
        <w:rPr>
          <w:rFonts w:ascii="Arial" w:hAnsi="Arial" w:cs="Arial"/>
        </w:rPr>
        <w:t>Sales of unified &amp; unique ranges continue to outperform non-unified ranges;</w:t>
      </w:r>
    </w:p>
    <w:p w14:paraId="3A36051B" w14:textId="62124B08" w:rsidR="000A1BDC" w:rsidRPr="00E26503" w:rsidRDefault="000A1BDC" w:rsidP="000A1BDC">
      <w:pPr>
        <w:pStyle w:val="ListParagraph"/>
        <w:numPr>
          <w:ilvl w:val="1"/>
          <w:numId w:val="23"/>
        </w:numPr>
        <w:jc w:val="left"/>
        <w:rPr>
          <w:rFonts w:ascii="Arial" w:hAnsi="Arial" w:cs="Arial"/>
        </w:rPr>
      </w:pPr>
      <w:r w:rsidRPr="00E26503">
        <w:rPr>
          <w:rFonts w:ascii="Arial" w:hAnsi="Arial" w:cs="Arial"/>
        </w:rPr>
        <w:t>Sales of unified &amp; unique ranges</w:t>
      </w:r>
      <w:r w:rsidR="00956D3D">
        <w:rPr>
          <w:rFonts w:ascii="Arial" w:hAnsi="Arial" w:cs="Arial"/>
        </w:rPr>
        <w:t>,</w:t>
      </w:r>
      <w:r w:rsidRPr="00E26503">
        <w:rPr>
          <w:rFonts w:ascii="Arial" w:hAnsi="Arial" w:cs="Arial"/>
        </w:rPr>
        <w:t xml:space="preserve"> including clearance, were up 0.4%</w:t>
      </w:r>
      <w:r w:rsidRPr="00E26503">
        <w:rPr>
          <w:rFonts w:ascii="Arial" w:hAnsi="Arial" w:cs="Arial"/>
          <w:vertAlign w:val="superscript"/>
        </w:rPr>
        <w:t>(1)</w:t>
      </w:r>
      <w:r w:rsidRPr="00E26503">
        <w:rPr>
          <w:rFonts w:ascii="Arial" w:hAnsi="Arial" w:cs="Arial"/>
        </w:rPr>
        <w:t xml:space="preserve"> compared to </w:t>
      </w:r>
      <w:r w:rsidR="00956D3D">
        <w:rPr>
          <w:rFonts w:ascii="Arial" w:hAnsi="Arial" w:cs="Arial"/>
        </w:rPr>
        <w:t xml:space="preserve">H1 18/19 </w:t>
      </w:r>
      <w:r w:rsidRPr="00E26503">
        <w:rPr>
          <w:rFonts w:ascii="Arial" w:hAnsi="Arial" w:cs="Arial"/>
        </w:rPr>
        <w:t xml:space="preserve">and sales of non-unified ranges were down </w:t>
      </w:r>
      <w:r w:rsidR="00E26503" w:rsidRPr="00E26503">
        <w:rPr>
          <w:rFonts w:ascii="Arial" w:hAnsi="Arial" w:cs="Arial"/>
        </w:rPr>
        <w:t>0.9</w:t>
      </w:r>
      <w:r w:rsidRPr="00E26503">
        <w:rPr>
          <w:rFonts w:ascii="Arial" w:hAnsi="Arial" w:cs="Arial"/>
        </w:rPr>
        <w:t>%</w:t>
      </w:r>
      <w:r w:rsidRPr="00E26503">
        <w:rPr>
          <w:rFonts w:ascii="Arial" w:hAnsi="Arial" w:cs="Arial"/>
          <w:vertAlign w:val="superscript"/>
        </w:rPr>
        <w:t>(1)</w:t>
      </w:r>
      <w:r w:rsidR="00A96977">
        <w:rPr>
          <w:rFonts w:ascii="Arial" w:hAnsi="Arial" w:cs="Arial"/>
        </w:rPr>
        <w:t>.</w:t>
      </w:r>
    </w:p>
    <w:p w14:paraId="080774C6" w14:textId="24CD94A1" w:rsidR="000A1BDC" w:rsidRPr="00E26503" w:rsidRDefault="000A1BDC" w:rsidP="000A1BDC">
      <w:pPr>
        <w:pStyle w:val="ListParagraph"/>
        <w:numPr>
          <w:ilvl w:val="0"/>
          <w:numId w:val="24"/>
        </w:numPr>
        <w:jc w:val="left"/>
        <w:rPr>
          <w:rFonts w:ascii="Arial" w:hAnsi="Arial" w:cs="Arial"/>
        </w:rPr>
      </w:pPr>
      <w:r w:rsidRPr="00E26503">
        <w:rPr>
          <w:rFonts w:ascii="Arial" w:hAnsi="Arial" w:cs="Arial"/>
        </w:rPr>
        <w:t xml:space="preserve">For unified &amp; unique ranges, </w:t>
      </w:r>
      <w:r w:rsidR="00956D3D">
        <w:rPr>
          <w:rFonts w:ascii="Arial" w:hAnsi="Arial" w:cs="Arial"/>
        </w:rPr>
        <w:t xml:space="preserve">we achieved sales growth in </w:t>
      </w:r>
      <w:r w:rsidRPr="00E26503">
        <w:rPr>
          <w:rFonts w:ascii="Arial" w:hAnsi="Arial" w:cs="Arial"/>
        </w:rPr>
        <w:t xml:space="preserve">four of the seven key categories </w:t>
      </w:r>
      <w:r w:rsidR="00956D3D">
        <w:rPr>
          <w:rFonts w:ascii="Arial" w:hAnsi="Arial" w:cs="Arial"/>
        </w:rPr>
        <w:t xml:space="preserve">of the Group, and gross profit uplift in </w:t>
      </w:r>
      <w:r w:rsidRPr="00E26503">
        <w:rPr>
          <w:rFonts w:ascii="Arial" w:hAnsi="Arial" w:cs="Arial"/>
        </w:rPr>
        <w:t>all seven</w:t>
      </w:r>
      <w:r w:rsidR="0041309B" w:rsidRPr="00E26503">
        <w:rPr>
          <w:rFonts w:ascii="Arial" w:hAnsi="Arial" w:cs="Arial"/>
          <w:vertAlign w:val="superscript"/>
        </w:rPr>
        <w:t>(1)(</w:t>
      </w:r>
      <w:r w:rsidR="0041309B">
        <w:rPr>
          <w:rFonts w:ascii="Arial" w:hAnsi="Arial" w:cs="Arial"/>
          <w:vertAlign w:val="superscript"/>
        </w:rPr>
        <w:t>2</w:t>
      </w:r>
      <w:r w:rsidR="0041309B" w:rsidRPr="00E26503">
        <w:rPr>
          <w:rFonts w:ascii="Arial" w:hAnsi="Arial" w:cs="Arial"/>
          <w:vertAlign w:val="superscript"/>
        </w:rPr>
        <w:t>)</w:t>
      </w:r>
      <w:r w:rsidRPr="00E26503">
        <w:rPr>
          <w:rFonts w:ascii="Arial" w:hAnsi="Arial" w:cs="Arial"/>
        </w:rPr>
        <w:t xml:space="preserve">. </w:t>
      </w:r>
    </w:p>
    <w:p w14:paraId="4A10A905" w14:textId="45768566" w:rsidR="002E491D" w:rsidRDefault="000A1BDC" w:rsidP="000A1BDC">
      <w:pPr>
        <w:pStyle w:val="ListParagraph"/>
        <w:numPr>
          <w:ilvl w:val="0"/>
          <w:numId w:val="24"/>
        </w:numPr>
        <w:jc w:val="left"/>
        <w:rPr>
          <w:rFonts w:ascii="Arial" w:hAnsi="Arial" w:cs="Arial"/>
        </w:rPr>
      </w:pPr>
      <w:r w:rsidRPr="00E26503">
        <w:rPr>
          <w:rFonts w:ascii="Arial" w:hAnsi="Arial" w:cs="Arial"/>
        </w:rPr>
        <w:t xml:space="preserve">Gross margin </w:t>
      </w:r>
      <w:r w:rsidR="004D33FE">
        <w:rPr>
          <w:rFonts w:ascii="Arial" w:hAnsi="Arial" w:cs="Arial"/>
        </w:rPr>
        <w:t xml:space="preserve">% </w:t>
      </w:r>
      <w:r w:rsidRPr="00E26503">
        <w:rPr>
          <w:rFonts w:ascii="Arial" w:hAnsi="Arial" w:cs="Arial"/>
        </w:rPr>
        <w:t xml:space="preserve">for unified &amp; unique ranges increased by </w:t>
      </w:r>
      <w:r w:rsidR="00FF2D78">
        <w:rPr>
          <w:rFonts w:ascii="Arial" w:hAnsi="Arial" w:cs="Arial"/>
        </w:rPr>
        <w:t xml:space="preserve">c. </w:t>
      </w:r>
      <w:r w:rsidR="00E26503" w:rsidRPr="00E26503">
        <w:rPr>
          <w:rFonts w:ascii="Arial" w:hAnsi="Arial" w:cs="Arial"/>
        </w:rPr>
        <w:t>150</w:t>
      </w:r>
      <w:r w:rsidRPr="00E26503">
        <w:rPr>
          <w:rFonts w:ascii="Arial" w:hAnsi="Arial" w:cs="Arial"/>
        </w:rPr>
        <w:t xml:space="preserve"> basis points</w:t>
      </w:r>
      <w:r w:rsidR="00956D3D">
        <w:rPr>
          <w:rFonts w:ascii="Arial" w:hAnsi="Arial" w:cs="Arial"/>
        </w:rPr>
        <w:t xml:space="preserve"> year on year</w:t>
      </w:r>
      <w:r w:rsidR="002E491D">
        <w:rPr>
          <w:rFonts w:ascii="Arial" w:hAnsi="Arial" w:cs="Arial"/>
        </w:rPr>
        <w:t xml:space="preserve">, </w:t>
      </w:r>
      <w:r w:rsidR="002E491D" w:rsidRPr="00493601">
        <w:rPr>
          <w:rFonts w:ascii="Arial" w:hAnsi="Arial"/>
        </w:rPr>
        <w:t>a</w:t>
      </w:r>
      <w:r w:rsidR="002E491D" w:rsidRPr="00F12F4E">
        <w:rPr>
          <w:rFonts w:ascii="Arial" w:hAnsi="Arial"/>
        </w:rPr>
        <w:t>fter cost price inflation</w:t>
      </w:r>
      <w:r w:rsidR="002E491D" w:rsidRPr="00493601">
        <w:rPr>
          <w:rFonts w:ascii="Arial" w:hAnsi="Arial"/>
        </w:rPr>
        <w:t xml:space="preserve"> and price investment (</w:t>
      </w:r>
      <w:r w:rsidR="00FF2D78">
        <w:rPr>
          <w:rFonts w:ascii="Arial" w:hAnsi="Arial"/>
        </w:rPr>
        <w:t xml:space="preserve">but </w:t>
      </w:r>
      <w:r w:rsidR="002E491D" w:rsidRPr="00493601">
        <w:rPr>
          <w:rFonts w:ascii="Arial" w:hAnsi="Arial"/>
        </w:rPr>
        <w:t xml:space="preserve">before clearance and the impact of logistics </w:t>
      </w:r>
      <w:r w:rsidR="00927EA2">
        <w:rPr>
          <w:rFonts w:ascii="Arial" w:hAnsi="Arial"/>
        </w:rPr>
        <w:t>&amp;</w:t>
      </w:r>
      <w:r w:rsidR="002E491D" w:rsidRPr="00493601">
        <w:rPr>
          <w:rFonts w:ascii="Arial" w:hAnsi="Arial"/>
        </w:rPr>
        <w:t xml:space="preserve"> stock inefficiencies)</w:t>
      </w:r>
      <w:r w:rsidRPr="00E26503">
        <w:rPr>
          <w:rFonts w:ascii="Arial" w:hAnsi="Arial" w:cs="Arial"/>
        </w:rPr>
        <w:t xml:space="preserve">. This uplift was on the 59% of COGS that have been unified, </w:t>
      </w:r>
      <w:r w:rsidR="002E491D">
        <w:rPr>
          <w:rFonts w:ascii="Arial" w:hAnsi="Arial" w:cs="Arial"/>
        </w:rPr>
        <w:t xml:space="preserve">therefore </w:t>
      </w:r>
      <w:r w:rsidRPr="00E26503">
        <w:rPr>
          <w:rFonts w:ascii="Arial" w:hAnsi="Arial" w:cs="Arial"/>
        </w:rPr>
        <w:t xml:space="preserve">contributing </w:t>
      </w:r>
      <w:r w:rsidR="00FF2D78">
        <w:rPr>
          <w:rFonts w:ascii="Arial" w:hAnsi="Arial" w:cs="Arial"/>
        </w:rPr>
        <w:t xml:space="preserve">c. </w:t>
      </w:r>
      <w:r w:rsidRPr="00E26503">
        <w:rPr>
          <w:rFonts w:ascii="Arial" w:hAnsi="Arial" w:cs="Arial"/>
        </w:rPr>
        <w:t xml:space="preserve">80 basis points to the </w:t>
      </w:r>
      <w:r w:rsidR="002E491D">
        <w:rPr>
          <w:rFonts w:ascii="Arial" w:hAnsi="Arial" w:cs="Arial"/>
        </w:rPr>
        <w:t xml:space="preserve">overall </w:t>
      </w:r>
      <w:r w:rsidRPr="00E26503">
        <w:rPr>
          <w:rFonts w:ascii="Arial" w:hAnsi="Arial" w:cs="Arial"/>
        </w:rPr>
        <w:t xml:space="preserve">Group gross margin </w:t>
      </w:r>
      <w:r w:rsidR="004D33FE">
        <w:rPr>
          <w:rFonts w:ascii="Arial" w:hAnsi="Arial" w:cs="Arial"/>
        </w:rPr>
        <w:t xml:space="preserve">% </w:t>
      </w:r>
      <w:r w:rsidRPr="00E26503">
        <w:rPr>
          <w:rFonts w:ascii="Arial" w:hAnsi="Arial" w:cs="Arial"/>
        </w:rPr>
        <w:t>movement</w:t>
      </w:r>
      <w:r w:rsidR="002E491D">
        <w:rPr>
          <w:rFonts w:ascii="Arial" w:hAnsi="Arial" w:cs="Arial"/>
        </w:rPr>
        <w:t xml:space="preserve"> in H1 19/20</w:t>
      </w:r>
      <w:r w:rsidRPr="00E26503">
        <w:rPr>
          <w:rFonts w:ascii="Arial" w:hAnsi="Arial" w:cs="Arial"/>
        </w:rPr>
        <w:t xml:space="preserve">. </w:t>
      </w:r>
    </w:p>
    <w:p w14:paraId="21177BEA" w14:textId="0B6898AB" w:rsidR="000A1BDC" w:rsidRPr="00E26503" w:rsidRDefault="000A1BDC" w:rsidP="000A1BDC">
      <w:pPr>
        <w:pStyle w:val="ListParagraph"/>
        <w:numPr>
          <w:ilvl w:val="0"/>
          <w:numId w:val="24"/>
        </w:numPr>
        <w:jc w:val="left"/>
        <w:rPr>
          <w:rFonts w:ascii="Arial" w:hAnsi="Arial" w:cs="Arial"/>
        </w:rPr>
      </w:pPr>
      <w:r w:rsidRPr="00E26503">
        <w:rPr>
          <w:rFonts w:ascii="Arial" w:hAnsi="Arial" w:cs="Arial"/>
        </w:rPr>
        <w:t xml:space="preserve">Incremental clearance costs </w:t>
      </w:r>
      <w:r w:rsidR="002E491D">
        <w:rPr>
          <w:rFonts w:ascii="Arial" w:hAnsi="Arial" w:cs="Arial"/>
        </w:rPr>
        <w:t xml:space="preserve">year on year </w:t>
      </w:r>
      <w:r w:rsidRPr="00E26503">
        <w:rPr>
          <w:rFonts w:ascii="Arial" w:hAnsi="Arial" w:cs="Arial"/>
        </w:rPr>
        <w:t>had a</w:t>
      </w:r>
      <w:r w:rsidR="0091284F">
        <w:rPr>
          <w:rFonts w:ascii="Arial" w:hAnsi="Arial" w:cs="Arial"/>
        </w:rPr>
        <w:t>n adverse impact of</w:t>
      </w:r>
      <w:r w:rsidRPr="00E26503">
        <w:rPr>
          <w:rFonts w:ascii="Arial" w:hAnsi="Arial" w:cs="Arial"/>
        </w:rPr>
        <w:t xml:space="preserve"> 40 basis points on the gross margin</w:t>
      </w:r>
      <w:r w:rsidR="002E491D">
        <w:rPr>
          <w:rFonts w:ascii="Arial" w:hAnsi="Arial" w:cs="Arial"/>
        </w:rPr>
        <w:t xml:space="preserve"> </w:t>
      </w:r>
      <w:r w:rsidR="004D33FE">
        <w:rPr>
          <w:rFonts w:ascii="Arial" w:hAnsi="Arial" w:cs="Arial"/>
        </w:rPr>
        <w:t xml:space="preserve">% </w:t>
      </w:r>
      <w:r w:rsidR="002E491D">
        <w:rPr>
          <w:rFonts w:ascii="Arial" w:hAnsi="Arial" w:cs="Arial"/>
        </w:rPr>
        <w:t>for the Group</w:t>
      </w:r>
      <w:r w:rsidRPr="00E26503">
        <w:rPr>
          <w:rFonts w:ascii="Arial" w:hAnsi="Arial" w:cs="Arial"/>
        </w:rPr>
        <w:t xml:space="preserve">. </w:t>
      </w:r>
    </w:p>
    <w:p w14:paraId="18096CFA" w14:textId="77777777" w:rsidR="000A1BDC" w:rsidRDefault="000A1BDC" w:rsidP="000A1BDC">
      <w:pPr>
        <w:jc w:val="left"/>
        <w:rPr>
          <w:rFonts w:ascii="Arial" w:hAnsi="Arial" w:cs="Arial"/>
        </w:rPr>
      </w:pPr>
    </w:p>
    <w:p w14:paraId="610FA2DB" w14:textId="3BF312B0" w:rsidR="00A96977" w:rsidRDefault="00A96977" w:rsidP="007655ED">
      <w:pPr>
        <w:pStyle w:val="ListParagraph"/>
        <w:numPr>
          <w:ilvl w:val="0"/>
          <w:numId w:val="32"/>
        </w:numPr>
        <w:rPr>
          <w:rFonts w:ascii="Arial" w:hAnsi="Arial" w:cs="Arial"/>
          <w:sz w:val="18"/>
        </w:rPr>
      </w:pPr>
      <w:r w:rsidRPr="007655ED">
        <w:rPr>
          <w:rFonts w:ascii="Arial" w:hAnsi="Arial" w:cs="Arial"/>
          <w:sz w:val="18"/>
        </w:rPr>
        <w:t>In constant currency including clearance</w:t>
      </w:r>
      <w:r w:rsidR="0041309B">
        <w:rPr>
          <w:rFonts w:ascii="Arial" w:hAnsi="Arial" w:cs="Arial"/>
          <w:sz w:val="18"/>
        </w:rPr>
        <w:t xml:space="preserve"> (</w:t>
      </w:r>
      <w:r w:rsidRPr="007655ED">
        <w:rPr>
          <w:rFonts w:ascii="Arial" w:hAnsi="Arial" w:cs="Arial"/>
          <w:sz w:val="18"/>
        </w:rPr>
        <w:t>exclud</w:t>
      </w:r>
      <w:r w:rsidR="0041309B">
        <w:rPr>
          <w:rFonts w:ascii="Arial" w:hAnsi="Arial" w:cs="Arial"/>
          <w:sz w:val="18"/>
        </w:rPr>
        <w:t>es</w:t>
      </w:r>
      <w:r w:rsidRPr="007655ED">
        <w:rPr>
          <w:rFonts w:ascii="Arial" w:hAnsi="Arial" w:cs="Arial"/>
          <w:sz w:val="18"/>
        </w:rPr>
        <w:t xml:space="preserve"> Iberia, Russia, Praktiker Romania, Screwfix Germany and services</w:t>
      </w:r>
      <w:r w:rsidR="0041309B">
        <w:rPr>
          <w:rFonts w:ascii="Arial" w:hAnsi="Arial" w:cs="Arial"/>
          <w:sz w:val="18"/>
        </w:rPr>
        <w:t>)</w:t>
      </w:r>
    </w:p>
    <w:p w14:paraId="2BD97D11" w14:textId="5E4243E6" w:rsidR="0041309B" w:rsidRPr="007655ED" w:rsidRDefault="0041309B" w:rsidP="007655ED">
      <w:pPr>
        <w:pStyle w:val="ListParagraph"/>
        <w:numPr>
          <w:ilvl w:val="0"/>
          <w:numId w:val="32"/>
        </w:numPr>
        <w:rPr>
          <w:rFonts w:ascii="Arial" w:hAnsi="Arial" w:cs="Arial"/>
          <w:sz w:val="18"/>
        </w:rPr>
      </w:pPr>
      <w:r w:rsidRPr="0041309B">
        <w:rPr>
          <w:rFonts w:ascii="Arial" w:hAnsi="Arial" w:cs="Arial"/>
          <w:sz w:val="18"/>
        </w:rPr>
        <w:t>After cost price inflation and price investment; before logistics &amp; stock inefficiencies</w:t>
      </w:r>
    </w:p>
    <w:p w14:paraId="682FF3F9" w14:textId="16EC2C5C" w:rsidR="000A1BDC" w:rsidRDefault="000A1BDC" w:rsidP="0002565A">
      <w:pPr>
        <w:jc w:val="left"/>
        <w:rPr>
          <w:rFonts w:ascii="Arial" w:hAnsi="Arial" w:cs="Arial"/>
          <w:highlight w:val="yellow"/>
        </w:rPr>
      </w:pPr>
    </w:p>
    <w:p w14:paraId="4C7441EE" w14:textId="68107B2C" w:rsidR="00A96977" w:rsidRPr="008A3863" w:rsidRDefault="00A90078" w:rsidP="00A96977">
      <w:pPr>
        <w:pStyle w:val="ListParagraph"/>
        <w:numPr>
          <w:ilvl w:val="0"/>
          <w:numId w:val="22"/>
        </w:numPr>
        <w:jc w:val="left"/>
        <w:rPr>
          <w:rFonts w:ascii="Arial" w:hAnsi="Arial" w:cs="Arial"/>
          <w:b/>
        </w:rPr>
      </w:pPr>
      <w:r>
        <w:rPr>
          <w:rFonts w:ascii="Arial" w:hAnsi="Arial" w:cs="Arial"/>
          <w:b/>
        </w:rPr>
        <w:t xml:space="preserve">Optimise </w:t>
      </w:r>
      <w:r w:rsidR="00A96977" w:rsidRPr="008A3863">
        <w:rPr>
          <w:rFonts w:ascii="Arial" w:hAnsi="Arial" w:cs="Arial"/>
          <w:b/>
        </w:rPr>
        <w:t>the implementation of key transformation enablers</w:t>
      </w:r>
    </w:p>
    <w:p w14:paraId="415084A8" w14:textId="2413B437" w:rsidR="00A96977" w:rsidRPr="009F71DB" w:rsidRDefault="00A96977" w:rsidP="00A96977">
      <w:pPr>
        <w:jc w:val="left"/>
        <w:rPr>
          <w:rFonts w:ascii="Arial" w:hAnsi="Arial"/>
        </w:rPr>
      </w:pPr>
    </w:p>
    <w:p w14:paraId="72C715C5" w14:textId="3FA9ED5A" w:rsidR="00DE68B4" w:rsidRDefault="00DE68B4" w:rsidP="00DE68B4">
      <w:pPr>
        <w:jc w:val="left"/>
        <w:rPr>
          <w:rFonts w:ascii="Arial" w:hAnsi="Arial" w:cs="Arial"/>
        </w:rPr>
      </w:pPr>
      <w:bookmarkStart w:id="13" w:name="_Hlk523396750"/>
      <w:r>
        <w:rPr>
          <w:rFonts w:ascii="Arial" w:hAnsi="Arial" w:cs="Arial"/>
        </w:rPr>
        <w:t xml:space="preserve">The </w:t>
      </w:r>
      <w:r w:rsidRPr="009E2891">
        <w:rPr>
          <w:rFonts w:ascii="Arial" w:hAnsi="Arial" w:cs="Arial"/>
        </w:rPr>
        <w:t>transform</w:t>
      </w:r>
      <w:r>
        <w:rPr>
          <w:rFonts w:ascii="Arial" w:hAnsi="Arial" w:cs="Arial"/>
        </w:rPr>
        <w:t xml:space="preserve">ation of Kingfisher’s </w:t>
      </w:r>
      <w:r w:rsidRPr="009E2891">
        <w:rPr>
          <w:rFonts w:ascii="Arial" w:hAnsi="Arial" w:cs="Arial"/>
        </w:rPr>
        <w:t xml:space="preserve">digital capability </w:t>
      </w:r>
      <w:r>
        <w:rPr>
          <w:rFonts w:ascii="Arial" w:hAnsi="Arial" w:cs="Arial"/>
        </w:rPr>
        <w:t xml:space="preserve">is </w:t>
      </w:r>
      <w:r w:rsidR="004A022E">
        <w:rPr>
          <w:rFonts w:ascii="Arial" w:hAnsi="Arial" w:cs="Arial"/>
        </w:rPr>
        <w:t xml:space="preserve">a key enabler of </w:t>
      </w:r>
      <w:r>
        <w:rPr>
          <w:rFonts w:ascii="Arial" w:hAnsi="Arial" w:cs="Arial"/>
        </w:rPr>
        <w:t xml:space="preserve">long term </w:t>
      </w:r>
      <w:r w:rsidRPr="009E2891">
        <w:rPr>
          <w:rFonts w:ascii="Arial" w:hAnsi="Arial" w:cs="Arial"/>
        </w:rPr>
        <w:t xml:space="preserve">operational efficiency and </w:t>
      </w:r>
      <w:r>
        <w:rPr>
          <w:rFonts w:ascii="Arial" w:hAnsi="Arial" w:cs="Arial"/>
        </w:rPr>
        <w:t xml:space="preserve">customer </w:t>
      </w:r>
      <w:r w:rsidRPr="009E2891">
        <w:rPr>
          <w:rFonts w:ascii="Arial" w:hAnsi="Arial" w:cs="Arial"/>
        </w:rPr>
        <w:t>benefits</w:t>
      </w:r>
      <w:r>
        <w:rPr>
          <w:rFonts w:ascii="Arial" w:hAnsi="Arial" w:cs="Arial"/>
        </w:rPr>
        <w:t xml:space="preserve">, including </w:t>
      </w:r>
      <w:r>
        <w:rPr>
          <w:rFonts w:ascii="Arial" w:hAnsi="Arial" w:cs="Arial"/>
          <w:bCs/>
        </w:rPr>
        <w:t xml:space="preserve">more efficient vendor management, </w:t>
      </w:r>
      <w:r>
        <w:rPr>
          <w:rFonts w:ascii="Arial" w:hAnsi="Arial" w:cs="Arial"/>
        </w:rPr>
        <w:t>improved stock availability</w:t>
      </w:r>
      <w:r w:rsidRPr="009E056C">
        <w:rPr>
          <w:rFonts w:ascii="Arial" w:hAnsi="Arial" w:cs="Arial"/>
          <w:bCs/>
        </w:rPr>
        <w:t xml:space="preserve">, </w:t>
      </w:r>
      <w:r>
        <w:rPr>
          <w:rFonts w:ascii="Arial" w:hAnsi="Arial" w:cs="Arial"/>
          <w:bCs/>
        </w:rPr>
        <w:t xml:space="preserve">better customer fulfilment capabilities, and </w:t>
      </w:r>
      <w:r w:rsidRPr="009E056C">
        <w:rPr>
          <w:rFonts w:ascii="Arial" w:hAnsi="Arial" w:cs="Arial"/>
        </w:rPr>
        <w:t xml:space="preserve">enhanced ecommerce </w:t>
      </w:r>
      <w:r w:rsidR="004A022E">
        <w:rPr>
          <w:rFonts w:ascii="Arial" w:hAnsi="Arial" w:cs="Arial"/>
        </w:rPr>
        <w:t xml:space="preserve">and digital tools </w:t>
      </w:r>
      <w:r>
        <w:rPr>
          <w:rFonts w:ascii="Arial" w:hAnsi="Arial" w:cs="Arial"/>
        </w:rPr>
        <w:t>for our customers</w:t>
      </w:r>
      <w:r w:rsidRPr="009E056C">
        <w:rPr>
          <w:rFonts w:ascii="Arial" w:hAnsi="Arial" w:cs="Arial"/>
        </w:rPr>
        <w:t>.</w:t>
      </w:r>
    </w:p>
    <w:p w14:paraId="5A9B2DE3" w14:textId="77777777" w:rsidR="00DE68B4" w:rsidRDefault="00DE68B4" w:rsidP="00DE68B4">
      <w:pPr>
        <w:jc w:val="left"/>
        <w:rPr>
          <w:rFonts w:ascii="Arial" w:hAnsi="Arial" w:cs="Arial"/>
        </w:rPr>
      </w:pPr>
    </w:p>
    <w:p w14:paraId="1D9B4A6F" w14:textId="773D65AC" w:rsidR="00777A2F" w:rsidRDefault="00DE68B4" w:rsidP="00686947">
      <w:pPr>
        <w:jc w:val="left"/>
        <w:rPr>
          <w:rFonts w:ascii="Arial" w:hAnsi="Arial" w:cs="Arial"/>
        </w:rPr>
      </w:pPr>
      <w:r>
        <w:rPr>
          <w:rFonts w:ascii="Arial" w:hAnsi="Arial" w:cs="Arial"/>
        </w:rPr>
        <w:t xml:space="preserve">As explained </w:t>
      </w:r>
      <w:r w:rsidR="00D57F08">
        <w:rPr>
          <w:rFonts w:ascii="Arial" w:hAnsi="Arial" w:cs="Arial"/>
        </w:rPr>
        <w:t xml:space="preserve">above and </w:t>
      </w:r>
      <w:r>
        <w:rPr>
          <w:rFonts w:ascii="Arial" w:hAnsi="Arial" w:cs="Arial"/>
        </w:rPr>
        <w:t xml:space="preserve">in our FY 18/19 results, the </w:t>
      </w:r>
      <w:r w:rsidRPr="001652D3">
        <w:rPr>
          <w:rFonts w:ascii="Arial" w:hAnsi="Arial" w:cs="Arial"/>
        </w:rPr>
        <w:t xml:space="preserve">rollout </w:t>
      </w:r>
      <w:r w:rsidR="00777A2F">
        <w:rPr>
          <w:rFonts w:ascii="Arial" w:hAnsi="Arial" w:cs="Arial"/>
        </w:rPr>
        <w:t xml:space="preserve">across the Group </w:t>
      </w:r>
      <w:r>
        <w:rPr>
          <w:rFonts w:ascii="Arial" w:hAnsi="Arial" w:cs="Arial"/>
        </w:rPr>
        <w:t xml:space="preserve">of </w:t>
      </w:r>
      <w:r w:rsidR="004A022E">
        <w:rPr>
          <w:rFonts w:ascii="Arial" w:hAnsi="Arial" w:cs="Arial"/>
        </w:rPr>
        <w:t xml:space="preserve">our </w:t>
      </w:r>
      <w:r>
        <w:rPr>
          <w:rFonts w:ascii="Arial" w:hAnsi="Arial" w:cs="Arial"/>
        </w:rPr>
        <w:t xml:space="preserve">base unified IT platform </w:t>
      </w:r>
      <w:r w:rsidRPr="001652D3">
        <w:rPr>
          <w:rFonts w:ascii="Arial" w:hAnsi="Arial" w:cs="Arial"/>
        </w:rPr>
        <w:t xml:space="preserve">is </w:t>
      </w:r>
      <w:r w:rsidRPr="00025F32">
        <w:rPr>
          <w:rFonts w:ascii="Arial" w:hAnsi="Arial" w:cs="Arial"/>
        </w:rPr>
        <w:t>substantially complete.</w:t>
      </w:r>
      <w:r>
        <w:rPr>
          <w:rFonts w:ascii="Arial" w:hAnsi="Arial" w:cs="Arial"/>
        </w:rPr>
        <w:t xml:space="preserve"> </w:t>
      </w:r>
      <w:r w:rsidRPr="00D653F6">
        <w:rPr>
          <w:rFonts w:ascii="Arial" w:hAnsi="Arial" w:cs="Arial"/>
        </w:rPr>
        <w:t xml:space="preserve">The operating model </w:t>
      </w:r>
      <w:r>
        <w:rPr>
          <w:rFonts w:ascii="Arial" w:hAnsi="Arial" w:cs="Arial"/>
        </w:rPr>
        <w:t xml:space="preserve">across Kingfisher </w:t>
      </w:r>
      <w:r w:rsidRPr="00D653F6">
        <w:rPr>
          <w:rFonts w:ascii="Arial" w:hAnsi="Arial" w:cs="Arial"/>
        </w:rPr>
        <w:t xml:space="preserve">today </w:t>
      </w:r>
      <w:r w:rsidR="00BD7E85">
        <w:rPr>
          <w:rFonts w:ascii="Arial" w:hAnsi="Arial" w:cs="Arial"/>
        </w:rPr>
        <w:t xml:space="preserve">is underpinned by </w:t>
      </w:r>
      <w:r>
        <w:rPr>
          <w:rFonts w:ascii="Arial" w:hAnsi="Arial" w:cs="Arial"/>
        </w:rPr>
        <w:t>th</w:t>
      </w:r>
      <w:r w:rsidR="00777A2F">
        <w:rPr>
          <w:rFonts w:ascii="Arial" w:hAnsi="Arial" w:cs="Arial"/>
        </w:rPr>
        <w:t>is</w:t>
      </w:r>
      <w:r>
        <w:rPr>
          <w:rFonts w:ascii="Arial" w:hAnsi="Arial" w:cs="Arial"/>
        </w:rPr>
        <w:t xml:space="preserve"> </w:t>
      </w:r>
      <w:r w:rsidRPr="00D653F6">
        <w:rPr>
          <w:rFonts w:ascii="Arial" w:hAnsi="Arial" w:cs="Arial"/>
        </w:rPr>
        <w:t xml:space="preserve">IT platform along with a split of responsibilities </w:t>
      </w:r>
      <w:r w:rsidR="00777A2F">
        <w:rPr>
          <w:rFonts w:ascii="Arial" w:hAnsi="Arial" w:cs="Arial"/>
        </w:rPr>
        <w:t xml:space="preserve">and processes </w:t>
      </w:r>
      <w:r w:rsidRPr="00D653F6">
        <w:rPr>
          <w:rFonts w:ascii="Arial" w:hAnsi="Arial" w:cs="Arial"/>
        </w:rPr>
        <w:t>across local market</w:t>
      </w:r>
      <w:r>
        <w:rPr>
          <w:rFonts w:ascii="Arial" w:hAnsi="Arial" w:cs="Arial"/>
        </w:rPr>
        <w:t>s</w:t>
      </w:r>
      <w:r w:rsidR="00915325">
        <w:rPr>
          <w:rFonts w:ascii="Arial" w:hAnsi="Arial" w:cs="Arial"/>
        </w:rPr>
        <w:t xml:space="preserve"> and </w:t>
      </w:r>
      <w:r w:rsidRPr="00D653F6">
        <w:rPr>
          <w:rFonts w:ascii="Arial" w:hAnsi="Arial" w:cs="Arial"/>
        </w:rPr>
        <w:t xml:space="preserve">our Group Offer </w:t>
      </w:r>
      <w:r>
        <w:rPr>
          <w:rFonts w:ascii="Arial" w:hAnsi="Arial" w:cs="Arial"/>
        </w:rPr>
        <w:t xml:space="preserve">&amp; </w:t>
      </w:r>
      <w:r w:rsidRPr="00D653F6">
        <w:rPr>
          <w:rFonts w:ascii="Arial" w:hAnsi="Arial" w:cs="Arial"/>
        </w:rPr>
        <w:t>Sourcing organisation.</w:t>
      </w:r>
      <w:r>
        <w:rPr>
          <w:rFonts w:ascii="Arial" w:hAnsi="Arial" w:cs="Arial"/>
        </w:rPr>
        <w:t xml:space="preserve"> </w:t>
      </w:r>
    </w:p>
    <w:p w14:paraId="6DDD58A7" w14:textId="77777777" w:rsidR="00777A2F" w:rsidRDefault="00777A2F" w:rsidP="00686947">
      <w:pPr>
        <w:jc w:val="left"/>
        <w:rPr>
          <w:rFonts w:ascii="Arial" w:hAnsi="Arial" w:cs="Arial"/>
        </w:rPr>
      </w:pPr>
    </w:p>
    <w:p w14:paraId="001D7BA2" w14:textId="6B6C669C" w:rsidR="00686947" w:rsidRPr="00686947" w:rsidRDefault="00DE68B4" w:rsidP="00686947">
      <w:pPr>
        <w:jc w:val="left"/>
        <w:rPr>
          <w:rFonts w:ascii="Arial" w:hAnsi="Arial" w:cs="Arial"/>
        </w:rPr>
      </w:pPr>
      <w:r>
        <w:rPr>
          <w:rFonts w:ascii="Arial" w:hAnsi="Arial" w:cs="Arial"/>
        </w:rPr>
        <w:t xml:space="preserve">In </w:t>
      </w:r>
      <w:r w:rsidR="00675C9C">
        <w:rPr>
          <w:rFonts w:ascii="Arial" w:hAnsi="Arial" w:cs="Arial"/>
        </w:rPr>
        <w:t xml:space="preserve">certain </w:t>
      </w:r>
      <w:r>
        <w:rPr>
          <w:rFonts w:ascii="Arial" w:hAnsi="Arial" w:cs="Arial"/>
        </w:rPr>
        <w:t>areas of the business</w:t>
      </w:r>
      <w:r w:rsidRPr="005C04A7">
        <w:rPr>
          <w:rFonts w:ascii="Arial" w:hAnsi="Arial" w:cs="Arial"/>
        </w:rPr>
        <w:t xml:space="preserve">, </w:t>
      </w:r>
      <w:r w:rsidR="00675C9C">
        <w:rPr>
          <w:rFonts w:ascii="Arial" w:hAnsi="Arial" w:cs="Arial"/>
        </w:rPr>
        <w:t xml:space="preserve">particularly Castorama France, </w:t>
      </w:r>
      <w:r>
        <w:rPr>
          <w:rFonts w:ascii="Arial" w:hAnsi="Arial" w:cs="Arial"/>
        </w:rPr>
        <w:t xml:space="preserve">the </w:t>
      </w:r>
      <w:r w:rsidR="00BD7E85">
        <w:rPr>
          <w:rFonts w:ascii="Arial" w:hAnsi="Arial" w:cs="Arial"/>
        </w:rPr>
        <w:t xml:space="preserve">overall change programme </w:t>
      </w:r>
      <w:r>
        <w:rPr>
          <w:rFonts w:ascii="Arial" w:hAnsi="Arial" w:cs="Arial"/>
        </w:rPr>
        <w:t xml:space="preserve">is causing </w:t>
      </w:r>
      <w:r w:rsidR="00675C9C">
        <w:rPr>
          <w:rFonts w:ascii="Arial" w:hAnsi="Arial" w:cs="Arial"/>
        </w:rPr>
        <w:t>disruption. As a result, the Group continues to focus on improving the effectiveness of its enabling technologies and the efficiency of its operational processes</w:t>
      </w:r>
      <w:r w:rsidR="0051191B">
        <w:rPr>
          <w:rFonts w:ascii="Arial" w:hAnsi="Arial" w:cs="Arial"/>
        </w:rPr>
        <w:t>.</w:t>
      </w:r>
      <w:r w:rsidR="00686947">
        <w:rPr>
          <w:rFonts w:ascii="Arial" w:hAnsi="Arial" w:cs="Arial"/>
        </w:rPr>
        <w:t xml:space="preserve"> In addition, the Group is </w:t>
      </w:r>
      <w:r w:rsidR="00686947" w:rsidRPr="00686947">
        <w:rPr>
          <w:rFonts w:ascii="Arial" w:hAnsi="Arial" w:cs="Arial"/>
        </w:rPr>
        <w:t>build</w:t>
      </w:r>
      <w:r w:rsidR="00686947">
        <w:rPr>
          <w:rFonts w:ascii="Arial" w:hAnsi="Arial" w:cs="Arial"/>
        </w:rPr>
        <w:t>ing</w:t>
      </w:r>
      <w:r w:rsidR="00686947" w:rsidRPr="00686947">
        <w:rPr>
          <w:rFonts w:ascii="Arial" w:hAnsi="Arial" w:cs="Arial"/>
        </w:rPr>
        <w:t xml:space="preserve"> in new modular capabilities </w:t>
      </w:r>
      <w:r w:rsidR="00686947">
        <w:rPr>
          <w:rFonts w:ascii="Arial" w:hAnsi="Arial" w:cs="Arial"/>
        </w:rPr>
        <w:t>to the unified IT platform</w:t>
      </w:r>
      <w:r w:rsidR="00686947" w:rsidRPr="00686947">
        <w:rPr>
          <w:rFonts w:ascii="Arial" w:hAnsi="Arial" w:cs="Arial"/>
        </w:rPr>
        <w:t xml:space="preserve">, with an initial focus on Brico </w:t>
      </w:r>
      <w:r w:rsidR="00686947" w:rsidRPr="00686947">
        <w:rPr>
          <w:rFonts w:ascii="Arial" w:hAnsi="Arial" w:cs="Arial"/>
          <w:bCs/>
        </w:rPr>
        <w:t>Dépôt</w:t>
      </w:r>
      <w:r w:rsidR="00686947" w:rsidRPr="00686947">
        <w:rPr>
          <w:rFonts w:ascii="Arial" w:hAnsi="Arial" w:cs="Arial"/>
        </w:rPr>
        <w:t xml:space="preserve"> France, Poland and Romania.  </w:t>
      </w:r>
    </w:p>
    <w:bookmarkEnd w:id="13"/>
    <w:p w14:paraId="4737F2F6" w14:textId="10E346CE" w:rsidR="00675C9C" w:rsidRDefault="00675C9C" w:rsidP="00675C9C">
      <w:pPr>
        <w:jc w:val="left"/>
        <w:rPr>
          <w:rFonts w:ascii="Arial" w:hAnsi="Arial" w:cs="Arial"/>
          <w:bCs/>
          <w:lang w:val="en-US"/>
        </w:rPr>
      </w:pPr>
      <w:r>
        <w:rPr>
          <w:rFonts w:ascii="Arial" w:hAnsi="Arial" w:cs="Arial"/>
        </w:rPr>
        <w:lastRenderedPageBreak/>
        <w:t xml:space="preserve">Over the last three and a half years, the Group has improved the capabilities and performance of its ecommerce platform, while also building digital tools and capabilities for customers (for example, ‘plan my bathroom’, which is now live in B&amp;Q and Castorama France). To support further digital growth, </w:t>
      </w:r>
      <w:r>
        <w:rPr>
          <w:rFonts w:ascii="Arial" w:hAnsi="Arial" w:cs="Arial"/>
          <w:bCs/>
          <w:lang w:val="en-US"/>
        </w:rPr>
        <w:t>the Group is developing and extending ecommerce capabilities across Kingfisher</w:t>
      </w:r>
      <w:r>
        <w:rPr>
          <w:rFonts w:ascii="Arial" w:hAnsi="Arial" w:cs="Arial"/>
          <w:bCs/>
        </w:rPr>
        <w:t xml:space="preserve">. </w:t>
      </w:r>
      <w:r w:rsidR="00C5499C">
        <w:rPr>
          <w:rFonts w:ascii="Arial" w:hAnsi="Arial" w:cs="Arial"/>
          <w:bCs/>
        </w:rPr>
        <w:t>E</w:t>
      </w:r>
      <w:r>
        <w:rPr>
          <w:rFonts w:ascii="Arial" w:hAnsi="Arial" w:cs="Arial"/>
          <w:bCs/>
          <w:lang w:val="en-US"/>
        </w:rPr>
        <w:t xml:space="preserve">nhancements include higher quality content, more advanced search and checkout capabilities, and digital tools linked to new range launches. The rollout will start </w:t>
      </w:r>
      <w:r w:rsidRPr="004F6CB3">
        <w:rPr>
          <w:rFonts w:ascii="Arial" w:hAnsi="Arial" w:cs="Arial"/>
          <w:bCs/>
          <w:lang w:val="en-US"/>
        </w:rPr>
        <w:t>with Casto</w:t>
      </w:r>
      <w:r>
        <w:rPr>
          <w:rFonts w:ascii="Arial" w:hAnsi="Arial" w:cs="Arial"/>
          <w:bCs/>
          <w:lang w:val="en-US"/>
        </w:rPr>
        <w:t>rama</w:t>
      </w:r>
      <w:r w:rsidRPr="004F6CB3">
        <w:rPr>
          <w:rFonts w:ascii="Arial" w:hAnsi="Arial" w:cs="Arial"/>
          <w:bCs/>
          <w:lang w:val="en-US"/>
        </w:rPr>
        <w:t xml:space="preserve"> France in the second half of this year</w:t>
      </w:r>
      <w:r>
        <w:rPr>
          <w:rFonts w:ascii="Arial" w:hAnsi="Arial" w:cs="Arial"/>
          <w:bCs/>
          <w:lang w:val="en-US"/>
        </w:rPr>
        <w:t>.</w:t>
      </w:r>
    </w:p>
    <w:p w14:paraId="7DB47CE2" w14:textId="77777777" w:rsidR="00675C9C" w:rsidRPr="009F71DB" w:rsidRDefault="00675C9C" w:rsidP="0002565A">
      <w:pPr>
        <w:jc w:val="left"/>
        <w:rPr>
          <w:rFonts w:ascii="Arial" w:hAnsi="Arial"/>
        </w:rPr>
      </w:pPr>
    </w:p>
    <w:p w14:paraId="2E3B8B1C" w14:textId="77777777" w:rsidR="00A9284A" w:rsidRPr="00A96977" w:rsidRDefault="00A9284A" w:rsidP="001140BA">
      <w:pPr>
        <w:pStyle w:val="ListParagraph"/>
        <w:numPr>
          <w:ilvl w:val="0"/>
          <w:numId w:val="22"/>
        </w:numPr>
        <w:jc w:val="left"/>
        <w:rPr>
          <w:rFonts w:ascii="Arial" w:hAnsi="Arial" w:cs="Arial"/>
          <w:b/>
        </w:rPr>
      </w:pPr>
      <w:bookmarkStart w:id="14" w:name="_Hlk524516174"/>
      <w:bookmarkStart w:id="15" w:name="_Hlk524455557"/>
      <w:r w:rsidRPr="00A96977">
        <w:rPr>
          <w:rFonts w:ascii="Arial" w:hAnsi="Arial" w:cs="Arial"/>
          <w:b/>
        </w:rPr>
        <w:t>Address underperformance of Castorama France and other parts of the business</w:t>
      </w:r>
    </w:p>
    <w:p w14:paraId="3D54828B" w14:textId="77777777" w:rsidR="00A9284A" w:rsidRPr="00A96977" w:rsidRDefault="00A9284A" w:rsidP="00A9284A">
      <w:pPr>
        <w:jc w:val="left"/>
        <w:rPr>
          <w:rFonts w:ascii="Arial" w:hAnsi="Arial"/>
        </w:rPr>
      </w:pPr>
    </w:p>
    <w:p w14:paraId="5F4ABDB1" w14:textId="0F82EE90" w:rsidR="00D43E4E" w:rsidRDefault="00A9284A" w:rsidP="00A9284A">
      <w:pPr>
        <w:jc w:val="left"/>
        <w:rPr>
          <w:rFonts w:ascii="Arial" w:hAnsi="Arial" w:cs="Arial"/>
        </w:rPr>
      </w:pPr>
      <w:bookmarkStart w:id="16" w:name="_Hlk18523073"/>
      <w:r w:rsidRPr="00A96977">
        <w:rPr>
          <w:rFonts w:ascii="Arial" w:hAnsi="Arial" w:cs="Arial"/>
          <w:b/>
        </w:rPr>
        <w:t>Castorama France:</w:t>
      </w:r>
      <w:r w:rsidRPr="00A96977">
        <w:rPr>
          <w:rFonts w:ascii="Arial" w:hAnsi="Arial" w:cs="Arial"/>
        </w:rPr>
        <w:t xml:space="preserve"> Castorama’s </w:t>
      </w:r>
      <w:r w:rsidR="003255BF" w:rsidRPr="00A96977">
        <w:rPr>
          <w:rFonts w:ascii="Arial" w:hAnsi="Arial" w:cs="Arial"/>
        </w:rPr>
        <w:t>under</w:t>
      </w:r>
      <w:r w:rsidRPr="00A96977">
        <w:rPr>
          <w:rFonts w:ascii="Arial" w:hAnsi="Arial" w:cs="Arial"/>
        </w:rPr>
        <w:t xml:space="preserve">performance </w:t>
      </w:r>
      <w:r w:rsidR="00E732B9">
        <w:rPr>
          <w:rFonts w:ascii="Arial" w:hAnsi="Arial" w:cs="Arial"/>
        </w:rPr>
        <w:t xml:space="preserve">in H1 19/20 </w:t>
      </w:r>
      <w:r w:rsidR="005A0C82">
        <w:rPr>
          <w:rFonts w:ascii="Arial" w:hAnsi="Arial" w:cs="Arial"/>
        </w:rPr>
        <w:t xml:space="preserve">largely </w:t>
      </w:r>
      <w:r w:rsidR="00C87AE7" w:rsidRPr="00A96977">
        <w:rPr>
          <w:rFonts w:ascii="Arial" w:hAnsi="Arial" w:cs="Arial"/>
        </w:rPr>
        <w:t>reflect</w:t>
      </w:r>
      <w:r w:rsidR="003255BF" w:rsidRPr="00A96977">
        <w:rPr>
          <w:rFonts w:ascii="Arial" w:hAnsi="Arial" w:cs="Arial"/>
        </w:rPr>
        <w:t>s</w:t>
      </w:r>
      <w:r w:rsidR="00C87AE7" w:rsidRPr="00A96977">
        <w:rPr>
          <w:rFonts w:ascii="Arial" w:hAnsi="Arial" w:cs="Arial"/>
        </w:rPr>
        <w:t xml:space="preserve"> </w:t>
      </w:r>
      <w:r w:rsidR="00E732B9">
        <w:rPr>
          <w:rFonts w:ascii="Arial" w:hAnsi="Arial" w:cs="Arial"/>
        </w:rPr>
        <w:t xml:space="preserve">the impact of </w:t>
      </w:r>
      <w:r w:rsidR="005A0C82">
        <w:rPr>
          <w:rFonts w:ascii="Arial" w:hAnsi="Arial" w:cs="Arial"/>
        </w:rPr>
        <w:t xml:space="preserve">ongoing </w:t>
      </w:r>
      <w:r w:rsidR="005A0C82" w:rsidRPr="00A96977">
        <w:rPr>
          <w:rFonts w:ascii="Arial" w:hAnsi="Arial" w:cs="Arial"/>
        </w:rPr>
        <w:t>transformation-related activity</w:t>
      </w:r>
      <w:r w:rsidR="00D43E4E">
        <w:rPr>
          <w:rFonts w:ascii="Arial" w:hAnsi="Arial" w:cs="Arial"/>
        </w:rPr>
        <w:t xml:space="preserve">, together with </w:t>
      </w:r>
      <w:r w:rsidR="00B7322A">
        <w:rPr>
          <w:rFonts w:ascii="Arial" w:hAnsi="Arial" w:cs="Arial"/>
        </w:rPr>
        <w:t xml:space="preserve">the impact of </w:t>
      </w:r>
      <w:r w:rsidRPr="00A96977">
        <w:rPr>
          <w:rFonts w:ascii="Arial" w:hAnsi="Arial" w:cs="Arial"/>
        </w:rPr>
        <w:t>price repositioning</w:t>
      </w:r>
      <w:r w:rsidR="00B56D28">
        <w:rPr>
          <w:rFonts w:ascii="Arial" w:hAnsi="Arial" w:cs="Arial"/>
        </w:rPr>
        <w:t>.</w:t>
      </w:r>
      <w:r w:rsidR="00D43E4E">
        <w:rPr>
          <w:rFonts w:ascii="Arial" w:hAnsi="Arial" w:cs="Arial"/>
        </w:rPr>
        <w:t xml:space="preserve"> </w:t>
      </w:r>
      <w:r w:rsidR="00B56D28" w:rsidRPr="00B56D28">
        <w:rPr>
          <w:rFonts w:ascii="Arial" w:hAnsi="Arial" w:cs="Arial"/>
          <w:bCs/>
        </w:rPr>
        <w:t xml:space="preserve">The move to an everyday low prices (EDLP) strategy </w:t>
      </w:r>
      <w:r w:rsidR="00B56D28">
        <w:rPr>
          <w:rFonts w:ascii="Arial" w:hAnsi="Arial" w:cs="Arial"/>
          <w:bCs/>
        </w:rPr>
        <w:t xml:space="preserve">in the second half of FY 18/19 </w:t>
      </w:r>
      <w:r w:rsidR="00B56D28" w:rsidRPr="00B56D28">
        <w:rPr>
          <w:rFonts w:ascii="Arial" w:hAnsi="Arial" w:cs="Arial"/>
          <w:bCs/>
        </w:rPr>
        <w:t xml:space="preserve">had a c. </w:t>
      </w:r>
      <w:r w:rsidR="005111B3">
        <w:rPr>
          <w:rFonts w:ascii="Arial" w:hAnsi="Arial" w:cs="Arial"/>
          <w:bCs/>
        </w:rPr>
        <w:t>-</w:t>
      </w:r>
      <w:r w:rsidR="00B56D28" w:rsidRPr="00B56D28">
        <w:rPr>
          <w:rFonts w:ascii="Arial" w:hAnsi="Arial" w:cs="Arial"/>
          <w:bCs/>
        </w:rPr>
        <w:t xml:space="preserve">2% </w:t>
      </w:r>
      <w:r w:rsidR="00B56D28">
        <w:rPr>
          <w:rFonts w:ascii="Arial" w:hAnsi="Arial" w:cs="Arial"/>
          <w:bCs/>
        </w:rPr>
        <w:t xml:space="preserve">impact </w:t>
      </w:r>
      <w:r w:rsidR="00B56D28" w:rsidRPr="00B56D28">
        <w:rPr>
          <w:rFonts w:ascii="Arial" w:hAnsi="Arial" w:cs="Arial"/>
          <w:bCs/>
        </w:rPr>
        <w:t xml:space="preserve">on </w:t>
      </w:r>
      <w:r w:rsidR="00B56D28">
        <w:rPr>
          <w:rFonts w:ascii="Arial" w:hAnsi="Arial" w:cs="Arial"/>
          <w:bCs/>
        </w:rPr>
        <w:t xml:space="preserve">Castorama France’s </w:t>
      </w:r>
      <w:r w:rsidR="00B56D28" w:rsidRPr="00B56D28">
        <w:rPr>
          <w:rFonts w:ascii="Arial" w:hAnsi="Arial" w:cs="Arial"/>
          <w:bCs/>
        </w:rPr>
        <w:t xml:space="preserve">H1 </w:t>
      </w:r>
      <w:r w:rsidR="00B56D28">
        <w:rPr>
          <w:rFonts w:ascii="Arial" w:hAnsi="Arial" w:cs="Arial"/>
          <w:bCs/>
        </w:rPr>
        <w:t xml:space="preserve">19/20 </w:t>
      </w:r>
      <w:r w:rsidR="00B56D28" w:rsidRPr="00B56D28">
        <w:rPr>
          <w:rFonts w:ascii="Arial" w:hAnsi="Arial" w:cs="Arial"/>
          <w:bCs/>
        </w:rPr>
        <w:t>LFL sales</w:t>
      </w:r>
      <w:r w:rsidR="00B56D28">
        <w:rPr>
          <w:rFonts w:ascii="Arial" w:hAnsi="Arial" w:cs="Arial"/>
          <w:bCs/>
        </w:rPr>
        <w:t>.</w:t>
      </w:r>
      <w:r w:rsidRPr="00A96977">
        <w:rPr>
          <w:rFonts w:ascii="Arial" w:hAnsi="Arial" w:cs="Arial"/>
        </w:rPr>
        <w:t xml:space="preserve"> </w:t>
      </w:r>
    </w:p>
    <w:p w14:paraId="539AF2F4" w14:textId="77777777" w:rsidR="00D43E4E" w:rsidRDefault="00D43E4E" w:rsidP="00A9284A">
      <w:pPr>
        <w:jc w:val="left"/>
        <w:rPr>
          <w:rFonts w:ascii="Arial" w:hAnsi="Arial" w:cs="Arial"/>
        </w:rPr>
      </w:pPr>
    </w:p>
    <w:p w14:paraId="3A034593" w14:textId="128C45EB" w:rsidR="0077628F" w:rsidRDefault="005A0C82" w:rsidP="0077628F">
      <w:pPr>
        <w:jc w:val="left"/>
        <w:rPr>
          <w:rFonts w:ascii="Arial" w:hAnsi="Arial" w:cs="Arial"/>
          <w:bCs/>
        </w:rPr>
      </w:pPr>
      <w:r>
        <w:rPr>
          <w:rFonts w:ascii="Arial" w:hAnsi="Arial" w:cs="Arial"/>
        </w:rPr>
        <w:t>T</w:t>
      </w:r>
      <w:r w:rsidR="00A9284A" w:rsidRPr="00A96977">
        <w:rPr>
          <w:rFonts w:ascii="Arial" w:hAnsi="Arial" w:cs="Arial"/>
        </w:rPr>
        <w:t>ransformation-related activity</w:t>
      </w:r>
      <w:r>
        <w:rPr>
          <w:rFonts w:ascii="Arial" w:hAnsi="Arial" w:cs="Arial"/>
        </w:rPr>
        <w:t xml:space="preserve"> during the period </w:t>
      </w:r>
      <w:r w:rsidR="004A1A58" w:rsidRPr="00A96977">
        <w:rPr>
          <w:rFonts w:ascii="Arial" w:hAnsi="Arial" w:cs="Arial"/>
        </w:rPr>
        <w:t>includ</w:t>
      </w:r>
      <w:r>
        <w:rPr>
          <w:rFonts w:ascii="Arial" w:hAnsi="Arial" w:cs="Arial"/>
        </w:rPr>
        <w:t>ed</w:t>
      </w:r>
      <w:r w:rsidR="004A1A58" w:rsidRPr="00A96977">
        <w:rPr>
          <w:rFonts w:ascii="Arial" w:hAnsi="Arial" w:cs="Arial"/>
        </w:rPr>
        <w:t xml:space="preserve"> the </w:t>
      </w:r>
      <w:r>
        <w:rPr>
          <w:rFonts w:ascii="Arial" w:hAnsi="Arial" w:cs="Arial"/>
        </w:rPr>
        <w:t>implementation of several significant new unified ranges</w:t>
      </w:r>
      <w:r w:rsidR="00D43E4E">
        <w:rPr>
          <w:rFonts w:ascii="Arial" w:hAnsi="Arial" w:cs="Arial"/>
        </w:rPr>
        <w:t>.</w:t>
      </w:r>
      <w:r>
        <w:rPr>
          <w:rFonts w:ascii="Arial" w:hAnsi="Arial" w:cs="Arial"/>
        </w:rPr>
        <w:t xml:space="preserve"> </w:t>
      </w:r>
      <w:r w:rsidR="00C37DD3">
        <w:rPr>
          <w:rFonts w:ascii="Arial" w:hAnsi="Arial" w:cs="Arial"/>
          <w:bCs/>
        </w:rPr>
        <w:t xml:space="preserve">Approximately </w:t>
      </w:r>
      <w:r w:rsidR="00C37DD3" w:rsidRPr="00A96977">
        <w:rPr>
          <w:rFonts w:ascii="Arial" w:hAnsi="Arial" w:cs="Arial"/>
          <w:bCs/>
        </w:rPr>
        <w:t>60% of product ranges have now been unified</w:t>
      </w:r>
      <w:r w:rsidR="0077628F">
        <w:rPr>
          <w:rFonts w:ascii="Arial" w:hAnsi="Arial" w:cs="Arial"/>
          <w:bCs/>
        </w:rPr>
        <w:t xml:space="preserve"> at the business</w:t>
      </w:r>
      <w:r w:rsidR="001E5BCF">
        <w:rPr>
          <w:rFonts w:ascii="Arial" w:hAnsi="Arial" w:cs="Arial"/>
          <w:bCs/>
        </w:rPr>
        <w:t>.</w:t>
      </w:r>
      <w:r w:rsidR="0077628F">
        <w:rPr>
          <w:rFonts w:ascii="Arial" w:hAnsi="Arial" w:cs="Arial"/>
          <w:bCs/>
        </w:rPr>
        <w:t xml:space="preserve"> </w:t>
      </w:r>
      <w:r w:rsidR="00C5499C">
        <w:rPr>
          <w:rFonts w:ascii="Arial" w:hAnsi="Arial" w:cs="Arial"/>
          <w:bCs/>
        </w:rPr>
        <w:t>P</w:t>
      </w:r>
      <w:r w:rsidR="0077628F">
        <w:rPr>
          <w:rFonts w:ascii="Arial" w:hAnsi="Arial" w:cs="Arial"/>
          <w:bCs/>
        </w:rPr>
        <w:t xml:space="preserve">lans are in place for </w:t>
      </w:r>
      <w:r w:rsidR="001E5BCF">
        <w:rPr>
          <w:rFonts w:ascii="Arial" w:hAnsi="Arial" w:cs="Arial"/>
          <w:bCs/>
        </w:rPr>
        <w:t xml:space="preserve">certain </w:t>
      </w:r>
      <w:r w:rsidR="0077628F" w:rsidRPr="0077628F">
        <w:rPr>
          <w:rFonts w:ascii="Arial" w:hAnsi="Arial" w:cs="Arial"/>
          <w:bCs/>
        </w:rPr>
        <w:t xml:space="preserve">key ranges (such as kitchens) </w:t>
      </w:r>
      <w:r w:rsidR="001E5BCF">
        <w:rPr>
          <w:rFonts w:ascii="Arial" w:hAnsi="Arial" w:cs="Arial"/>
          <w:bCs/>
        </w:rPr>
        <w:t xml:space="preserve">to be implemented in the next financial year, </w:t>
      </w:r>
      <w:r w:rsidR="00C5499C">
        <w:rPr>
          <w:rFonts w:ascii="Arial" w:hAnsi="Arial" w:cs="Arial"/>
          <w:bCs/>
        </w:rPr>
        <w:t xml:space="preserve">and we continue to develop </w:t>
      </w:r>
      <w:r w:rsidR="001E5BCF">
        <w:rPr>
          <w:rFonts w:ascii="Arial" w:hAnsi="Arial" w:cs="Arial"/>
          <w:bCs/>
        </w:rPr>
        <w:t xml:space="preserve">further unique and </w:t>
      </w:r>
      <w:r w:rsidR="0077628F" w:rsidRPr="0077628F">
        <w:rPr>
          <w:rFonts w:ascii="Arial" w:hAnsi="Arial" w:cs="Arial"/>
          <w:bCs/>
        </w:rPr>
        <w:t>differentiated product</w:t>
      </w:r>
      <w:r w:rsidR="001E5BCF">
        <w:rPr>
          <w:rFonts w:ascii="Arial" w:hAnsi="Arial" w:cs="Arial"/>
          <w:bCs/>
        </w:rPr>
        <w:t xml:space="preserve"> to drive sales growth</w:t>
      </w:r>
      <w:r w:rsidR="0077628F" w:rsidRPr="0077628F">
        <w:rPr>
          <w:rFonts w:ascii="Arial" w:hAnsi="Arial" w:cs="Arial"/>
          <w:bCs/>
        </w:rPr>
        <w:t>.</w:t>
      </w:r>
    </w:p>
    <w:p w14:paraId="15F7A2B5" w14:textId="77777777" w:rsidR="0077628F" w:rsidRDefault="0077628F" w:rsidP="00A9284A">
      <w:pPr>
        <w:jc w:val="left"/>
        <w:rPr>
          <w:rFonts w:ascii="Arial" w:hAnsi="Arial" w:cs="Arial"/>
          <w:bCs/>
        </w:rPr>
      </w:pPr>
    </w:p>
    <w:p w14:paraId="1D4473C5" w14:textId="4BA5D4CC" w:rsidR="005C1112" w:rsidRDefault="008821E5" w:rsidP="00BE3495">
      <w:pPr>
        <w:jc w:val="left"/>
        <w:rPr>
          <w:rFonts w:ascii="Arial" w:hAnsi="Arial" w:cs="Arial"/>
          <w:bCs/>
        </w:rPr>
      </w:pPr>
      <w:r>
        <w:rPr>
          <w:rFonts w:ascii="Arial" w:hAnsi="Arial" w:cs="Arial"/>
        </w:rPr>
        <w:t>T</w:t>
      </w:r>
      <w:r w:rsidR="005A0C82">
        <w:rPr>
          <w:rFonts w:ascii="Arial" w:hAnsi="Arial" w:cs="Arial"/>
        </w:rPr>
        <w:t xml:space="preserve">he </w:t>
      </w:r>
      <w:r w:rsidR="00BD7E85">
        <w:rPr>
          <w:rFonts w:ascii="Arial" w:hAnsi="Arial" w:cs="Arial"/>
        </w:rPr>
        <w:t xml:space="preserve">overall change programme </w:t>
      </w:r>
      <w:r w:rsidR="00DE68B4">
        <w:rPr>
          <w:rFonts w:ascii="Arial" w:hAnsi="Arial" w:cs="Arial"/>
        </w:rPr>
        <w:t xml:space="preserve">at Castorama France </w:t>
      </w:r>
      <w:r w:rsidR="00B7322A">
        <w:rPr>
          <w:rFonts w:ascii="Arial" w:hAnsi="Arial" w:cs="Arial"/>
        </w:rPr>
        <w:t>is</w:t>
      </w:r>
      <w:r w:rsidR="00C87AE7" w:rsidRPr="00A96977">
        <w:rPr>
          <w:rFonts w:ascii="Arial" w:hAnsi="Arial" w:cs="Arial"/>
        </w:rPr>
        <w:t xml:space="preserve"> </w:t>
      </w:r>
      <w:r w:rsidR="00B7322A">
        <w:rPr>
          <w:rFonts w:ascii="Arial" w:hAnsi="Arial" w:cs="Arial"/>
        </w:rPr>
        <w:t>caus</w:t>
      </w:r>
      <w:r w:rsidR="00293DDD">
        <w:rPr>
          <w:rFonts w:ascii="Arial" w:hAnsi="Arial" w:cs="Arial"/>
        </w:rPr>
        <w:t>ing</w:t>
      </w:r>
      <w:r w:rsidR="00B7322A">
        <w:rPr>
          <w:rFonts w:ascii="Arial" w:hAnsi="Arial" w:cs="Arial"/>
        </w:rPr>
        <w:t xml:space="preserve"> </w:t>
      </w:r>
      <w:r w:rsidR="00F662AE">
        <w:rPr>
          <w:rFonts w:ascii="Arial" w:hAnsi="Arial" w:cs="Arial"/>
        </w:rPr>
        <w:t xml:space="preserve">issues </w:t>
      </w:r>
      <w:r w:rsidR="00B7322A">
        <w:rPr>
          <w:rFonts w:ascii="Arial" w:hAnsi="Arial" w:cs="Arial"/>
        </w:rPr>
        <w:t xml:space="preserve">in our </w:t>
      </w:r>
      <w:r w:rsidR="002A5FCA" w:rsidRPr="00A96977">
        <w:rPr>
          <w:rFonts w:ascii="Arial" w:hAnsi="Arial" w:cs="Arial"/>
        </w:rPr>
        <w:t>stock</w:t>
      </w:r>
      <w:r w:rsidR="00C87AE7" w:rsidRPr="00A96977">
        <w:rPr>
          <w:rFonts w:ascii="Arial" w:hAnsi="Arial" w:cs="Arial"/>
        </w:rPr>
        <w:t xml:space="preserve"> </w:t>
      </w:r>
      <w:r>
        <w:rPr>
          <w:rFonts w:ascii="Arial" w:hAnsi="Arial" w:cs="Arial"/>
        </w:rPr>
        <w:t>planning</w:t>
      </w:r>
      <w:r w:rsidR="009E5D7D">
        <w:rPr>
          <w:rFonts w:ascii="Arial" w:hAnsi="Arial" w:cs="Arial"/>
        </w:rPr>
        <w:t>,</w:t>
      </w:r>
      <w:r>
        <w:rPr>
          <w:rFonts w:ascii="Arial" w:hAnsi="Arial" w:cs="Arial"/>
        </w:rPr>
        <w:t xml:space="preserve"> </w:t>
      </w:r>
      <w:r w:rsidR="009E5D7D">
        <w:rPr>
          <w:rFonts w:ascii="Arial" w:hAnsi="Arial" w:cs="Arial"/>
        </w:rPr>
        <w:t xml:space="preserve">stock </w:t>
      </w:r>
      <w:r w:rsidR="00B7322A">
        <w:rPr>
          <w:rFonts w:ascii="Arial" w:hAnsi="Arial" w:cs="Arial"/>
        </w:rPr>
        <w:t>management</w:t>
      </w:r>
      <w:r w:rsidR="009E5D7D">
        <w:rPr>
          <w:rFonts w:ascii="Arial" w:hAnsi="Arial" w:cs="Arial"/>
        </w:rPr>
        <w:t xml:space="preserve"> and logistics processes which</w:t>
      </w:r>
      <w:r w:rsidR="00293DDD">
        <w:rPr>
          <w:rFonts w:ascii="Arial" w:hAnsi="Arial" w:cs="Arial"/>
        </w:rPr>
        <w:t xml:space="preserve">, </w:t>
      </w:r>
      <w:r w:rsidR="009E5D7D">
        <w:rPr>
          <w:rFonts w:ascii="Arial" w:hAnsi="Arial" w:cs="Arial"/>
        </w:rPr>
        <w:t xml:space="preserve">in turn, </w:t>
      </w:r>
      <w:r>
        <w:rPr>
          <w:rFonts w:ascii="Arial" w:hAnsi="Arial" w:cs="Arial"/>
        </w:rPr>
        <w:t xml:space="preserve">is </w:t>
      </w:r>
      <w:r w:rsidR="009E5D7D">
        <w:rPr>
          <w:rFonts w:ascii="Arial" w:hAnsi="Arial" w:cs="Arial"/>
        </w:rPr>
        <w:t xml:space="preserve">leading to </w:t>
      </w:r>
      <w:r>
        <w:rPr>
          <w:rFonts w:ascii="Arial" w:hAnsi="Arial" w:cs="Arial"/>
        </w:rPr>
        <w:t>lower than expected stock availability and fulfilment rates</w:t>
      </w:r>
      <w:r w:rsidR="00261503">
        <w:rPr>
          <w:rFonts w:ascii="Arial" w:hAnsi="Arial" w:cs="Arial"/>
        </w:rPr>
        <w:t>.</w:t>
      </w:r>
      <w:r w:rsidR="00B7322A">
        <w:rPr>
          <w:rFonts w:ascii="Arial" w:hAnsi="Arial" w:cs="Arial"/>
        </w:rPr>
        <w:t xml:space="preserve"> </w:t>
      </w:r>
      <w:r w:rsidR="009E5D7D">
        <w:rPr>
          <w:rFonts w:ascii="Arial" w:hAnsi="Arial" w:cs="Arial"/>
        </w:rPr>
        <w:t xml:space="preserve">These issues have arisen due to ongoing challenges with </w:t>
      </w:r>
      <w:r w:rsidR="005A0C82" w:rsidRPr="005A0C82">
        <w:rPr>
          <w:rFonts w:ascii="Arial" w:hAnsi="Arial" w:cs="Arial"/>
        </w:rPr>
        <w:t xml:space="preserve">vendor management, product data and </w:t>
      </w:r>
      <w:r w:rsidR="001948B9">
        <w:rPr>
          <w:rFonts w:ascii="Arial" w:hAnsi="Arial" w:cs="Arial"/>
        </w:rPr>
        <w:t xml:space="preserve">changes to </w:t>
      </w:r>
      <w:r w:rsidR="005A0C82" w:rsidRPr="005A0C82">
        <w:rPr>
          <w:rFonts w:ascii="Arial" w:hAnsi="Arial" w:cs="Arial"/>
        </w:rPr>
        <w:t xml:space="preserve">store </w:t>
      </w:r>
      <w:r w:rsidR="007D269D">
        <w:rPr>
          <w:rFonts w:ascii="Arial" w:hAnsi="Arial" w:cs="Arial"/>
        </w:rPr>
        <w:t>operations</w:t>
      </w:r>
      <w:r w:rsidR="001948B9">
        <w:rPr>
          <w:rFonts w:ascii="Arial" w:hAnsi="Arial" w:cs="Arial"/>
        </w:rPr>
        <w:t xml:space="preserve">, which are all being </w:t>
      </w:r>
      <w:r w:rsidR="005A0C82" w:rsidRPr="005A0C82">
        <w:rPr>
          <w:rFonts w:ascii="Arial" w:hAnsi="Arial" w:cs="Arial"/>
        </w:rPr>
        <w:t>align</w:t>
      </w:r>
      <w:r w:rsidR="001948B9">
        <w:rPr>
          <w:rFonts w:ascii="Arial" w:hAnsi="Arial" w:cs="Arial"/>
        </w:rPr>
        <w:t>ed</w:t>
      </w:r>
      <w:r w:rsidR="005A0C82" w:rsidRPr="005A0C82">
        <w:rPr>
          <w:rFonts w:ascii="Arial" w:hAnsi="Arial" w:cs="Arial"/>
        </w:rPr>
        <w:t xml:space="preserve"> to the new IT</w:t>
      </w:r>
      <w:r w:rsidR="001948B9">
        <w:rPr>
          <w:rFonts w:ascii="Arial" w:hAnsi="Arial" w:cs="Arial"/>
        </w:rPr>
        <w:t>, operational</w:t>
      </w:r>
      <w:r w:rsidR="00B7322A">
        <w:rPr>
          <w:rFonts w:ascii="Arial" w:hAnsi="Arial" w:cs="Arial"/>
        </w:rPr>
        <w:t xml:space="preserve"> </w:t>
      </w:r>
      <w:r w:rsidR="001948B9">
        <w:rPr>
          <w:rFonts w:ascii="Arial" w:hAnsi="Arial" w:cs="Arial"/>
        </w:rPr>
        <w:t xml:space="preserve">processes </w:t>
      </w:r>
      <w:r w:rsidR="00B7322A">
        <w:rPr>
          <w:rFonts w:ascii="Arial" w:hAnsi="Arial" w:cs="Arial"/>
        </w:rPr>
        <w:t>and unified ranges</w:t>
      </w:r>
      <w:r w:rsidR="00BE3495">
        <w:rPr>
          <w:rFonts w:ascii="Arial" w:hAnsi="Arial" w:cs="Arial"/>
        </w:rPr>
        <w:t xml:space="preserve"> within</w:t>
      </w:r>
      <w:r w:rsidR="00BE3495" w:rsidRPr="009F71DB">
        <w:rPr>
          <w:rFonts w:ascii="Arial" w:hAnsi="Arial"/>
        </w:rPr>
        <w:t xml:space="preserve"> the </w:t>
      </w:r>
      <w:r w:rsidR="00BE3495">
        <w:rPr>
          <w:rFonts w:ascii="Arial" w:hAnsi="Arial" w:cs="Arial"/>
        </w:rPr>
        <w:t>business</w:t>
      </w:r>
      <w:r w:rsidR="00A9284A" w:rsidRPr="00A96977">
        <w:rPr>
          <w:rFonts w:ascii="Arial" w:hAnsi="Arial" w:cs="Arial"/>
        </w:rPr>
        <w:t>.</w:t>
      </w:r>
      <w:r w:rsidR="00BE3495">
        <w:rPr>
          <w:rFonts w:ascii="Arial" w:hAnsi="Arial" w:cs="Arial"/>
        </w:rPr>
        <w:t xml:space="preserve"> </w:t>
      </w:r>
      <w:r w:rsidR="001948B9">
        <w:rPr>
          <w:rFonts w:ascii="Arial" w:hAnsi="Arial" w:cs="Arial"/>
        </w:rPr>
        <w:t xml:space="preserve">This is further amplified by the </w:t>
      </w:r>
      <w:r w:rsidR="001948B9" w:rsidRPr="005A0C82">
        <w:rPr>
          <w:rFonts w:ascii="Arial" w:hAnsi="Arial" w:cs="Arial"/>
        </w:rPr>
        <w:t xml:space="preserve">complexity of running both new and legacy </w:t>
      </w:r>
      <w:r w:rsidR="001948B9">
        <w:rPr>
          <w:rFonts w:ascii="Arial" w:hAnsi="Arial" w:cs="Arial"/>
        </w:rPr>
        <w:t xml:space="preserve">IT </w:t>
      </w:r>
      <w:r w:rsidR="001948B9" w:rsidRPr="005A0C82">
        <w:rPr>
          <w:rFonts w:ascii="Arial" w:hAnsi="Arial" w:cs="Arial"/>
        </w:rPr>
        <w:t xml:space="preserve">systems while </w:t>
      </w:r>
      <w:r w:rsidR="001948B9">
        <w:rPr>
          <w:rFonts w:ascii="Arial" w:hAnsi="Arial" w:cs="Arial"/>
        </w:rPr>
        <w:t>we transition to the new unified IT platform.</w:t>
      </w:r>
      <w:r w:rsidR="001948B9" w:rsidRPr="005A0C82">
        <w:rPr>
          <w:rFonts w:ascii="Arial" w:hAnsi="Arial" w:cs="Arial"/>
        </w:rPr>
        <w:t xml:space="preserve"> </w:t>
      </w:r>
      <w:r w:rsidR="00BE3495">
        <w:rPr>
          <w:rFonts w:ascii="Arial" w:hAnsi="Arial" w:cs="Arial"/>
        </w:rPr>
        <w:t>A</w:t>
      </w:r>
      <w:r w:rsidR="009B7B7D">
        <w:rPr>
          <w:rFonts w:ascii="Arial" w:hAnsi="Arial" w:cs="Arial"/>
        </w:rPr>
        <w:t xml:space="preserve"> number of</w:t>
      </w:r>
      <w:r w:rsidR="00901A58">
        <w:rPr>
          <w:rFonts w:ascii="Arial" w:hAnsi="Arial" w:cs="Arial"/>
        </w:rPr>
        <w:t xml:space="preserve"> initiatives are underway</w:t>
      </w:r>
      <w:r w:rsidR="00C37DD3">
        <w:rPr>
          <w:rFonts w:ascii="Arial" w:hAnsi="Arial" w:cs="Arial"/>
        </w:rPr>
        <w:t xml:space="preserve"> </w:t>
      </w:r>
      <w:r w:rsidR="00BE3495">
        <w:rPr>
          <w:rFonts w:ascii="Arial" w:hAnsi="Arial" w:cs="Arial"/>
        </w:rPr>
        <w:t xml:space="preserve">at both </w:t>
      </w:r>
      <w:r w:rsidR="00C5499C">
        <w:rPr>
          <w:rFonts w:ascii="Arial" w:hAnsi="Arial" w:cs="Arial"/>
        </w:rPr>
        <w:t xml:space="preserve">a </w:t>
      </w:r>
      <w:r w:rsidR="00BE3495">
        <w:rPr>
          <w:rFonts w:ascii="Arial" w:hAnsi="Arial" w:cs="Arial"/>
        </w:rPr>
        <w:t xml:space="preserve">Group and local level </w:t>
      </w:r>
      <w:r w:rsidR="00C37DD3">
        <w:rPr>
          <w:rFonts w:ascii="Arial" w:hAnsi="Arial" w:cs="Arial"/>
        </w:rPr>
        <w:t xml:space="preserve">in the second half </w:t>
      </w:r>
      <w:r w:rsidR="00F50EEE">
        <w:rPr>
          <w:rFonts w:ascii="Arial" w:hAnsi="Arial" w:cs="Arial"/>
        </w:rPr>
        <w:t xml:space="preserve">of the year </w:t>
      </w:r>
      <w:r w:rsidR="00C37DD3">
        <w:rPr>
          <w:rFonts w:ascii="Arial" w:hAnsi="Arial" w:cs="Arial"/>
        </w:rPr>
        <w:t xml:space="preserve">to </w:t>
      </w:r>
      <w:r w:rsidR="00831FF7">
        <w:rPr>
          <w:rFonts w:ascii="Arial" w:hAnsi="Arial" w:cs="Arial"/>
        </w:rPr>
        <w:t xml:space="preserve">improve </w:t>
      </w:r>
      <w:r w:rsidR="00C37DD3">
        <w:rPr>
          <w:rFonts w:ascii="Arial" w:hAnsi="Arial" w:cs="Arial"/>
        </w:rPr>
        <w:t xml:space="preserve">the </w:t>
      </w:r>
      <w:r w:rsidR="001948B9">
        <w:rPr>
          <w:rFonts w:ascii="Arial" w:hAnsi="Arial" w:cs="Arial"/>
        </w:rPr>
        <w:t xml:space="preserve">effectiveness </w:t>
      </w:r>
      <w:r w:rsidR="00C37DD3">
        <w:rPr>
          <w:rFonts w:ascii="Arial" w:hAnsi="Arial" w:cs="Arial"/>
        </w:rPr>
        <w:t xml:space="preserve">of Castorama France’s </w:t>
      </w:r>
      <w:r w:rsidR="00901A58" w:rsidRPr="00901A58">
        <w:rPr>
          <w:rFonts w:ascii="Arial" w:hAnsi="Arial" w:cs="Arial"/>
        </w:rPr>
        <w:t>IT platform</w:t>
      </w:r>
      <w:r>
        <w:rPr>
          <w:rFonts w:ascii="Arial" w:hAnsi="Arial" w:cs="Arial"/>
        </w:rPr>
        <w:t>,</w:t>
      </w:r>
      <w:r w:rsidR="00901A58" w:rsidRPr="00901A58">
        <w:rPr>
          <w:rFonts w:ascii="Arial" w:hAnsi="Arial" w:cs="Arial"/>
        </w:rPr>
        <w:t xml:space="preserve"> </w:t>
      </w:r>
      <w:r w:rsidR="001948B9">
        <w:rPr>
          <w:rFonts w:ascii="Arial" w:hAnsi="Arial" w:cs="Arial"/>
        </w:rPr>
        <w:t xml:space="preserve">and the efficiency of </w:t>
      </w:r>
      <w:r w:rsidR="00677896">
        <w:rPr>
          <w:rFonts w:ascii="Arial" w:hAnsi="Arial" w:cs="Arial"/>
        </w:rPr>
        <w:t xml:space="preserve">its </w:t>
      </w:r>
      <w:r>
        <w:rPr>
          <w:rFonts w:ascii="Arial" w:hAnsi="Arial" w:cs="Arial"/>
        </w:rPr>
        <w:t xml:space="preserve">operational </w:t>
      </w:r>
      <w:r w:rsidR="00901A58" w:rsidRPr="00901A58">
        <w:rPr>
          <w:rFonts w:ascii="Arial" w:hAnsi="Arial" w:cs="Arial"/>
        </w:rPr>
        <w:t>processes</w:t>
      </w:r>
      <w:r w:rsidR="001948B9">
        <w:rPr>
          <w:rFonts w:ascii="Arial" w:hAnsi="Arial" w:cs="Arial"/>
        </w:rPr>
        <w:t xml:space="preserve"> and </w:t>
      </w:r>
      <w:r>
        <w:rPr>
          <w:rFonts w:ascii="Arial" w:hAnsi="Arial" w:cs="Arial"/>
        </w:rPr>
        <w:t>fulfilment function</w:t>
      </w:r>
      <w:r w:rsidR="00C37DD3">
        <w:rPr>
          <w:rFonts w:ascii="Arial" w:hAnsi="Arial" w:cs="Arial"/>
        </w:rPr>
        <w:t xml:space="preserve">. </w:t>
      </w:r>
      <w:r w:rsidR="007D269D">
        <w:rPr>
          <w:rFonts w:ascii="Arial" w:hAnsi="Arial" w:cs="Arial"/>
        </w:rPr>
        <w:t xml:space="preserve">Over time, this </w:t>
      </w:r>
      <w:r w:rsidR="00677896">
        <w:rPr>
          <w:rFonts w:ascii="Arial" w:hAnsi="Arial" w:cs="Arial"/>
        </w:rPr>
        <w:t xml:space="preserve">should </w:t>
      </w:r>
      <w:r w:rsidR="00C37DD3" w:rsidRPr="00B56D28">
        <w:rPr>
          <w:rFonts w:ascii="Arial" w:hAnsi="Arial" w:cs="Arial"/>
          <w:bCs/>
        </w:rPr>
        <w:t xml:space="preserve">improve </w:t>
      </w:r>
      <w:r w:rsidR="00901A58" w:rsidRPr="00B56D28">
        <w:rPr>
          <w:rFonts w:ascii="Arial" w:hAnsi="Arial" w:cs="Arial"/>
          <w:bCs/>
        </w:rPr>
        <w:t xml:space="preserve">the </w:t>
      </w:r>
      <w:r>
        <w:rPr>
          <w:rFonts w:ascii="Arial" w:hAnsi="Arial" w:cs="Arial"/>
          <w:bCs/>
        </w:rPr>
        <w:t xml:space="preserve">overall </w:t>
      </w:r>
      <w:r w:rsidR="00BB787F">
        <w:rPr>
          <w:rFonts w:ascii="Arial" w:hAnsi="Arial" w:cs="Arial"/>
          <w:bCs/>
        </w:rPr>
        <w:t xml:space="preserve">performance </w:t>
      </w:r>
      <w:r w:rsidR="00901A58" w:rsidRPr="00B56D28">
        <w:rPr>
          <w:rFonts w:ascii="Arial" w:hAnsi="Arial" w:cs="Arial"/>
          <w:bCs/>
        </w:rPr>
        <w:t xml:space="preserve">of our supply chain and logistics operations, which </w:t>
      </w:r>
      <w:r w:rsidR="00BB787F">
        <w:rPr>
          <w:rFonts w:ascii="Arial" w:hAnsi="Arial" w:cs="Arial"/>
          <w:bCs/>
        </w:rPr>
        <w:t>is a key</w:t>
      </w:r>
      <w:r w:rsidR="00901A58" w:rsidRPr="00B56D28">
        <w:rPr>
          <w:rFonts w:ascii="Arial" w:hAnsi="Arial" w:cs="Arial"/>
          <w:bCs/>
        </w:rPr>
        <w:t xml:space="preserve"> enabler for the longer term growth of </w:t>
      </w:r>
      <w:r w:rsidR="00B56D28" w:rsidRPr="00B56D28">
        <w:rPr>
          <w:rFonts w:ascii="Arial" w:hAnsi="Arial" w:cs="Arial"/>
          <w:bCs/>
        </w:rPr>
        <w:t>Castorama France</w:t>
      </w:r>
      <w:r w:rsidR="00901A58" w:rsidRPr="00B56D28">
        <w:rPr>
          <w:rFonts w:ascii="Arial" w:hAnsi="Arial" w:cs="Arial"/>
          <w:bCs/>
        </w:rPr>
        <w:t>.</w:t>
      </w:r>
      <w:r w:rsidR="00050768">
        <w:rPr>
          <w:rFonts w:ascii="Arial" w:hAnsi="Arial" w:cs="Arial"/>
          <w:bCs/>
        </w:rPr>
        <w:t xml:space="preserve"> </w:t>
      </w:r>
    </w:p>
    <w:p w14:paraId="118E547F" w14:textId="77777777" w:rsidR="005C1112" w:rsidRDefault="005C1112" w:rsidP="00BE3495">
      <w:pPr>
        <w:jc w:val="left"/>
        <w:rPr>
          <w:rFonts w:ascii="Arial" w:hAnsi="Arial" w:cs="Arial"/>
          <w:bCs/>
        </w:rPr>
      </w:pPr>
    </w:p>
    <w:p w14:paraId="7107897B" w14:textId="33E17A37" w:rsidR="00A37D93" w:rsidRPr="00FF36BA" w:rsidRDefault="005C1112" w:rsidP="005C1112">
      <w:pPr>
        <w:jc w:val="left"/>
        <w:rPr>
          <w:rFonts w:ascii="Arial" w:hAnsi="Arial" w:cs="Arial"/>
        </w:rPr>
      </w:pPr>
      <w:r>
        <w:rPr>
          <w:rFonts w:ascii="Arial" w:hAnsi="Arial" w:cs="Arial"/>
          <w:bCs/>
        </w:rPr>
        <w:t>I</w:t>
      </w:r>
      <w:r w:rsidRPr="00FC6C78">
        <w:rPr>
          <w:rFonts w:ascii="Arial" w:hAnsi="Arial" w:cs="Arial"/>
        </w:rPr>
        <w:t xml:space="preserve">n the second half of </w:t>
      </w:r>
      <w:r w:rsidR="00F50EEE">
        <w:rPr>
          <w:rFonts w:ascii="Arial" w:hAnsi="Arial" w:cs="Arial"/>
        </w:rPr>
        <w:t>the year</w:t>
      </w:r>
      <w:r>
        <w:rPr>
          <w:rFonts w:ascii="Arial" w:hAnsi="Arial" w:cs="Arial"/>
        </w:rPr>
        <w:t xml:space="preserve">, we are </w:t>
      </w:r>
      <w:r w:rsidR="00F50EEE">
        <w:rPr>
          <w:rFonts w:ascii="Arial" w:hAnsi="Arial" w:cs="Arial"/>
        </w:rPr>
        <w:t xml:space="preserve">also </w:t>
      </w:r>
      <w:r>
        <w:rPr>
          <w:rFonts w:ascii="Arial" w:hAnsi="Arial" w:cs="Arial"/>
        </w:rPr>
        <w:t xml:space="preserve">planning to implement </w:t>
      </w:r>
      <w:r w:rsidR="00050768" w:rsidRPr="00A37D93">
        <w:rPr>
          <w:rFonts w:ascii="Arial" w:hAnsi="Arial" w:cs="Arial"/>
        </w:rPr>
        <w:t>enhanced ecommerce capabilities</w:t>
      </w:r>
      <w:r>
        <w:rPr>
          <w:rFonts w:ascii="Arial" w:hAnsi="Arial" w:cs="Arial"/>
        </w:rPr>
        <w:t xml:space="preserve"> within the business</w:t>
      </w:r>
      <w:r w:rsidR="00050768" w:rsidRPr="00FC6C78">
        <w:rPr>
          <w:rFonts w:ascii="Arial" w:hAnsi="Arial" w:cs="Arial"/>
        </w:rPr>
        <w:t>.</w:t>
      </w:r>
      <w:r>
        <w:rPr>
          <w:rFonts w:ascii="Arial" w:hAnsi="Arial" w:cs="Arial"/>
        </w:rPr>
        <w:t xml:space="preserve"> In addition, good </w:t>
      </w:r>
      <w:r w:rsidR="00A37D93" w:rsidRPr="00957FC4">
        <w:rPr>
          <w:rFonts w:ascii="Arial" w:hAnsi="Arial" w:cs="Arial"/>
        </w:rPr>
        <w:t>progress is being made on improving Castorama France’s price perception with customers, as well as addressing cost inefficiencies and loss-making stores within the business:</w:t>
      </w:r>
    </w:p>
    <w:p w14:paraId="230C3F19" w14:textId="77777777" w:rsidR="00A37D93" w:rsidRPr="00FA4D7F" w:rsidRDefault="00A37D93" w:rsidP="00B56D28">
      <w:pPr>
        <w:jc w:val="left"/>
        <w:rPr>
          <w:rFonts w:ascii="Arial" w:hAnsi="Arial" w:cs="Arial"/>
        </w:rPr>
      </w:pPr>
    </w:p>
    <w:p w14:paraId="20530C42" w14:textId="33A4079A" w:rsidR="00A37D93" w:rsidRPr="00A37D93" w:rsidRDefault="001523B6" w:rsidP="007655ED">
      <w:pPr>
        <w:pStyle w:val="ListParagraph"/>
        <w:numPr>
          <w:ilvl w:val="0"/>
          <w:numId w:val="24"/>
        </w:numPr>
        <w:jc w:val="left"/>
        <w:rPr>
          <w:rFonts w:ascii="Arial" w:hAnsi="Arial" w:cs="Arial"/>
        </w:rPr>
      </w:pPr>
      <w:r w:rsidRPr="00FA4D7F">
        <w:rPr>
          <w:rFonts w:ascii="Arial" w:hAnsi="Arial" w:cs="Arial"/>
        </w:rPr>
        <w:t>P</w:t>
      </w:r>
      <w:r w:rsidR="00A9284A" w:rsidRPr="00FA4D7F">
        <w:rPr>
          <w:rFonts w:ascii="Arial" w:hAnsi="Arial" w:cs="Arial"/>
        </w:rPr>
        <w:t xml:space="preserve">rice positioning </w:t>
      </w:r>
      <w:r w:rsidR="00A37D93">
        <w:rPr>
          <w:rFonts w:ascii="Arial" w:hAnsi="Arial" w:cs="Arial"/>
        </w:rPr>
        <w:t xml:space="preserve">and customer perception </w:t>
      </w:r>
      <w:r w:rsidRPr="00A37D93">
        <w:rPr>
          <w:rFonts w:ascii="Arial" w:hAnsi="Arial" w:cs="Arial"/>
        </w:rPr>
        <w:t xml:space="preserve">has </w:t>
      </w:r>
      <w:r w:rsidR="00A9284A" w:rsidRPr="00A37D93">
        <w:rPr>
          <w:rFonts w:ascii="Arial" w:hAnsi="Arial" w:cs="Arial"/>
        </w:rPr>
        <w:t>improv</w:t>
      </w:r>
      <w:r w:rsidRPr="00A37D93">
        <w:rPr>
          <w:rFonts w:ascii="Arial" w:hAnsi="Arial" w:cs="Arial"/>
        </w:rPr>
        <w:t>e</w:t>
      </w:r>
      <w:r w:rsidR="00A37D93">
        <w:rPr>
          <w:rFonts w:ascii="Arial" w:hAnsi="Arial" w:cs="Arial"/>
        </w:rPr>
        <w:t xml:space="preserve">d. </w:t>
      </w:r>
      <w:r w:rsidR="005C6EF0" w:rsidRPr="00A37D93">
        <w:rPr>
          <w:rFonts w:ascii="Arial" w:hAnsi="Arial" w:cs="Arial"/>
        </w:rPr>
        <w:t>Castorama</w:t>
      </w:r>
      <w:r w:rsidR="00A37D93" w:rsidRPr="00A37D93">
        <w:rPr>
          <w:rFonts w:ascii="Arial" w:hAnsi="Arial" w:cs="Arial"/>
        </w:rPr>
        <w:t xml:space="preserve"> France’s</w:t>
      </w:r>
      <w:r w:rsidR="005C6EF0" w:rsidRPr="00A37D93">
        <w:rPr>
          <w:rFonts w:ascii="Arial" w:hAnsi="Arial" w:cs="Arial"/>
        </w:rPr>
        <w:t xml:space="preserve"> price index </w:t>
      </w:r>
      <w:r w:rsidR="00C87AE7" w:rsidRPr="00A37D93">
        <w:rPr>
          <w:rFonts w:ascii="Arial" w:hAnsi="Arial" w:cs="Arial"/>
        </w:rPr>
        <w:t>is</w:t>
      </w:r>
      <w:r w:rsidR="003255BF" w:rsidRPr="00A37D93">
        <w:rPr>
          <w:rFonts w:ascii="Arial" w:hAnsi="Arial" w:cs="Arial"/>
        </w:rPr>
        <w:t xml:space="preserve"> now</w:t>
      </w:r>
      <w:r w:rsidR="00C87AE7" w:rsidRPr="00A37D93">
        <w:rPr>
          <w:rFonts w:ascii="Arial" w:hAnsi="Arial" w:cs="Arial"/>
        </w:rPr>
        <w:t xml:space="preserve"> </w:t>
      </w:r>
      <w:r w:rsidR="003255BF" w:rsidRPr="00A37D93">
        <w:rPr>
          <w:rFonts w:ascii="Arial" w:hAnsi="Arial" w:cs="Arial"/>
        </w:rPr>
        <w:t xml:space="preserve">at </w:t>
      </w:r>
      <w:r w:rsidR="00C87AE7" w:rsidRPr="00A37D93">
        <w:rPr>
          <w:rFonts w:ascii="Arial" w:hAnsi="Arial" w:cs="Arial"/>
        </w:rPr>
        <w:t>101</w:t>
      </w:r>
      <w:r w:rsidR="00A37D93">
        <w:rPr>
          <w:rFonts w:ascii="Arial" w:hAnsi="Arial" w:cs="Arial"/>
        </w:rPr>
        <w:t>,</w:t>
      </w:r>
      <w:r w:rsidRPr="00A37D93">
        <w:rPr>
          <w:rFonts w:ascii="Arial" w:hAnsi="Arial" w:cs="Arial"/>
        </w:rPr>
        <w:t xml:space="preserve"> </w:t>
      </w:r>
      <w:r w:rsidR="00A37D93">
        <w:rPr>
          <w:rFonts w:ascii="Arial" w:hAnsi="Arial" w:cs="Arial"/>
        </w:rPr>
        <w:t xml:space="preserve">while </w:t>
      </w:r>
      <w:r w:rsidR="00A37D93" w:rsidRPr="00A37D93">
        <w:rPr>
          <w:rFonts w:ascii="Arial" w:hAnsi="Arial" w:cs="Arial"/>
        </w:rPr>
        <w:t xml:space="preserve">the business’ </w:t>
      </w:r>
      <w:r w:rsidR="00310270" w:rsidRPr="00A37D93">
        <w:rPr>
          <w:rFonts w:ascii="Arial" w:hAnsi="Arial" w:cs="Arial"/>
        </w:rPr>
        <w:t xml:space="preserve">net promoter score (NPS) </w:t>
      </w:r>
      <w:r w:rsidR="00A37D93">
        <w:rPr>
          <w:rFonts w:ascii="Arial" w:hAnsi="Arial" w:cs="Arial"/>
        </w:rPr>
        <w:t xml:space="preserve">is </w:t>
      </w:r>
      <w:r w:rsidRPr="00A37D93">
        <w:rPr>
          <w:rFonts w:ascii="Arial" w:hAnsi="Arial" w:cs="Arial"/>
        </w:rPr>
        <w:t xml:space="preserve">up </w:t>
      </w:r>
      <w:r w:rsidR="001F1C68">
        <w:rPr>
          <w:rFonts w:ascii="Arial" w:hAnsi="Arial" w:cs="Arial"/>
        </w:rPr>
        <w:t>5</w:t>
      </w:r>
      <w:r w:rsidRPr="00A37D93">
        <w:rPr>
          <w:rFonts w:ascii="Arial" w:hAnsi="Arial" w:cs="Arial"/>
        </w:rPr>
        <w:t xml:space="preserve"> </w:t>
      </w:r>
      <w:r w:rsidR="00A37D93" w:rsidRPr="00A37D93">
        <w:rPr>
          <w:rFonts w:ascii="Arial" w:hAnsi="Arial" w:cs="Arial"/>
        </w:rPr>
        <w:t xml:space="preserve">percentage points </w:t>
      </w:r>
      <w:r w:rsidRPr="00A37D93">
        <w:rPr>
          <w:rFonts w:ascii="Arial" w:hAnsi="Arial" w:cs="Arial"/>
        </w:rPr>
        <w:t>over the last 12 months</w:t>
      </w:r>
      <w:r w:rsidR="009B4760">
        <w:rPr>
          <w:rFonts w:ascii="Arial" w:hAnsi="Arial" w:cs="Arial"/>
        </w:rPr>
        <w:t>;</w:t>
      </w:r>
      <w:r w:rsidR="00A37D93" w:rsidRPr="00A37D93">
        <w:rPr>
          <w:rFonts w:ascii="Arial" w:hAnsi="Arial" w:cs="Arial"/>
        </w:rPr>
        <w:t xml:space="preserve"> </w:t>
      </w:r>
    </w:p>
    <w:p w14:paraId="142E32CD" w14:textId="662A2F46" w:rsidR="00EB3C88" w:rsidRPr="003202F2" w:rsidRDefault="00A9284A" w:rsidP="007655ED">
      <w:pPr>
        <w:pStyle w:val="ListParagraph"/>
        <w:numPr>
          <w:ilvl w:val="0"/>
          <w:numId w:val="24"/>
        </w:numPr>
        <w:jc w:val="left"/>
        <w:rPr>
          <w:rFonts w:ascii="Arial" w:hAnsi="Arial" w:cs="Arial"/>
        </w:rPr>
      </w:pPr>
      <w:r w:rsidRPr="009B4760">
        <w:rPr>
          <w:rFonts w:ascii="Arial" w:hAnsi="Arial" w:cs="Arial"/>
        </w:rPr>
        <w:t>Variable cost reduction initiatives</w:t>
      </w:r>
      <w:r w:rsidR="005C1112">
        <w:rPr>
          <w:rFonts w:ascii="Arial" w:hAnsi="Arial" w:cs="Arial"/>
        </w:rPr>
        <w:t>,</w:t>
      </w:r>
      <w:r w:rsidRPr="009B4760">
        <w:rPr>
          <w:rFonts w:ascii="Arial" w:hAnsi="Arial" w:cs="Arial"/>
        </w:rPr>
        <w:t xml:space="preserve"> </w:t>
      </w:r>
      <w:r w:rsidRPr="00F26481">
        <w:rPr>
          <w:rFonts w:ascii="Arial" w:hAnsi="Arial" w:cs="Arial"/>
        </w:rPr>
        <w:t xml:space="preserve">including </w:t>
      </w:r>
      <w:r w:rsidR="00417B05">
        <w:rPr>
          <w:rFonts w:ascii="Arial" w:hAnsi="Arial" w:cs="Arial"/>
        </w:rPr>
        <w:t xml:space="preserve">the transition to finance </w:t>
      </w:r>
      <w:r w:rsidR="00417B05" w:rsidRPr="00417B05">
        <w:rPr>
          <w:rFonts w:ascii="Arial" w:hAnsi="Arial" w:cs="Arial"/>
        </w:rPr>
        <w:t xml:space="preserve">shared services </w:t>
      </w:r>
      <w:r w:rsidR="00627959" w:rsidRPr="00F26481">
        <w:rPr>
          <w:rFonts w:ascii="Arial" w:hAnsi="Arial" w:cs="Arial"/>
        </w:rPr>
        <w:t>in</w:t>
      </w:r>
      <w:r w:rsidRPr="003202F2">
        <w:rPr>
          <w:rFonts w:ascii="Arial" w:hAnsi="Arial" w:cs="Arial"/>
        </w:rPr>
        <w:t xml:space="preserve"> </w:t>
      </w:r>
      <w:r w:rsidR="009B4760" w:rsidRPr="003202F2">
        <w:rPr>
          <w:rFonts w:ascii="Arial" w:hAnsi="Arial" w:cs="Arial"/>
        </w:rPr>
        <w:t xml:space="preserve">the second half of </w:t>
      </w:r>
      <w:r w:rsidRPr="003202F2">
        <w:rPr>
          <w:rFonts w:ascii="Arial" w:hAnsi="Arial" w:cs="Arial"/>
        </w:rPr>
        <w:t>FY 18/19</w:t>
      </w:r>
      <w:r w:rsidR="005C1112">
        <w:rPr>
          <w:rFonts w:ascii="Arial" w:hAnsi="Arial" w:cs="Arial"/>
        </w:rPr>
        <w:t>,</w:t>
      </w:r>
      <w:r w:rsidR="00627959" w:rsidRPr="003202F2">
        <w:rPr>
          <w:rFonts w:ascii="Arial" w:hAnsi="Arial" w:cs="Arial"/>
        </w:rPr>
        <w:t xml:space="preserve"> helped deliver savings in H1 19/20</w:t>
      </w:r>
      <w:r w:rsidRPr="003202F2">
        <w:rPr>
          <w:rFonts w:ascii="Arial" w:hAnsi="Arial" w:cs="Arial"/>
        </w:rPr>
        <w:t>;</w:t>
      </w:r>
      <w:r w:rsidR="009B4760" w:rsidRPr="003202F2">
        <w:rPr>
          <w:rFonts w:ascii="Arial" w:hAnsi="Arial" w:cs="Arial"/>
        </w:rPr>
        <w:t xml:space="preserve"> and </w:t>
      </w:r>
    </w:p>
    <w:p w14:paraId="7CA8FA55" w14:textId="4B86D238" w:rsidR="005742D2" w:rsidRPr="00F26481" w:rsidRDefault="009B4760" w:rsidP="007655ED">
      <w:pPr>
        <w:pStyle w:val="ListParagraph"/>
        <w:numPr>
          <w:ilvl w:val="0"/>
          <w:numId w:val="24"/>
        </w:numPr>
        <w:jc w:val="left"/>
        <w:rPr>
          <w:rFonts w:ascii="Arial" w:hAnsi="Arial" w:cs="Arial"/>
        </w:rPr>
      </w:pPr>
      <w:r w:rsidRPr="00035841">
        <w:rPr>
          <w:rFonts w:ascii="Arial" w:hAnsi="Arial" w:cs="Arial"/>
        </w:rPr>
        <w:t xml:space="preserve">Following consultation processes conducted during the period, we will be closing </w:t>
      </w:r>
      <w:r w:rsidR="00F26481">
        <w:rPr>
          <w:rFonts w:ascii="Arial" w:hAnsi="Arial" w:cs="Arial"/>
        </w:rPr>
        <w:t>nine</w:t>
      </w:r>
      <w:r w:rsidRPr="00F26481">
        <w:rPr>
          <w:rFonts w:ascii="Arial" w:hAnsi="Arial" w:cs="Arial"/>
        </w:rPr>
        <w:t xml:space="preserve"> Castorama France stores over the next 18 months.</w:t>
      </w:r>
    </w:p>
    <w:p w14:paraId="59B00540" w14:textId="77777777" w:rsidR="00050768" w:rsidRPr="00FC6C78" w:rsidRDefault="00050768" w:rsidP="00B56D28">
      <w:pPr>
        <w:jc w:val="left"/>
        <w:rPr>
          <w:rFonts w:ascii="Arial" w:hAnsi="Arial" w:cs="Arial"/>
        </w:rPr>
      </w:pPr>
    </w:p>
    <w:p w14:paraId="4CACCB95" w14:textId="7B647A60" w:rsidR="00096E03" w:rsidRPr="00B56D28" w:rsidRDefault="00096E03" w:rsidP="00B56D28">
      <w:pPr>
        <w:jc w:val="left"/>
        <w:rPr>
          <w:rFonts w:ascii="Arial" w:hAnsi="Arial" w:cs="Arial"/>
          <w:bCs/>
        </w:rPr>
      </w:pPr>
      <w:r w:rsidRPr="00B56D28">
        <w:rPr>
          <w:rFonts w:ascii="Arial" w:hAnsi="Arial" w:cs="Arial"/>
          <w:bCs/>
        </w:rPr>
        <w:t xml:space="preserve">In </w:t>
      </w:r>
      <w:r w:rsidR="009B4760">
        <w:rPr>
          <w:rFonts w:ascii="Arial" w:hAnsi="Arial" w:cs="Arial"/>
          <w:bCs/>
        </w:rPr>
        <w:t xml:space="preserve">summary, </w:t>
      </w:r>
      <w:r w:rsidR="00DF7C49" w:rsidRPr="00B56D28">
        <w:rPr>
          <w:rFonts w:ascii="Arial" w:hAnsi="Arial" w:cs="Arial"/>
          <w:bCs/>
        </w:rPr>
        <w:t xml:space="preserve">the </w:t>
      </w:r>
      <w:r w:rsidRPr="00B56D28">
        <w:rPr>
          <w:rFonts w:ascii="Arial" w:hAnsi="Arial" w:cs="Arial"/>
          <w:bCs/>
        </w:rPr>
        <w:t xml:space="preserve">focus </w:t>
      </w:r>
      <w:r w:rsidR="009B4760">
        <w:rPr>
          <w:rFonts w:ascii="Arial" w:hAnsi="Arial" w:cs="Arial"/>
          <w:bCs/>
        </w:rPr>
        <w:t xml:space="preserve">in the second half of FY 19/20 </w:t>
      </w:r>
      <w:r w:rsidRPr="00B56D28">
        <w:rPr>
          <w:rFonts w:ascii="Arial" w:hAnsi="Arial" w:cs="Arial"/>
          <w:bCs/>
        </w:rPr>
        <w:t>will be on implement</w:t>
      </w:r>
      <w:r w:rsidR="00D856BC">
        <w:rPr>
          <w:rFonts w:ascii="Arial" w:hAnsi="Arial" w:cs="Arial"/>
          <w:bCs/>
        </w:rPr>
        <w:t>ing</w:t>
      </w:r>
      <w:r w:rsidRPr="00B56D28">
        <w:rPr>
          <w:rFonts w:ascii="Arial" w:hAnsi="Arial" w:cs="Arial"/>
          <w:bCs/>
        </w:rPr>
        <w:t xml:space="preserve"> key new </w:t>
      </w:r>
      <w:r w:rsidR="009B4760">
        <w:rPr>
          <w:rFonts w:ascii="Arial" w:hAnsi="Arial" w:cs="Arial"/>
          <w:bCs/>
        </w:rPr>
        <w:t xml:space="preserve">and differentiated </w:t>
      </w:r>
      <w:r w:rsidRPr="00B56D28">
        <w:rPr>
          <w:rFonts w:ascii="Arial" w:hAnsi="Arial" w:cs="Arial"/>
          <w:bCs/>
        </w:rPr>
        <w:t xml:space="preserve">ranges, </w:t>
      </w:r>
      <w:r w:rsidR="00831FF7">
        <w:rPr>
          <w:rFonts w:ascii="Arial" w:hAnsi="Arial" w:cs="Arial"/>
          <w:bCs/>
        </w:rPr>
        <w:t xml:space="preserve">improving </w:t>
      </w:r>
      <w:r w:rsidRPr="00B56D28">
        <w:rPr>
          <w:rFonts w:ascii="Arial" w:hAnsi="Arial" w:cs="Arial"/>
          <w:bCs/>
        </w:rPr>
        <w:t xml:space="preserve">the </w:t>
      </w:r>
      <w:r w:rsidR="00EE0E63">
        <w:rPr>
          <w:rFonts w:ascii="Arial" w:hAnsi="Arial" w:cs="Arial"/>
          <w:bCs/>
        </w:rPr>
        <w:t xml:space="preserve">effectiveness </w:t>
      </w:r>
      <w:r w:rsidR="00831FF7">
        <w:rPr>
          <w:rFonts w:ascii="Arial" w:hAnsi="Arial" w:cs="Arial"/>
          <w:bCs/>
        </w:rPr>
        <w:t xml:space="preserve">of the </w:t>
      </w:r>
      <w:r w:rsidRPr="00B56D28">
        <w:rPr>
          <w:rFonts w:ascii="Arial" w:hAnsi="Arial" w:cs="Arial"/>
          <w:bCs/>
        </w:rPr>
        <w:t xml:space="preserve">IT platform, improving </w:t>
      </w:r>
      <w:r w:rsidR="009B4760">
        <w:rPr>
          <w:rFonts w:ascii="Arial" w:hAnsi="Arial" w:cs="Arial"/>
          <w:bCs/>
        </w:rPr>
        <w:t xml:space="preserve">stock </w:t>
      </w:r>
      <w:r w:rsidR="00D856BC">
        <w:rPr>
          <w:rFonts w:ascii="Arial" w:hAnsi="Arial" w:cs="Arial"/>
          <w:bCs/>
        </w:rPr>
        <w:t xml:space="preserve">planning and </w:t>
      </w:r>
      <w:r w:rsidR="009B4760">
        <w:rPr>
          <w:rFonts w:ascii="Arial" w:hAnsi="Arial" w:cs="Arial"/>
          <w:bCs/>
        </w:rPr>
        <w:t xml:space="preserve">management </w:t>
      </w:r>
      <w:r w:rsidR="00DF7C49" w:rsidRPr="00B56D28">
        <w:rPr>
          <w:rFonts w:ascii="Arial" w:hAnsi="Arial" w:cs="Arial"/>
          <w:bCs/>
        </w:rPr>
        <w:t xml:space="preserve">processes to support </w:t>
      </w:r>
      <w:r w:rsidR="009B4760">
        <w:rPr>
          <w:rFonts w:ascii="Arial" w:hAnsi="Arial" w:cs="Arial"/>
          <w:bCs/>
        </w:rPr>
        <w:t xml:space="preserve">better </w:t>
      </w:r>
      <w:r w:rsidR="00D856BC">
        <w:rPr>
          <w:rFonts w:ascii="Arial" w:hAnsi="Arial" w:cs="Arial"/>
          <w:bCs/>
        </w:rPr>
        <w:t xml:space="preserve">stock </w:t>
      </w:r>
      <w:r w:rsidR="00DF7C49" w:rsidRPr="00B56D28">
        <w:rPr>
          <w:rFonts w:ascii="Arial" w:hAnsi="Arial" w:cs="Arial"/>
          <w:bCs/>
        </w:rPr>
        <w:t>availability</w:t>
      </w:r>
      <w:r w:rsidR="009B4760">
        <w:rPr>
          <w:rFonts w:ascii="Arial" w:hAnsi="Arial" w:cs="Arial"/>
          <w:bCs/>
        </w:rPr>
        <w:t>,</w:t>
      </w:r>
      <w:r w:rsidR="00DF7C49" w:rsidRPr="00B56D28">
        <w:rPr>
          <w:rFonts w:ascii="Arial" w:hAnsi="Arial" w:cs="Arial"/>
          <w:bCs/>
        </w:rPr>
        <w:t xml:space="preserve"> improving the efficiency </w:t>
      </w:r>
      <w:r w:rsidR="009B4760">
        <w:rPr>
          <w:rFonts w:ascii="Arial" w:hAnsi="Arial" w:cs="Arial"/>
          <w:bCs/>
        </w:rPr>
        <w:t xml:space="preserve">of our fulfilment and logistics operations, </w:t>
      </w:r>
      <w:r w:rsidR="00DF7C49" w:rsidRPr="00B56D28">
        <w:rPr>
          <w:rFonts w:ascii="Arial" w:hAnsi="Arial" w:cs="Arial"/>
          <w:bCs/>
        </w:rPr>
        <w:t xml:space="preserve">and implementing </w:t>
      </w:r>
      <w:r w:rsidR="00BE3495">
        <w:rPr>
          <w:rFonts w:ascii="Arial" w:hAnsi="Arial" w:cs="Arial"/>
          <w:bCs/>
        </w:rPr>
        <w:t xml:space="preserve">enhanced </w:t>
      </w:r>
      <w:r w:rsidR="00DF7C49" w:rsidRPr="00B56D28">
        <w:rPr>
          <w:rFonts w:ascii="Arial" w:hAnsi="Arial" w:cs="Arial"/>
          <w:bCs/>
        </w:rPr>
        <w:t>ecommerce capabilit</w:t>
      </w:r>
      <w:r w:rsidR="00BE3495">
        <w:rPr>
          <w:rFonts w:ascii="Arial" w:hAnsi="Arial" w:cs="Arial"/>
          <w:bCs/>
        </w:rPr>
        <w:t>ies</w:t>
      </w:r>
      <w:r w:rsidR="00DF7C49" w:rsidRPr="00B56D28">
        <w:rPr>
          <w:rFonts w:ascii="Arial" w:hAnsi="Arial" w:cs="Arial"/>
          <w:bCs/>
        </w:rPr>
        <w:t xml:space="preserve">. </w:t>
      </w:r>
    </w:p>
    <w:p w14:paraId="0EE4BC76" w14:textId="77777777" w:rsidR="00096E03" w:rsidRPr="00B56D28" w:rsidRDefault="00096E03" w:rsidP="00B56D28">
      <w:pPr>
        <w:jc w:val="left"/>
        <w:rPr>
          <w:rFonts w:ascii="Arial" w:hAnsi="Arial" w:cs="Arial"/>
          <w:bCs/>
        </w:rPr>
      </w:pPr>
    </w:p>
    <w:bookmarkEnd w:id="16"/>
    <w:p w14:paraId="77C189CB" w14:textId="314A526E" w:rsidR="00A9284A" w:rsidRDefault="00A9284A" w:rsidP="00A9284A">
      <w:pPr>
        <w:jc w:val="left"/>
        <w:rPr>
          <w:rFonts w:ascii="Arial" w:hAnsi="Arial" w:cs="Arial"/>
        </w:rPr>
      </w:pPr>
      <w:r w:rsidRPr="009F2D4C">
        <w:rPr>
          <w:rFonts w:ascii="Arial" w:hAnsi="Arial" w:cs="Arial"/>
          <w:b/>
        </w:rPr>
        <w:t>Closing underperforming stores across the business:</w:t>
      </w:r>
      <w:r w:rsidRPr="009F2D4C">
        <w:rPr>
          <w:rFonts w:ascii="Arial" w:hAnsi="Arial" w:cs="Arial"/>
        </w:rPr>
        <w:t xml:space="preserve"> </w:t>
      </w:r>
      <w:r w:rsidR="003202F2">
        <w:rPr>
          <w:rFonts w:ascii="Arial" w:hAnsi="Arial" w:cs="Arial"/>
        </w:rPr>
        <w:t xml:space="preserve">In line with the plans we outlined in </w:t>
      </w:r>
      <w:r w:rsidR="00035841">
        <w:rPr>
          <w:rFonts w:ascii="Arial" w:hAnsi="Arial" w:cs="Arial"/>
        </w:rPr>
        <w:t xml:space="preserve">our FY 18/19 results, </w:t>
      </w:r>
      <w:r w:rsidR="00264303">
        <w:rPr>
          <w:rFonts w:ascii="Arial" w:hAnsi="Arial" w:cs="Arial"/>
        </w:rPr>
        <w:t xml:space="preserve">the </w:t>
      </w:r>
      <w:r w:rsidR="003C0EFE" w:rsidRPr="009F2D4C">
        <w:rPr>
          <w:rFonts w:ascii="Arial" w:hAnsi="Arial" w:cs="Arial"/>
        </w:rPr>
        <w:t>relevant</w:t>
      </w:r>
      <w:r w:rsidR="00A40947" w:rsidRPr="009F2D4C">
        <w:rPr>
          <w:rFonts w:ascii="Arial" w:hAnsi="Arial" w:cs="Arial"/>
        </w:rPr>
        <w:t xml:space="preserve"> consultation processes </w:t>
      </w:r>
      <w:r w:rsidR="003C0EFE" w:rsidRPr="009F2D4C">
        <w:rPr>
          <w:rFonts w:ascii="Arial" w:hAnsi="Arial" w:cs="Arial"/>
        </w:rPr>
        <w:t>were conducted during H1</w:t>
      </w:r>
      <w:r w:rsidR="00035841">
        <w:rPr>
          <w:rFonts w:ascii="Arial" w:hAnsi="Arial" w:cs="Arial"/>
        </w:rPr>
        <w:t xml:space="preserve"> 19/20</w:t>
      </w:r>
      <w:r w:rsidR="00F26481">
        <w:rPr>
          <w:rFonts w:ascii="Arial" w:hAnsi="Arial" w:cs="Arial"/>
        </w:rPr>
        <w:t>,</w:t>
      </w:r>
      <w:r w:rsidR="00A40947" w:rsidRPr="009F2D4C">
        <w:rPr>
          <w:rFonts w:ascii="Arial" w:hAnsi="Arial" w:cs="Arial"/>
        </w:rPr>
        <w:t xml:space="preserve"> </w:t>
      </w:r>
      <w:r w:rsidR="003C0EFE" w:rsidRPr="009F2D4C">
        <w:rPr>
          <w:rFonts w:ascii="Arial" w:hAnsi="Arial" w:cs="Arial"/>
        </w:rPr>
        <w:t>and</w:t>
      </w:r>
      <w:r w:rsidRPr="009F2D4C">
        <w:rPr>
          <w:rFonts w:ascii="Arial" w:hAnsi="Arial" w:cs="Arial"/>
        </w:rPr>
        <w:t xml:space="preserve"> 15 stores across the business</w:t>
      </w:r>
      <w:r w:rsidR="00EA5983">
        <w:rPr>
          <w:rFonts w:ascii="Arial" w:hAnsi="Arial" w:cs="Arial"/>
        </w:rPr>
        <w:t xml:space="preserve">, </w:t>
      </w:r>
      <w:r w:rsidR="00EA5983" w:rsidRPr="00F20CBC">
        <w:rPr>
          <w:rFonts w:ascii="Arial" w:hAnsi="Arial" w:cs="Arial"/>
        </w:rPr>
        <w:t>including 11 in France,</w:t>
      </w:r>
      <w:r w:rsidRPr="009F2D4C">
        <w:rPr>
          <w:rFonts w:ascii="Arial" w:hAnsi="Arial" w:cs="Arial"/>
        </w:rPr>
        <w:t xml:space="preserve"> </w:t>
      </w:r>
      <w:r w:rsidR="003C0EFE" w:rsidRPr="009F2D4C">
        <w:rPr>
          <w:rFonts w:ascii="Arial" w:hAnsi="Arial" w:cs="Arial"/>
        </w:rPr>
        <w:t xml:space="preserve">will be closed </w:t>
      </w:r>
      <w:r w:rsidRPr="009F2D4C">
        <w:rPr>
          <w:rFonts w:ascii="Arial" w:hAnsi="Arial" w:cs="Arial"/>
        </w:rPr>
        <w:t xml:space="preserve">over the next </w:t>
      </w:r>
      <w:r w:rsidR="003C0EFE" w:rsidRPr="009F2D4C">
        <w:rPr>
          <w:rFonts w:ascii="Arial" w:hAnsi="Arial" w:cs="Arial"/>
        </w:rPr>
        <w:t>18 months</w:t>
      </w:r>
      <w:r w:rsidRPr="009F2D4C">
        <w:rPr>
          <w:rFonts w:ascii="Arial" w:hAnsi="Arial" w:cs="Arial"/>
        </w:rPr>
        <w:t xml:space="preserve">. These stores are a combination of owned and leased properties and the estimated cash costs of exit are expected to be covered by </w:t>
      </w:r>
      <w:r w:rsidR="00035841">
        <w:rPr>
          <w:rFonts w:ascii="Arial" w:hAnsi="Arial" w:cs="Arial"/>
        </w:rPr>
        <w:t xml:space="preserve">the </w:t>
      </w:r>
      <w:r w:rsidRPr="009F2D4C">
        <w:rPr>
          <w:rFonts w:ascii="Arial" w:hAnsi="Arial" w:cs="Arial"/>
        </w:rPr>
        <w:t xml:space="preserve">sale proceeds from the owned stores. </w:t>
      </w:r>
    </w:p>
    <w:p w14:paraId="630DF3F2" w14:textId="77777777" w:rsidR="000105C4" w:rsidRPr="009F2D4C" w:rsidRDefault="000105C4" w:rsidP="00A9284A">
      <w:pPr>
        <w:jc w:val="left"/>
        <w:rPr>
          <w:rFonts w:ascii="Arial" w:hAnsi="Arial" w:cs="Arial"/>
        </w:rPr>
      </w:pPr>
    </w:p>
    <w:p w14:paraId="0B4353FE" w14:textId="58B7AEEF" w:rsidR="00A9284A" w:rsidRPr="009F2D4C" w:rsidRDefault="00A9284A" w:rsidP="00A9284A">
      <w:pPr>
        <w:jc w:val="left"/>
        <w:rPr>
          <w:rFonts w:ascii="Arial" w:hAnsi="Arial" w:cs="Arial"/>
        </w:rPr>
      </w:pPr>
      <w:r w:rsidRPr="009F2D4C">
        <w:rPr>
          <w:rFonts w:ascii="Arial" w:hAnsi="Arial" w:cs="Arial"/>
          <w:b/>
        </w:rPr>
        <w:t xml:space="preserve">Focusing on markets where we are, or can be, leading: </w:t>
      </w:r>
      <w:r w:rsidR="00035841">
        <w:rPr>
          <w:rFonts w:ascii="Arial" w:hAnsi="Arial" w:cs="Arial"/>
        </w:rPr>
        <w:t xml:space="preserve">In our </w:t>
      </w:r>
      <w:r w:rsidRPr="009F2D4C">
        <w:rPr>
          <w:rFonts w:ascii="Arial" w:hAnsi="Arial" w:cs="Arial"/>
        </w:rPr>
        <w:t>Q3</w:t>
      </w:r>
      <w:r w:rsidR="00A40947" w:rsidRPr="009F2D4C">
        <w:rPr>
          <w:rFonts w:ascii="Arial" w:hAnsi="Arial" w:cs="Arial"/>
        </w:rPr>
        <w:t xml:space="preserve"> 18/19</w:t>
      </w:r>
      <w:r w:rsidRPr="009F2D4C">
        <w:rPr>
          <w:rFonts w:ascii="Arial" w:hAnsi="Arial" w:cs="Arial"/>
        </w:rPr>
        <w:t xml:space="preserve"> </w:t>
      </w:r>
      <w:r w:rsidR="00035841">
        <w:rPr>
          <w:rFonts w:ascii="Arial" w:hAnsi="Arial" w:cs="Arial"/>
        </w:rPr>
        <w:t xml:space="preserve">trading update, </w:t>
      </w:r>
      <w:r w:rsidRPr="009F2D4C">
        <w:rPr>
          <w:rFonts w:ascii="Arial" w:hAnsi="Arial" w:cs="Arial"/>
        </w:rPr>
        <w:t xml:space="preserve">we announced the strategic decision to exit Russia and Iberia to focus on markets where we have, or </w:t>
      </w:r>
      <w:r w:rsidRPr="009F2D4C">
        <w:rPr>
          <w:rFonts w:ascii="Arial" w:hAnsi="Arial" w:cs="Arial"/>
        </w:rPr>
        <w:lastRenderedPageBreak/>
        <w:t xml:space="preserve">can reach, a market leading position. Those processes are </w:t>
      </w:r>
      <w:r w:rsidR="005779BA">
        <w:rPr>
          <w:rFonts w:ascii="Arial" w:hAnsi="Arial" w:cs="Arial"/>
        </w:rPr>
        <w:t>progressing</w:t>
      </w:r>
      <w:r w:rsidRPr="009F2D4C">
        <w:rPr>
          <w:rFonts w:ascii="Arial" w:hAnsi="Arial" w:cs="Arial"/>
        </w:rPr>
        <w:t xml:space="preserve">. </w:t>
      </w:r>
      <w:r w:rsidR="00035841">
        <w:rPr>
          <w:rFonts w:ascii="Arial" w:hAnsi="Arial" w:cs="Arial"/>
        </w:rPr>
        <w:t xml:space="preserve">As explained in our </w:t>
      </w:r>
      <w:r w:rsidR="00A40947" w:rsidRPr="009F2D4C">
        <w:rPr>
          <w:rFonts w:ascii="Arial" w:hAnsi="Arial" w:cs="Arial"/>
        </w:rPr>
        <w:t>FY</w:t>
      </w:r>
      <w:r w:rsidR="00035841">
        <w:rPr>
          <w:rFonts w:ascii="Arial" w:hAnsi="Arial" w:cs="Arial"/>
        </w:rPr>
        <w:t xml:space="preserve"> </w:t>
      </w:r>
      <w:r w:rsidR="00A40947" w:rsidRPr="009F2D4C">
        <w:rPr>
          <w:rFonts w:ascii="Arial" w:hAnsi="Arial" w:cs="Arial"/>
        </w:rPr>
        <w:t xml:space="preserve">18/19 </w:t>
      </w:r>
      <w:r w:rsidR="00035841">
        <w:rPr>
          <w:rFonts w:ascii="Arial" w:hAnsi="Arial" w:cs="Arial"/>
        </w:rPr>
        <w:t xml:space="preserve">results, </w:t>
      </w:r>
      <w:r w:rsidR="00A40947" w:rsidRPr="009F2D4C">
        <w:rPr>
          <w:rFonts w:ascii="Arial" w:hAnsi="Arial" w:cs="Arial"/>
        </w:rPr>
        <w:t>the decision was also taken to</w:t>
      </w:r>
      <w:r w:rsidRPr="009F2D4C">
        <w:rPr>
          <w:rFonts w:ascii="Arial" w:hAnsi="Arial" w:cs="Arial"/>
        </w:rPr>
        <w:t xml:space="preserve"> close all 19 of our Screwfix Germany outlets. </w:t>
      </w:r>
      <w:r w:rsidR="00A40947" w:rsidRPr="009F2D4C">
        <w:rPr>
          <w:rFonts w:ascii="Arial" w:hAnsi="Arial" w:cs="Arial"/>
        </w:rPr>
        <w:t>The store closures were completed in H1</w:t>
      </w:r>
      <w:r w:rsidR="00035841">
        <w:rPr>
          <w:rFonts w:ascii="Arial" w:hAnsi="Arial" w:cs="Arial"/>
        </w:rPr>
        <w:t xml:space="preserve"> 19/20</w:t>
      </w:r>
      <w:r w:rsidR="00A40947" w:rsidRPr="009F2D4C">
        <w:rPr>
          <w:rFonts w:ascii="Arial" w:hAnsi="Arial" w:cs="Arial"/>
        </w:rPr>
        <w:t>.</w:t>
      </w:r>
      <w:r w:rsidR="00C92F7B">
        <w:rPr>
          <w:rFonts w:ascii="Arial" w:hAnsi="Arial" w:cs="Arial"/>
        </w:rPr>
        <w:t xml:space="preserve"> Screwfix maintains an online presence in Germany through its European website.</w:t>
      </w:r>
    </w:p>
    <w:p w14:paraId="30F9E714" w14:textId="77777777" w:rsidR="00A9284A" w:rsidRPr="009F71DB" w:rsidRDefault="00A9284A" w:rsidP="009F71DB">
      <w:pPr>
        <w:jc w:val="left"/>
        <w:rPr>
          <w:rFonts w:ascii="Arial" w:hAnsi="Arial"/>
        </w:rPr>
      </w:pPr>
    </w:p>
    <w:p w14:paraId="7E22BFC1" w14:textId="77777777" w:rsidR="00A9284A" w:rsidRPr="009F2D4C" w:rsidRDefault="00A9284A" w:rsidP="001140BA">
      <w:pPr>
        <w:pStyle w:val="ListParagraph"/>
        <w:numPr>
          <w:ilvl w:val="0"/>
          <w:numId w:val="22"/>
        </w:numPr>
        <w:jc w:val="left"/>
        <w:rPr>
          <w:rFonts w:ascii="Arial" w:hAnsi="Arial" w:cs="Arial"/>
          <w:b/>
          <w:bCs/>
        </w:rPr>
      </w:pPr>
      <w:r w:rsidRPr="009F2D4C">
        <w:rPr>
          <w:rFonts w:ascii="Arial" w:hAnsi="Arial" w:cs="Arial"/>
          <w:b/>
        </w:rPr>
        <w:t>Extend rollout of Screwfix outlets in the UK and enter new markets</w:t>
      </w:r>
    </w:p>
    <w:p w14:paraId="162358FC" w14:textId="77777777" w:rsidR="00A9284A" w:rsidRPr="009F2D4C" w:rsidRDefault="00A9284A" w:rsidP="00A9284A">
      <w:pPr>
        <w:jc w:val="left"/>
        <w:rPr>
          <w:rFonts w:ascii="Arial" w:hAnsi="Arial" w:cs="Arial"/>
        </w:rPr>
      </w:pPr>
    </w:p>
    <w:p w14:paraId="3758D2A8" w14:textId="0DC07F62" w:rsidR="00E9670C" w:rsidRDefault="00A9284A" w:rsidP="00A9284A">
      <w:pPr>
        <w:jc w:val="left"/>
        <w:rPr>
          <w:rFonts w:ascii="Arial" w:hAnsi="Arial" w:cs="Arial"/>
          <w:bCs/>
          <w:lang w:val="en-US"/>
        </w:rPr>
      </w:pPr>
      <w:r w:rsidRPr="009F2D4C">
        <w:rPr>
          <w:rFonts w:ascii="Arial" w:hAnsi="Arial" w:cs="Arial"/>
        </w:rPr>
        <w:t xml:space="preserve">Screwfix </w:t>
      </w:r>
      <w:r w:rsidR="00E9670C">
        <w:rPr>
          <w:rFonts w:ascii="Arial" w:hAnsi="Arial" w:cs="Arial"/>
        </w:rPr>
        <w:t>continues to grow its market share</w:t>
      </w:r>
      <w:r w:rsidRPr="009F2D4C">
        <w:rPr>
          <w:rFonts w:ascii="Arial" w:hAnsi="Arial" w:cs="Arial"/>
        </w:rPr>
        <w:t xml:space="preserve">. Its success is rooted in its customer focus, digital capability and convenience proposition. </w:t>
      </w:r>
      <w:r w:rsidR="0091072D" w:rsidRPr="009F2D4C">
        <w:rPr>
          <w:rFonts w:ascii="Arial" w:hAnsi="Arial" w:cs="Arial"/>
        </w:rPr>
        <w:t>During the period</w:t>
      </w:r>
      <w:r w:rsidRPr="009F2D4C">
        <w:rPr>
          <w:rFonts w:ascii="Arial" w:hAnsi="Arial" w:cs="Arial"/>
        </w:rPr>
        <w:t xml:space="preserve"> Screwfix </w:t>
      </w:r>
      <w:r w:rsidR="00E9670C" w:rsidRPr="003D4DBB">
        <w:rPr>
          <w:rFonts w:ascii="Arial" w:hAnsi="Arial" w:cs="Arial"/>
        </w:rPr>
        <w:t xml:space="preserve">grew total sales by </w:t>
      </w:r>
      <w:r w:rsidR="00E9670C" w:rsidRPr="00B847F3">
        <w:rPr>
          <w:rFonts w:ascii="Arial" w:hAnsi="Arial" w:cs="Arial"/>
        </w:rPr>
        <w:t>9.9% (+5.1% LFL) to £</w:t>
      </w:r>
      <w:r w:rsidR="00E9670C">
        <w:rPr>
          <w:rFonts w:ascii="Arial" w:hAnsi="Arial" w:cs="Arial"/>
        </w:rPr>
        <w:t>882</w:t>
      </w:r>
      <w:r w:rsidR="00E9670C" w:rsidRPr="00B80226">
        <w:rPr>
          <w:rFonts w:ascii="Arial" w:hAnsi="Arial" w:cs="Arial"/>
        </w:rPr>
        <w:t>m</w:t>
      </w:r>
      <w:r w:rsidR="00E9670C">
        <w:rPr>
          <w:rFonts w:ascii="Arial" w:hAnsi="Arial" w:cs="Arial"/>
        </w:rPr>
        <w:t xml:space="preserve"> and achieved </w:t>
      </w:r>
      <w:r w:rsidR="00E9670C" w:rsidRPr="00B80226">
        <w:rPr>
          <w:rFonts w:ascii="Arial" w:hAnsi="Arial" w:cs="Arial"/>
        </w:rPr>
        <w:t>strong digital growth of 18% (32% of total sales)</w:t>
      </w:r>
      <w:r w:rsidR="00E9670C">
        <w:rPr>
          <w:rFonts w:ascii="Arial" w:hAnsi="Arial" w:cs="Arial"/>
        </w:rPr>
        <w:t xml:space="preserve">. </w:t>
      </w:r>
      <w:r w:rsidR="00264303">
        <w:rPr>
          <w:rFonts w:ascii="Arial" w:hAnsi="Arial" w:cs="Arial"/>
        </w:rPr>
        <w:t xml:space="preserve">The business </w:t>
      </w:r>
      <w:r w:rsidR="00E9670C">
        <w:rPr>
          <w:rFonts w:ascii="Arial" w:hAnsi="Arial" w:cs="Arial"/>
        </w:rPr>
        <w:t xml:space="preserve">also </w:t>
      </w:r>
      <w:r w:rsidRPr="009F2D4C">
        <w:rPr>
          <w:rFonts w:ascii="Arial" w:hAnsi="Arial" w:cs="Arial"/>
        </w:rPr>
        <w:t>strengthen</w:t>
      </w:r>
      <w:r w:rsidR="0091072D" w:rsidRPr="009F2D4C">
        <w:rPr>
          <w:rFonts w:ascii="Arial" w:hAnsi="Arial" w:cs="Arial"/>
        </w:rPr>
        <w:t>ed</w:t>
      </w:r>
      <w:r w:rsidRPr="009F2D4C">
        <w:rPr>
          <w:rFonts w:ascii="Arial" w:hAnsi="Arial" w:cs="Arial"/>
        </w:rPr>
        <w:t xml:space="preserve"> its overall customer </w:t>
      </w:r>
      <w:r w:rsidRPr="009F2D4C">
        <w:rPr>
          <w:rFonts w:ascii="Arial" w:hAnsi="Arial" w:cs="Arial"/>
          <w:bCs/>
          <w:lang w:val="en-US"/>
        </w:rPr>
        <w:t>proposition</w:t>
      </w:r>
      <w:r w:rsidR="00E9670C">
        <w:rPr>
          <w:rFonts w:ascii="Arial" w:hAnsi="Arial" w:cs="Arial"/>
          <w:bCs/>
          <w:lang w:val="en-US"/>
        </w:rPr>
        <w:t>,</w:t>
      </w:r>
      <w:r w:rsidRPr="009F2D4C">
        <w:rPr>
          <w:rFonts w:ascii="Arial" w:hAnsi="Arial" w:cs="Arial"/>
          <w:bCs/>
          <w:lang w:val="en-US"/>
        </w:rPr>
        <w:t xml:space="preserve"> </w:t>
      </w:r>
      <w:r w:rsidR="0091072D" w:rsidRPr="009F2D4C">
        <w:rPr>
          <w:rFonts w:ascii="Arial" w:hAnsi="Arial" w:cs="Arial"/>
          <w:bCs/>
          <w:lang w:val="en-US"/>
        </w:rPr>
        <w:t xml:space="preserve">including some selective </w:t>
      </w:r>
      <w:r w:rsidR="00264303">
        <w:rPr>
          <w:rFonts w:ascii="Arial" w:hAnsi="Arial" w:cs="Arial"/>
          <w:bCs/>
          <w:lang w:val="en-US"/>
        </w:rPr>
        <w:t xml:space="preserve">ongoing </w:t>
      </w:r>
      <w:r w:rsidR="0091072D" w:rsidRPr="009F2D4C">
        <w:rPr>
          <w:rFonts w:ascii="Arial" w:hAnsi="Arial" w:cs="Arial"/>
          <w:bCs/>
          <w:lang w:val="en-US"/>
        </w:rPr>
        <w:t>price investment</w:t>
      </w:r>
      <w:r w:rsidR="00E9670C">
        <w:rPr>
          <w:rFonts w:ascii="Arial" w:hAnsi="Arial" w:cs="Arial"/>
          <w:bCs/>
          <w:lang w:val="en-US"/>
        </w:rPr>
        <w:t>,</w:t>
      </w:r>
      <w:r w:rsidR="0091072D" w:rsidRPr="009F2D4C">
        <w:rPr>
          <w:rFonts w:ascii="Arial" w:hAnsi="Arial" w:cs="Arial"/>
          <w:bCs/>
          <w:lang w:val="en-US"/>
        </w:rPr>
        <w:t xml:space="preserve"> and continued its </w:t>
      </w:r>
      <w:r w:rsidRPr="009F2D4C">
        <w:rPr>
          <w:rFonts w:ascii="Arial" w:hAnsi="Arial" w:cs="Arial"/>
          <w:bCs/>
          <w:lang w:val="en-US"/>
        </w:rPr>
        <w:t xml:space="preserve">store </w:t>
      </w:r>
      <w:r w:rsidR="0091072D" w:rsidRPr="009F2D4C">
        <w:rPr>
          <w:rFonts w:ascii="Arial" w:hAnsi="Arial" w:cs="Arial"/>
          <w:bCs/>
          <w:lang w:val="en-US"/>
        </w:rPr>
        <w:t xml:space="preserve">rollout </w:t>
      </w:r>
      <w:r w:rsidRPr="009F2D4C">
        <w:rPr>
          <w:rFonts w:ascii="Arial" w:hAnsi="Arial" w:cs="Arial"/>
          <w:bCs/>
          <w:lang w:val="en-US"/>
        </w:rPr>
        <w:t>plan in the UK</w:t>
      </w:r>
      <w:r w:rsidR="00641C55">
        <w:rPr>
          <w:rFonts w:ascii="Arial" w:hAnsi="Arial" w:cs="Arial"/>
          <w:bCs/>
          <w:lang w:val="en-US"/>
        </w:rPr>
        <w:t xml:space="preserve"> with 16 new openings</w:t>
      </w:r>
      <w:r w:rsidRPr="009F2D4C">
        <w:rPr>
          <w:rFonts w:ascii="Arial" w:hAnsi="Arial" w:cs="Arial"/>
          <w:bCs/>
          <w:lang w:val="en-US"/>
        </w:rPr>
        <w:t xml:space="preserve">. </w:t>
      </w:r>
      <w:r w:rsidR="003C0EFE" w:rsidRPr="009F2D4C">
        <w:rPr>
          <w:rFonts w:ascii="Arial" w:hAnsi="Arial" w:cs="Arial"/>
        </w:rPr>
        <w:t>At the end of H</w:t>
      </w:r>
      <w:r w:rsidR="00C36F0E">
        <w:rPr>
          <w:rFonts w:ascii="Arial" w:hAnsi="Arial" w:cs="Arial"/>
        </w:rPr>
        <w:t>1</w:t>
      </w:r>
      <w:r w:rsidR="003C0EFE" w:rsidRPr="009F2D4C">
        <w:rPr>
          <w:rFonts w:ascii="Arial" w:hAnsi="Arial" w:cs="Arial"/>
        </w:rPr>
        <w:t xml:space="preserve"> 19/20</w:t>
      </w:r>
      <w:r w:rsidR="00E9670C">
        <w:rPr>
          <w:rFonts w:ascii="Arial" w:hAnsi="Arial" w:cs="Arial"/>
        </w:rPr>
        <w:t>,</w:t>
      </w:r>
      <w:r w:rsidR="003C0EFE" w:rsidRPr="009F2D4C">
        <w:rPr>
          <w:rFonts w:ascii="Arial" w:hAnsi="Arial" w:cs="Arial"/>
        </w:rPr>
        <w:t xml:space="preserve"> Screwfix had 64</w:t>
      </w:r>
      <w:r w:rsidR="005B49FB" w:rsidRPr="009F2D4C">
        <w:rPr>
          <w:rFonts w:ascii="Arial" w:hAnsi="Arial" w:cs="Arial"/>
        </w:rPr>
        <w:t>3</w:t>
      </w:r>
      <w:r w:rsidR="003C0EFE" w:rsidRPr="009F2D4C">
        <w:rPr>
          <w:rFonts w:ascii="Arial" w:hAnsi="Arial" w:cs="Arial"/>
        </w:rPr>
        <w:t xml:space="preserve"> outlets </w:t>
      </w:r>
      <w:r w:rsidR="0091072D" w:rsidRPr="009F2D4C">
        <w:rPr>
          <w:rFonts w:ascii="Arial" w:hAnsi="Arial" w:cs="Arial"/>
        </w:rPr>
        <w:t>with a</w:t>
      </w:r>
      <w:r w:rsidR="003C0EFE" w:rsidRPr="009F2D4C">
        <w:rPr>
          <w:rFonts w:ascii="Arial" w:hAnsi="Arial" w:cs="Arial"/>
          <w:bCs/>
          <w:lang w:val="en-US"/>
        </w:rPr>
        <w:t xml:space="preserve"> </w:t>
      </w:r>
      <w:r w:rsidR="0091072D" w:rsidRPr="009F2D4C">
        <w:rPr>
          <w:rFonts w:ascii="Arial" w:hAnsi="Arial" w:cs="Arial"/>
          <w:bCs/>
          <w:lang w:val="en-US"/>
        </w:rPr>
        <w:t>longer</w:t>
      </w:r>
      <w:r w:rsidR="00E9670C">
        <w:rPr>
          <w:rFonts w:ascii="Arial" w:hAnsi="Arial" w:cs="Arial"/>
          <w:bCs/>
          <w:lang w:val="en-US"/>
        </w:rPr>
        <w:t xml:space="preserve"> </w:t>
      </w:r>
      <w:r w:rsidR="0091072D" w:rsidRPr="009F2D4C">
        <w:rPr>
          <w:rFonts w:ascii="Arial" w:hAnsi="Arial" w:cs="Arial"/>
          <w:bCs/>
          <w:lang w:val="en-US"/>
        </w:rPr>
        <w:t xml:space="preserve">term </w:t>
      </w:r>
      <w:r w:rsidR="003C0EFE" w:rsidRPr="009F2D4C">
        <w:rPr>
          <w:rFonts w:ascii="Arial" w:hAnsi="Arial" w:cs="Arial"/>
          <w:bCs/>
          <w:lang w:val="en-US"/>
        </w:rPr>
        <w:t xml:space="preserve">target </w:t>
      </w:r>
      <w:r w:rsidR="00E9670C">
        <w:rPr>
          <w:rFonts w:ascii="Arial" w:hAnsi="Arial" w:cs="Arial"/>
          <w:bCs/>
          <w:lang w:val="en-US"/>
        </w:rPr>
        <w:t xml:space="preserve">of </w:t>
      </w:r>
      <w:r w:rsidRPr="009F2D4C">
        <w:rPr>
          <w:rFonts w:ascii="Arial" w:hAnsi="Arial" w:cs="Arial"/>
          <w:bCs/>
          <w:lang w:val="en-US"/>
        </w:rPr>
        <w:t>800 outlets in the UK</w:t>
      </w:r>
      <w:r w:rsidR="003C0EFE" w:rsidRPr="009F2D4C">
        <w:rPr>
          <w:rFonts w:ascii="Arial" w:hAnsi="Arial" w:cs="Arial"/>
          <w:bCs/>
          <w:lang w:val="en-US"/>
        </w:rPr>
        <w:t>.</w:t>
      </w:r>
      <w:r w:rsidRPr="009F2D4C">
        <w:rPr>
          <w:rFonts w:ascii="Arial" w:hAnsi="Arial" w:cs="Arial"/>
          <w:bCs/>
          <w:lang w:val="en-US"/>
        </w:rPr>
        <w:t xml:space="preserve"> </w:t>
      </w:r>
    </w:p>
    <w:p w14:paraId="511C9E88" w14:textId="77777777" w:rsidR="00E9670C" w:rsidRDefault="00E9670C" w:rsidP="00A9284A">
      <w:pPr>
        <w:jc w:val="left"/>
        <w:rPr>
          <w:rFonts w:ascii="Arial" w:hAnsi="Arial" w:cs="Arial"/>
          <w:bCs/>
          <w:lang w:val="en-US"/>
        </w:rPr>
      </w:pPr>
    </w:p>
    <w:p w14:paraId="3FE195ED" w14:textId="0F7436D2" w:rsidR="00A9284A" w:rsidRDefault="00641C55" w:rsidP="00A9284A">
      <w:pPr>
        <w:jc w:val="left"/>
        <w:rPr>
          <w:rFonts w:ascii="Arial" w:hAnsi="Arial" w:cs="Arial"/>
          <w:bCs/>
          <w:lang w:val="en-US"/>
        </w:rPr>
      </w:pPr>
      <w:r w:rsidRPr="00470F54">
        <w:rPr>
          <w:rFonts w:ascii="Arial" w:hAnsi="Arial" w:cs="Arial"/>
          <w:bCs/>
          <w:lang w:val="en-US"/>
        </w:rPr>
        <w:t xml:space="preserve">We remain confident that the Screwfix model </w:t>
      </w:r>
      <w:r w:rsidRPr="00AF307A">
        <w:rPr>
          <w:rFonts w:ascii="Arial" w:hAnsi="Arial" w:cs="Arial"/>
          <w:bCs/>
          <w:lang w:val="en-US"/>
        </w:rPr>
        <w:t>will work</w:t>
      </w:r>
      <w:r w:rsidRPr="00470F54">
        <w:rPr>
          <w:rFonts w:ascii="Arial" w:hAnsi="Arial" w:cs="Arial"/>
          <w:bCs/>
          <w:lang w:val="en-US"/>
        </w:rPr>
        <w:t xml:space="preserve"> in markets outside of the UK</w:t>
      </w:r>
      <w:r w:rsidRPr="00425A31">
        <w:rPr>
          <w:rFonts w:ascii="Arial" w:hAnsi="Arial" w:cs="Arial"/>
          <w:bCs/>
          <w:lang w:val="en-US"/>
        </w:rPr>
        <w:t>.</w:t>
      </w:r>
      <w:r>
        <w:rPr>
          <w:rFonts w:ascii="Arial" w:hAnsi="Arial" w:cs="Arial"/>
          <w:bCs/>
          <w:lang w:val="en-US"/>
        </w:rPr>
        <w:t xml:space="preserve"> </w:t>
      </w:r>
      <w:r w:rsidR="003C0EFE" w:rsidRPr="009F2D4C">
        <w:rPr>
          <w:rFonts w:ascii="Arial" w:hAnsi="Arial" w:cs="Arial"/>
          <w:bCs/>
          <w:lang w:val="en-US"/>
        </w:rPr>
        <w:t>P</w:t>
      </w:r>
      <w:r w:rsidR="00A9284A" w:rsidRPr="009F2D4C">
        <w:rPr>
          <w:rFonts w:ascii="Arial" w:hAnsi="Arial" w:cs="Arial"/>
          <w:bCs/>
          <w:lang w:val="en-US"/>
        </w:rPr>
        <w:t>lans to open outlets in the Republic of Ireland</w:t>
      </w:r>
      <w:r w:rsidR="003C0EFE" w:rsidRPr="009F2D4C">
        <w:rPr>
          <w:rFonts w:ascii="Arial" w:hAnsi="Arial" w:cs="Arial"/>
          <w:bCs/>
          <w:lang w:val="en-US"/>
        </w:rPr>
        <w:t xml:space="preserve"> in 2019</w:t>
      </w:r>
      <w:r>
        <w:rPr>
          <w:rFonts w:ascii="Arial" w:hAnsi="Arial" w:cs="Arial"/>
          <w:bCs/>
          <w:lang w:val="en-US"/>
        </w:rPr>
        <w:t>, to complement our existing online presence in that market,</w:t>
      </w:r>
      <w:r w:rsidR="003C0EFE" w:rsidRPr="009F2D4C">
        <w:rPr>
          <w:rFonts w:ascii="Arial" w:hAnsi="Arial" w:cs="Arial"/>
          <w:bCs/>
          <w:lang w:val="en-US"/>
        </w:rPr>
        <w:t xml:space="preserve"> remain on track with the first outlets to open in H2</w:t>
      </w:r>
      <w:r>
        <w:rPr>
          <w:rFonts w:ascii="Arial" w:hAnsi="Arial" w:cs="Arial"/>
          <w:bCs/>
          <w:lang w:val="en-US"/>
        </w:rPr>
        <w:t xml:space="preserve"> 19/20</w:t>
      </w:r>
      <w:r w:rsidR="00A9284A" w:rsidRPr="009F2D4C">
        <w:rPr>
          <w:rFonts w:ascii="Arial" w:hAnsi="Arial" w:cs="Arial"/>
          <w:bCs/>
          <w:lang w:val="en-US"/>
        </w:rPr>
        <w:t xml:space="preserve">. </w:t>
      </w:r>
      <w:bookmarkStart w:id="17" w:name="_Hlk18868351"/>
      <w:r w:rsidR="0066660C" w:rsidRPr="0066660C">
        <w:rPr>
          <w:rFonts w:ascii="Arial" w:hAnsi="Arial" w:cs="Arial"/>
          <w:bCs/>
          <w:lang w:val="en-US"/>
        </w:rPr>
        <w:t xml:space="preserve">We </w:t>
      </w:r>
      <w:r w:rsidR="0066660C">
        <w:rPr>
          <w:rFonts w:ascii="Arial" w:hAnsi="Arial" w:cs="Arial"/>
          <w:bCs/>
          <w:lang w:val="en-US"/>
        </w:rPr>
        <w:t xml:space="preserve">continue to </w:t>
      </w:r>
      <w:r w:rsidR="0066660C" w:rsidRPr="0066660C">
        <w:rPr>
          <w:rFonts w:ascii="Arial" w:hAnsi="Arial" w:cs="Arial"/>
          <w:bCs/>
          <w:lang w:val="en-US"/>
        </w:rPr>
        <w:t>conduct validation for market entry opportunities in France and Poland, initially via an online presence.</w:t>
      </w:r>
      <w:bookmarkEnd w:id="17"/>
    </w:p>
    <w:p w14:paraId="4C416B15" w14:textId="77777777" w:rsidR="00A9284A" w:rsidRPr="007655ED" w:rsidRDefault="00A9284A" w:rsidP="00A9284A">
      <w:pPr>
        <w:jc w:val="left"/>
        <w:rPr>
          <w:rFonts w:ascii="Arial" w:hAnsi="Arial" w:cs="Arial"/>
          <w:bCs/>
        </w:rPr>
      </w:pPr>
    </w:p>
    <w:p w14:paraId="7FCACF9A" w14:textId="77777777" w:rsidR="00FA4D7F" w:rsidRPr="007655ED" w:rsidRDefault="00FA4D7F" w:rsidP="006937CF">
      <w:pPr>
        <w:jc w:val="left"/>
        <w:rPr>
          <w:rFonts w:ascii="Arial" w:hAnsi="Arial" w:cs="Arial"/>
          <w:b/>
          <w:bCs/>
        </w:rPr>
      </w:pPr>
      <w:bookmarkStart w:id="18" w:name="_Hlk18525485"/>
      <w:bookmarkStart w:id="19" w:name="_Hlk19278624"/>
      <w:bookmarkStart w:id="20" w:name="_Hlk524948114"/>
      <w:bookmarkEnd w:id="14"/>
      <w:r w:rsidRPr="007655ED">
        <w:rPr>
          <w:rFonts w:ascii="Arial" w:hAnsi="Arial" w:cs="Arial"/>
          <w:b/>
          <w:bCs/>
        </w:rPr>
        <w:t>Brexit preparation</w:t>
      </w:r>
    </w:p>
    <w:p w14:paraId="535238B1" w14:textId="77777777" w:rsidR="00FA4D7F" w:rsidRPr="007655ED" w:rsidRDefault="00FA4D7F" w:rsidP="006937CF">
      <w:pPr>
        <w:jc w:val="left"/>
        <w:rPr>
          <w:rFonts w:ascii="Arial" w:hAnsi="Arial" w:cs="Arial"/>
          <w:bCs/>
          <w:lang w:val="en-US"/>
        </w:rPr>
      </w:pPr>
    </w:p>
    <w:p w14:paraId="26E2B3B5" w14:textId="37BF7100" w:rsidR="00A02016" w:rsidRDefault="00641C55" w:rsidP="00641C55">
      <w:pPr>
        <w:jc w:val="left"/>
        <w:rPr>
          <w:rFonts w:ascii="Arial" w:hAnsi="Arial" w:cs="Arial"/>
          <w:bCs/>
          <w:lang w:val="en-US"/>
        </w:rPr>
      </w:pPr>
      <w:r w:rsidRPr="007655ED">
        <w:rPr>
          <w:rFonts w:ascii="Arial" w:hAnsi="Arial" w:cs="Arial"/>
          <w:bCs/>
          <w:lang w:val="en-US"/>
        </w:rPr>
        <w:t>Kingfisher</w:t>
      </w:r>
      <w:r w:rsidR="00A02016">
        <w:rPr>
          <w:rFonts w:ascii="Arial" w:hAnsi="Arial" w:cs="Arial"/>
          <w:bCs/>
          <w:lang w:val="en-US"/>
        </w:rPr>
        <w:t>’s</w:t>
      </w:r>
      <w:r w:rsidRPr="007655ED">
        <w:rPr>
          <w:rFonts w:ascii="Arial" w:hAnsi="Arial" w:cs="Arial"/>
          <w:bCs/>
          <w:lang w:val="en-US"/>
        </w:rPr>
        <w:t xml:space="preserve"> internal Brexit steering committee</w:t>
      </w:r>
      <w:r w:rsidR="00A02016">
        <w:rPr>
          <w:rFonts w:ascii="Arial" w:hAnsi="Arial" w:cs="Arial"/>
          <w:bCs/>
          <w:lang w:val="en-US"/>
        </w:rPr>
        <w:t>,</w:t>
      </w:r>
      <w:r w:rsidRPr="007655ED">
        <w:rPr>
          <w:rFonts w:ascii="Arial" w:hAnsi="Arial" w:cs="Arial"/>
          <w:bCs/>
          <w:lang w:val="en-US"/>
        </w:rPr>
        <w:t xml:space="preserve"> in place since the </w:t>
      </w:r>
      <w:r w:rsidR="00DE7856" w:rsidRPr="00DE7856">
        <w:rPr>
          <w:rFonts w:ascii="Arial" w:hAnsi="Arial" w:cs="Arial"/>
          <w:bCs/>
        </w:rPr>
        <w:t xml:space="preserve">outcome of the United Kingdom </w:t>
      </w:r>
      <w:r w:rsidR="00DE7856" w:rsidRPr="009F71DB">
        <w:rPr>
          <w:rFonts w:ascii="Arial" w:hAnsi="Arial"/>
        </w:rPr>
        <w:t xml:space="preserve">referendum </w:t>
      </w:r>
      <w:r w:rsidR="00DE7856" w:rsidRPr="00DE7856">
        <w:rPr>
          <w:rFonts w:ascii="Arial" w:hAnsi="Arial" w:cs="Arial"/>
          <w:bCs/>
        </w:rPr>
        <w:t>on EU membership</w:t>
      </w:r>
      <w:r w:rsidRPr="007655ED">
        <w:rPr>
          <w:rFonts w:ascii="Arial" w:hAnsi="Arial" w:cs="Arial"/>
          <w:bCs/>
          <w:lang w:val="en-US"/>
        </w:rPr>
        <w:t xml:space="preserve"> in </w:t>
      </w:r>
      <w:r w:rsidR="00DE7856">
        <w:rPr>
          <w:rFonts w:ascii="Arial" w:hAnsi="Arial" w:cs="Arial"/>
          <w:bCs/>
          <w:lang w:val="en-US"/>
        </w:rPr>
        <w:t xml:space="preserve">June </w:t>
      </w:r>
      <w:r w:rsidRPr="007655ED">
        <w:rPr>
          <w:rFonts w:ascii="Arial" w:hAnsi="Arial" w:cs="Arial"/>
          <w:bCs/>
          <w:lang w:val="en-US"/>
        </w:rPr>
        <w:t xml:space="preserve">2016, continues to assess the </w:t>
      </w:r>
      <w:r w:rsidR="00A02016">
        <w:rPr>
          <w:rFonts w:ascii="Arial" w:hAnsi="Arial" w:cs="Arial"/>
          <w:bCs/>
          <w:lang w:val="en-US"/>
        </w:rPr>
        <w:t xml:space="preserve">progress and adequacy of the </w:t>
      </w:r>
      <w:r w:rsidRPr="007655ED">
        <w:rPr>
          <w:rFonts w:ascii="Arial" w:hAnsi="Arial" w:cs="Arial"/>
          <w:bCs/>
          <w:lang w:val="en-US"/>
        </w:rPr>
        <w:t xml:space="preserve">business’ contingency planning. </w:t>
      </w:r>
      <w:r w:rsidR="00AD40EE" w:rsidRPr="00AD40EE">
        <w:rPr>
          <w:rFonts w:ascii="Arial" w:hAnsi="Arial" w:cs="Arial"/>
          <w:bCs/>
          <w:lang w:val="en-US"/>
        </w:rPr>
        <w:t xml:space="preserve">We have updated our importation processes to prepare for a hard border between </w:t>
      </w:r>
      <w:r w:rsidR="00AD40EE">
        <w:rPr>
          <w:rFonts w:ascii="Arial" w:hAnsi="Arial" w:cs="Arial"/>
          <w:bCs/>
          <w:lang w:val="en-US"/>
        </w:rPr>
        <w:t xml:space="preserve">the United Kingdom </w:t>
      </w:r>
      <w:r w:rsidR="00AD40EE" w:rsidRPr="00AD40EE">
        <w:rPr>
          <w:rFonts w:ascii="Arial" w:hAnsi="Arial" w:cs="Arial"/>
          <w:bCs/>
          <w:lang w:val="en-US"/>
        </w:rPr>
        <w:t>and EU</w:t>
      </w:r>
      <w:r w:rsidR="00AD40EE">
        <w:rPr>
          <w:rFonts w:ascii="Arial" w:hAnsi="Arial" w:cs="Arial"/>
          <w:bCs/>
          <w:lang w:val="en-US"/>
        </w:rPr>
        <w:t>,</w:t>
      </w:r>
      <w:r w:rsidR="00AD40EE" w:rsidRPr="00AD40EE">
        <w:rPr>
          <w:rFonts w:ascii="Arial" w:hAnsi="Arial" w:cs="Arial"/>
          <w:bCs/>
          <w:lang w:val="en-US"/>
        </w:rPr>
        <w:t xml:space="preserve"> including access to simplified </w:t>
      </w:r>
      <w:r w:rsidR="00AD40EE">
        <w:rPr>
          <w:rFonts w:ascii="Arial" w:hAnsi="Arial" w:cs="Arial"/>
          <w:bCs/>
          <w:lang w:val="en-US"/>
        </w:rPr>
        <w:t xml:space="preserve">customs </w:t>
      </w:r>
      <w:r w:rsidR="00AD40EE" w:rsidRPr="00AD40EE">
        <w:rPr>
          <w:rFonts w:ascii="Arial" w:hAnsi="Arial" w:cs="Arial"/>
          <w:bCs/>
          <w:lang w:val="en-US"/>
        </w:rPr>
        <w:t>procedures and alternative cross</w:t>
      </w:r>
      <w:r w:rsidR="00AD40EE">
        <w:rPr>
          <w:rFonts w:ascii="Arial" w:hAnsi="Arial" w:cs="Arial"/>
          <w:bCs/>
          <w:lang w:val="en-US"/>
        </w:rPr>
        <w:t>-</w:t>
      </w:r>
      <w:r w:rsidR="00AD40EE" w:rsidRPr="00AD40EE">
        <w:rPr>
          <w:rFonts w:ascii="Arial" w:hAnsi="Arial" w:cs="Arial"/>
          <w:bCs/>
          <w:lang w:val="en-US"/>
        </w:rPr>
        <w:t xml:space="preserve">channel and deep seaports of entry </w:t>
      </w:r>
      <w:r w:rsidR="00E84FE5">
        <w:rPr>
          <w:rFonts w:ascii="Arial" w:hAnsi="Arial" w:cs="Arial"/>
          <w:bCs/>
          <w:lang w:val="en-US"/>
        </w:rPr>
        <w:t xml:space="preserve">in order </w:t>
      </w:r>
      <w:r w:rsidR="00AD40EE" w:rsidRPr="00AD40EE">
        <w:rPr>
          <w:rFonts w:ascii="Arial" w:hAnsi="Arial" w:cs="Arial"/>
          <w:bCs/>
          <w:lang w:val="en-US"/>
        </w:rPr>
        <w:t xml:space="preserve">to mitigate the possible impacts from disruption. We </w:t>
      </w:r>
      <w:r w:rsidR="00E84FE5">
        <w:rPr>
          <w:rFonts w:ascii="Arial" w:hAnsi="Arial" w:cs="Arial"/>
          <w:bCs/>
          <w:lang w:val="en-US"/>
        </w:rPr>
        <w:t xml:space="preserve">remain engaged </w:t>
      </w:r>
      <w:r w:rsidR="00AD40EE" w:rsidRPr="00AD40EE">
        <w:rPr>
          <w:rFonts w:ascii="Arial" w:hAnsi="Arial" w:cs="Arial"/>
          <w:bCs/>
          <w:lang w:val="en-US"/>
        </w:rPr>
        <w:t xml:space="preserve">with our key vendors </w:t>
      </w:r>
      <w:r w:rsidR="00E84FE5">
        <w:rPr>
          <w:rFonts w:ascii="Arial" w:hAnsi="Arial" w:cs="Arial"/>
          <w:bCs/>
          <w:lang w:val="en-US"/>
        </w:rPr>
        <w:t>in this area</w:t>
      </w:r>
      <w:r w:rsidR="00AD40EE" w:rsidRPr="00AD40EE">
        <w:rPr>
          <w:rFonts w:ascii="Arial" w:hAnsi="Arial" w:cs="Arial"/>
          <w:bCs/>
          <w:lang w:val="en-US"/>
        </w:rPr>
        <w:t>.</w:t>
      </w:r>
      <w:r w:rsidRPr="007655ED">
        <w:rPr>
          <w:rFonts w:ascii="Arial" w:hAnsi="Arial" w:cs="Arial"/>
          <w:bCs/>
          <w:lang w:val="en-US"/>
        </w:rPr>
        <w:t xml:space="preserve"> </w:t>
      </w:r>
    </w:p>
    <w:p w14:paraId="58D90F01" w14:textId="77777777" w:rsidR="00A02016" w:rsidRDefault="00A02016" w:rsidP="00641C55">
      <w:pPr>
        <w:jc w:val="left"/>
        <w:rPr>
          <w:rFonts w:ascii="Arial" w:hAnsi="Arial" w:cs="Arial"/>
          <w:bCs/>
          <w:lang w:val="en-US"/>
        </w:rPr>
      </w:pPr>
    </w:p>
    <w:p w14:paraId="3A3F5F4F" w14:textId="2FF72ADC" w:rsidR="00641C55" w:rsidRPr="007655ED" w:rsidRDefault="00641C55" w:rsidP="00641C55">
      <w:pPr>
        <w:jc w:val="left"/>
        <w:rPr>
          <w:rFonts w:ascii="Arial" w:hAnsi="Arial" w:cs="Arial"/>
          <w:bCs/>
          <w:lang w:val="en-US"/>
        </w:rPr>
      </w:pPr>
      <w:r w:rsidRPr="007655ED">
        <w:rPr>
          <w:rFonts w:ascii="Arial" w:hAnsi="Arial" w:cs="Arial"/>
          <w:bCs/>
          <w:lang w:val="en-US"/>
        </w:rPr>
        <w:t xml:space="preserve">On tariffs, most of Kingfisher’s products would incur a </w:t>
      </w:r>
      <w:r w:rsidR="00F50EEE">
        <w:rPr>
          <w:rFonts w:ascii="Arial" w:hAnsi="Arial" w:cs="Arial"/>
          <w:bCs/>
          <w:lang w:val="en-US"/>
        </w:rPr>
        <w:t xml:space="preserve">zero percent </w:t>
      </w:r>
      <w:r w:rsidRPr="007655ED">
        <w:rPr>
          <w:rFonts w:ascii="Arial" w:hAnsi="Arial" w:cs="Arial"/>
          <w:bCs/>
          <w:lang w:val="en-US"/>
        </w:rPr>
        <w:t xml:space="preserve">tariff under the government’s </w:t>
      </w:r>
      <w:r w:rsidR="00A02016">
        <w:rPr>
          <w:rFonts w:ascii="Arial" w:hAnsi="Arial" w:cs="Arial"/>
          <w:bCs/>
          <w:lang w:val="en-US"/>
        </w:rPr>
        <w:t xml:space="preserve">current </w:t>
      </w:r>
      <w:r w:rsidRPr="007655ED">
        <w:rPr>
          <w:rFonts w:ascii="Arial" w:hAnsi="Arial" w:cs="Arial"/>
          <w:bCs/>
          <w:lang w:val="en-US"/>
        </w:rPr>
        <w:t xml:space="preserve">proposed </w:t>
      </w:r>
      <w:r w:rsidR="00AD40EE">
        <w:rPr>
          <w:rFonts w:ascii="Arial" w:hAnsi="Arial" w:cs="Arial"/>
          <w:bCs/>
          <w:lang w:val="en-US"/>
        </w:rPr>
        <w:t xml:space="preserve">temporary </w:t>
      </w:r>
      <w:r w:rsidRPr="007655ED">
        <w:rPr>
          <w:rFonts w:ascii="Arial" w:hAnsi="Arial" w:cs="Arial"/>
          <w:bCs/>
          <w:lang w:val="en-US"/>
        </w:rPr>
        <w:t xml:space="preserve">tariff schedule in a </w:t>
      </w:r>
      <w:r w:rsidR="00A02016">
        <w:rPr>
          <w:rFonts w:ascii="Arial" w:hAnsi="Arial" w:cs="Arial"/>
          <w:bCs/>
          <w:lang w:val="en-US"/>
        </w:rPr>
        <w:t>‘</w:t>
      </w:r>
      <w:r w:rsidRPr="007655ED">
        <w:rPr>
          <w:rFonts w:ascii="Arial" w:hAnsi="Arial" w:cs="Arial"/>
          <w:bCs/>
          <w:lang w:val="en-US"/>
        </w:rPr>
        <w:t>no-deal</w:t>
      </w:r>
      <w:r w:rsidR="00A02016">
        <w:rPr>
          <w:rFonts w:ascii="Arial" w:hAnsi="Arial" w:cs="Arial"/>
          <w:bCs/>
          <w:lang w:val="en-US"/>
        </w:rPr>
        <w:t>’</w:t>
      </w:r>
      <w:r w:rsidRPr="007655ED">
        <w:rPr>
          <w:rFonts w:ascii="Arial" w:hAnsi="Arial" w:cs="Arial"/>
          <w:bCs/>
          <w:lang w:val="en-US"/>
        </w:rPr>
        <w:t xml:space="preserve"> Brexit</w:t>
      </w:r>
      <w:r w:rsidR="00A116E5">
        <w:rPr>
          <w:rFonts w:ascii="Arial" w:hAnsi="Arial" w:cs="Arial"/>
          <w:bCs/>
          <w:lang w:val="en-US"/>
        </w:rPr>
        <w:t xml:space="preserve"> scenario</w:t>
      </w:r>
      <w:r w:rsidR="00A02016">
        <w:rPr>
          <w:rFonts w:ascii="Arial" w:hAnsi="Arial" w:cs="Arial"/>
          <w:bCs/>
          <w:lang w:val="en-US"/>
        </w:rPr>
        <w:t>.</w:t>
      </w:r>
      <w:r w:rsidRPr="007655ED">
        <w:rPr>
          <w:rFonts w:ascii="Arial" w:hAnsi="Arial" w:cs="Arial"/>
          <w:bCs/>
          <w:lang w:val="en-US"/>
        </w:rPr>
        <w:t xml:space="preserve"> </w:t>
      </w:r>
      <w:r w:rsidR="00DE7856" w:rsidRPr="009451AB">
        <w:rPr>
          <w:rFonts w:ascii="Arial" w:hAnsi="Arial" w:cs="Arial"/>
          <w:bCs/>
          <w:lang w:val="en-US"/>
        </w:rPr>
        <w:t>On people</w:t>
      </w:r>
      <w:r w:rsidR="00DE7856">
        <w:rPr>
          <w:rFonts w:ascii="Arial" w:hAnsi="Arial" w:cs="Arial"/>
          <w:bCs/>
          <w:lang w:val="en-US"/>
        </w:rPr>
        <w:t>-related matters</w:t>
      </w:r>
      <w:r w:rsidR="00DE7856" w:rsidRPr="009451AB">
        <w:rPr>
          <w:rFonts w:ascii="Arial" w:hAnsi="Arial" w:cs="Arial"/>
          <w:bCs/>
          <w:lang w:val="en-US"/>
        </w:rPr>
        <w:t xml:space="preserve">, there has been </w:t>
      </w:r>
      <w:r w:rsidR="00DE7856">
        <w:rPr>
          <w:rFonts w:ascii="Arial" w:hAnsi="Arial" w:cs="Arial"/>
          <w:bCs/>
          <w:lang w:val="en-US"/>
        </w:rPr>
        <w:t xml:space="preserve">no significant </w:t>
      </w:r>
      <w:r w:rsidR="00DE7856" w:rsidRPr="009451AB">
        <w:rPr>
          <w:rFonts w:ascii="Arial" w:hAnsi="Arial" w:cs="Arial"/>
          <w:bCs/>
          <w:lang w:val="en-US"/>
        </w:rPr>
        <w:t xml:space="preserve">impact on </w:t>
      </w:r>
      <w:r w:rsidR="00DE7856">
        <w:rPr>
          <w:rFonts w:ascii="Arial" w:hAnsi="Arial" w:cs="Arial"/>
          <w:bCs/>
          <w:lang w:val="en-US"/>
        </w:rPr>
        <w:t xml:space="preserve">either </w:t>
      </w:r>
      <w:r w:rsidR="00DE7856" w:rsidRPr="009451AB">
        <w:rPr>
          <w:rFonts w:ascii="Arial" w:hAnsi="Arial" w:cs="Arial"/>
          <w:bCs/>
          <w:lang w:val="en-US"/>
        </w:rPr>
        <w:t xml:space="preserve">retention </w:t>
      </w:r>
      <w:r w:rsidR="00DE7856">
        <w:rPr>
          <w:rFonts w:ascii="Arial" w:hAnsi="Arial" w:cs="Arial"/>
          <w:bCs/>
          <w:lang w:val="en-US"/>
        </w:rPr>
        <w:t xml:space="preserve">or </w:t>
      </w:r>
      <w:r w:rsidR="00DE7856" w:rsidRPr="009451AB">
        <w:rPr>
          <w:rFonts w:ascii="Arial" w:hAnsi="Arial" w:cs="Arial"/>
          <w:bCs/>
          <w:lang w:val="en-US"/>
        </w:rPr>
        <w:t>hiring following the referendum</w:t>
      </w:r>
      <w:r w:rsidR="00DE7856">
        <w:rPr>
          <w:rFonts w:ascii="Arial" w:hAnsi="Arial" w:cs="Arial"/>
          <w:bCs/>
          <w:lang w:val="en-US"/>
        </w:rPr>
        <w:t>.</w:t>
      </w:r>
      <w:r w:rsidR="00DE7856" w:rsidRPr="009451AB">
        <w:rPr>
          <w:rFonts w:ascii="Arial" w:hAnsi="Arial" w:cs="Arial"/>
          <w:bCs/>
          <w:lang w:val="en-US"/>
        </w:rPr>
        <w:t xml:space="preserve"> Kingfisher has a low dependency on </w:t>
      </w:r>
      <w:r w:rsidR="00DE7856">
        <w:rPr>
          <w:rFonts w:ascii="Arial" w:hAnsi="Arial" w:cs="Arial"/>
          <w:bCs/>
          <w:lang w:val="en-US"/>
        </w:rPr>
        <w:t xml:space="preserve">European Economic Area (EEA) </w:t>
      </w:r>
      <w:r w:rsidR="00DE7856" w:rsidRPr="009451AB">
        <w:rPr>
          <w:rFonts w:ascii="Arial" w:hAnsi="Arial" w:cs="Arial"/>
          <w:bCs/>
          <w:lang w:val="en-US"/>
        </w:rPr>
        <w:t xml:space="preserve">nationals in its retail and distribution </w:t>
      </w:r>
      <w:proofErr w:type="spellStart"/>
      <w:r w:rsidR="00DE7856" w:rsidRPr="009451AB">
        <w:rPr>
          <w:rFonts w:ascii="Arial" w:hAnsi="Arial" w:cs="Arial"/>
          <w:bCs/>
          <w:lang w:val="en-US"/>
        </w:rPr>
        <w:t>centres</w:t>
      </w:r>
      <w:proofErr w:type="spellEnd"/>
      <w:r w:rsidR="00DE7856" w:rsidRPr="009451AB">
        <w:rPr>
          <w:rFonts w:ascii="Arial" w:hAnsi="Arial" w:cs="Arial"/>
          <w:bCs/>
          <w:lang w:val="en-US"/>
        </w:rPr>
        <w:t>.</w:t>
      </w:r>
      <w:r w:rsidR="000105C4">
        <w:rPr>
          <w:rFonts w:ascii="Arial" w:hAnsi="Arial" w:cs="Arial"/>
          <w:bCs/>
          <w:lang w:val="en-US"/>
        </w:rPr>
        <w:t xml:space="preserve"> </w:t>
      </w:r>
      <w:r w:rsidR="00C07CF5">
        <w:rPr>
          <w:rFonts w:ascii="Arial" w:hAnsi="Arial" w:cs="Arial"/>
          <w:bCs/>
          <w:lang w:val="en-US"/>
        </w:rPr>
        <w:t>Finally, w</w:t>
      </w:r>
      <w:r w:rsidRPr="007655ED">
        <w:rPr>
          <w:rFonts w:ascii="Arial" w:hAnsi="Arial" w:cs="Arial"/>
          <w:bCs/>
          <w:lang w:val="en-US"/>
        </w:rPr>
        <w:t xml:space="preserve">e </w:t>
      </w:r>
      <w:r w:rsidR="00C07CF5">
        <w:rPr>
          <w:rFonts w:ascii="Arial" w:hAnsi="Arial" w:cs="Arial"/>
          <w:bCs/>
          <w:lang w:val="en-US"/>
        </w:rPr>
        <w:t xml:space="preserve">anticipate having </w:t>
      </w:r>
      <w:proofErr w:type="gramStart"/>
      <w:r w:rsidRPr="007655ED">
        <w:rPr>
          <w:rFonts w:ascii="Arial" w:hAnsi="Arial" w:cs="Arial"/>
          <w:bCs/>
          <w:lang w:val="en-US"/>
        </w:rPr>
        <w:t>sufficient</w:t>
      </w:r>
      <w:proofErr w:type="gramEnd"/>
      <w:r w:rsidRPr="007655ED">
        <w:rPr>
          <w:rFonts w:ascii="Arial" w:hAnsi="Arial" w:cs="Arial"/>
          <w:bCs/>
          <w:lang w:val="en-US"/>
        </w:rPr>
        <w:t xml:space="preserve"> stock build in place </w:t>
      </w:r>
      <w:r w:rsidR="00C07CF5">
        <w:rPr>
          <w:rFonts w:ascii="Arial" w:hAnsi="Arial" w:cs="Arial"/>
          <w:bCs/>
          <w:lang w:val="en-US"/>
        </w:rPr>
        <w:t xml:space="preserve">as at </w:t>
      </w:r>
      <w:r w:rsidR="00C07CF5" w:rsidRPr="00E16C20">
        <w:rPr>
          <w:rFonts w:ascii="Arial" w:hAnsi="Arial" w:cs="Arial"/>
          <w:bCs/>
          <w:lang w:val="en-US"/>
        </w:rPr>
        <w:t>31</w:t>
      </w:r>
      <w:r w:rsidR="00C07CF5">
        <w:rPr>
          <w:rFonts w:ascii="Arial" w:hAnsi="Arial" w:cs="Arial"/>
          <w:bCs/>
          <w:lang w:val="en-US"/>
        </w:rPr>
        <w:t xml:space="preserve"> </w:t>
      </w:r>
      <w:r w:rsidR="00C07CF5" w:rsidRPr="00E16C20">
        <w:rPr>
          <w:rFonts w:ascii="Arial" w:hAnsi="Arial" w:cs="Arial"/>
          <w:bCs/>
          <w:lang w:val="en-US"/>
        </w:rPr>
        <w:t>October</w:t>
      </w:r>
      <w:r w:rsidR="00C07CF5" w:rsidRPr="00C07CF5">
        <w:rPr>
          <w:rFonts w:ascii="Arial" w:hAnsi="Arial" w:cs="Arial"/>
          <w:bCs/>
          <w:lang w:val="en-US"/>
        </w:rPr>
        <w:t xml:space="preserve"> </w:t>
      </w:r>
      <w:r w:rsidRPr="007655ED">
        <w:rPr>
          <w:rFonts w:ascii="Arial" w:hAnsi="Arial" w:cs="Arial"/>
          <w:bCs/>
          <w:lang w:val="en-US"/>
        </w:rPr>
        <w:t xml:space="preserve">to cover </w:t>
      </w:r>
      <w:r w:rsidR="007E028A">
        <w:rPr>
          <w:rFonts w:ascii="Arial" w:hAnsi="Arial" w:cs="Arial"/>
          <w:bCs/>
          <w:lang w:val="en-US"/>
        </w:rPr>
        <w:t xml:space="preserve">near-term </w:t>
      </w:r>
      <w:r w:rsidRPr="007655ED">
        <w:rPr>
          <w:rFonts w:ascii="Arial" w:hAnsi="Arial" w:cs="Arial"/>
          <w:bCs/>
          <w:lang w:val="en-US"/>
        </w:rPr>
        <w:t>demand</w:t>
      </w:r>
      <w:r w:rsidR="00C07CF5">
        <w:rPr>
          <w:rFonts w:ascii="Arial" w:hAnsi="Arial" w:cs="Arial"/>
          <w:bCs/>
          <w:lang w:val="en-US"/>
        </w:rPr>
        <w:t xml:space="preserve">, and so no </w:t>
      </w:r>
      <w:r w:rsidR="00246D1A">
        <w:rPr>
          <w:rFonts w:ascii="Arial" w:hAnsi="Arial" w:cs="Arial"/>
          <w:bCs/>
          <w:lang w:val="en-US"/>
        </w:rPr>
        <w:t xml:space="preserve">significant </w:t>
      </w:r>
      <w:r w:rsidR="007E028A">
        <w:rPr>
          <w:rFonts w:ascii="Arial" w:hAnsi="Arial" w:cs="Arial"/>
          <w:bCs/>
          <w:lang w:val="en-US"/>
        </w:rPr>
        <w:t xml:space="preserve">additional </w:t>
      </w:r>
      <w:r w:rsidR="00C07CF5">
        <w:rPr>
          <w:rFonts w:ascii="Arial" w:hAnsi="Arial" w:cs="Arial"/>
          <w:bCs/>
          <w:lang w:val="en-US"/>
        </w:rPr>
        <w:t>stock has been arranged</w:t>
      </w:r>
      <w:r w:rsidR="004E399C">
        <w:rPr>
          <w:rFonts w:ascii="Arial" w:hAnsi="Arial" w:cs="Arial"/>
          <w:bCs/>
          <w:lang w:val="en-US"/>
        </w:rPr>
        <w:t xml:space="preserve"> to date</w:t>
      </w:r>
      <w:r w:rsidR="00C07CF5">
        <w:rPr>
          <w:rFonts w:ascii="Arial" w:hAnsi="Arial" w:cs="Arial"/>
          <w:bCs/>
          <w:lang w:val="en-US"/>
        </w:rPr>
        <w:t>.</w:t>
      </w:r>
    </w:p>
    <w:bookmarkEnd w:id="18"/>
    <w:p w14:paraId="2C684B56" w14:textId="77777777" w:rsidR="00C36F0E" w:rsidRPr="007655ED" w:rsidRDefault="00C36F0E" w:rsidP="006937CF">
      <w:pPr>
        <w:jc w:val="left"/>
        <w:rPr>
          <w:rFonts w:ascii="Arial" w:hAnsi="Arial" w:cs="Arial"/>
          <w:bCs/>
          <w:lang w:val="en-US"/>
        </w:rPr>
      </w:pPr>
    </w:p>
    <w:bookmarkEnd w:id="19"/>
    <w:p w14:paraId="69155E04" w14:textId="199C6E04" w:rsidR="006937CF" w:rsidRPr="009F71DB" w:rsidRDefault="006937CF" w:rsidP="006937CF">
      <w:pPr>
        <w:jc w:val="left"/>
        <w:rPr>
          <w:rFonts w:ascii="Arial" w:hAnsi="Arial"/>
          <w:b/>
          <w:lang w:val="en-US"/>
        </w:rPr>
      </w:pPr>
      <w:r w:rsidRPr="009F71DB">
        <w:rPr>
          <w:rFonts w:ascii="Arial" w:hAnsi="Arial"/>
          <w:b/>
          <w:lang w:val="en-US"/>
        </w:rPr>
        <w:t>Summary &amp; outlook</w:t>
      </w:r>
    </w:p>
    <w:p w14:paraId="0DE6FC78" w14:textId="77777777" w:rsidR="006937CF" w:rsidRPr="009F71DB" w:rsidRDefault="006937CF" w:rsidP="00605A7F">
      <w:pPr>
        <w:jc w:val="left"/>
        <w:rPr>
          <w:rFonts w:ascii="Arial" w:hAnsi="Arial"/>
          <w:lang w:val="en-US"/>
        </w:rPr>
      </w:pPr>
    </w:p>
    <w:bookmarkEnd w:id="15"/>
    <w:bookmarkEnd w:id="20"/>
    <w:p w14:paraId="0BC9283D" w14:textId="0169B6EA" w:rsidR="00081DC0" w:rsidRPr="00081DC0" w:rsidRDefault="00081DC0" w:rsidP="00081DC0">
      <w:pPr>
        <w:jc w:val="left"/>
        <w:rPr>
          <w:rFonts w:ascii="Arial" w:hAnsi="Arial" w:cs="Arial"/>
          <w:bCs/>
          <w:lang w:val="en-US"/>
        </w:rPr>
      </w:pPr>
      <w:r w:rsidRPr="00081DC0">
        <w:rPr>
          <w:rFonts w:ascii="Arial" w:hAnsi="Arial" w:cs="Arial"/>
          <w:bCs/>
          <w:lang w:val="en-US"/>
        </w:rPr>
        <w:t xml:space="preserve">The transformation of the business that started </w:t>
      </w:r>
      <w:r w:rsidR="00D57F08">
        <w:rPr>
          <w:rFonts w:ascii="Arial" w:hAnsi="Arial" w:cs="Arial"/>
          <w:bCs/>
          <w:lang w:val="en-US"/>
        </w:rPr>
        <w:t xml:space="preserve">three and a half </w:t>
      </w:r>
      <w:r w:rsidRPr="00081DC0">
        <w:rPr>
          <w:rFonts w:ascii="Arial" w:hAnsi="Arial" w:cs="Arial"/>
          <w:bCs/>
          <w:lang w:val="en-US"/>
        </w:rPr>
        <w:t xml:space="preserve">years ago continued </w:t>
      </w:r>
      <w:r w:rsidR="00D57F08">
        <w:rPr>
          <w:rFonts w:ascii="Arial" w:hAnsi="Arial" w:cs="Arial"/>
          <w:bCs/>
          <w:lang w:val="en-US"/>
        </w:rPr>
        <w:t>during H1 19/20</w:t>
      </w:r>
      <w:r w:rsidRPr="00081DC0">
        <w:rPr>
          <w:rFonts w:ascii="Arial" w:hAnsi="Arial" w:cs="Arial"/>
          <w:bCs/>
          <w:lang w:val="en-US"/>
        </w:rPr>
        <w:t xml:space="preserve">, with further progress </w:t>
      </w:r>
      <w:r w:rsidR="00F36874">
        <w:rPr>
          <w:rFonts w:ascii="Arial" w:hAnsi="Arial" w:cs="Arial"/>
          <w:bCs/>
          <w:lang w:val="en-US"/>
        </w:rPr>
        <w:t xml:space="preserve">made </w:t>
      </w:r>
      <w:r w:rsidRPr="00081DC0">
        <w:rPr>
          <w:rFonts w:ascii="Arial" w:hAnsi="Arial" w:cs="Arial"/>
          <w:bCs/>
          <w:lang w:val="en-US"/>
        </w:rPr>
        <w:t xml:space="preserve">in unifying product, key launches </w:t>
      </w:r>
      <w:r w:rsidR="00F36874">
        <w:rPr>
          <w:rFonts w:ascii="Arial" w:hAnsi="Arial" w:cs="Arial"/>
          <w:bCs/>
          <w:lang w:val="en-US"/>
        </w:rPr>
        <w:t xml:space="preserve">across the Group </w:t>
      </w:r>
      <w:r w:rsidRPr="00081DC0">
        <w:rPr>
          <w:rFonts w:ascii="Arial" w:hAnsi="Arial" w:cs="Arial"/>
          <w:bCs/>
          <w:lang w:val="en-US"/>
        </w:rPr>
        <w:t>of differentiated and unique ranges</w:t>
      </w:r>
      <w:r w:rsidR="00D57F08">
        <w:rPr>
          <w:rFonts w:ascii="Arial" w:hAnsi="Arial" w:cs="Arial"/>
          <w:bCs/>
          <w:lang w:val="en-US"/>
        </w:rPr>
        <w:t>,</w:t>
      </w:r>
      <w:r w:rsidRPr="00081DC0">
        <w:rPr>
          <w:rFonts w:ascii="Arial" w:hAnsi="Arial" w:cs="Arial"/>
          <w:bCs/>
          <w:lang w:val="en-US"/>
        </w:rPr>
        <w:t xml:space="preserve"> and </w:t>
      </w:r>
      <w:r w:rsidR="00D57F08">
        <w:rPr>
          <w:rFonts w:ascii="Arial" w:hAnsi="Arial" w:cs="Arial"/>
          <w:bCs/>
          <w:lang w:val="en-US"/>
        </w:rPr>
        <w:t xml:space="preserve">the implementation of further capabilities within our unified </w:t>
      </w:r>
      <w:r w:rsidRPr="00081DC0">
        <w:rPr>
          <w:rFonts w:ascii="Arial" w:hAnsi="Arial" w:cs="Arial"/>
          <w:bCs/>
          <w:lang w:val="en-US"/>
        </w:rPr>
        <w:t xml:space="preserve">IT </w:t>
      </w:r>
      <w:r w:rsidR="00D57F08">
        <w:rPr>
          <w:rFonts w:ascii="Arial" w:hAnsi="Arial" w:cs="Arial"/>
          <w:bCs/>
          <w:lang w:val="en-US"/>
        </w:rPr>
        <w:t>platform</w:t>
      </w:r>
      <w:r w:rsidRPr="00081DC0">
        <w:rPr>
          <w:rFonts w:ascii="Arial" w:hAnsi="Arial" w:cs="Arial"/>
          <w:bCs/>
          <w:lang w:val="en-US"/>
        </w:rPr>
        <w:t>.</w:t>
      </w:r>
    </w:p>
    <w:p w14:paraId="3F195A2B" w14:textId="77777777" w:rsidR="00081DC0" w:rsidRPr="00081DC0" w:rsidRDefault="00081DC0" w:rsidP="00081DC0">
      <w:pPr>
        <w:jc w:val="left"/>
        <w:rPr>
          <w:rFonts w:ascii="Arial" w:hAnsi="Arial" w:cs="Arial"/>
          <w:bCs/>
          <w:lang w:val="en-US"/>
        </w:rPr>
      </w:pPr>
    </w:p>
    <w:p w14:paraId="4AA4EB54" w14:textId="67875C3C" w:rsidR="00081DC0" w:rsidRPr="00081DC0" w:rsidRDefault="00081DC0" w:rsidP="00081DC0">
      <w:pPr>
        <w:jc w:val="left"/>
        <w:rPr>
          <w:rFonts w:ascii="Arial" w:hAnsi="Arial" w:cs="Arial"/>
          <w:bCs/>
          <w:lang w:val="en-US"/>
        </w:rPr>
      </w:pPr>
      <w:r w:rsidRPr="00081DC0">
        <w:rPr>
          <w:rFonts w:ascii="Arial" w:hAnsi="Arial" w:cs="Arial"/>
          <w:bCs/>
          <w:lang w:val="en-US"/>
        </w:rPr>
        <w:t xml:space="preserve">The </w:t>
      </w:r>
      <w:r w:rsidR="00D57F08">
        <w:rPr>
          <w:rFonts w:ascii="Arial" w:hAnsi="Arial" w:cs="Arial"/>
          <w:bCs/>
          <w:lang w:val="en-US"/>
        </w:rPr>
        <w:t xml:space="preserve">financial </w:t>
      </w:r>
      <w:r w:rsidRPr="00081DC0">
        <w:rPr>
          <w:rFonts w:ascii="Arial" w:hAnsi="Arial" w:cs="Arial"/>
          <w:bCs/>
          <w:lang w:val="en-US"/>
        </w:rPr>
        <w:t>performance in the half</w:t>
      </w:r>
      <w:r w:rsidR="00F36874">
        <w:rPr>
          <w:rFonts w:ascii="Arial" w:hAnsi="Arial" w:cs="Arial"/>
          <w:bCs/>
          <w:lang w:val="en-US"/>
        </w:rPr>
        <w:t xml:space="preserve"> </w:t>
      </w:r>
      <w:r w:rsidRPr="00081DC0">
        <w:rPr>
          <w:rFonts w:ascii="Arial" w:hAnsi="Arial" w:cs="Arial"/>
          <w:bCs/>
          <w:lang w:val="en-US"/>
        </w:rPr>
        <w:t>was mixed. Screwfix, Poland and Romania deliver</w:t>
      </w:r>
      <w:r w:rsidR="00D57F08">
        <w:rPr>
          <w:rFonts w:ascii="Arial" w:hAnsi="Arial" w:cs="Arial"/>
          <w:bCs/>
          <w:lang w:val="en-US"/>
        </w:rPr>
        <w:t>ed</w:t>
      </w:r>
      <w:r w:rsidRPr="00081DC0">
        <w:rPr>
          <w:rFonts w:ascii="Arial" w:hAnsi="Arial" w:cs="Arial"/>
          <w:bCs/>
          <w:lang w:val="en-US"/>
        </w:rPr>
        <w:t xml:space="preserve"> like-for-like sales growth. </w:t>
      </w:r>
      <w:bookmarkStart w:id="21" w:name="_Hlk18868621"/>
      <w:r w:rsidR="00D068EC">
        <w:rPr>
          <w:rFonts w:ascii="Arial" w:hAnsi="Arial" w:cs="Arial"/>
          <w:bCs/>
          <w:lang w:val="en-US"/>
        </w:rPr>
        <w:t>T</w:t>
      </w:r>
      <w:r w:rsidR="00F36874">
        <w:rPr>
          <w:rFonts w:ascii="Arial" w:hAnsi="Arial" w:cs="Arial"/>
          <w:bCs/>
          <w:lang w:val="en-US"/>
        </w:rPr>
        <w:t xml:space="preserve">he </w:t>
      </w:r>
      <w:r w:rsidR="00C36F0E">
        <w:rPr>
          <w:rFonts w:ascii="Arial" w:hAnsi="Arial" w:cs="Arial"/>
          <w:bCs/>
          <w:lang w:val="en-US"/>
        </w:rPr>
        <w:t xml:space="preserve">sales </w:t>
      </w:r>
      <w:r w:rsidR="00F36874">
        <w:rPr>
          <w:rFonts w:ascii="Arial" w:hAnsi="Arial" w:cs="Arial"/>
          <w:bCs/>
          <w:lang w:val="en-US"/>
        </w:rPr>
        <w:t>performance of B&amp;Q and Castorama France</w:t>
      </w:r>
      <w:r w:rsidR="00D068EC">
        <w:rPr>
          <w:rFonts w:ascii="Arial" w:hAnsi="Arial" w:cs="Arial"/>
          <w:bCs/>
          <w:lang w:val="en-US"/>
        </w:rPr>
        <w:t>, however,</w:t>
      </w:r>
      <w:r w:rsidR="00F36874">
        <w:rPr>
          <w:rFonts w:ascii="Arial" w:hAnsi="Arial" w:cs="Arial"/>
          <w:bCs/>
          <w:lang w:val="en-US"/>
        </w:rPr>
        <w:t xml:space="preserve"> was disappointing</w:t>
      </w:r>
      <w:r w:rsidR="00FA6BFA">
        <w:rPr>
          <w:rFonts w:ascii="Arial" w:hAnsi="Arial" w:cs="Arial"/>
          <w:bCs/>
          <w:lang w:val="en-US"/>
        </w:rPr>
        <w:t>,</w:t>
      </w:r>
      <w:r w:rsidR="00F36874">
        <w:rPr>
          <w:rFonts w:ascii="Arial" w:hAnsi="Arial" w:cs="Arial"/>
          <w:bCs/>
          <w:lang w:val="en-US"/>
        </w:rPr>
        <w:t xml:space="preserve"> with </w:t>
      </w:r>
      <w:r w:rsidR="00FA6BFA">
        <w:rPr>
          <w:rFonts w:ascii="Arial" w:hAnsi="Arial" w:cs="Arial"/>
          <w:bCs/>
          <w:lang w:val="en-US"/>
        </w:rPr>
        <w:t xml:space="preserve">a weak consumer backdrop in the UK and </w:t>
      </w:r>
      <w:r w:rsidR="00F36874">
        <w:rPr>
          <w:rFonts w:ascii="Arial" w:hAnsi="Arial" w:cs="Arial"/>
          <w:bCs/>
          <w:lang w:val="en-US"/>
        </w:rPr>
        <w:t>disruption caused</w:t>
      </w:r>
      <w:r w:rsidR="00FA6BFA">
        <w:rPr>
          <w:rFonts w:ascii="Arial" w:hAnsi="Arial" w:cs="Arial"/>
          <w:bCs/>
          <w:lang w:val="en-US"/>
        </w:rPr>
        <w:t xml:space="preserve"> </w:t>
      </w:r>
      <w:r w:rsidR="00F36874">
        <w:rPr>
          <w:rFonts w:ascii="Arial" w:hAnsi="Arial" w:cs="Arial"/>
          <w:bCs/>
          <w:lang w:val="en-US"/>
        </w:rPr>
        <w:t xml:space="preserve">by new range implementation </w:t>
      </w:r>
      <w:r w:rsidR="00FA6BFA">
        <w:rPr>
          <w:rFonts w:ascii="Arial" w:hAnsi="Arial" w:cs="Arial"/>
          <w:bCs/>
          <w:lang w:val="en-US"/>
        </w:rPr>
        <w:t>at B&amp;Q</w:t>
      </w:r>
      <w:r w:rsidR="00C36F0E">
        <w:rPr>
          <w:rFonts w:ascii="Arial" w:hAnsi="Arial" w:cs="Arial"/>
          <w:bCs/>
          <w:lang w:val="en-US"/>
        </w:rPr>
        <w:t>,</w:t>
      </w:r>
      <w:r w:rsidR="00FA6BFA">
        <w:rPr>
          <w:rFonts w:ascii="Arial" w:hAnsi="Arial" w:cs="Arial"/>
          <w:bCs/>
          <w:lang w:val="en-US"/>
        </w:rPr>
        <w:t xml:space="preserve"> </w:t>
      </w:r>
      <w:r w:rsidR="00F36874">
        <w:rPr>
          <w:rFonts w:ascii="Arial" w:hAnsi="Arial" w:cs="Arial"/>
          <w:bCs/>
          <w:lang w:val="en-US"/>
        </w:rPr>
        <w:t xml:space="preserve">and </w:t>
      </w:r>
      <w:r w:rsidR="00644360">
        <w:rPr>
          <w:rFonts w:ascii="Arial" w:hAnsi="Arial" w:cs="Arial"/>
          <w:bCs/>
          <w:lang w:val="en-US"/>
        </w:rPr>
        <w:t xml:space="preserve">transformation-related </w:t>
      </w:r>
      <w:r w:rsidR="00F662AE">
        <w:rPr>
          <w:rFonts w:ascii="Arial" w:hAnsi="Arial" w:cs="Arial"/>
          <w:bCs/>
          <w:lang w:val="en-US"/>
        </w:rPr>
        <w:t xml:space="preserve">issues </w:t>
      </w:r>
      <w:r w:rsidR="00FA6BFA">
        <w:rPr>
          <w:rFonts w:ascii="Arial" w:hAnsi="Arial" w:cs="Arial"/>
          <w:bCs/>
          <w:lang w:val="en-US"/>
        </w:rPr>
        <w:t>at Castorama France</w:t>
      </w:r>
      <w:r w:rsidR="00F36874">
        <w:rPr>
          <w:rFonts w:ascii="Arial" w:hAnsi="Arial" w:cs="Arial"/>
          <w:bCs/>
          <w:lang w:val="en-US"/>
        </w:rPr>
        <w:t xml:space="preserve">. </w:t>
      </w:r>
      <w:bookmarkEnd w:id="21"/>
      <w:r w:rsidRPr="00081DC0">
        <w:rPr>
          <w:rFonts w:ascii="Arial" w:hAnsi="Arial" w:cs="Arial"/>
          <w:bCs/>
          <w:lang w:val="en-US"/>
        </w:rPr>
        <w:t xml:space="preserve">Group gross margin </w:t>
      </w:r>
      <w:r w:rsidR="004D33FE">
        <w:rPr>
          <w:rFonts w:ascii="Arial" w:hAnsi="Arial" w:cs="Arial"/>
          <w:bCs/>
          <w:lang w:val="en-US"/>
        </w:rPr>
        <w:t xml:space="preserve">% </w:t>
      </w:r>
      <w:r w:rsidRPr="00081DC0">
        <w:rPr>
          <w:rFonts w:ascii="Arial" w:hAnsi="Arial" w:cs="Arial"/>
          <w:bCs/>
          <w:lang w:val="en-US"/>
        </w:rPr>
        <w:t xml:space="preserve">in the first half grew by </w:t>
      </w:r>
      <w:r w:rsidR="00781603">
        <w:rPr>
          <w:rFonts w:ascii="Arial" w:hAnsi="Arial" w:cs="Arial"/>
          <w:bCs/>
          <w:lang w:val="en-US"/>
        </w:rPr>
        <w:t>6</w:t>
      </w:r>
      <w:r w:rsidRPr="00081DC0">
        <w:rPr>
          <w:rFonts w:ascii="Arial" w:hAnsi="Arial" w:cs="Arial"/>
          <w:bCs/>
          <w:lang w:val="en-US"/>
        </w:rPr>
        <w:t>0 basis points</w:t>
      </w:r>
      <w:r w:rsidR="004B2E26">
        <w:rPr>
          <w:rFonts w:ascii="Arial" w:hAnsi="Arial" w:cs="Arial"/>
          <w:bCs/>
          <w:lang w:val="en-US"/>
        </w:rPr>
        <w:t xml:space="preserve"> </w:t>
      </w:r>
      <w:r w:rsidRPr="00081DC0">
        <w:rPr>
          <w:rFonts w:ascii="Arial" w:hAnsi="Arial" w:cs="Arial"/>
          <w:bCs/>
          <w:lang w:val="en-US"/>
        </w:rPr>
        <w:t>as we capture</w:t>
      </w:r>
      <w:r w:rsidR="00EA5B48">
        <w:rPr>
          <w:rFonts w:ascii="Arial" w:hAnsi="Arial" w:cs="Arial"/>
          <w:bCs/>
          <w:lang w:val="en-US"/>
        </w:rPr>
        <w:t>d</w:t>
      </w:r>
      <w:r w:rsidRPr="00081DC0">
        <w:rPr>
          <w:rFonts w:ascii="Arial" w:hAnsi="Arial" w:cs="Arial"/>
          <w:bCs/>
          <w:lang w:val="en-US"/>
        </w:rPr>
        <w:t xml:space="preserve"> the rewards of unified sourcing </w:t>
      </w:r>
      <w:r w:rsidR="00EA5B48">
        <w:rPr>
          <w:rFonts w:ascii="Arial" w:hAnsi="Arial" w:cs="Arial"/>
          <w:bCs/>
          <w:lang w:val="en-US"/>
        </w:rPr>
        <w:t xml:space="preserve">as well as </w:t>
      </w:r>
      <w:r w:rsidRPr="00081DC0">
        <w:rPr>
          <w:rFonts w:ascii="Arial" w:hAnsi="Arial" w:cs="Arial"/>
          <w:bCs/>
          <w:lang w:val="en-US"/>
        </w:rPr>
        <w:t>benefit</w:t>
      </w:r>
      <w:r w:rsidR="00EA5B48">
        <w:rPr>
          <w:rFonts w:ascii="Arial" w:hAnsi="Arial" w:cs="Arial"/>
          <w:bCs/>
          <w:lang w:val="en-US"/>
        </w:rPr>
        <w:t>ing</w:t>
      </w:r>
      <w:r w:rsidRPr="00081DC0">
        <w:rPr>
          <w:rFonts w:ascii="Arial" w:hAnsi="Arial" w:cs="Arial"/>
          <w:bCs/>
          <w:lang w:val="en-US"/>
        </w:rPr>
        <w:t xml:space="preserve"> from </w:t>
      </w:r>
      <w:r w:rsidR="004B2E26">
        <w:rPr>
          <w:rFonts w:ascii="Arial" w:hAnsi="Arial" w:cs="Arial"/>
          <w:bCs/>
          <w:lang w:val="en-US"/>
        </w:rPr>
        <w:t xml:space="preserve">price repositioning in </w:t>
      </w:r>
      <w:r w:rsidR="00F36874">
        <w:rPr>
          <w:rFonts w:ascii="Arial" w:hAnsi="Arial" w:cs="Arial"/>
          <w:bCs/>
          <w:lang w:val="en-US"/>
        </w:rPr>
        <w:t xml:space="preserve">Brico </w:t>
      </w:r>
      <w:r w:rsidR="00F36874" w:rsidRPr="00125A3B">
        <w:rPr>
          <w:rFonts w:ascii="Arial" w:hAnsi="Arial" w:cs="Arial"/>
          <w:bCs/>
        </w:rPr>
        <w:t>Dépôt</w:t>
      </w:r>
      <w:r w:rsidR="00F36874">
        <w:rPr>
          <w:rFonts w:ascii="Arial" w:hAnsi="Arial" w:cs="Arial"/>
          <w:bCs/>
          <w:lang w:val="en-US"/>
        </w:rPr>
        <w:t xml:space="preserve"> </w:t>
      </w:r>
      <w:r w:rsidR="004B2E26">
        <w:rPr>
          <w:rFonts w:ascii="Arial" w:hAnsi="Arial" w:cs="Arial"/>
          <w:bCs/>
          <w:lang w:val="en-US"/>
        </w:rPr>
        <w:t>France</w:t>
      </w:r>
      <w:r w:rsidRPr="00081DC0">
        <w:rPr>
          <w:rFonts w:ascii="Arial" w:hAnsi="Arial" w:cs="Arial"/>
          <w:bCs/>
          <w:lang w:val="en-US"/>
        </w:rPr>
        <w:t xml:space="preserve">. Both </w:t>
      </w:r>
      <w:r w:rsidR="00644360">
        <w:rPr>
          <w:rFonts w:ascii="Arial" w:hAnsi="Arial" w:cs="Arial"/>
          <w:bCs/>
          <w:lang w:val="en-US"/>
        </w:rPr>
        <w:t xml:space="preserve">the </w:t>
      </w:r>
      <w:r w:rsidRPr="00081DC0">
        <w:rPr>
          <w:rFonts w:ascii="Arial" w:hAnsi="Arial" w:cs="Arial"/>
          <w:bCs/>
          <w:lang w:val="en-US"/>
        </w:rPr>
        <w:t xml:space="preserve">sales and gross margin </w:t>
      </w:r>
      <w:r w:rsidR="004D33FE">
        <w:rPr>
          <w:rFonts w:ascii="Arial" w:hAnsi="Arial" w:cs="Arial"/>
          <w:bCs/>
          <w:lang w:val="en-US"/>
        </w:rPr>
        <w:t>%</w:t>
      </w:r>
      <w:r w:rsidRPr="00081DC0">
        <w:rPr>
          <w:rFonts w:ascii="Arial" w:hAnsi="Arial" w:cs="Arial"/>
          <w:bCs/>
          <w:lang w:val="en-US"/>
        </w:rPr>
        <w:t xml:space="preserve"> of our unified products </w:t>
      </w:r>
      <w:r w:rsidR="00EA5B48">
        <w:rPr>
          <w:rFonts w:ascii="Arial" w:hAnsi="Arial" w:cs="Arial"/>
          <w:bCs/>
          <w:lang w:val="en-US"/>
        </w:rPr>
        <w:t xml:space="preserve">across the Group </w:t>
      </w:r>
      <w:r w:rsidR="00F50EEE">
        <w:rPr>
          <w:rFonts w:ascii="Arial" w:hAnsi="Arial" w:cs="Arial"/>
          <w:bCs/>
          <w:lang w:val="en-US"/>
        </w:rPr>
        <w:t xml:space="preserve">increased </w:t>
      </w:r>
      <w:r w:rsidR="004B2E26">
        <w:rPr>
          <w:rFonts w:ascii="Arial" w:hAnsi="Arial" w:cs="Arial"/>
          <w:bCs/>
          <w:lang w:val="en-US"/>
        </w:rPr>
        <w:t>year on year</w:t>
      </w:r>
      <w:r w:rsidRPr="00081DC0">
        <w:rPr>
          <w:rFonts w:ascii="Arial" w:hAnsi="Arial" w:cs="Arial"/>
          <w:bCs/>
          <w:lang w:val="en-US"/>
        </w:rPr>
        <w:t>.</w:t>
      </w:r>
    </w:p>
    <w:p w14:paraId="33E4C8D6" w14:textId="77777777" w:rsidR="00081DC0" w:rsidRPr="00081DC0" w:rsidRDefault="00081DC0" w:rsidP="00081DC0">
      <w:pPr>
        <w:jc w:val="left"/>
        <w:rPr>
          <w:rFonts w:ascii="Arial" w:hAnsi="Arial" w:cs="Arial"/>
          <w:bCs/>
          <w:lang w:val="en-US"/>
        </w:rPr>
      </w:pPr>
    </w:p>
    <w:p w14:paraId="6AF992FB" w14:textId="412223FF" w:rsidR="00081DC0" w:rsidRPr="00081DC0" w:rsidRDefault="00C509C9" w:rsidP="00081DC0">
      <w:pPr>
        <w:jc w:val="left"/>
        <w:rPr>
          <w:rFonts w:ascii="Arial" w:hAnsi="Arial" w:cs="Arial"/>
          <w:bCs/>
          <w:lang w:val="en-US"/>
        </w:rPr>
      </w:pPr>
      <w:r w:rsidRPr="00081DC0">
        <w:rPr>
          <w:rFonts w:ascii="Arial" w:hAnsi="Arial" w:cs="Arial"/>
          <w:bCs/>
          <w:lang w:val="en-US"/>
        </w:rPr>
        <w:t xml:space="preserve">The outlook </w:t>
      </w:r>
      <w:r>
        <w:rPr>
          <w:rFonts w:ascii="Arial" w:hAnsi="Arial" w:cs="Arial"/>
          <w:bCs/>
          <w:lang w:val="en-US"/>
        </w:rPr>
        <w:t xml:space="preserve">across our main markets </w:t>
      </w:r>
      <w:r w:rsidRPr="00081DC0">
        <w:rPr>
          <w:rFonts w:ascii="Arial" w:hAnsi="Arial" w:cs="Arial"/>
          <w:bCs/>
          <w:lang w:val="en-US"/>
        </w:rPr>
        <w:t>for the rest of the year remains mixed, with the UK facing ongoing uncertainty</w:t>
      </w:r>
      <w:r w:rsidR="0051191B">
        <w:rPr>
          <w:rFonts w:ascii="Arial" w:hAnsi="Arial" w:cs="Arial"/>
          <w:bCs/>
          <w:lang w:val="en-US"/>
        </w:rPr>
        <w:t>.</w:t>
      </w:r>
      <w:r>
        <w:rPr>
          <w:rFonts w:ascii="Arial" w:hAnsi="Arial" w:cs="Arial"/>
          <w:bCs/>
          <w:lang w:val="en-US"/>
        </w:rPr>
        <w:t xml:space="preserve"> </w:t>
      </w:r>
      <w:r w:rsidR="0051191B">
        <w:rPr>
          <w:rFonts w:ascii="Arial" w:hAnsi="Arial" w:cs="Arial"/>
          <w:bCs/>
          <w:lang w:val="en-US"/>
        </w:rPr>
        <w:t>O</w:t>
      </w:r>
      <w:r>
        <w:rPr>
          <w:rFonts w:ascii="Arial" w:hAnsi="Arial" w:cs="Arial"/>
          <w:bCs/>
          <w:lang w:val="en-US"/>
        </w:rPr>
        <w:t xml:space="preserve">ur </w:t>
      </w:r>
      <w:r w:rsidRPr="00EA5B48">
        <w:rPr>
          <w:rFonts w:ascii="Arial" w:hAnsi="Arial" w:cs="Arial"/>
          <w:bCs/>
        </w:rPr>
        <w:t xml:space="preserve">gross margin </w:t>
      </w:r>
      <w:r>
        <w:rPr>
          <w:rFonts w:ascii="Arial" w:hAnsi="Arial" w:cs="Arial"/>
          <w:bCs/>
        </w:rPr>
        <w:t>% guidance for FY 19/20 i</w:t>
      </w:r>
      <w:r w:rsidR="00D068EC">
        <w:rPr>
          <w:rFonts w:ascii="Arial" w:hAnsi="Arial" w:cs="Arial"/>
          <w:bCs/>
        </w:rPr>
        <w:t>s</w:t>
      </w:r>
      <w:r>
        <w:rPr>
          <w:rFonts w:ascii="Arial" w:hAnsi="Arial" w:cs="Arial"/>
          <w:bCs/>
        </w:rPr>
        <w:t xml:space="preserve"> unchanged. </w:t>
      </w:r>
      <w:r w:rsidR="00081DC0" w:rsidRPr="00081DC0">
        <w:rPr>
          <w:rFonts w:ascii="Arial" w:hAnsi="Arial" w:cs="Arial"/>
          <w:bCs/>
          <w:lang w:val="en-US"/>
        </w:rPr>
        <w:t xml:space="preserve">Kingfisher remains financially strong and well placed with leadership positions in attractive markets. The building blocks </w:t>
      </w:r>
      <w:r w:rsidR="00D856BC">
        <w:rPr>
          <w:rFonts w:ascii="Arial" w:hAnsi="Arial" w:cs="Arial"/>
          <w:bCs/>
          <w:lang w:val="en-US"/>
        </w:rPr>
        <w:t xml:space="preserve">are in place </w:t>
      </w:r>
      <w:r w:rsidR="00081DC0" w:rsidRPr="00081DC0">
        <w:rPr>
          <w:rFonts w:ascii="Arial" w:hAnsi="Arial" w:cs="Arial"/>
          <w:bCs/>
          <w:lang w:val="en-US"/>
        </w:rPr>
        <w:t xml:space="preserve">to deliver growth </w:t>
      </w:r>
      <w:r w:rsidR="00F50EEE">
        <w:rPr>
          <w:rFonts w:ascii="Arial" w:hAnsi="Arial" w:cs="Arial"/>
          <w:bCs/>
          <w:lang w:val="en-US"/>
        </w:rPr>
        <w:t xml:space="preserve">in the medium and longer term </w:t>
      </w:r>
      <w:r w:rsidR="00081DC0" w:rsidRPr="00081DC0">
        <w:rPr>
          <w:rFonts w:ascii="Arial" w:hAnsi="Arial" w:cs="Arial"/>
          <w:bCs/>
          <w:lang w:val="en-US"/>
        </w:rPr>
        <w:t>in our chosen markets</w:t>
      </w:r>
      <w:r w:rsidR="00D068EC">
        <w:rPr>
          <w:rFonts w:ascii="Arial" w:hAnsi="Arial" w:cs="Arial"/>
          <w:bCs/>
          <w:lang w:val="en-US"/>
        </w:rPr>
        <w:t>.</w:t>
      </w:r>
      <w:r w:rsidR="00D856BC">
        <w:rPr>
          <w:rFonts w:ascii="Arial" w:hAnsi="Arial" w:cs="Arial"/>
          <w:bCs/>
          <w:lang w:val="en-US"/>
        </w:rPr>
        <w:t xml:space="preserve"> </w:t>
      </w:r>
      <w:r w:rsidR="00D068EC">
        <w:rPr>
          <w:rFonts w:ascii="Arial" w:hAnsi="Arial" w:cs="Arial"/>
          <w:bCs/>
          <w:lang w:val="en-US"/>
        </w:rPr>
        <w:t>T</w:t>
      </w:r>
      <w:r w:rsidR="00D856BC">
        <w:rPr>
          <w:rFonts w:ascii="Arial" w:hAnsi="Arial" w:cs="Arial"/>
          <w:bCs/>
          <w:lang w:val="en-US"/>
        </w:rPr>
        <w:t>he focus in the near term</w:t>
      </w:r>
      <w:r w:rsidR="00D068EC">
        <w:rPr>
          <w:rFonts w:ascii="Arial" w:hAnsi="Arial" w:cs="Arial"/>
          <w:bCs/>
          <w:lang w:val="en-US"/>
        </w:rPr>
        <w:t>, however,</w:t>
      </w:r>
      <w:r w:rsidR="00D856BC">
        <w:rPr>
          <w:rFonts w:ascii="Arial" w:hAnsi="Arial" w:cs="Arial"/>
          <w:bCs/>
          <w:lang w:val="en-US"/>
        </w:rPr>
        <w:t xml:space="preserve"> is on improving execution and delivering our priorities for the year</w:t>
      </w:r>
      <w:r w:rsidR="00081DC0" w:rsidRPr="00081DC0">
        <w:rPr>
          <w:rFonts w:ascii="Arial" w:hAnsi="Arial" w:cs="Arial"/>
          <w:bCs/>
          <w:lang w:val="en-US"/>
        </w:rPr>
        <w:t>.</w:t>
      </w:r>
    </w:p>
    <w:p w14:paraId="03888DD7" w14:textId="77777777" w:rsidR="00081DC0" w:rsidRPr="00081DC0" w:rsidRDefault="00081DC0" w:rsidP="00081DC0">
      <w:pPr>
        <w:jc w:val="left"/>
        <w:rPr>
          <w:rFonts w:ascii="Arial" w:hAnsi="Arial" w:cs="Arial"/>
          <w:bCs/>
          <w:lang w:val="en-US"/>
        </w:rPr>
      </w:pPr>
    </w:p>
    <w:p w14:paraId="7D1B3D29" w14:textId="19063659" w:rsidR="000105C4" w:rsidRDefault="00081DC0">
      <w:pPr>
        <w:jc w:val="left"/>
        <w:rPr>
          <w:rFonts w:ascii="Arial" w:hAnsi="Arial" w:cs="Arial"/>
          <w:bCs/>
          <w:lang w:val="en-US"/>
        </w:rPr>
      </w:pPr>
      <w:r w:rsidRPr="00081DC0">
        <w:rPr>
          <w:rFonts w:ascii="Arial" w:hAnsi="Arial" w:cs="Arial"/>
          <w:bCs/>
          <w:lang w:val="en-US"/>
        </w:rPr>
        <w:t xml:space="preserve">Thierry Garnier joins Kingfisher as CEO on 25 September. His experience in international retail and transformational change will be invaluable </w:t>
      </w:r>
      <w:r w:rsidR="00EA5B48">
        <w:rPr>
          <w:rFonts w:ascii="Arial" w:hAnsi="Arial" w:cs="Arial"/>
          <w:bCs/>
          <w:lang w:val="en-US"/>
        </w:rPr>
        <w:t xml:space="preserve">to </w:t>
      </w:r>
      <w:r w:rsidRPr="00081DC0">
        <w:rPr>
          <w:rFonts w:ascii="Arial" w:hAnsi="Arial" w:cs="Arial"/>
          <w:bCs/>
          <w:lang w:val="en-US"/>
        </w:rPr>
        <w:t>the ongoing development of the business.</w:t>
      </w:r>
      <w:r w:rsidR="000105C4">
        <w:rPr>
          <w:rFonts w:ascii="Arial" w:hAnsi="Arial" w:cs="Arial"/>
          <w:bCs/>
          <w:lang w:val="en-US"/>
        </w:rPr>
        <w:br w:type="page"/>
      </w:r>
    </w:p>
    <w:p w14:paraId="196F81F3" w14:textId="620DB349" w:rsidR="00C62542" w:rsidRPr="00AC598B" w:rsidRDefault="00C62542" w:rsidP="00C62542">
      <w:pPr>
        <w:jc w:val="left"/>
        <w:rPr>
          <w:rFonts w:ascii="Arial" w:hAnsi="Arial" w:cs="Arial"/>
          <w:b/>
          <w:bCs/>
        </w:rPr>
      </w:pPr>
      <w:r w:rsidRPr="00AC598B">
        <w:rPr>
          <w:rFonts w:ascii="Arial" w:hAnsi="Arial" w:cs="Arial"/>
          <w:b/>
          <w:bCs/>
        </w:rPr>
        <w:lastRenderedPageBreak/>
        <w:t xml:space="preserve">Section 2: Trading review by </w:t>
      </w:r>
      <w:r w:rsidR="00130A12" w:rsidRPr="00AC598B">
        <w:rPr>
          <w:rFonts w:ascii="Arial" w:hAnsi="Arial" w:cs="Arial"/>
          <w:b/>
          <w:bCs/>
        </w:rPr>
        <w:t>division</w:t>
      </w:r>
      <w:r w:rsidRPr="00AC598B">
        <w:rPr>
          <w:rFonts w:ascii="Arial" w:hAnsi="Arial" w:cs="Arial"/>
          <w:b/>
          <w:bCs/>
        </w:rPr>
        <w:t xml:space="preserve">  </w:t>
      </w:r>
    </w:p>
    <w:p w14:paraId="4FF9B413" w14:textId="06A9ED73" w:rsidR="00DA4C33" w:rsidRPr="00AC598B" w:rsidRDefault="00DA4C33" w:rsidP="00C62542">
      <w:pPr>
        <w:jc w:val="left"/>
        <w:rPr>
          <w:rFonts w:ascii="Arial" w:hAnsi="Arial" w:cs="Arial"/>
          <w:b/>
          <w:bCs/>
        </w:rPr>
      </w:pPr>
    </w:p>
    <w:p w14:paraId="4006F752" w14:textId="2004E298" w:rsidR="00DA4C33" w:rsidRPr="00AC598B" w:rsidRDefault="00DA4C33" w:rsidP="00C62542">
      <w:pPr>
        <w:jc w:val="left"/>
        <w:rPr>
          <w:rFonts w:ascii="Arial" w:hAnsi="Arial" w:cs="Arial"/>
          <w:bCs/>
          <w:i/>
        </w:rPr>
      </w:pPr>
      <w:r w:rsidRPr="00AC598B">
        <w:rPr>
          <w:rFonts w:ascii="Arial" w:hAnsi="Arial" w:cs="Arial"/>
          <w:bCs/>
          <w:i/>
        </w:rPr>
        <w:t>Note: all commentary below is in constant currencies</w:t>
      </w:r>
      <w:r w:rsidR="007B4E32">
        <w:rPr>
          <w:rFonts w:ascii="Arial" w:hAnsi="Arial" w:cs="Arial"/>
          <w:bCs/>
          <w:i/>
        </w:rPr>
        <w:t xml:space="preserve"> and is under IFRS16</w:t>
      </w:r>
    </w:p>
    <w:p w14:paraId="287E898C" w14:textId="77777777" w:rsidR="00C62542" w:rsidRPr="00AC598B" w:rsidRDefault="00C62542" w:rsidP="007D43ED">
      <w:pPr>
        <w:jc w:val="left"/>
        <w:rPr>
          <w:rFonts w:ascii="Arial" w:hAnsi="Arial" w:cs="Arial"/>
          <w:b/>
          <w:bCs/>
        </w:rPr>
      </w:pPr>
    </w:p>
    <w:p w14:paraId="5227C549" w14:textId="6AF432C0" w:rsidR="007D43ED" w:rsidRPr="00AC598B" w:rsidRDefault="007D43ED" w:rsidP="007D43ED">
      <w:pPr>
        <w:jc w:val="left"/>
        <w:rPr>
          <w:rFonts w:ascii="Arial" w:hAnsi="Arial" w:cs="Arial"/>
          <w:b/>
          <w:bCs/>
        </w:rPr>
      </w:pPr>
      <w:r w:rsidRPr="00AC598B">
        <w:rPr>
          <w:rFonts w:ascii="Arial" w:hAnsi="Arial" w:cs="Arial"/>
          <w:b/>
          <w:bCs/>
        </w:rPr>
        <w:t>UK &amp; IRELAND</w:t>
      </w:r>
      <w:r w:rsidR="005E757F">
        <w:rPr>
          <w:rFonts w:ascii="Arial" w:hAnsi="Arial" w:cs="Arial"/>
          <w:b/>
          <w:bCs/>
        </w:rPr>
        <w:t>*</w:t>
      </w:r>
    </w:p>
    <w:p w14:paraId="5AC85596" w14:textId="77777777" w:rsidR="007D43ED" w:rsidRPr="00AC598B" w:rsidRDefault="007D43ED" w:rsidP="007D43ED">
      <w:pPr>
        <w:jc w:val="left"/>
        <w:rPr>
          <w:rFonts w:ascii="Arial" w:hAnsi="Arial" w:cs="Arial"/>
          <w:b/>
          <w:bCs/>
        </w:rPr>
      </w:pPr>
    </w:p>
    <w:tbl>
      <w:tblPr>
        <w:tblW w:w="48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1310"/>
        <w:gridCol w:w="1306"/>
        <w:gridCol w:w="1596"/>
        <w:gridCol w:w="1741"/>
        <w:gridCol w:w="1161"/>
      </w:tblGrid>
      <w:tr w:rsidR="007D43ED" w:rsidRPr="00667C8E" w14:paraId="13623A01" w14:textId="77777777" w:rsidTr="00925EFB">
        <w:tc>
          <w:tcPr>
            <w:tcW w:w="1269" w:type="pct"/>
            <w:tcBorders>
              <w:bottom w:val="single" w:sz="4" w:space="0" w:color="auto"/>
            </w:tcBorders>
          </w:tcPr>
          <w:p w14:paraId="5288540D" w14:textId="77777777" w:rsidR="007D43ED" w:rsidRPr="00C64D89" w:rsidRDefault="007D43ED" w:rsidP="00C51098">
            <w:pPr>
              <w:rPr>
                <w:rFonts w:ascii="Arial" w:hAnsi="Arial" w:cs="Arial"/>
                <w:b/>
              </w:rPr>
            </w:pPr>
            <w:r w:rsidRPr="00C64D89">
              <w:rPr>
                <w:rFonts w:ascii="Arial" w:hAnsi="Arial" w:cs="Arial"/>
                <w:b/>
              </w:rPr>
              <w:t>£m</w:t>
            </w:r>
          </w:p>
        </w:tc>
        <w:tc>
          <w:tcPr>
            <w:tcW w:w="687" w:type="pct"/>
            <w:tcBorders>
              <w:bottom w:val="single" w:sz="4" w:space="0" w:color="auto"/>
            </w:tcBorders>
          </w:tcPr>
          <w:p w14:paraId="530D5A87" w14:textId="519E62C4" w:rsidR="007D43ED" w:rsidRPr="00AB52F3" w:rsidRDefault="007D43ED">
            <w:pPr>
              <w:jc w:val="right"/>
              <w:rPr>
                <w:rFonts w:ascii="Arial" w:hAnsi="Arial" w:cs="Arial"/>
                <w:b/>
              </w:rPr>
            </w:pPr>
            <w:r w:rsidRPr="0089408C">
              <w:rPr>
                <w:rFonts w:ascii="Arial" w:hAnsi="Arial" w:cs="Arial"/>
                <w:b/>
                <w:bCs/>
              </w:rPr>
              <w:t>201</w:t>
            </w:r>
            <w:r w:rsidR="00BF586F">
              <w:rPr>
                <w:rFonts w:ascii="Arial" w:hAnsi="Arial" w:cs="Arial"/>
                <w:b/>
                <w:bCs/>
              </w:rPr>
              <w:t>9</w:t>
            </w:r>
            <w:r w:rsidR="002F5458" w:rsidRPr="0089408C">
              <w:rPr>
                <w:rFonts w:ascii="Arial" w:hAnsi="Arial" w:cs="Arial"/>
                <w:b/>
                <w:bCs/>
              </w:rPr>
              <w:t>/</w:t>
            </w:r>
            <w:r w:rsidR="00BF586F">
              <w:rPr>
                <w:rFonts w:ascii="Arial" w:hAnsi="Arial" w:cs="Arial"/>
                <w:b/>
                <w:bCs/>
              </w:rPr>
              <w:t>20</w:t>
            </w:r>
          </w:p>
        </w:tc>
        <w:tc>
          <w:tcPr>
            <w:tcW w:w="685" w:type="pct"/>
            <w:tcBorders>
              <w:bottom w:val="single" w:sz="4" w:space="0" w:color="auto"/>
            </w:tcBorders>
          </w:tcPr>
          <w:p w14:paraId="4256C4C9" w14:textId="3D7CE5EA" w:rsidR="007D43ED" w:rsidRPr="00AC598B" w:rsidRDefault="007D43ED">
            <w:pPr>
              <w:jc w:val="right"/>
              <w:rPr>
                <w:rFonts w:ascii="Arial" w:hAnsi="Arial" w:cs="Arial"/>
                <w:b/>
                <w:bCs/>
              </w:rPr>
            </w:pPr>
            <w:r w:rsidRPr="00AC598B">
              <w:rPr>
                <w:rFonts w:ascii="Arial" w:hAnsi="Arial" w:cs="Arial"/>
                <w:b/>
                <w:bCs/>
              </w:rPr>
              <w:t>201</w:t>
            </w:r>
            <w:r w:rsidR="00BF586F">
              <w:rPr>
                <w:rFonts w:ascii="Arial" w:hAnsi="Arial" w:cs="Arial"/>
                <w:b/>
                <w:bCs/>
              </w:rPr>
              <w:t>8</w:t>
            </w:r>
            <w:r w:rsidR="002F5458" w:rsidRPr="00AC598B">
              <w:rPr>
                <w:rFonts w:ascii="Arial" w:hAnsi="Arial" w:cs="Arial"/>
                <w:b/>
                <w:bCs/>
              </w:rPr>
              <w:t>/1</w:t>
            </w:r>
            <w:r w:rsidR="00BF586F">
              <w:rPr>
                <w:rFonts w:ascii="Arial" w:hAnsi="Arial" w:cs="Arial"/>
                <w:b/>
                <w:bCs/>
              </w:rPr>
              <w:t>9</w:t>
            </w:r>
          </w:p>
        </w:tc>
        <w:tc>
          <w:tcPr>
            <w:tcW w:w="837" w:type="pct"/>
            <w:tcBorders>
              <w:bottom w:val="single" w:sz="4" w:space="0" w:color="auto"/>
            </w:tcBorders>
          </w:tcPr>
          <w:p w14:paraId="15C82166" w14:textId="77777777" w:rsidR="007D43ED" w:rsidRPr="00AC598B" w:rsidRDefault="007D43ED" w:rsidP="00C51098">
            <w:pPr>
              <w:jc w:val="right"/>
              <w:rPr>
                <w:rFonts w:ascii="Arial" w:hAnsi="Arial" w:cs="Arial"/>
                <w:b/>
                <w:bCs/>
              </w:rPr>
            </w:pPr>
            <w:r w:rsidRPr="00AC598B">
              <w:rPr>
                <w:rFonts w:ascii="Arial" w:hAnsi="Arial" w:cs="Arial"/>
                <w:b/>
                <w:bCs/>
              </w:rPr>
              <w:t>% Reported</w:t>
            </w:r>
            <w:r w:rsidRPr="00AC598B" w:rsidDel="00197636">
              <w:rPr>
                <w:rFonts w:ascii="Arial" w:hAnsi="Arial" w:cs="Arial"/>
                <w:b/>
                <w:bCs/>
              </w:rPr>
              <w:t xml:space="preserve"> </w:t>
            </w:r>
            <w:r w:rsidRPr="00AC598B">
              <w:rPr>
                <w:rFonts w:ascii="Arial" w:hAnsi="Arial" w:cs="Arial"/>
                <w:b/>
                <w:bCs/>
              </w:rPr>
              <w:t>Change</w:t>
            </w:r>
          </w:p>
          <w:p w14:paraId="39B5F962" w14:textId="77777777" w:rsidR="007D43ED" w:rsidRPr="00AC598B" w:rsidRDefault="007D43ED" w:rsidP="00C51098">
            <w:pPr>
              <w:jc w:val="right"/>
              <w:rPr>
                <w:rFonts w:ascii="Arial" w:hAnsi="Arial" w:cs="Arial"/>
                <w:b/>
                <w:bCs/>
              </w:rPr>
            </w:pPr>
          </w:p>
        </w:tc>
        <w:tc>
          <w:tcPr>
            <w:tcW w:w="913" w:type="pct"/>
            <w:tcBorders>
              <w:bottom w:val="single" w:sz="4" w:space="0" w:color="auto"/>
            </w:tcBorders>
          </w:tcPr>
          <w:p w14:paraId="152CE857" w14:textId="77777777" w:rsidR="007D43ED" w:rsidRPr="00AC598B" w:rsidRDefault="007D43ED" w:rsidP="00C51098">
            <w:pPr>
              <w:jc w:val="right"/>
              <w:rPr>
                <w:rFonts w:ascii="Arial" w:hAnsi="Arial" w:cs="Arial"/>
                <w:b/>
                <w:bCs/>
              </w:rPr>
            </w:pPr>
            <w:r w:rsidRPr="00AC598B">
              <w:rPr>
                <w:rFonts w:ascii="Arial" w:hAnsi="Arial" w:cs="Arial"/>
                <w:b/>
                <w:bCs/>
              </w:rPr>
              <w:t>% Constant</w:t>
            </w:r>
          </w:p>
          <w:p w14:paraId="76DA0CDF" w14:textId="77777777" w:rsidR="007D43ED" w:rsidRPr="00AC598B" w:rsidRDefault="007D43ED" w:rsidP="00C51098">
            <w:pPr>
              <w:jc w:val="right"/>
              <w:rPr>
                <w:rFonts w:ascii="Arial" w:hAnsi="Arial" w:cs="Arial"/>
                <w:b/>
                <w:bCs/>
              </w:rPr>
            </w:pPr>
            <w:r w:rsidRPr="00AC598B">
              <w:rPr>
                <w:rFonts w:ascii="Arial" w:hAnsi="Arial" w:cs="Arial"/>
                <w:b/>
                <w:bCs/>
              </w:rPr>
              <w:t>Currency</w:t>
            </w:r>
          </w:p>
          <w:p w14:paraId="262CBADA" w14:textId="77777777" w:rsidR="007D43ED" w:rsidRPr="00AC598B" w:rsidRDefault="007D43ED" w:rsidP="00C51098">
            <w:pPr>
              <w:jc w:val="right"/>
              <w:rPr>
                <w:rFonts w:ascii="Arial" w:hAnsi="Arial" w:cs="Arial"/>
                <w:b/>
                <w:bCs/>
              </w:rPr>
            </w:pPr>
            <w:r w:rsidRPr="00AC598B">
              <w:rPr>
                <w:rFonts w:ascii="Arial" w:hAnsi="Arial" w:cs="Arial"/>
                <w:b/>
                <w:bCs/>
              </w:rPr>
              <w:t xml:space="preserve">Change  </w:t>
            </w:r>
          </w:p>
        </w:tc>
        <w:tc>
          <w:tcPr>
            <w:tcW w:w="609" w:type="pct"/>
            <w:tcBorders>
              <w:bottom w:val="single" w:sz="4" w:space="0" w:color="auto"/>
            </w:tcBorders>
          </w:tcPr>
          <w:p w14:paraId="1D091025" w14:textId="77777777" w:rsidR="007D43ED" w:rsidRPr="00AC598B" w:rsidRDefault="007D43ED" w:rsidP="00C51098">
            <w:pPr>
              <w:ind w:hanging="108"/>
              <w:jc w:val="right"/>
              <w:rPr>
                <w:rFonts w:ascii="Arial" w:hAnsi="Arial" w:cs="Arial"/>
                <w:b/>
                <w:bCs/>
              </w:rPr>
            </w:pPr>
            <w:r w:rsidRPr="00AC598B">
              <w:rPr>
                <w:rFonts w:ascii="Arial" w:hAnsi="Arial" w:cs="Arial"/>
                <w:b/>
                <w:bCs/>
              </w:rPr>
              <w:t>% LFL</w:t>
            </w:r>
          </w:p>
          <w:p w14:paraId="7FBD11D6" w14:textId="77777777" w:rsidR="007D43ED" w:rsidRPr="00AC598B" w:rsidRDefault="007D43ED" w:rsidP="00C51098">
            <w:pPr>
              <w:ind w:hanging="108"/>
              <w:jc w:val="right"/>
              <w:rPr>
                <w:rFonts w:ascii="Arial" w:hAnsi="Arial" w:cs="Arial"/>
                <w:b/>
                <w:bCs/>
              </w:rPr>
            </w:pPr>
            <w:r w:rsidRPr="00AC598B">
              <w:rPr>
                <w:rFonts w:ascii="Arial" w:hAnsi="Arial" w:cs="Arial"/>
                <w:b/>
                <w:bCs/>
              </w:rPr>
              <w:t>Change</w:t>
            </w:r>
          </w:p>
        </w:tc>
      </w:tr>
      <w:tr w:rsidR="00BF586F" w:rsidRPr="00BF586F" w14:paraId="1E76307D" w14:textId="77777777" w:rsidTr="00925EFB">
        <w:trPr>
          <w:trHeight w:val="147"/>
        </w:trPr>
        <w:tc>
          <w:tcPr>
            <w:tcW w:w="1269" w:type="pct"/>
            <w:tcBorders>
              <w:bottom w:val="single" w:sz="4" w:space="0" w:color="auto"/>
            </w:tcBorders>
          </w:tcPr>
          <w:p w14:paraId="3A57E432" w14:textId="77777777" w:rsidR="00BF586F" w:rsidRPr="006813FA" w:rsidRDefault="00BF586F" w:rsidP="00BF586F">
            <w:pPr>
              <w:rPr>
                <w:rFonts w:ascii="Arial" w:hAnsi="Arial" w:cs="Arial"/>
                <w:b/>
              </w:rPr>
            </w:pPr>
            <w:r w:rsidRPr="006813FA">
              <w:rPr>
                <w:rFonts w:ascii="Arial" w:hAnsi="Arial" w:cs="Arial"/>
                <w:b/>
                <w:bCs/>
              </w:rPr>
              <w:t>Sales</w:t>
            </w:r>
          </w:p>
        </w:tc>
        <w:tc>
          <w:tcPr>
            <w:tcW w:w="687" w:type="pct"/>
            <w:tcBorders>
              <w:bottom w:val="single" w:sz="4" w:space="0" w:color="auto"/>
            </w:tcBorders>
          </w:tcPr>
          <w:p w14:paraId="58DA35F8" w14:textId="6D8904B7" w:rsidR="00BF586F" w:rsidRPr="006813FA" w:rsidRDefault="004562D6" w:rsidP="00BF586F">
            <w:pPr>
              <w:jc w:val="right"/>
              <w:rPr>
                <w:rFonts w:ascii="Arial" w:hAnsi="Arial" w:cs="Arial"/>
              </w:rPr>
            </w:pPr>
            <w:r w:rsidRPr="006813FA">
              <w:rPr>
                <w:rFonts w:ascii="Arial" w:hAnsi="Arial" w:cs="Arial"/>
              </w:rPr>
              <w:t>2,655</w:t>
            </w:r>
          </w:p>
        </w:tc>
        <w:tc>
          <w:tcPr>
            <w:tcW w:w="685" w:type="pct"/>
            <w:tcBorders>
              <w:bottom w:val="single" w:sz="4" w:space="0" w:color="auto"/>
            </w:tcBorders>
          </w:tcPr>
          <w:p w14:paraId="465542D6" w14:textId="2196B8D5" w:rsidR="00BF586F" w:rsidRPr="006813FA" w:rsidRDefault="00BF586F" w:rsidP="00BF586F">
            <w:pPr>
              <w:jc w:val="right"/>
              <w:rPr>
                <w:rFonts w:ascii="Arial" w:hAnsi="Arial" w:cs="Arial"/>
              </w:rPr>
            </w:pPr>
            <w:r w:rsidRPr="006813FA">
              <w:rPr>
                <w:rFonts w:ascii="Arial" w:hAnsi="Arial" w:cs="Arial"/>
              </w:rPr>
              <w:t>2,635</w:t>
            </w:r>
          </w:p>
        </w:tc>
        <w:tc>
          <w:tcPr>
            <w:tcW w:w="837" w:type="pct"/>
            <w:tcBorders>
              <w:bottom w:val="single" w:sz="4" w:space="0" w:color="auto"/>
            </w:tcBorders>
          </w:tcPr>
          <w:p w14:paraId="4FF1DA1E" w14:textId="3956611C" w:rsidR="00BF586F" w:rsidRPr="006813FA" w:rsidRDefault="00BF586F" w:rsidP="00BF586F">
            <w:pPr>
              <w:jc w:val="right"/>
              <w:rPr>
                <w:rFonts w:ascii="Arial" w:hAnsi="Arial" w:cs="Arial"/>
              </w:rPr>
            </w:pPr>
            <w:r w:rsidRPr="006813FA">
              <w:rPr>
                <w:rFonts w:ascii="Arial" w:hAnsi="Arial" w:cs="Arial"/>
              </w:rPr>
              <w:t>+</w:t>
            </w:r>
            <w:r w:rsidR="006813FA" w:rsidRPr="006813FA">
              <w:rPr>
                <w:rFonts w:ascii="Arial" w:hAnsi="Arial" w:cs="Arial"/>
              </w:rPr>
              <w:t>0.7</w:t>
            </w:r>
            <w:r w:rsidRPr="006813FA">
              <w:rPr>
                <w:rFonts w:ascii="Arial" w:hAnsi="Arial" w:cs="Arial"/>
              </w:rPr>
              <w:t>%</w:t>
            </w:r>
          </w:p>
        </w:tc>
        <w:tc>
          <w:tcPr>
            <w:tcW w:w="913" w:type="pct"/>
            <w:tcBorders>
              <w:bottom w:val="single" w:sz="4" w:space="0" w:color="auto"/>
            </w:tcBorders>
          </w:tcPr>
          <w:p w14:paraId="0C498A97" w14:textId="32A41DC9" w:rsidR="00BF586F" w:rsidRPr="006813FA" w:rsidRDefault="00BF586F" w:rsidP="00BF586F">
            <w:pPr>
              <w:jc w:val="right"/>
              <w:rPr>
                <w:rFonts w:ascii="Arial" w:hAnsi="Arial" w:cs="Arial"/>
              </w:rPr>
            </w:pPr>
            <w:r w:rsidRPr="006813FA">
              <w:rPr>
                <w:rFonts w:ascii="Arial" w:hAnsi="Arial" w:cs="Arial"/>
              </w:rPr>
              <w:t>+</w:t>
            </w:r>
            <w:r w:rsidR="006813FA" w:rsidRPr="006813FA">
              <w:rPr>
                <w:rFonts w:ascii="Arial" w:hAnsi="Arial" w:cs="Arial"/>
              </w:rPr>
              <w:t>0.8</w:t>
            </w:r>
            <w:r w:rsidRPr="006813FA">
              <w:rPr>
                <w:rFonts w:ascii="Arial" w:hAnsi="Arial" w:cs="Arial"/>
              </w:rPr>
              <w:t>%</w:t>
            </w:r>
          </w:p>
        </w:tc>
        <w:tc>
          <w:tcPr>
            <w:tcW w:w="609" w:type="pct"/>
            <w:tcBorders>
              <w:bottom w:val="single" w:sz="4" w:space="0" w:color="auto"/>
            </w:tcBorders>
          </w:tcPr>
          <w:p w14:paraId="7C568696" w14:textId="38C7615F" w:rsidR="00BF586F" w:rsidRPr="006813FA" w:rsidRDefault="00BF586F" w:rsidP="00BF586F">
            <w:pPr>
              <w:jc w:val="right"/>
              <w:rPr>
                <w:rFonts w:ascii="Arial" w:hAnsi="Arial" w:cs="Arial"/>
              </w:rPr>
            </w:pPr>
            <w:r w:rsidRPr="006813FA">
              <w:rPr>
                <w:rFonts w:ascii="Arial" w:hAnsi="Arial" w:cs="Arial"/>
              </w:rPr>
              <w:t>(</w:t>
            </w:r>
            <w:r w:rsidR="006813FA" w:rsidRPr="006813FA">
              <w:rPr>
                <w:rFonts w:ascii="Arial" w:hAnsi="Arial" w:cs="Arial"/>
              </w:rPr>
              <w:t>0.7</w:t>
            </w:r>
            <w:r w:rsidRPr="006813FA">
              <w:rPr>
                <w:rFonts w:ascii="Arial" w:hAnsi="Arial" w:cs="Arial"/>
              </w:rPr>
              <w:t>)%</w:t>
            </w:r>
          </w:p>
        </w:tc>
      </w:tr>
      <w:tr w:rsidR="00BF586F" w:rsidRPr="00BF586F" w14:paraId="6BBBF499" w14:textId="77777777" w:rsidTr="00925EFB">
        <w:trPr>
          <w:gridAfter w:val="1"/>
          <w:wAfter w:w="609" w:type="pct"/>
        </w:trPr>
        <w:tc>
          <w:tcPr>
            <w:tcW w:w="1269" w:type="pct"/>
            <w:tcBorders>
              <w:top w:val="nil"/>
              <w:left w:val="nil"/>
              <w:bottom w:val="single" w:sz="4" w:space="0" w:color="auto"/>
              <w:right w:val="nil"/>
            </w:tcBorders>
          </w:tcPr>
          <w:p w14:paraId="372EF8F6" w14:textId="77777777" w:rsidR="00BF586F" w:rsidRPr="00976463" w:rsidRDefault="00BF586F" w:rsidP="00BF586F">
            <w:pPr>
              <w:rPr>
                <w:rFonts w:ascii="Arial" w:hAnsi="Arial" w:cs="Arial"/>
                <w:bCs/>
              </w:rPr>
            </w:pPr>
          </w:p>
        </w:tc>
        <w:tc>
          <w:tcPr>
            <w:tcW w:w="687" w:type="pct"/>
            <w:tcBorders>
              <w:top w:val="nil"/>
              <w:left w:val="nil"/>
              <w:bottom w:val="single" w:sz="4" w:space="0" w:color="auto"/>
              <w:right w:val="nil"/>
            </w:tcBorders>
          </w:tcPr>
          <w:p w14:paraId="2011CF22" w14:textId="77777777" w:rsidR="00BF586F" w:rsidRPr="00BF586F" w:rsidRDefault="00BF586F" w:rsidP="00BF586F">
            <w:pPr>
              <w:jc w:val="right"/>
              <w:rPr>
                <w:rFonts w:ascii="Arial" w:hAnsi="Arial" w:cs="Arial"/>
                <w:highlight w:val="yellow"/>
              </w:rPr>
            </w:pPr>
          </w:p>
        </w:tc>
        <w:tc>
          <w:tcPr>
            <w:tcW w:w="685" w:type="pct"/>
            <w:tcBorders>
              <w:top w:val="nil"/>
              <w:left w:val="nil"/>
              <w:bottom w:val="single" w:sz="4" w:space="0" w:color="auto"/>
              <w:right w:val="nil"/>
            </w:tcBorders>
          </w:tcPr>
          <w:p w14:paraId="6644160E" w14:textId="77777777" w:rsidR="00BF586F" w:rsidRPr="00976463" w:rsidRDefault="00BF586F" w:rsidP="00BF586F">
            <w:pPr>
              <w:jc w:val="right"/>
              <w:rPr>
                <w:rFonts w:ascii="Arial" w:hAnsi="Arial" w:cs="Arial"/>
              </w:rPr>
            </w:pPr>
          </w:p>
        </w:tc>
        <w:tc>
          <w:tcPr>
            <w:tcW w:w="837" w:type="pct"/>
            <w:tcBorders>
              <w:top w:val="nil"/>
              <w:left w:val="nil"/>
              <w:bottom w:val="single" w:sz="4" w:space="0" w:color="auto"/>
              <w:right w:val="nil"/>
            </w:tcBorders>
          </w:tcPr>
          <w:p w14:paraId="5D0EF498" w14:textId="77777777" w:rsidR="00BF586F" w:rsidRPr="00BF586F" w:rsidRDefault="00BF586F" w:rsidP="00BF586F">
            <w:pPr>
              <w:jc w:val="right"/>
              <w:rPr>
                <w:rFonts w:ascii="Arial" w:hAnsi="Arial" w:cs="Arial"/>
                <w:highlight w:val="yellow"/>
              </w:rPr>
            </w:pPr>
          </w:p>
        </w:tc>
        <w:tc>
          <w:tcPr>
            <w:tcW w:w="913" w:type="pct"/>
            <w:tcBorders>
              <w:top w:val="nil"/>
              <w:left w:val="nil"/>
              <w:bottom w:val="single" w:sz="4" w:space="0" w:color="auto"/>
              <w:right w:val="nil"/>
            </w:tcBorders>
          </w:tcPr>
          <w:p w14:paraId="21CA5F6F" w14:textId="77777777" w:rsidR="00BF586F" w:rsidRPr="00BF586F" w:rsidRDefault="00BF586F" w:rsidP="00BF586F">
            <w:pPr>
              <w:jc w:val="right"/>
              <w:rPr>
                <w:rFonts w:ascii="Arial" w:hAnsi="Arial" w:cs="Arial"/>
                <w:highlight w:val="yellow"/>
              </w:rPr>
            </w:pPr>
          </w:p>
        </w:tc>
      </w:tr>
      <w:tr w:rsidR="00BF586F" w:rsidRPr="00BF586F" w14:paraId="358614F0" w14:textId="77777777" w:rsidTr="00925EFB">
        <w:trPr>
          <w:gridAfter w:val="1"/>
          <w:wAfter w:w="609" w:type="pct"/>
        </w:trPr>
        <w:tc>
          <w:tcPr>
            <w:tcW w:w="1269" w:type="pct"/>
            <w:tcBorders>
              <w:top w:val="single" w:sz="4" w:space="0" w:color="auto"/>
            </w:tcBorders>
          </w:tcPr>
          <w:p w14:paraId="24A3722B" w14:textId="77777777" w:rsidR="00BF586F" w:rsidRPr="00976463" w:rsidRDefault="00BF586F" w:rsidP="00BF586F">
            <w:pPr>
              <w:rPr>
                <w:rFonts w:ascii="Arial" w:hAnsi="Arial" w:cs="Arial"/>
                <w:b/>
              </w:rPr>
            </w:pPr>
            <w:r w:rsidRPr="00976463">
              <w:rPr>
                <w:rFonts w:ascii="Arial" w:hAnsi="Arial" w:cs="Arial"/>
                <w:b/>
                <w:bCs/>
              </w:rPr>
              <w:t>Retail profit</w:t>
            </w:r>
          </w:p>
        </w:tc>
        <w:tc>
          <w:tcPr>
            <w:tcW w:w="687" w:type="pct"/>
            <w:tcBorders>
              <w:top w:val="single" w:sz="4" w:space="0" w:color="auto"/>
            </w:tcBorders>
          </w:tcPr>
          <w:p w14:paraId="2D5F9458" w14:textId="29D6BD48" w:rsidR="00BF586F" w:rsidRPr="00BF586F" w:rsidRDefault="00BF586F" w:rsidP="00BF586F">
            <w:pPr>
              <w:jc w:val="right"/>
              <w:rPr>
                <w:rFonts w:ascii="Arial" w:hAnsi="Arial" w:cs="Arial"/>
                <w:highlight w:val="yellow"/>
              </w:rPr>
            </w:pPr>
            <w:r w:rsidRPr="004562D6">
              <w:rPr>
                <w:rFonts w:ascii="Arial" w:hAnsi="Arial" w:cs="Arial"/>
              </w:rPr>
              <w:t>2</w:t>
            </w:r>
            <w:r w:rsidR="004562D6" w:rsidRPr="004562D6">
              <w:rPr>
                <w:rFonts w:ascii="Arial" w:hAnsi="Arial" w:cs="Arial"/>
              </w:rPr>
              <w:t>7</w:t>
            </w:r>
            <w:r w:rsidR="009961BF">
              <w:rPr>
                <w:rFonts w:ascii="Arial" w:hAnsi="Arial" w:cs="Arial"/>
              </w:rPr>
              <w:t>7</w:t>
            </w:r>
          </w:p>
        </w:tc>
        <w:tc>
          <w:tcPr>
            <w:tcW w:w="685" w:type="pct"/>
            <w:tcBorders>
              <w:top w:val="single" w:sz="4" w:space="0" w:color="auto"/>
            </w:tcBorders>
          </w:tcPr>
          <w:p w14:paraId="46CABAB3" w14:textId="2CBDE029" w:rsidR="00BF586F" w:rsidRPr="00976463" w:rsidRDefault="00E651D8" w:rsidP="00BF586F">
            <w:pPr>
              <w:jc w:val="right"/>
              <w:rPr>
                <w:rFonts w:ascii="Arial" w:hAnsi="Arial" w:cs="Arial"/>
              </w:rPr>
            </w:pPr>
            <w:r>
              <w:rPr>
                <w:rFonts w:ascii="Arial" w:hAnsi="Arial" w:cs="Arial"/>
              </w:rPr>
              <w:t>282</w:t>
            </w:r>
          </w:p>
        </w:tc>
        <w:tc>
          <w:tcPr>
            <w:tcW w:w="837" w:type="pct"/>
            <w:tcBorders>
              <w:top w:val="single" w:sz="4" w:space="0" w:color="auto"/>
            </w:tcBorders>
          </w:tcPr>
          <w:p w14:paraId="6A6950D9" w14:textId="164A36E9" w:rsidR="00BF586F" w:rsidRPr="00BF586F" w:rsidRDefault="006813FA" w:rsidP="00BF586F">
            <w:pPr>
              <w:jc w:val="right"/>
              <w:rPr>
                <w:rFonts w:ascii="Arial" w:hAnsi="Arial" w:cs="Arial"/>
                <w:highlight w:val="yellow"/>
              </w:rPr>
            </w:pPr>
            <w:r w:rsidRPr="009B0F1D">
              <w:rPr>
                <w:rFonts w:ascii="Arial" w:hAnsi="Arial" w:cs="Arial"/>
              </w:rPr>
              <w:t>(1.</w:t>
            </w:r>
            <w:r w:rsidR="009B0F1D" w:rsidRPr="009B0F1D">
              <w:rPr>
                <w:rFonts w:ascii="Arial" w:hAnsi="Arial" w:cs="Arial"/>
              </w:rPr>
              <w:t>7</w:t>
            </w:r>
            <w:r w:rsidRPr="009B0F1D">
              <w:rPr>
                <w:rFonts w:ascii="Arial" w:hAnsi="Arial" w:cs="Arial"/>
              </w:rPr>
              <w:t>)</w:t>
            </w:r>
            <w:r w:rsidR="00BF586F" w:rsidRPr="009B0F1D">
              <w:rPr>
                <w:rFonts w:ascii="Arial" w:hAnsi="Arial" w:cs="Arial"/>
              </w:rPr>
              <w:t>%</w:t>
            </w:r>
          </w:p>
        </w:tc>
        <w:tc>
          <w:tcPr>
            <w:tcW w:w="913" w:type="pct"/>
            <w:tcBorders>
              <w:top w:val="single" w:sz="4" w:space="0" w:color="auto"/>
            </w:tcBorders>
          </w:tcPr>
          <w:p w14:paraId="654F7D48" w14:textId="7E638C8B" w:rsidR="00BF586F" w:rsidRPr="00BF586F" w:rsidRDefault="006813FA" w:rsidP="00BF586F">
            <w:pPr>
              <w:jc w:val="right"/>
              <w:rPr>
                <w:rFonts w:ascii="Arial" w:hAnsi="Arial" w:cs="Arial"/>
                <w:highlight w:val="yellow"/>
              </w:rPr>
            </w:pPr>
            <w:r w:rsidRPr="00B847F3">
              <w:rPr>
                <w:rFonts w:ascii="Arial" w:hAnsi="Arial" w:cs="Arial"/>
              </w:rPr>
              <w:t>(1.7)</w:t>
            </w:r>
            <w:r w:rsidR="00BF586F" w:rsidRPr="00B847F3">
              <w:rPr>
                <w:rFonts w:ascii="Arial" w:hAnsi="Arial" w:cs="Arial"/>
              </w:rPr>
              <w:t>%</w:t>
            </w:r>
          </w:p>
        </w:tc>
      </w:tr>
    </w:tbl>
    <w:p w14:paraId="73DE1699" w14:textId="77777777" w:rsidR="007D43ED" w:rsidRPr="00976463" w:rsidRDefault="007D43ED" w:rsidP="007D43ED">
      <w:pPr>
        <w:jc w:val="left"/>
        <w:rPr>
          <w:rFonts w:ascii="Arial" w:hAnsi="Arial" w:cs="Arial"/>
        </w:rPr>
      </w:pPr>
    </w:p>
    <w:p w14:paraId="0AC1C40F" w14:textId="439A5180" w:rsidR="00E16A6C" w:rsidRPr="00BF5E94" w:rsidRDefault="007D43ED" w:rsidP="007D43ED">
      <w:pPr>
        <w:jc w:val="left"/>
        <w:rPr>
          <w:rFonts w:ascii="Arial" w:hAnsi="Arial" w:cs="Arial"/>
        </w:rPr>
      </w:pPr>
      <w:r w:rsidRPr="00AC598B">
        <w:rPr>
          <w:rFonts w:ascii="Arial" w:hAnsi="Arial" w:cs="Arial"/>
        </w:rPr>
        <w:t xml:space="preserve">Kingfisher UK &amp; Ireland sales </w:t>
      </w:r>
      <w:r w:rsidR="00C07D1E">
        <w:rPr>
          <w:rFonts w:ascii="Arial" w:hAnsi="Arial" w:cs="Arial"/>
        </w:rPr>
        <w:t>increased</w:t>
      </w:r>
      <w:r w:rsidR="00C07D1E" w:rsidRPr="00AC598B">
        <w:rPr>
          <w:rFonts w:ascii="Arial" w:hAnsi="Arial" w:cs="Arial"/>
        </w:rPr>
        <w:t xml:space="preserve"> </w:t>
      </w:r>
      <w:r w:rsidR="00B37C13" w:rsidRPr="00B847F3">
        <w:rPr>
          <w:rFonts w:ascii="Arial" w:hAnsi="Arial" w:cs="Arial"/>
        </w:rPr>
        <w:t>0</w:t>
      </w:r>
      <w:r w:rsidR="00C07D1E" w:rsidRPr="00B847F3">
        <w:rPr>
          <w:rFonts w:ascii="Arial" w:hAnsi="Arial" w:cs="Arial"/>
        </w:rPr>
        <w:t>.</w:t>
      </w:r>
      <w:r w:rsidR="009B0F1D">
        <w:rPr>
          <w:rFonts w:ascii="Arial" w:hAnsi="Arial" w:cs="Arial"/>
        </w:rPr>
        <w:t>8</w:t>
      </w:r>
      <w:r w:rsidRPr="00B847F3">
        <w:rPr>
          <w:rFonts w:ascii="Arial" w:hAnsi="Arial" w:cs="Arial"/>
        </w:rPr>
        <w:t>% (</w:t>
      </w:r>
      <w:r w:rsidR="00AF0459" w:rsidRPr="00B847F3">
        <w:rPr>
          <w:rFonts w:ascii="Arial" w:hAnsi="Arial" w:cs="Arial"/>
        </w:rPr>
        <w:t>-</w:t>
      </w:r>
      <w:r w:rsidR="006813FA" w:rsidRPr="00B847F3">
        <w:rPr>
          <w:rFonts w:ascii="Arial" w:hAnsi="Arial" w:cs="Arial"/>
        </w:rPr>
        <w:t>0.7</w:t>
      </w:r>
      <w:r w:rsidRPr="00B847F3">
        <w:rPr>
          <w:rFonts w:ascii="Arial" w:hAnsi="Arial" w:cs="Arial"/>
        </w:rPr>
        <w:t>%</w:t>
      </w:r>
      <w:r w:rsidRPr="00AC598B">
        <w:rPr>
          <w:rFonts w:ascii="Arial" w:hAnsi="Arial" w:cs="Arial"/>
        </w:rPr>
        <w:t xml:space="preserve"> LFL) </w:t>
      </w:r>
      <w:r w:rsidR="00FF5542">
        <w:rPr>
          <w:rFonts w:ascii="Arial" w:hAnsi="Arial" w:cs="Arial"/>
        </w:rPr>
        <w:t xml:space="preserve">to </w:t>
      </w:r>
      <w:r w:rsidR="00FF5542" w:rsidRPr="00B847F3">
        <w:rPr>
          <w:rFonts w:ascii="Arial" w:hAnsi="Arial" w:cs="Arial"/>
        </w:rPr>
        <w:t>£</w:t>
      </w:r>
      <w:r w:rsidR="00C07D1E" w:rsidRPr="00B847F3">
        <w:rPr>
          <w:rFonts w:ascii="Arial" w:hAnsi="Arial" w:cs="Arial"/>
        </w:rPr>
        <w:t>2</w:t>
      </w:r>
      <w:r w:rsidR="00FF5542" w:rsidRPr="00B847F3">
        <w:rPr>
          <w:rFonts w:ascii="Arial" w:hAnsi="Arial" w:cs="Arial"/>
        </w:rPr>
        <w:t>,</w:t>
      </w:r>
      <w:r w:rsidR="00C07D1E" w:rsidRPr="00B847F3">
        <w:rPr>
          <w:rFonts w:ascii="Arial" w:hAnsi="Arial" w:cs="Arial"/>
        </w:rPr>
        <w:t>6</w:t>
      </w:r>
      <w:r w:rsidR="006813FA" w:rsidRPr="00B847F3">
        <w:rPr>
          <w:rFonts w:ascii="Arial" w:hAnsi="Arial" w:cs="Arial"/>
        </w:rPr>
        <w:t>5</w:t>
      </w:r>
      <w:r w:rsidR="00C07D1E" w:rsidRPr="00B847F3">
        <w:rPr>
          <w:rFonts w:ascii="Arial" w:hAnsi="Arial" w:cs="Arial"/>
        </w:rPr>
        <w:t>5</w:t>
      </w:r>
      <w:r w:rsidR="00BC7831">
        <w:rPr>
          <w:rFonts w:ascii="Arial" w:hAnsi="Arial" w:cs="Arial"/>
        </w:rPr>
        <w:t xml:space="preserve"> </w:t>
      </w:r>
      <w:r w:rsidR="00FF5542">
        <w:rPr>
          <w:rFonts w:ascii="Arial" w:hAnsi="Arial" w:cs="Arial"/>
        </w:rPr>
        <w:t>m</w:t>
      </w:r>
      <w:r w:rsidR="00BC7831">
        <w:rPr>
          <w:rFonts w:ascii="Arial" w:hAnsi="Arial" w:cs="Arial"/>
        </w:rPr>
        <w:t>illion</w:t>
      </w:r>
      <w:r w:rsidR="003D0588">
        <w:rPr>
          <w:rFonts w:ascii="Arial" w:hAnsi="Arial" w:cs="Arial"/>
        </w:rPr>
        <w:t xml:space="preserve"> </w:t>
      </w:r>
      <w:r w:rsidR="00A345DE">
        <w:rPr>
          <w:rFonts w:ascii="Arial" w:hAnsi="Arial" w:cs="Arial"/>
        </w:rPr>
        <w:t>with</w:t>
      </w:r>
      <w:r w:rsidR="00573249">
        <w:rPr>
          <w:rFonts w:ascii="Arial" w:hAnsi="Arial" w:cs="Arial"/>
        </w:rPr>
        <w:t>in the context of a continuing weak consumer backdrop</w:t>
      </w:r>
      <w:r w:rsidR="00EF584B">
        <w:rPr>
          <w:rFonts w:ascii="Arial" w:hAnsi="Arial" w:cs="Arial"/>
        </w:rPr>
        <w:t xml:space="preserve">. </w:t>
      </w:r>
      <w:r w:rsidRPr="00AC598B">
        <w:rPr>
          <w:rFonts w:ascii="Arial" w:hAnsi="Arial" w:cs="Arial"/>
        </w:rPr>
        <w:t>G</w:t>
      </w:r>
      <w:bookmarkStart w:id="22" w:name="_Hlk524514182"/>
      <w:r w:rsidRPr="00AC598B">
        <w:rPr>
          <w:rFonts w:ascii="Arial" w:hAnsi="Arial" w:cs="Arial"/>
        </w:rPr>
        <w:t xml:space="preserve">ross margin </w:t>
      </w:r>
      <w:r w:rsidR="004D33FE">
        <w:rPr>
          <w:rFonts w:ascii="Arial" w:hAnsi="Arial" w:cs="Arial"/>
        </w:rPr>
        <w:t xml:space="preserve">% </w:t>
      </w:r>
      <w:r w:rsidR="00A345DE" w:rsidRPr="00AC598B">
        <w:rPr>
          <w:rFonts w:ascii="Arial" w:hAnsi="Arial" w:cs="Arial"/>
        </w:rPr>
        <w:t>w</w:t>
      </w:r>
      <w:r w:rsidR="00A345DE">
        <w:rPr>
          <w:rFonts w:ascii="Arial" w:hAnsi="Arial" w:cs="Arial"/>
        </w:rPr>
        <w:t>as</w:t>
      </w:r>
      <w:r w:rsidR="00A345DE" w:rsidRPr="00AC598B">
        <w:rPr>
          <w:rFonts w:ascii="Arial" w:hAnsi="Arial" w:cs="Arial"/>
        </w:rPr>
        <w:t xml:space="preserve"> </w:t>
      </w:r>
      <w:r w:rsidR="00B37C13" w:rsidRPr="00BF5E94">
        <w:rPr>
          <w:rFonts w:ascii="Arial" w:hAnsi="Arial" w:cs="Arial"/>
        </w:rPr>
        <w:t>up</w:t>
      </w:r>
      <w:r w:rsidR="00FF5542" w:rsidRPr="00BF5E94">
        <w:rPr>
          <w:rFonts w:ascii="Arial" w:hAnsi="Arial" w:cs="Arial"/>
        </w:rPr>
        <w:t xml:space="preserve"> </w:t>
      </w:r>
      <w:r w:rsidR="00F02D73">
        <w:rPr>
          <w:rFonts w:ascii="Arial" w:hAnsi="Arial" w:cs="Arial"/>
        </w:rPr>
        <w:t>6</w:t>
      </w:r>
      <w:r w:rsidR="00FF5542" w:rsidRPr="00BF5E94">
        <w:rPr>
          <w:rFonts w:ascii="Arial" w:hAnsi="Arial" w:cs="Arial"/>
        </w:rPr>
        <w:t>0</w:t>
      </w:r>
      <w:r w:rsidR="00FF5542" w:rsidRPr="003D4DBB">
        <w:rPr>
          <w:rFonts w:ascii="Arial" w:hAnsi="Arial" w:cs="Arial"/>
        </w:rPr>
        <w:t xml:space="preserve"> basis points</w:t>
      </w:r>
      <w:r w:rsidR="00AE0F23" w:rsidRPr="003D4DBB">
        <w:rPr>
          <w:rFonts w:ascii="Arial" w:hAnsi="Arial" w:cs="Arial"/>
        </w:rPr>
        <w:t xml:space="preserve"> </w:t>
      </w:r>
      <w:r w:rsidR="00094964">
        <w:rPr>
          <w:rFonts w:ascii="Arial" w:hAnsi="Arial" w:cs="Arial"/>
        </w:rPr>
        <w:t xml:space="preserve">mainly </w:t>
      </w:r>
      <w:r w:rsidR="00494EF5" w:rsidRPr="005209D5">
        <w:rPr>
          <w:rFonts w:ascii="Arial" w:hAnsi="Arial" w:cs="Arial"/>
        </w:rPr>
        <w:t xml:space="preserve">reflecting </w:t>
      </w:r>
      <w:r w:rsidR="00B37C13">
        <w:rPr>
          <w:rFonts w:ascii="Arial" w:hAnsi="Arial" w:cs="Arial"/>
        </w:rPr>
        <w:t xml:space="preserve">sourcing benefits </w:t>
      </w:r>
      <w:r w:rsidR="0099787B">
        <w:rPr>
          <w:rFonts w:ascii="Arial" w:hAnsi="Arial" w:cs="Arial"/>
        </w:rPr>
        <w:t xml:space="preserve">and the </w:t>
      </w:r>
      <w:r w:rsidR="00BF5E94">
        <w:rPr>
          <w:rFonts w:ascii="Arial" w:hAnsi="Arial" w:cs="Arial"/>
        </w:rPr>
        <w:t>discontinuation</w:t>
      </w:r>
      <w:r w:rsidR="0099787B">
        <w:rPr>
          <w:rFonts w:ascii="Arial" w:hAnsi="Arial" w:cs="Arial"/>
        </w:rPr>
        <w:t xml:space="preserve"> of </w:t>
      </w:r>
      <w:r w:rsidR="00A8244E">
        <w:rPr>
          <w:rFonts w:ascii="Arial" w:hAnsi="Arial" w:cs="Arial"/>
        </w:rPr>
        <w:t xml:space="preserve">installation services </w:t>
      </w:r>
      <w:r w:rsidR="00F02D73">
        <w:rPr>
          <w:rFonts w:ascii="Arial" w:hAnsi="Arial" w:cs="Arial"/>
        </w:rPr>
        <w:t>at B&amp;Q</w:t>
      </w:r>
      <w:r w:rsidR="0099787B">
        <w:rPr>
          <w:rFonts w:ascii="Arial" w:hAnsi="Arial" w:cs="Arial"/>
        </w:rPr>
        <w:t xml:space="preserve">, partly offset </w:t>
      </w:r>
      <w:r w:rsidR="0099787B" w:rsidRPr="0099787B">
        <w:rPr>
          <w:rFonts w:ascii="Arial" w:hAnsi="Arial" w:cs="Arial"/>
        </w:rPr>
        <w:t xml:space="preserve">by higher </w:t>
      </w:r>
      <w:r w:rsidR="00BF02B5" w:rsidRPr="0099787B">
        <w:rPr>
          <w:rFonts w:ascii="Arial" w:hAnsi="Arial" w:cs="Arial"/>
        </w:rPr>
        <w:t xml:space="preserve">clearance </w:t>
      </w:r>
      <w:r w:rsidR="0099787B" w:rsidRPr="0099787B">
        <w:rPr>
          <w:rFonts w:ascii="Arial" w:hAnsi="Arial" w:cs="Arial"/>
        </w:rPr>
        <w:t>activity</w:t>
      </w:r>
      <w:r w:rsidR="0027498B" w:rsidRPr="0099787B">
        <w:rPr>
          <w:rFonts w:ascii="Arial" w:hAnsi="Arial" w:cs="Arial"/>
        </w:rPr>
        <w:t>.</w:t>
      </w:r>
      <w:bookmarkEnd w:id="22"/>
      <w:r w:rsidR="00660C40" w:rsidRPr="0099787B">
        <w:rPr>
          <w:rFonts w:ascii="Arial" w:hAnsi="Arial" w:cs="Arial"/>
        </w:rPr>
        <w:t xml:space="preserve"> </w:t>
      </w:r>
      <w:r w:rsidR="00BF02B5" w:rsidRPr="005B49FB">
        <w:rPr>
          <w:rFonts w:ascii="Arial" w:hAnsi="Arial" w:cs="Arial"/>
        </w:rPr>
        <w:t>C</w:t>
      </w:r>
      <w:r w:rsidR="000B34A0" w:rsidRPr="005B49FB">
        <w:rPr>
          <w:rFonts w:ascii="Arial" w:hAnsi="Arial" w:cs="Arial"/>
        </w:rPr>
        <w:t>ost</w:t>
      </w:r>
      <w:r w:rsidR="000B0C31">
        <w:rPr>
          <w:rFonts w:ascii="Arial" w:hAnsi="Arial" w:cs="Arial"/>
        </w:rPr>
        <w:t>s</w:t>
      </w:r>
      <w:r w:rsidR="00BF02B5" w:rsidRPr="005B49FB">
        <w:rPr>
          <w:rFonts w:ascii="Arial" w:hAnsi="Arial" w:cs="Arial"/>
        </w:rPr>
        <w:t xml:space="preserve"> increase</w:t>
      </w:r>
      <w:r w:rsidR="005B49FB">
        <w:rPr>
          <w:rFonts w:ascii="Arial" w:hAnsi="Arial" w:cs="Arial"/>
        </w:rPr>
        <w:t>s</w:t>
      </w:r>
      <w:r w:rsidR="00BF02B5" w:rsidRPr="005B49FB">
        <w:rPr>
          <w:rFonts w:ascii="Arial" w:hAnsi="Arial" w:cs="Arial"/>
        </w:rPr>
        <w:t xml:space="preserve"> reflect</w:t>
      </w:r>
      <w:r w:rsidR="005B49FB">
        <w:rPr>
          <w:rFonts w:ascii="Arial" w:hAnsi="Arial" w:cs="Arial"/>
        </w:rPr>
        <w:t>ed</w:t>
      </w:r>
      <w:r w:rsidR="00BF02B5" w:rsidRPr="005B49FB">
        <w:rPr>
          <w:rFonts w:ascii="Arial" w:hAnsi="Arial" w:cs="Arial"/>
        </w:rPr>
        <w:t xml:space="preserve"> </w:t>
      </w:r>
      <w:r w:rsidR="00BF5E94" w:rsidRPr="00BF5E94">
        <w:rPr>
          <w:rFonts w:ascii="Arial" w:hAnsi="Arial" w:cs="Arial"/>
        </w:rPr>
        <w:t>wage inflation</w:t>
      </w:r>
      <w:r w:rsidR="00BF02B5" w:rsidRPr="00BF5E94">
        <w:rPr>
          <w:rFonts w:ascii="Arial" w:hAnsi="Arial" w:cs="Arial"/>
        </w:rPr>
        <w:t xml:space="preserve"> and</w:t>
      </w:r>
      <w:r w:rsidR="00B37C13" w:rsidRPr="00BF5E94">
        <w:rPr>
          <w:rFonts w:ascii="Arial" w:hAnsi="Arial" w:cs="Arial"/>
        </w:rPr>
        <w:t xml:space="preserve"> </w:t>
      </w:r>
      <w:r w:rsidR="00BF02B5" w:rsidRPr="00BF5E94">
        <w:rPr>
          <w:rFonts w:ascii="Arial" w:hAnsi="Arial" w:cs="Arial"/>
        </w:rPr>
        <w:t>increased</w:t>
      </w:r>
      <w:r w:rsidR="00B37C13" w:rsidRPr="00BF5E94">
        <w:rPr>
          <w:rFonts w:ascii="Arial" w:hAnsi="Arial" w:cs="Arial"/>
        </w:rPr>
        <w:t xml:space="preserve"> digital costs</w:t>
      </w:r>
      <w:r w:rsidR="00BF02B5" w:rsidRPr="00BF5E94">
        <w:rPr>
          <w:rFonts w:ascii="Arial" w:hAnsi="Arial" w:cs="Arial"/>
        </w:rPr>
        <w:t xml:space="preserve"> partly offset by cost efficiency initiatives</w:t>
      </w:r>
      <w:r w:rsidRPr="00BF5E94">
        <w:rPr>
          <w:rFonts w:ascii="Arial" w:hAnsi="Arial" w:cs="Arial"/>
        </w:rPr>
        <w:t xml:space="preserve">. </w:t>
      </w:r>
      <w:r w:rsidR="000B0C31" w:rsidRPr="00AC598B">
        <w:rPr>
          <w:rFonts w:ascii="Arial" w:hAnsi="Arial" w:cs="Arial"/>
        </w:rPr>
        <w:t xml:space="preserve">Retail profit </w:t>
      </w:r>
      <w:r w:rsidR="000B0C31">
        <w:rPr>
          <w:rFonts w:ascii="Arial" w:hAnsi="Arial" w:cs="Arial"/>
        </w:rPr>
        <w:t>decreased</w:t>
      </w:r>
      <w:r w:rsidR="000B0C31" w:rsidRPr="00AC598B">
        <w:rPr>
          <w:rFonts w:ascii="Arial" w:hAnsi="Arial" w:cs="Arial"/>
        </w:rPr>
        <w:t xml:space="preserve"> by </w:t>
      </w:r>
      <w:r w:rsidR="000B0C31">
        <w:rPr>
          <w:rFonts w:ascii="Arial" w:hAnsi="Arial" w:cs="Arial"/>
        </w:rPr>
        <w:t>1.7</w:t>
      </w:r>
      <w:r w:rsidR="000B0C31" w:rsidRPr="00AC598B">
        <w:rPr>
          <w:rFonts w:ascii="Arial" w:hAnsi="Arial" w:cs="Arial"/>
        </w:rPr>
        <w:t xml:space="preserve">% to </w:t>
      </w:r>
      <w:r w:rsidR="000B0C31" w:rsidRPr="00B847F3">
        <w:rPr>
          <w:rFonts w:ascii="Arial" w:hAnsi="Arial" w:cs="Arial"/>
        </w:rPr>
        <w:t>£</w:t>
      </w:r>
      <w:r w:rsidR="000B0C31" w:rsidRPr="00B847F3">
        <w:rPr>
          <w:rFonts w:ascii="Arial" w:hAnsi="Arial" w:cs="Arial"/>
          <w:szCs w:val="24"/>
        </w:rPr>
        <w:t>27</w:t>
      </w:r>
      <w:r w:rsidR="000B0C31">
        <w:rPr>
          <w:rFonts w:ascii="Arial" w:hAnsi="Arial" w:cs="Arial"/>
          <w:szCs w:val="24"/>
        </w:rPr>
        <w:t>7</w:t>
      </w:r>
      <w:r w:rsidR="000B0C31" w:rsidRPr="003F4016">
        <w:rPr>
          <w:rFonts w:ascii="Arial" w:hAnsi="Arial" w:cs="Arial"/>
        </w:rPr>
        <w:t xml:space="preserve"> million</w:t>
      </w:r>
      <w:r w:rsidR="000B0C31" w:rsidRPr="00AC598B">
        <w:rPr>
          <w:rFonts w:ascii="Arial" w:hAnsi="Arial" w:cs="Arial"/>
        </w:rPr>
        <w:t>.</w:t>
      </w:r>
    </w:p>
    <w:p w14:paraId="66917F0A" w14:textId="77777777" w:rsidR="00E16A6C" w:rsidRPr="00AC598B" w:rsidRDefault="00E16A6C" w:rsidP="007D43ED">
      <w:pPr>
        <w:jc w:val="left"/>
        <w:rPr>
          <w:rFonts w:ascii="Arial" w:hAnsi="Arial" w:cs="Arial"/>
          <w:highlight w:val="yellow"/>
        </w:rPr>
      </w:pPr>
    </w:p>
    <w:p w14:paraId="15AF3414" w14:textId="6BC15484" w:rsidR="007D43ED" w:rsidRPr="00B847F3" w:rsidRDefault="007D43ED" w:rsidP="007D43ED">
      <w:pPr>
        <w:jc w:val="left"/>
        <w:rPr>
          <w:rFonts w:ascii="Arial" w:hAnsi="Arial" w:cs="Arial"/>
        </w:rPr>
      </w:pPr>
      <w:bookmarkStart w:id="23" w:name="_Hlk524463824"/>
      <w:r w:rsidRPr="00AC598B">
        <w:rPr>
          <w:rFonts w:ascii="Arial" w:hAnsi="Arial" w:cs="Arial"/>
          <w:b/>
          <w:bCs/>
        </w:rPr>
        <w:t>B&amp;Q</w:t>
      </w:r>
      <w:r w:rsidRPr="00AC598B">
        <w:rPr>
          <w:rFonts w:ascii="Arial" w:hAnsi="Arial" w:cs="Arial"/>
        </w:rPr>
        <w:t xml:space="preserve"> total sales </w:t>
      </w:r>
      <w:r w:rsidR="002E5D72" w:rsidRPr="00AC598B">
        <w:rPr>
          <w:rFonts w:ascii="Arial" w:hAnsi="Arial" w:cs="Arial"/>
        </w:rPr>
        <w:t xml:space="preserve">declined by </w:t>
      </w:r>
      <w:r w:rsidR="006813FA" w:rsidRPr="006813FA">
        <w:rPr>
          <w:rFonts w:ascii="Arial" w:hAnsi="Arial" w:cs="Arial"/>
        </w:rPr>
        <w:t>3.3</w:t>
      </w:r>
      <w:r w:rsidRPr="006813FA">
        <w:rPr>
          <w:rFonts w:ascii="Arial" w:hAnsi="Arial" w:cs="Arial"/>
        </w:rPr>
        <w:t>%</w:t>
      </w:r>
      <w:r w:rsidR="00562B32" w:rsidRPr="006813FA">
        <w:rPr>
          <w:rFonts w:ascii="Arial" w:hAnsi="Arial" w:cs="Arial"/>
        </w:rPr>
        <w:t xml:space="preserve"> to </w:t>
      </w:r>
      <w:r w:rsidR="006D6B5D" w:rsidRPr="006813FA">
        <w:rPr>
          <w:rFonts w:ascii="Arial" w:hAnsi="Arial" w:cs="Arial"/>
        </w:rPr>
        <w:t>£</w:t>
      </w:r>
      <w:r w:rsidR="00C07D1E" w:rsidRPr="006813FA">
        <w:rPr>
          <w:rFonts w:ascii="Arial" w:hAnsi="Arial" w:cs="Arial"/>
        </w:rPr>
        <w:t>1,</w:t>
      </w:r>
      <w:r w:rsidR="006813FA" w:rsidRPr="006813FA">
        <w:rPr>
          <w:rFonts w:ascii="Arial" w:hAnsi="Arial" w:cs="Arial"/>
        </w:rPr>
        <w:t>77</w:t>
      </w:r>
      <w:r w:rsidR="00C07D1E" w:rsidRPr="006813FA">
        <w:rPr>
          <w:rFonts w:ascii="Arial" w:hAnsi="Arial" w:cs="Arial"/>
        </w:rPr>
        <w:t>3</w:t>
      </w:r>
      <w:r w:rsidR="00C07D1E" w:rsidRPr="00B80DB1">
        <w:rPr>
          <w:rFonts w:ascii="Arial" w:hAnsi="Arial" w:cs="Arial"/>
        </w:rPr>
        <w:t xml:space="preserve"> </w:t>
      </w:r>
      <w:r w:rsidR="00562B32" w:rsidRPr="00B80DB1">
        <w:rPr>
          <w:rFonts w:ascii="Arial" w:hAnsi="Arial" w:cs="Arial"/>
        </w:rPr>
        <w:t>million</w:t>
      </w:r>
      <w:r w:rsidR="006743B1" w:rsidRPr="00B80DB1">
        <w:rPr>
          <w:rFonts w:ascii="Arial" w:hAnsi="Arial" w:cs="Arial"/>
        </w:rPr>
        <w:t>.</w:t>
      </w:r>
      <w:r w:rsidR="00562B32" w:rsidRPr="00B80DB1">
        <w:rPr>
          <w:rFonts w:ascii="Arial" w:hAnsi="Arial" w:cs="Arial"/>
        </w:rPr>
        <w:t xml:space="preserve"> LFL sales declined by </w:t>
      </w:r>
      <w:r w:rsidR="006813FA">
        <w:rPr>
          <w:rFonts w:ascii="Arial" w:hAnsi="Arial" w:cs="Arial"/>
          <w:szCs w:val="24"/>
        </w:rPr>
        <w:t>3.2</w:t>
      </w:r>
      <w:r w:rsidR="00562B32" w:rsidRPr="00B80DB1">
        <w:rPr>
          <w:rFonts w:ascii="Arial" w:hAnsi="Arial" w:cs="Arial"/>
        </w:rPr>
        <w:t>%</w:t>
      </w:r>
      <w:r w:rsidR="00B17961" w:rsidRPr="00B80DB1">
        <w:rPr>
          <w:rFonts w:ascii="Arial" w:hAnsi="Arial" w:cs="Arial"/>
          <w:color w:val="C00000"/>
        </w:rPr>
        <w:t>.</w:t>
      </w:r>
      <w:r w:rsidR="004613FA">
        <w:rPr>
          <w:rFonts w:ascii="Arial" w:hAnsi="Arial" w:cs="Arial"/>
          <w:color w:val="C00000"/>
        </w:rPr>
        <w:t xml:space="preserve"> </w:t>
      </w:r>
      <w:r w:rsidR="004613FA">
        <w:rPr>
          <w:rFonts w:ascii="Arial" w:hAnsi="Arial" w:cs="Arial"/>
        </w:rPr>
        <w:t>The discontinuation of installation</w:t>
      </w:r>
      <w:r w:rsidR="00B80226">
        <w:rPr>
          <w:rFonts w:ascii="Arial" w:hAnsi="Arial" w:cs="Arial"/>
        </w:rPr>
        <w:t xml:space="preserve"> services</w:t>
      </w:r>
      <w:r w:rsidR="004613FA">
        <w:rPr>
          <w:rFonts w:ascii="Arial" w:hAnsi="Arial" w:cs="Arial"/>
        </w:rPr>
        <w:t xml:space="preserve"> impacted LFL by c. </w:t>
      </w:r>
      <w:r w:rsidR="00F02D73">
        <w:rPr>
          <w:rFonts w:ascii="Arial" w:hAnsi="Arial" w:cs="Arial"/>
        </w:rPr>
        <w:t>-</w:t>
      </w:r>
      <w:r w:rsidR="004613FA">
        <w:rPr>
          <w:rFonts w:ascii="Arial" w:hAnsi="Arial" w:cs="Arial"/>
        </w:rPr>
        <w:t>2%</w:t>
      </w:r>
      <w:r w:rsidR="00BF5E94">
        <w:rPr>
          <w:rFonts w:ascii="Arial" w:hAnsi="Arial" w:cs="Arial"/>
        </w:rPr>
        <w:t xml:space="preserve">. Sales were also impacted by the </w:t>
      </w:r>
      <w:r w:rsidR="00EB412C">
        <w:rPr>
          <w:rFonts w:ascii="Arial" w:hAnsi="Arial" w:cs="Arial"/>
        </w:rPr>
        <w:t xml:space="preserve">ongoing </w:t>
      </w:r>
      <w:r w:rsidR="00702905">
        <w:rPr>
          <w:rFonts w:ascii="Arial" w:hAnsi="Arial" w:cs="Arial"/>
        </w:rPr>
        <w:t xml:space="preserve">implementation of the new surfaces </w:t>
      </w:r>
      <w:r w:rsidR="00C36F0E">
        <w:rPr>
          <w:rFonts w:ascii="Arial" w:hAnsi="Arial" w:cs="Arial"/>
        </w:rPr>
        <w:t xml:space="preserve">&amp; </w:t>
      </w:r>
      <w:r w:rsidR="00702905">
        <w:rPr>
          <w:rFonts w:ascii="Arial" w:hAnsi="Arial" w:cs="Arial"/>
        </w:rPr>
        <w:t>décor ranges</w:t>
      </w:r>
      <w:r w:rsidR="004613FA">
        <w:rPr>
          <w:rFonts w:ascii="Arial" w:hAnsi="Arial" w:cs="Arial"/>
        </w:rPr>
        <w:t xml:space="preserve">. </w:t>
      </w:r>
      <w:r w:rsidR="004613FA" w:rsidRPr="00704A7F">
        <w:rPr>
          <w:rFonts w:ascii="Arial" w:hAnsi="Arial" w:cs="Arial"/>
        </w:rPr>
        <w:t>LFL sales of</w:t>
      </w:r>
      <w:r w:rsidR="004613FA">
        <w:rPr>
          <w:rFonts w:ascii="Arial" w:hAnsi="Arial" w:cs="Arial"/>
        </w:rPr>
        <w:t xml:space="preserve"> w</w:t>
      </w:r>
      <w:r w:rsidR="004613FA" w:rsidRPr="00704A7F">
        <w:rPr>
          <w:rFonts w:ascii="Arial" w:hAnsi="Arial" w:cs="Arial"/>
        </w:rPr>
        <w:t xml:space="preserve">eather-related categories </w:t>
      </w:r>
      <w:r w:rsidR="00B80226">
        <w:rPr>
          <w:rFonts w:ascii="Arial" w:hAnsi="Arial" w:cs="Arial"/>
        </w:rPr>
        <w:t>de</w:t>
      </w:r>
      <w:r w:rsidR="004613FA" w:rsidRPr="00704A7F">
        <w:rPr>
          <w:rFonts w:ascii="Arial" w:hAnsi="Arial" w:cs="Arial"/>
        </w:rPr>
        <w:t xml:space="preserve">creased by </w:t>
      </w:r>
      <w:r w:rsidR="003D2AD3">
        <w:rPr>
          <w:rFonts w:ascii="Arial" w:hAnsi="Arial" w:cs="Arial"/>
        </w:rPr>
        <w:t>2</w:t>
      </w:r>
      <w:r w:rsidR="00834573">
        <w:rPr>
          <w:rFonts w:ascii="Arial" w:hAnsi="Arial" w:cs="Arial"/>
        </w:rPr>
        <w:t>.9</w:t>
      </w:r>
      <w:r w:rsidR="004613FA" w:rsidRPr="00704A7F">
        <w:rPr>
          <w:rFonts w:ascii="Arial" w:hAnsi="Arial" w:cs="Arial"/>
        </w:rPr>
        <w:t>% while sales of non-weather-related categories,</w:t>
      </w:r>
      <w:r w:rsidR="004613FA">
        <w:rPr>
          <w:rFonts w:ascii="Arial" w:hAnsi="Arial" w:cs="Arial"/>
        </w:rPr>
        <w:t xml:space="preserve"> </w:t>
      </w:r>
      <w:r w:rsidR="004613FA" w:rsidRPr="00704A7F">
        <w:rPr>
          <w:rFonts w:ascii="Arial" w:hAnsi="Arial" w:cs="Arial"/>
        </w:rPr>
        <w:t xml:space="preserve">including showroom, were down </w:t>
      </w:r>
      <w:r w:rsidR="00315B05">
        <w:rPr>
          <w:rFonts w:ascii="Arial" w:hAnsi="Arial" w:cs="Arial"/>
        </w:rPr>
        <w:t>3.4</w:t>
      </w:r>
      <w:r w:rsidR="004613FA" w:rsidRPr="00704A7F">
        <w:rPr>
          <w:rFonts w:ascii="Arial" w:hAnsi="Arial" w:cs="Arial"/>
        </w:rPr>
        <w:t>%</w:t>
      </w:r>
      <w:r w:rsidR="004613FA">
        <w:rPr>
          <w:rFonts w:ascii="Arial" w:hAnsi="Arial" w:cs="Arial"/>
        </w:rPr>
        <w:t xml:space="preserve">. </w:t>
      </w:r>
      <w:bookmarkStart w:id="24" w:name="_Hlk491339533"/>
      <w:r w:rsidRPr="00B847F3">
        <w:rPr>
          <w:rFonts w:ascii="Arial" w:hAnsi="Arial" w:cs="Arial"/>
        </w:rPr>
        <w:t xml:space="preserve">B&amp;Q’s </w:t>
      </w:r>
      <w:r w:rsidR="00EF584B" w:rsidRPr="00B847F3">
        <w:rPr>
          <w:rFonts w:ascii="Arial" w:hAnsi="Arial" w:cs="Arial"/>
        </w:rPr>
        <w:t>t</w:t>
      </w:r>
      <w:r w:rsidRPr="00B847F3">
        <w:rPr>
          <w:rFonts w:ascii="Arial" w:hAnsi="Arial" w:cs="Arial"/>
        </w:rPr>
        <w:t xml:space="preserve">otal </w:t>
      </w:r>
      <w:r w:rsidR="00592268">
        <w:rPr>
          <w:rFonts w:ascii="Arial" w:hAnsi="Arial" w:cs="Arial"/>
        </w:rPr>
        <w:t xml:space="preserve">digital </w:t>
      </w:r>
      <w:r w:rsidRPr="00B847F3">
        <w:rPr>
          <w:rFonts w:ascii="Arial" w:hAnsi="Arial" w:cs="Arial"/>
        </w:rPr>
        <w:t>sales</w:t>
      </w:r>
      <w:r w:rsidR="00EB412C">
        <w:rPr>
          <w:rFonts w:ascii="Arial" w:hAnsi="Arial" w:cs="Arial"/>
        </w:rPr>
        <w:t xml:space="preserve"> </w:t>
      </w:r>
      <w:r w:rsidRPr="00B847F3">
        <w:rPr>
          <w:rFonts w:ascii="Arial" w:hAnsi="Arial" w:cs="Arial"/>
        </w:rPr>
        <w:t xml:space="preserve">continued to make good progress with sales growing by </w:t>
      </w:r>
      <w:r w:rsidR="00162B2A" w:rsidRPr="00B847F3">
        <w:rPr>
          <w:rFonts w:ascii="Arial" w:hAnsi="Arial" w:cs="Arial"/>
        </w:rPr>
        <w:t>1</w:t>
      </w:r>
      <w:r w:rsidR="00B847F3" w:rsidRPr="00B847F3">
        <w:rPr>
          <w:rFonts w:ascii="Arial" w:hAnsi="Arial" w:cs="Arial"/>
        </w:rPr>
        <w:t>0</w:t>
      </w:r>
      <w:r w:rsidRPr="00B847F3">
        <w:rPr>
          <w:rFonts w:ascii="Arial" w:hAnsi="Arial" w:cs="Arial"/>
        </w:rPr>
        <w:t>%</w:t>
      </w:r>
      <w:r w:rsidR="007769BE" w:rsidRPr="00B847F3">
        <w:rPr>
          <w:rFonts w:ascii="Arial" w:hAnsi="Arial" w:cs="Arial"/>
        </w:rPr>
        <w:t xml:space="preserve"> and</w:t>
      </w:r>
      <w:r w:rsidR="00B847F3" w:rsidRPr="00B847F3">
        <w:rPr>
          <w:rFonts w:ascii="Arial" w:hAnsi="Arial" w:cs="Arial"/>
        </w:rPr>
        <w:t xml:space="preserve"> now</w:t>
      </w:r>
      <w:r w:rsidR="007769BE" w:rsidRPr="00B847F3">
        <w:rPr>
          <w:rFonts w:ascii="Arial" w:hAnsi="Arial" w:cs="Arial"/>
        </w:rPr>
        <w:t xml:space="preserve"> represent</w:t>
      </w:r>
      <w:r w:rsidR="00162B2A" w:rsidRPr="00B847F3">
        <w:rPr>
          <w:rFonts w:ascii="Arial" w:hAnsi="Arial" w:cs="Arial"/>
        </w:rPr>
        <w:t xml:space="preserve"> 5</w:t>
      </w:r>
      <w:r w:rsidR="007769BE" w:rsidRPr="00B847F3">
        <w:rPr>
          <w:rFonts w:ascii="Arial" w:hAnsi="Arial" w:cs="Arial"/>
        </w:rPr>
        <w:t>% of</w:t>
      </w:r>
      <w:r w:rsidR="006D6B5D" w:rsidRPr="00B847F3">
        <w:rPr>
          <w:rFonts w:ascii="Arial" w:hAnsi="Arial" w:cs="Arial"/>
        </w:rPr>
        <w:t xml:space="preserve"> total</w:t>
      </w:r>
      <w:r w:rsidR="007769BE" w:rsidRPr="00B847F3">
        <w:rPr>
          <w:rFonts w:ascii="Arial" w:hAnsi="Arial" w:cs="Arial"/>
        </w:rPr>
        <w:t xml:space="preserve"> sales</w:t>
      </w:r>
      <w:r w:rsidRPr="00B847F3">
        <w:rPr>
          <w:rFonts w:ascii="Arial" w:hAnsi="Arial" w:cs="Arial"/>
        </w:rPr>
        <w:t>.</w:t>
      </w:r>
      <w:r w:rsidR="0014117E" w:rsidRPr="00B847F3">
        <w:rPr>
          <w:rFonts w:ascii="Arial" w:hAnsi="Arial" w:cs="Arial"/>
        </w:rPr>
        <w:t xml:space="preserve"> </w:t>
      </w:r>
    </w:p>
    <w:bookmarkEnd w:id="23"/>
    <w:bookmarkEnd w:id="24"/>
    <w:p w14:paraId="7D6DA280" w14:textId="77777777" w:rsidR="007D43ED" w:rsidRPr="00AC598B" w:rsidRDefault="007D43ED" w:rsidP="007D43ED">
      <w:pPr>
        <w:jc w:val="left"/>
        <w:rPr>
          <w:rFonts w:ascii="Arial" w:hAnsi="Arial" w:cs="Arial"/>
          <w:highlight w:val="yellow"/>
        </w:rPr>
      </w:pPr>
    </w:p>
    <w:p w14:paraId="42B6EBA4" w14:textId="14310B11" w:rsidR="00B80226" w:rsidRPr="0018703F" w:rsidRDefault="007D43ED" w:rsidP="00B80226">
      <w:pPr>
        <w:pStyle w:val="PlainText"/>
        <w:rPr>
          <w:rFonts w:ascii="Arial" w:hAnsi="Arial" w:cs="Arial"/>
          <w:sz w:val="22"/>
          <w:szCs w:val="22"/>
          <w:highlight w:val="yellow"/>
        </w:rPr>
      </w:pPr>
      <w:bookmarkStart w:id="25" w:name="_Hlk491341520"/>
      <w:r w:rsidRPr="003D4DBB">
        <w:rPr>
          <w:rFonts w:ascii="Arial" w:hAnsi="Arial" w:cs="Arial"/>
          <w:b/>
          <w:sz w:val="22"/>
          <w:szCs w:val="22"/>
        </w:rPr>
        <w:t>Screwfix</w:t>
      </w:r>
      <w:r w:rsidRPr="003D4DBB">
        <w:rPr>
          <w:rFonts w:ascii="Arial" w:hAnsi="Arial" w:cs="Arial"/>
          <w:sz w:val="22"/>
          <w:szCs w:val="22"/>
        </w:rPr>
        <w:t xml:space="preserve"> grew total sales by </w:t>
      </w:r>
      <w:r w:rsidR="00B847F3" w:rsidRPr="00B847F3">
        <w:rPr>
          <w:rFonts w:ascii="Arial" w:hAnsi="Arial" w:cs="Arial"/>
          <w:sz w:val="22"/>
          <w:szCs w:val="22"/>
        </w:rPr>
        <w:t>9.9</w:t>
      </w:r>
      <w:r w:rsidRPr="00B847F3">
        <w:rPr>
          <w:rFonts w:ascii="Arial" w:hAnsi="Arial" w:cs="Arial"/>
          <w:sz w:val="22"/>
          <w:szCs w:val="22"/>
        </w:rPr>
        <w:t>% (+</w:t>
      </w:r>
      <w:r w:rsidR="00B847F3" w:rsidRPr="00B847F3">
        <w:rPr>
          <w:rFonts w:ascii="Arial" w:hAnsi="Arial" w:cs="Arial"/>
          <w:sz w:val="22"/>
          <w:szCs w:val="22"/>
        </w:rPr>
        <w:t>5.1</w:t>
      </w:r>
      <w:r w:rsidRPr="00B847F3">
        <w:rPr>
          <w:rFonts w:ascii="Arial" w:hAnsi="Arial" w:cs="Arial"/>
          <w:sz w:val="22"/>
          <w:szCs w:val="22"/>
        </w:rPr>
        <w:t>% LFL) to £</w:t>
      </w:r>
      <w:r w:rsidR="00B847F3">
        <w:rPr>
          <w:rFonts w:ascii="Arial" w:hAnsi="Arial" w:cs="Arial"/>
          <w:sz w:val="22"/>
          <w:szCs w:val="22"/>
        </w:rPr>
        <w:t>882</w:t>
      </w:r>
      <w:r w:rsidRPr="003D4DBB">
        <w:rPr>
          <w:rFonts w:ascii="Arial" w:hAnsi="Arial" w:cs="Arial"/>
          <w:sz w:val="22"/>
          <w:szCs w:val="22"/>
        </w:rPr>
        <w:t xml:space="preserve"> </w:t>
      </w:r>
      <w:r w:rsidRPr="00B80226">
        <w:rPr>
          <w:rFonts w:ascii="Arial" w:hAnsi="Arial" w:cs="Arial"/>
          <w:sz w:val="22"/>
          <w:szCs w:val="22"/>
        </w:rPr>
        <w:t>million, driven by specialist trade desks exclusive to plumbers and electricians, strong digital growth</w:t>
      </w:r>
      <w:r w:rsidR="00273477" w:rsidRPr="00B80226">
        <w:rPr>
          <w:rFonts w:ascii="Arial" w:hAnsi="Arial" w:cs="Arial"/>
          <w:sz w:val="22"/>
          <w:szCs w:val="22"/>
        </w:rPr>
        <w:t xml:space="preserve"> of </w:t>
      </w:r>
      <w:r w:rsidR="00162B2A" w:rsidRPr="00B80226">
        <w:rPr>
          <w:rFonts w:ascii="Arial" w:hAnsi="Arial" w:cs="Arial"/>
          <w:sz w:val="22"/>
          <w:szCs w:val="22"/>
        </w:rPr>
        <w:t>1</w:t>
      </w:r>
      <w:r w:rsidR="008F269E" w:rsidRPr="00B80226">
        <w:rPr>
          <w:rFonts w:ascii="Arial" w:hAnsi="Arial" w:cs="Arial"/>
          <w:sz w:val="22"/>
          <w:szCs w:val="22"/>
        </w:rPr>
        <w:t>8</w:t>
      </w:r>
      <w:r w:rsidR="00273477" w:rsidRPr="00B80226">
        <w:rPr>
          <w:rFonts w:ascii="Arial" w:hAnsi="Arial" w:cs="Arial"/>
          <w:sz w:val="22"/>
          <w:szCs w:val="22"/>
        </w:rPr>
        <w:t>%</w:t>
      </w:r>
      <w:r w:rsidR="008669E9" w:rsidRPr="00B80226">
        <w:rPr>
          <w:rFonts w:ascii="Arial" w:hAnsi="Arial" w:cs="Arial"/>
          <w:sz w:val="22"/>
          <w:szCs w:val="22"/>
        </w:rPr>
        <w:t xml:space="preserve"> (</w:t>
      </w:r>
      <w:r w:rsidR="008F269E" w:rsidRPr="00B80226">
        <w:rPr>
          <w:rFonts w:ascii="Arial" w:hAnsi="Arial" w:cs="Arial"/>
          <w:sz w:val="22"/>
          <w:szCs w:val="22"/>
        </w:rPr>
        <w:t>now 32% of total sales</w:t>
      </w:r>
      <w:r w:rsidR="008669E9" w:rsidRPr="00B80226">
        <w:rPr>
          <w:rFonts w:ascii="Arial" w:hAnsi="Arial" w:cs="Arial"/>
          <w:sz w:val="22"/>
          <w:szCs w:val="22"/>
        </w:rPr>
        <w:t>)</w:t>
      </w:r>
      <w:r w:rsidR="009A66A7" w:rsidRPr="00B80226">
        <w:rPr>
          <w:rFonts w:ascii="Arial" w:hAnsi="Arial" w:cs="Arial"/>
          <w:sz w:val="22"/>
          <w:szCs w:val="22"/>
        </w:rPr>
        <w:t>;</w:t>
      </w:r>
      <w:r w:rsidRPr="00B80226">
        <w:rPr>
          <w:rFonts w:ascii="Arial" w:hAnsi="Arial" w:cs="Arial"/>
          <w:sz w:val="22"/>
          <w:szCs w:val="22"/>
        </w:rPr>
        <w:t xml:space="preserve"> </w:t>
      </w:r>
      <w:r w:rsidR="009A66A7" w:rsidRPr="00B80226">
        <w:rPr>
          <w:rFonts w:ascii="Arial" w:hAnsi="Arial" w:cs="Arial"/>
          <w:sz w:val="22"/>
          <w:szCs w:val="22"/>
        </w:rPr>
        <w:t xml:space="preserve">and </w:t>
      </w:r>
      <w:r w:rsidRPr="00B80226">
        <w:rPr>
          <w:rFonts w:ascii="Arial" w:hAnsi="Arial" w:cs="Arial"/>
          <w:sz w:val="22"/>
          <w:szCs w:val="22"/>
        </w:rPr>
        <w:t>the continued roll out of new outlets</w:t>
      </w:r>
      <w:r w:rsidR="00172E5D" w:rsidRPr="00B80226">
        <w:rPr>
          <w:rFonts w:ascii="Arial" w:hAnsi="Arial" w:cs="Arial"/>
          <w:sz w:val="22"/>
          <w:szCs w:val="22"/>
        </w:rPr>
        <w:t xml:space="preserve">. </w:t>
      </w:r>
      <w:r w:rsidR="00B847F3" w:rsidRPr="00C5382F">
        <w:rPr>
          <w:rFonts w:ascii="Arial" w:hAnsi="Arial" w:cs="Arial"/>
          <w:sz w:val="22"/>
          <w:szCs w:val="22"/>
        </w:rPr>
        <w:t>16</w:t>
      </w:r>
      <w:r w:rsidR="004C341E" w:rsidRPr="00C5382F">
        <w:rPr>
          <w:rFonts w:ascii="Arial" w:hAnsi="Arial" w:cs="Arial"/>
          <w:sz w:val="22"/>
          <w:szCs w:val="22"/>
        </w:rPr>
        <w:t xml:space="preserve"> </w:t>
      </w:r>
      <w:r w:rsidRPr="00C5382F">
        <w:rPr>
          <w:rFonts w:ascii="Arial" w:hAnsi="Arial" w:cs="Arial"/>
          <w:sz w:val="22"/>
          <w:szCs w:val="22"/>
        </w:rPr>
        <w:t>n</w:t>
      </w:r>
      <w:r w:rsidRPr="00B80226">
        <w:rPr>
          <w:rFonts w:ascii="Arial" w:hAnsi="Arial" w:cs="Arial"/>
          <w:sz w:val="22"/>
          <w:szCs w:val="22"/>
        </w:rPr>
        <w:t>ew outlets were opened</w:t>
      </w:r>
      <w:r w:rsidR="006743B1" w:rsidRPr="00B80226">
        <w:rPr>
          <w:rFonts w:ascii="Arial" w:hAnsi="Arial" w:cs="Arial"/>
          <w:sz w:val="22"/>
          <w:szCs w:val="22"/>
        </w:rPr>
        <w:t xml:space="preserve"> in</w:t>
      </w:r>
      <w:r w:rsidR="006743B1" w:rsidRPr="003D4DBB">
        <w:rPr>
          <w:rFonts w:ascii="Arial" w:hAnsi="Arial" w:cs="Arial"/>
          <w:sz w:val="22"/>
          <w:szCs w:val="22"/>
        </w:rPr>
        <w:t xml:space="preserve"> H1</w:t>
      </w:r>
      <w:r w:rsidR="0091284F">
        <w:rPr>
          <w:rFonts w:ascii="Arial" w:hAnsi="Arial" w:cs="Arial"/>
          <w:sz w:val="22"/>
          <w:szCs w:val="22"/>
        </w:rPr>
        <w:t xml:space="preserve"> 19/20</w:t>
      </w:r>
      <w:r w:rsidRPr="003D4DBB">
        <w:rPr>
          <w:rFonts w:ascii="Arial" w:hAnsi="Arial" w:cs="Arial"/>
          <w:sz w:val="22"/>
          <w:szCs w:val="22"/>
        </w:rPr>
        <w:t xml:space="preserve">, taking the total </w:t>
      </w:r>
      <w:r w:rsidRPr="00C5382F">
        <w:rPr>
          <w:rFonts w:ascii="Arial" w:hAnsi="Arial" w:cs="Arial"/>
          <w:sz w:val="22"/>
          <w:szCs w:val="22"/>
        </w:rPr>
        <w:t xml:space="preserve">to </w:t>
      </w:r>
      <w:r w:rsidR="00162B2A" w:rsidRPr="00C5382F">
        <w:rPr>
          <w:rFonts w:ascii="Arial" w:hAnsi="Arial" w:cs="Arial"/>
          <w:sz w:val="22"/>
          <w:szCs w:val="22"/>
        </w:rPr>
        <w:t>6</w:t>
      </w:r>
      <w:r w:rsidR="00B80226" w:rsidRPr="00C5382F">
        <w:rPr>
          <w:rFonts w:ascii="Arial" w:hAnsi="Arial" w:cs="Arial"/>
          <w:sz w:val="22"/>
          <w:szCs w:val="22"/>
        </w:rPr>
        <w:t>4</w:t>
      </w:r>
      <w:r w:rsidR="00E9670C">
        <w:rPr>
          <w:rFonts w:ascii="Arial" w:hAnsi="Arial" w:cs="Arial"/>
          <w:sz w:val="22"/>
          <w:szCs w:val="22"/>
        </w:rPr>
        <w:t>3</w:t>
      </w:r>
      <w:r w:rsidRPr="003D4DBB">
        <w:rPr>
          <w:rFonts w:ascii="Arial" w:hAnsi="Arial" w:cs="Arial"/>
          <w:sz w:val="22"/>
          <w:szCs w:val="22"/>
        </w:rPr>
        <w:t>.</w:t>
      </w:r>
      <w:r w:rsidR="00332A96" w:rsidRPr="003D4DBB">
        <w:rPr>
          <w:rFonts w:ascii="Arial" w:hAnsi="Arial" w:cs="Arial"/>
          <w:sz w:val="22"/>
          <w:szCs w:val="22"/>
        </w:rPr>
        <w:t xml:space="preserve"> </w:t>
      </w:r>
      <w:r w:rsidR="00592268">
        <w:rPr>
          <w:rFonts w:ascii="Arial" w:hAnsi="Arial" w:cs="Arial"/>
          <w:sz w:val="22"/>
          <w:szCs w:val="22"/>
        </w:rPr>
        <w:t xml:space="preserve">The </w:t>
      </w:r>
      <w:r w:rsidR="00B17961" w:rsidRPr="003D4DBB">
        <w:rPr>
          <w:rFonts w:ascii="Arial" w:hAnsi="Arial" w:cs="Arial"/>
          <w:sz w:val="22"/>
          <w:szCs w:val="22"/>
        </w:rPr>
        <w:t xml:space="preserve">overall target is to have around </w:t>
      </w:r>
      <w:r w:rsidR="00A9284A">
        <w:rPr>
          <w:rFonts w:ascii="Arial" w:hAnsi="Arial" w:cs="Arial"/>
          <w:sz w:val="22"/>
          <w:szCs w:val="22"/>
        </w:rPr>
        <w:t>8</w:t>
      </w:r>
      <w:r w:rsidR="00B17961" w:rsidRPr="003D4DBB">
        <w:rPr>
          <w:rFonts w:ascii="Arial" w:hAnsi="Arial" w:cs="Arial"/>
          <w:sz w:val="22"/>
          <w:szCs w:val="22"/>
        </w:rPr>
        <w:t>00 outlets in the UK</w:t>
      </w:r>
      <w:r w:rsidR="00B80226">
        <w:rPr>
          <w:rFonts w:ascii="Arial" w:hAnsi="Arial" w:cs="Arial"/>
          <w:sz w:val="22"/>
          <w:szCs w:val="22"/>
        </w:rPr>
        <w:t xml:space="preserve"> and </w:t>
      </w:r>
      <w:r w:rsidR="00592268">
        <w:rPr>
          <w:rFonts w:ascii="Arial" w:hAnsi="Arial" w:cs="Arial"/>
          <w:sz w:val="22"/>
          <w:szCs w:val="22"/>
        </w:rPr>
        <w:t xml:space="preserve">the business </w:t>
      </w:r>
      <w:r w:rsidR="00B80226">
        <w:rPr>
          <w:rFonts w:ascii="Arial" w:hAnsi="Arial" w:cs="Arial"/>
          <w:sz w:val="22"/>
          <w:szCs w:val="22"/>
        </w:rPr>
        <w:t>remain</w:t>
      </w:r>
      <w:r w:rsidR="00592268">
        <w:rPr>
          <w:rFonts w:ascii="Arial" w:hAnsi="Arial" w:cs="Arial"/>
          <w:sz w:val="22"/>
          <w:szCs w:val="22"/>
        </w:rPr>
        <w:t>s</w:t>
      </w:r>
      <w:r w:rsidR="00B80226">
        <w:rPr>
          <w:rFonts w:ascii="Arial" w:hAnsi="Arial" w:cs="Arial"/>
          <w:sz w:val="22"/>
          <w:szCs w:val="22"/>
        </w:rPr>
        <w:t xml:space="preserve"> on track to open stores in the Republic of Ireland in H2 </w:t>
      </w:r>
      <w:r w:rsidR="00592268">
        <w:rPr>
          <w:rFonts w:ascii="Arial" w:hAnsi="Arial" w:cs="Arial"/>
          <w:sz w:val="22"/>
          <w:szCs w:val="22"/>
        </w:rPr>
        <w:t xml:space="preserve">19/20 </w:t>
      </w:r>
      <w:r w:rsidR="00B80226">
        <w:rPr>
          <w:rFonts w:ascii="Arial" w:hAnsi="Arial" w:cs="Arial"/>
          <w:sz w:val="22"/>
          <w:szCs w:val="22"/>
        </w:rPr>
        <w:t>to complement our existing online presence</w:t>
      </w:r>
      <w:r w:rsidR="00B80226" w:rsidRPr="00A12C1E">
        <w:rPr>
          <w:rFonts w:ascii="Arial" w:hAnsi="Arial" w:cs="Arial"/>
          <w:sz w:val="22"/>
          <w:szCs w:val="22"/>
        </w:rPr>
        <w:t>.</w:t>
      </w:r>
    </w:p>
    <w:p w14:paraId="72001463" w14:textId="3EE06CB3" w:rsidR="007D43ED" w:rsidRDefault="007D43ED" w:rsidP="007D43ED">
      <w:pPr>
        <w:pStyle w:val="PlainText"/>
        <w:rPr>
          <w:rFonts w:ascii="Arial" w:hAnsi="Arial" w:cs="Arial"/>
          <w:sz w:val="22"/>
          <w:szCs w:val="22"/>
        </w:rPr>
      </w:pPr>
    </w:p>
    <w:bookmarkEnd w:id="25"/>
    <w:p w14:paraId="122E8424" w14:textId="77777777" w:rsidR="008C0CE4" w:rsidRDefault="008C0CE4">
      <w:pPr>
        <w:jc w:val="left"/>
        <w:rPr>
          <w:rFonts w:ascii="Arial" w:hAnsi="Arial" w:cs="Arial"/>
          <w:highlight w:val="yellow"/>
        </w:rPr>
      </w:pPr>
    </w:p>
    <w:p w14:paraId="081B1EF7" w14:textId="6AB75E5D" w:rsidR="002F5458" w:rsidRPr="00AC598B" w:rsidRDefault="002F5458">
      <w:pPr>
        <w:jc w:val="left"/>
        <w:rPr>
          <w:rFonts w:ascii="Arial" w:hAnsi="Arial" w:cs="Arial"/>
          <w:highlight w:val="yellow"/>
        </w:rPr>
      </w:pPr>
    </w:p>
    <w:p w14:paraId="6879FAAB" w14:textId="77777777" w:rsidR="000621F1" w:rsidRDefault="000621F1">
      <w:pPr>
        <w:jc w:val="left"/>
        <w:rPr>
          <w:rFonts w:ascii="Arial" w:hAnsi="Arial" w:cs="Arial"/>
          <w:b/>
          <w:bCs/>
        </w:rPr>
      </w:pPr>
      <w:r>
        <w:rPr>
          <w:rFonts w:ascii="Arial" w:hAnsi="Arial" w:cs="Arial"/>
          <w:b/>
          <w:bCs/>
        </w:rPr>
        <w:br w:type="page"/>
      </w:r>
    </w:p>
    <w:p w14:paraId="2142CC72" w14:textId="75D43173" w:rsidR="002F5458" w:rsidRPr="00AC598B" w:rsidRDefault="002F5458" w:rsidP="002F5458">
      <w:pPr>
        <w:jc w:val="left"/>
        <w:rPr>
          <w:rFonts w:ascii="Arial" w:hAnsi="Arial" w:cs="Arial"/>
        </w:rPr>
      </w:pPr>
      <w:bookmarkStart w:id="26" w:name="_Hlk524531865"/>
      <w:r w:rsidRPr="00AC598B">
        <w:rPr>
          <w:rFonts w:ascii="Arial" w:hAnsi="Arial" w:cs="Arial"/>
          <w:b/>
          <w:bCs/>
        </w:rPr>
        <w:lastRenderedPageBreak/>
        <w:t xml:space="preserve">FRANCE </w:t>
      </w:r>
    </w:p>
    <w:bookmarkEnd w:id="26"/>
    <w:p w14:paraId="1AAA01BD" w14:textId="77777777" w:rsidR="002F5458" w:rsidRPr="00AC598B" w:rsidRDefault="002F5458" w:rsidP="002F5458">
      <w:pPr>
        <w:rPr>
          <w:rFonts w:ascii="Arial" w:hAnsi="Arial" w:cs="Arial"/>
          <w:b/>
          <w:bCs/>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1311"/>
        <w:gridCol w:w="1160"/>
        <w:gridCol w:w="1596"/>
        <w:gridCol w:w="1741"/>
        <w:gridCol w:w="1160"/>
      </w:tblGrid>
      <w:tr w:rsidR="002F5458" w:rsidRPr="00667C8E" w14:paraId="7F771F73" w14:textId="77777777" w:rsidTr="009C6430">
        <w:tc>
          <w:tcPr>
            <w:tcW w:w="1289" w:type="pct"/>
            <w:tcBorders>
              <w:bottom w:val="single" w:sz="4" w:space="0" w:color="auto"/>
            </w:tcBorders>
          </w:tcPr>
          <w:p w14:paraId="07117EB7" w14:textId="77777777" w:rsidR="002F5458" w:rsidRPr="00C64D89" w:rsidRDefault="002F5458" w:rsidP="009C6430">
            <w:pPr>
              <w:rPr>
                <w:rFonts w:ascii="Arial" w:hAnsi="Arial" w:cs="Arial"/>
                <w:b/>
              </w:rPr>
            </w:pPr>
            <w:r w:rsidRPr="00C64D89">
              <w:rPr>
                <w:rFonts w:ascii="Arial" w:hAnsi="Arial" w:cs="Arial"/>
                <w:b/>
              </w:rPr>
              <w:t>£m</w:t>
            </w:r>
          </w:p>
        </w:tc>
        <w:tc>
          <w:tcPr>
            <w:tcW w:w="698" w:type="pct"/>
            <w:tcBorders>
              <w:bottom w:val="single" w:sz="4" w:space="0" w:color="auto"/>
            </w:tcBorders>
          </w:tcPr>
          <w:p w14:paraId="4536D7CB" w14:textId="02FF1D3A" w:rsidR="002F5458" w:rsidRPr="00AC598B" w:rsidRDefault="002F5458" w:rsidP="009C6430">
            <w:pPr>
              <w:jc w:val="right"/>
              <w:rPr>
                <w:rFonts w:ascii="Arial" w:hAnsi="Arial" w:cs="Arial"/>
              </w:rPr>
            </w:pPr>
            <w:r w:rsidRPr="00AC598B">
              <w:rPr>
                <w:rFonts w:ascii="Arial" w:hAnsi="Arial" w:cs="Arial"/>
                <w:b/>
                <w:bCs/>
              </w:rPr>
              <w:t>201</w:t>
            </w:r>
            <w:r w:rsidR="00BF586F">
              <w:rPr>
                <w:rFonts w:ascii="Arial" w:hAnsi="Arial" w:cs="Arial"/>
                <w:b/>
                <w:bCs/>
              </w:rPr>
              <w:t>9</w:t>
            </w:r>
            <w:r w:rsidRPr="00AC598B">
              <w:rPr>
                <w:rFonts w:ascii="Arial" w:hAnsi="Arial" w:cs="Arial"/>
                <w:b/>
                <w:bCs/>
              </w:rPr>
              <w:t>/</w:t>
            </w:r>
            <w:r w:rsidR="00BF586F">
              <w:rPr>
                <w:rFonts w:ascii="Arial" w:hAnsi="Arial" w:cs="Arial"/>
                <w:b/>
                <w:bCs/>
              </w:rPr>
              <w:t>20</w:t>
            </w:r>
          </w:p>
        </w:tc>
        <w:tc>
          <w:tcPr>
            <w:tcW w:w="618" w:type="pct"/>
            <w:tcBorders>
              <w:bottom w:val="single" w:sz="4" w:space="0" w:color="auto"/>
            </w:tcBorders>
          </w:tcPr>
          <w:p w14:paraId="6401721E" w14:textId="0264DB53" w:rsidR="002F5458" w:rsidRPr="00AC598B" w:rsidRDefault="002F5458" w:rsidP="009C6430">
            <w:pPr>
              <w:jc w:val="right"/>
              <w:rPr>
                <w:rFonts w:ascii="Arial" w:hAnsi="Arial" w:cs="Arial"/>
                <w:b/>
                <w:bCs/>
              </w:rPr>
            </w:pPr>
            <w:r w:rsidRPr="00AC598B">
              <w:rPr>
                <w:rFonts w:ascii="Arial" w:hAnsi="Arial" w:cs="Arial"/>
                <w:b/>
                <w:bCs/>
              </w:rPr>
              <w:t>201</w:t>
            </w:r>
            <w:r w:rsidR="00BF586F">
              <w:rPr>
                <w:rFonts w:ascii="Arial" w:hAnsi="Arial" w:cs="Arial"/>
                <w:b/>
                <w:bCs/>
              </w:rPr>
              <w:t>8</w:t>
            </w:r>
            <w:r w:rsidRPr="00AC598B">
              <w:rPr>
                <w:rFonts w:ascii="Arial" w:hAnsi="Arial" w:cs="Arial"/>
                <w:b/>
                <w:bCs/>
              </w:rPr>
              <w:t>/1</w:t>
            </w:r>
            <w:r w:rsidR="00BF586F">
              <w:rPr>
                <w:rFonts w:ascii="Arial" w:hAnsi="Arial" w:cs="Arial"/>
                <w:b/>
                <w:bCs/>
              </w:rPr>
              <w:t>9</w:t>
            </w:r>
          </w:p>
        </w:tc>
        <w:tc>
          <w:tcPr>
            <w:tcW w:w="850" w:type="pct"/>
            <w:tcBorders>
              <w:bottom w:val="single" w:sz="4" w:space="0" w:color="auto"/>
            </w:tcBorders>
          </w:tcPr>
          <w:p w14:paraId="2683CDE7" w14:textId="77777777" w:rsidR="002F5458" w:rsidRPr="00AC598B" w:rsidRDefault="002F5458" w:rsidP="009C6430">
            <w:pPr>
              <w:jc w:val="right"/>
              <w:rPr>
                <w:rFonts w:ascii="Arial" w:hAnsi="Arial" w:cs="Arial"/>
                <w:b/>
                <w:bCs/>
              </w:rPr>
            </w:pPr>
            <w:r w:rsidRPr="00AC598B">
              <w:rPr>
                <w:rFonts w:ascii="Arial" w:hAnsi="Arial" w:cs="Arial"/>
                <w:b/>
                <w:bCs/>
              </w:rPr>
              <w:t>% Reported</w:t>
            </w:r>
            <w:r w:rsidRPr="00AC598B" w:rsidDel="00197636">
              <w:rPr>
                <w:rFonts w:ascii="Arial" w:hAnsi="Arial" w:cs="Arial"/>
                <w:b/>
                <w:bCs/>
              </w:rPr>
              <w:t xml:space="preserve"> </w:t>
            </w:r>
            <w:r w:rsidRPr="00AC598B">
              <w:rPr>
                <w:rFonts w:ascii="Arial" w:hAnsi="Arial" w:cs="Arial"/>
                <w:b/>
                <w:bCs/>
              </w:rPr>
              <w:t>Change</w:t>
            </w:r>
          </w:p>
          <w:p w14:paraId="297EEB10" w14:textId="77777777" w:rsidR="002F5458" w:rsidRPr="00AC598B" w:rsidRDefault="002F5458" w:rsidP="009C6430">
            <w:pPr>
              <w:jc w:val="right"/>
              <w:rPr>
                <w:rFonts w:ascii="Arial" w:hAnsi="Arial" w:cs="Arial"/>
                <w:b/>
                <w:bCs/>
              </w:rPr>
            </w:pPr>
          </w:p>
        </w:tc>
        <w:tc>
          <w:tcPr>
            <w:tcW w:w="927" w:type="pct"/>
            <w:tcBorders>
              <w:bottom w:val="single" w:sz="4" w:space="0" w:color="auto"/>
            </w:tcBorders>
          </w:tcPr>
          <w:p w14:paraId="050C9DFB" w14:textId="77777777" w:rsidR="002F5458" w:rsidRPr="00AC598B" w:rsidRDefault="002F5458" w:rsidP="009C6430">
            <w:pPr>
              <w:jc w:val="right"/>
              <w:rPr>
                <w:rFonts w:ascii="Arial" w:hAnsi="Arial" w:cs="Arial"/>
                <w:b/>
                <w:bCs/>
              </w:rPr>
            </w:pPr>
            <w:r w:rsidRPr="00AC598B">
              <w:rPr>
                <w:rFonts w:ascii="Arial" w:hAnsi="Arial" w:cs="Arial"/>
                <w:b/>
                <w:bCs/>
              </w:rPr>
              <w:t>% Constant</w:t>
            </w:r>
          </w:p>
          <w:p w14:paraId="50155F81" w14:textId="77777777" w:rsidR="002F5458" w:rsidRPr="00AC598B" w:rsidRDefault="002F5458" w:rsidP="009C6430">
            <w:pPr>
              <w:jc w:val="right"/>
              <w:rPr>
                <w:rFonts w:ascii="Arial" w:hAnsi="Arial" w:cs="Arial"/>
                <w:b/>
                <w:bCs/>
              </w:rPr>
            </w:pPr>
            <w:r w:rsidRPr="00AC598B">
              <w:rPr>
                <w:rFonts w:ascii="Arial" w:hAnsi="Arial" w:cs="Arial"/>
                <w:b/>
                <w:bCs/>
              </w:rPr>
              <w:t>Currency</w:t>
            </w:r>
          </w:p>
          <w:p w14:paraId="5EFDAFFA" w14:textId="77777777" w:rsidR="002F5458" w:rsidRPr="00AC598B" w:rsidRDefault="002F5458" w:rsidP="009C6430">
            <w:pPr>
              <w:jc w:val="right"/>
              <w:rPr>
                <w:rFonts w:ascii="Arial" w:hAnsi="Arial" w:cs="Arial"/>
                <w:b/>
                <w:bCs/>
              </w:rPr>
            </w:pPr>
            <w:r w:rsidRPr="00AC598B">
              <w:rPr>
                <w:rFonts w:ascii="Arial" w:hAnsi="Arial" w:cs="Arial"/>
                <w:b/>
                <w:bCs/>
              </w:rPr>
              <w:t xml:space="preserve">Change  </w:t>
            </w:r>
          </w:p>
        </w:tc>
        <w:tc>
          <w:tcPr>
            <w:tcW w:w="618" w:type="pct"/>
            <w:tcBorders>
              <w:bottom w:val="single" w:sz="4" w:space="0" w:color="auto"/>
            </w:tcBorders>
          </w:tcPr>
          <w:p w14:paraId="4554FB09" w14:textId="77777777" w:rsidR="002F5458" w:rsidRPr="00AC598B" w:rsidRDefault="002F5458" w:rsidP="009C6430">
            <w:pPr>
              <w:ind w:hanging="108"/>
              <w:jc w:val="right"/>
              <w:rPr>
                <w:rFonts w:ascii="Arial" w:hAnsi="Arial" w:cs="Arial"/>
                <w:b/>
                <w:bCs/>
              </w:rPr>
            </w:pPr>
            <w:r w:rsidRPr="00AC598B">
              <w:rPr>
                <w:rFonts w:ascii="Arial" w:hAnsi="Arial" w:cs="Arial"/>
                <w:b/>
                <w:bCs/>
              </w:rPr>
              <w:t>% LFL</w:t>
            </w:r>
          </w:p>
          <w:p w14:paraId="682F73B7" w14:textId="77777777" w:rsidR="002F5458" w:rsidRPr="00AC598B" w:rsidRDefault="002F5458" w:rsidP="009C6430">
            <w:pPr>
              <w:ind w:hanging="108"/>
              <w:jc w:val="right"/>
              <w:rPr>
                <w:rFonts w:ascii="Arial" w:hAnsi="Arial" w:cs="Arial"/>
                <w:b/>
                <w:bCs/>
              </w:rPr>
            </w:pPr>
            <w:r w:rsidRPr="00AC598B">
              <w:rPr>
                <w:rFonts w:ascii="Arial" w:hAnsi="Arial" w:cs="Arial"/>
                <w:b/>
                <w:bCs/>
              </w:rPr>
              <w:t>Change</w:t>
            </w:r>
          </w:p>
        </w:tc>
      </w:tr>
      <w:tr w:rsidR="00BF586F" w:rsidRPr="00BF586F" w14:paraId="4BA20A86" w14:textId="77777777" w:rsidTr="009C6430">
        <w:trPr>
          <w:trHeight w:val="147"/>
        </w:trPr>
        <w:tc>
          <w:tcPr>
            <w:tcW w:w="1289" w:type="pct"/>
            <w:tcBorders>
              <w:bottom w:val="single" w:sz="4" w:space="0" w:color="auto"/>
            </w:tcBorders>
          </w:tcPr>
          <w:p w14:paraId="17FE752B" w14:textId="77777777" w:rsidR="00BF586F" w:rsidRPr="008F269E" w:rsidRDefault="00BF586F" w:rsidP="00BF586F">
            <w:pPr>
              <w:rPr>
                <w:rFonts w:ascii="Arial" w:hAnsi="Arial" w:cs="Arial"/>
                <w:b/>
              </w:rPr>
            </w:pPr>
            <w:r w:rsidRPr="008F269E">
              <w:rPr>
                <w:rFonts w:ascii="Arial" w:hAnsi="Arial" w:cs="Arial"/>
                <w:b/>
                <w:bCs/>
              </w:rPr>
              <w:t>Sales</w:t>
            </w:r>
          </w:p>
        </w:tc>
        <w:tc>
          <w:tcPr>
            <w:tcW w:w="698" w:type="pct"/>
            <w:tcBorders>
              <w:bottom w:val="single" w:sz="4" w:space="0" w:color="auto"/>
            </w:tcBorders>
          </w:tcPr>
          <w:p w14:paraId="17E1A5CD" w14:textId="7BF54EBD" w:rsidR="00BF586F" w:rsidRPr="008F269E" w:rsidRDefault="00BF586F" w:rsidP="00BF586F">
            <w:pPr>
              <w:jc w:val="right"/>
              <w:rPr>
                <w:rFonts w:ascii="Arial" w:hAnsi="Arial" w:cs="Arial"/>
              </w:rPr>
            </w:pPr>
            <w:r w:rsidRPr="008F269E">
              <w:rPr>
                <w:rFonts w:ascii="Arial" w:hAnsi="Arial" w:cs="Arial"/>
              </w:rPr>
              <w:t>2,</w:t>
            </w:r>
            <w:r w:rsidR="008F269E" w:rsidRPr="008F269E">
              <w:rPr>
                <w:rFonts w:ascii="Arial" w:hAnsi="Arial" w:cs="Arial"/>
              </w:rPr>
              <w:t>158</w:t>
            </w:r>
          </w:p>
        </w:tc>
        <w:tc>
          <w:tcPr>
            <w:tcW w:w="618" w:type="pct"/>
            <w:tcBorders>
              <w:bottom w:val="single" w:sz="4" w:space="0" w:color="auto"/>
            </w:tcBorders>
          </w:tcPr>
          <w:p w14:paraId="46A25F45" w14:textId="2A9A3832" w:rsidR="00BF586F" w:rsidRPr="008F269E" w:rsidRDefault="00BF586F" w:rsidP="00BF586F">
            <w:pPr>
              <w:jc w:val="right"/>
              <w:rPr>
                <w:rFonts w:ascii="Arial" w:hAnsi="Arial" w:cs="Arial"/>
              </w:rPr>
            </w:pPr>
            <w:r w:rsidRPr="008F269E">
              <w:rPr>
                <w:rFonts w:ascii="Arial" w:hAnsi="Arial" w:cs="Arial"/>
              </w:rPr>
              <w:t>2,267</w:t>
            </w:r>
          </w:p>
        </w:tc>
        <w:tc>
          <w:tcPr>
            <w:tcW w:w="850" w:type="pct"/>
            <w:tcBorders>
              <w:bottom w:val="single" w:sz="4" w:space="0" w:color="auto"/>
            </w:tcBorders>
          </w:tcPr>
          <w:p w14:paraId="5E2DC3F0" w14:textId="0E342C7F" w:rsidR="00BF586F" w:rsidRPr="008F269E" w:rsidRDefault="00BF586F" w:rsidP="00BF586F">
            <w:pPr>
              <w:jc w:val="right"/>
              <w:rPr>
                <w:rFonts w:ascii="Arial" w:hAnsi="Arial" w:cs="Arial"/>
              </w:rPr>
            </w:pPr>
            <w:r w:rsidRPr="008F269E">
              <w:rPr>
                <w:rFonts w:ascii="Arial" w:hAnsi="Arial" w:cs="Arial"/>
              </w:rPr>
              <w:t>(</w:t>
            </w:r>
            <w:r w:rsidR="008F269E" w:rsidRPr="008F269E">
              <w:rPr>
                <w:rFonts w:ascii="Arial" w:hAnsi="Arial" w:cs="Arial"/>
              </w:rPr>
              <w:t>4.8</w:t>
            </w:r>
            <w:r w:rsidRPr="008F269E">
              <w:rPr>
                <w:rFonts w:ascii="Arial" w:hAnsi="Arial" w:cs="Arial"/>
              </w:rPr>
              <w:t>)%</w:t>
            </w:r>
          </w:p>
        </w:tc>
        <w:tc>
          <w:tcPr>
            <w:tcW w:w="927" w:type="pct"/>
            <w:tcBorders>
              <w:bottom w:val="single" w:sz="4" w:space="0" w:color="auto"/>
            </w:tcBorders>
          </w:tcPr>
          <w:p w14:paraId="1CC2C148" w14:textId="4CD06346" w:rsidR="00BF586F" w:rsidRPr="008F269E" w:rsidRDefault="00BF586F" w:rsidP="00BF586F">
            <w:pPr>
              <w:jc w:val="right"/>
              <w:rPr>
                <w:rFonts w:ascii="Arial" w:hAnsi="Arial" w:cs="Arial"/>
              </w:rPr>
            </w:pPr>
            <w:r w:rsidRPr="008F269E">
              <w:rPr>
                <w:rFonts w:ascii="Arial" w:hAnsi="Arial" w:cs="Arial"/>
              </w:rPr>
              <w:t>(</w:t>
            </w:r>
            <w:r w:rsidR="00557093" w:rsidRPr="008F269E">
              <w:rPr>
                <w:rFonts w:ascii="Arial" w:hAnsi="Arial" w:cs="Arial"/>
              </w:rPr>
              <w:t>4</w:t>
            </w:r>
            <w:r w:rsidRPr="008F269E">
              <w:rPr>
                <w:rFonts w:ascii="Arial" w:hAnsi="Arial" w:cs="Arial"/>
              </w:rPr>
              <w:t>.</w:t>
            </w:r>
            <w:r w:rsidR="008F269E" w:rsidRPr="008F269E">
              <w:rPr>
                <w:rFonts w:ascii="Arial" w:hAnsi="Arial" w:cs="Arial"/>
              </w:rPr>
              <w:t>2)</w:t>
            </w:r>
            <w:r w:rsidRPr="008F269E">
              <w:rPr>
                <w:rFonts w:ascii="Arial" w:hAnsi="Arial" w:cs="Arial"/>
              </w:rPr>
              <w:t>%</w:t>
            </w:r>
          </w:p>
        </w:tc>
        <w:tc>
          <w:tcPr>
            <w:tcW w:w="618" w:type="pct"/>
            <w:tcBorders>
              <w:bottom w:val="single" w:sz="4" w:space="0" w:color="auto"/>
            </w:tcBorders>
          </w:tcPr>
          <w:p w14:paraId="767D9AA1" w14:textId="5F26A0D8" w:rsidR="00BF586F" w:rsidRPr="008F269E" w:rsidRDefault="00BF586F" w:rsidP="00BF586F">
            <w:pPr>
              <w:jc w:val="right"/>
              <w:rPr>
                <w:rFonts w:ascii="Arial" w:hAnsi="Arial" w:cs="Arial"/>
              </w:rPr>
            </w:pPr>
            <w:r w:rsidRPr="008F269E">
              <w:rPr>
                <w:rFonts w:ascii="Arial" w:hAnsi="Arial" w:cs="Arial"/>
              </w:rPr>
              <w:t>(</w:t>
            </w:r>
            <w:r w:rsidR="008F269E" w:rsidRPr="008F269E">
              <w:rPr>
                <w:rFonts w:ascii="Arial" w:hAnsi="Arial" w:cs="Arial"/>
              </w:rPr>
              <w:t>4.4)</w:t>
            </w:r>
            <w:r w:rsidRPr="008F269E">
              <w:rPr>
                <w:rFonts w:ascii="Arial" w:hAnsi="Arial" w:cs="Arial"/>
              </w:rPr>
              <w:t>%</w:t>
            </w:r>
          </w:p>
        </w:tc>
      </w:tr>
      <w:tr w:rsidR="00BF586F" w:rsidRPr="00BF586F" w14:paraId="28C26082" w14:textId="77777777" w:rsidTr="00925EFB">
        <w:trPr>
          <w:gridAfter w:val="1"/>
          <w:wAfter w:w="618" w:type="pct"/>
        </w:trPr>
        <w:tc>
          <w:tcPr>
            <w:tcW w:w="1289" w:type="pct"/>
            <w:tcBorders>
              <w:top w:val="nil"/>
              <w:left w:val="nil"/>
              <w:bottom w:val="single" w:sz="4" w:space="0" w:color="auto"/>
              <w:right w:val="nil"/>
            </w:tcBorders>
          </w:tcPr>
          <w:p w14:paraId="227A9039" w14:textId="77777777" w:rsidR="00BF586F" w:rsidRPr="00AC598B" w:rsidRDefault="00BF586F" w:rsidP="00BF586F">
            <w:pPr>
              <w:rPr>
                <w:rFonts w:ascii="Arial" w:hAnsi="Arial" w:cs="Arial"/>
                <w:bCs/>
              </w:rPr>
            </w:pPr>
          </w:p>
        </w:tc>
        <w:tc>
          <w:tcPr>
            <w:tcW w:w="698" w:type="pct"/>
            <w:tcBorders>
              <w:top w:val="nil"/>
              <w:left w:val="nil"/>
              <w:bottom w:val="single" w:sz="4" w:space="0" w:color="auto"/>
              <w:right w:val="nil"/>
            </w:tcBorders>
          </w:tcPr>
          <w:p w14:paraId="52FB9081" w14:textId="77777777" w:rsidR="00BF586F" w:rsidRPr="00BF586F" w:rsidRDefault="00BF586F" w:rsidP="00BF586F">
            <w:pPr>
              <w:jc w:val="right"/>
              <w:rPr>
                <w:rFonts w:ascii="Arial" w:hAnsi="Arial" w:cs="Arial"/>
                <w:highlight w:val="yellow"/>
              </w:rPr>
            </w:pPr>
          </w:p>
        </w:tc>
        <w:tc>
          <w:tcPr>
            <w:tcW w:w="618" w:type="pct"/>
            <w:tcBorders>
              <w:top w:val="nil"/>
              <w:left w:val="nil"/>
              <w:bottom w:val="single" w:sz="4" w:space="0" w:color="auto"/>
              <w:right w:val="nil"/>
            </w:tcBorders>
          </w:tcPr>
          <w:p w14:paraId="17E38EBD" w14:textId="77777777" w:rsidR="00BF586F" w:rsidRPr="00230CDB" w:rsidRDefault="00BF586F" w:rsidP="00BF586F">
            <w:pPr>
              <w:jc w:val="right"/>
              <w:rPr>
                <w:rFonts w:ascii="Arial" w:hAnsi="Arial" w:cs="Arial"/>
              </w:rPr>
            </w:pPr>
          </w:p>
        </w:tc>
        <w:tc>
          <w:tcPr>
            <w:tcW w:w="850" w:type="pct"/>
            <w:tcBorders>
              <w:top w:val="nil"/>
              <w:left w:val="nil"/>
              <w:bottom w:val="single" w:sz="4" w:space="0" w:color="auto"/>
              <w:right w:val="nil"/>
            </w:tcBorders>
          </w:tcPr>
          <w:p w14:paraId="0FE7B564" w14:textId="77777777" w:rsidR="00BF586F" w:rsidRPr="00BF586F" w:rsidRDefault="00BF586F" w:rsidP="00BF586F">
            <w:pPr>
              <w:jc w:val="right"/>
              <w:rPr>
                <w:rFonts w:ascii="Arial" w:hAnsi="Arial" w:cs="Arial"/>
                <w:highlight w:val="yellow"/>
              </w:rPr>
            </w:pPr>
          </w:p>
        </w:tc>
        <w:tc>
          <w:tcPr>
            <w:tcW w:w="927" w:type="pct"/>
            <w:tcBorders>
              <w:top w:val="nil"/>
              <w:left w:val="nil"/>
              <w:bottom w:val="single" w:sz="4" w:space="0" w:color="auto"/>
              <w:right w:val="nil"/>
            </w:tcBorders>
          </w:tcPr>
          <w:p w14:paraId="472670CE" w14:textId="77777777" w:rsidR="00BF586F" w:rsidRPr="00BF586F" w:rsidRDefault="00BF586F" w:rsidP="00BF586F">
            <w:pPr>
              <w:jc w:val="right"/>
              <w:rPr>
                <w:rFonts w:ascii="Arial" w:hAnsi="Arial" w:cs="Arial"/>
                <w:highlight w:val="yellow"/>
              </w:rPr>
            </w:pPr>
          </w:p>
        </w:tc>
      </w:tr>
      <w:tr w:rsidR="00BF586F" w:rsidRPr="00BF586F" w14:paraId="71ECC01E" w14:textId="77777777" w:rsidTr="00925EFB">
        <w:trPr>
          <w:gridAfter w:val="1"/>
          <w:wAfter w:w="618" w:type="pct"/>
        </w:trPr>
        <w:tc>
          <w:tcPr>
            <w:tcW w:w="1289" w:type="pct"/>
            <w:tcBorders>
              <w:top w:val="single" w:sz="4" w:space="0" w:color="auto"/>
              <w:bottom w:val="single" w:sz="4" w:space="0" w:color="auto"/>
            </w:tcBorders>
          </w:tcPr>
          <w:p w14:paraId="43FD349E" w14:textId="77777777" w:rsidR="00BF586F" w:rsidRPr="00E651D8" w:rsidRDefault="00BF586F" w:rsidP="00BF586F">
            <w:pPr>
              <w:rPr>
                <w:rFonts w:ascii="Arial" w:hAnsi="Arial" w:cs="Arial"/>
                <w:b/>
              </w:rPr>
            </w:pPr>
            <w:r w:rsidRPr="00E651D8">
              <w:rPr>
                <w:rFonts w:ascii="Arial" w:hAnsi="Arial" w:cs="Arial"/>
                <w:b/>
                <w:bCs/>
              </w:rPr>
              <w:t>Retail profit</w:t>
            </w:r>
          </w:p>
        </w:tc>
        <w:tc>
          <w:tcPr>
            <w:tcW w:w="698" w:type="pct"/>
            <w:tcBorders>
              <w:top w:val="single" w:sz="4" w:space="0" w:color="auto"/>
              <w:bottom w:val="single" w:sz="4" w:space="0" w:color="auto"/>
            </w:tcBorders>
          </w:tcPr>
          <w:p w14:paraId="63D85F9F" w14:textId="1DB848B9" w:rsidR="00BF586F" w:rsidRPr="00E651D8" w:rsidRDefault="00E651D8" w:rsidP="00BF586F">
            <w:pPr>
              <w:jc w:val="right"/>
              <w:rPr>
                <w:rFonts w:ascii="Arial" w:hAnsi="Arial" w:cs="Arial"/>
              </w:rPr>
            </w:pPr>
            <w:r w:rsidRPr="00E651D8">
              <w:rPr>
                <w:rFonts w:ascii="Arial" w:hAnsi="Arial" w:cs="Arial"/>
              </w:rPr>
              <w:t>114</w:t>
            </w:r>
          </w:p>
        </w:tc>
        <w:tc>
          <w:tcPr>
            <w:tcW w:w="618" w:type="pct"/>
            <w:tcBorders>
              <w:top w:val="single" w:sz="4" w:space="0" w:color="auto"/>
              <w:bottom w:val="single" w:sz="4" w:space="0" w:color="auto"/>
            </w:tcBorders>
          </w:tcPr>
          <w:p w14:paraId="7ED948E0" w14:textId="3CC898C2" w:rsidR="00BF586F" w:rsidRPr="00E651D8" w:rsidRDefault="00E651D8" w:rsidP="00BF586F">
            <w:pPr>
              <w:jc w:val="right"/>
              <w:rPr>
                <w:rFonts w:ascii="Arial" w:hAnsi="Arial" w:cs="Arial"/>
              </w:rPr>
            </w:pPr>
            <w:r w:rsidRPr="00E651D8">
              <w:rPr>
                <w:rFonts w:ascii="Arial" w:hAnsi="Arial" w:cs="Arial"/>
              </w:rPr>
              <w:t>131</w:t>
            </w:r>
          </w:p>
        </w:tc>
        <w:tc>
          <w:tcPr>
            <w:tcW w:w="850" w:type="pct"/>
            <w:tcBorders>
              <w:top w:val="single" w:sz="4" w:space="0" w:color="auto"/>
              <w:bottom w:val="single" w:sz="4" w:space="0" w:color="auto"/>
            </w:tcBorders>
          </w:tcPr>
          <w:p w14:paraId="70CDABB7" w14:textId="3E8EC1DE" w:rsidR="00BF586F" w:rsidRPr="00E651D8" w:rsidRDefault="00BF586F" w:rsidP="00BF586F">
            <w:pPr>
              <w:jc w:val="right"/>
              <w:rPr>
                <w:rFonts w:ascii="Arial" w:hAnsi="Arial" w:cs="Arial"/>
              </w:rPr>
            </w:pPr>
            <w:r w:rsidRPr="00E651D8">
              <w:rPr>
                <w:rFonts w:ascii="Arial" w:hAnsi="Arial" w:cs="Arial"/>
              </w:rPr>
              <w:t>(</w:t>
            </w:r>
            <w:r w:rsidR="00E651D8" w:rsidRPr="00E651D8">
              <w:rPr>
                <w:rFonts w:ascii="Arial" w:hAnsi="Arial" w:cs="Arial"/>
              </w:rPr>
              <w:t>12.7</w:t>
            </w:r>
            <w:r w:rsidRPr="00E651D8">
              <w:rPr>
                <w:rFonts w:ascii="Arial" w:hAnsi="Arial" w:cs="Arial"/>
              </w:rPr>
              <w:t>)%</w:t>
            </w:r>
          </w:p>
        </w:tc>
        <w:tc>
          <w:tcPr>
            <w:tcW w:w="927" w:type="pct"/>
            <w:tcBorders>
              <w:top w:val="single" w:sz="4" w:space="0" w:color="auto"/>
              <w:bottom w:val="single" w:sz="4" w:space="0" w:color="auto"/>
            </w:tcBorders>
          </w:tcPr>
          <w:p w14:paraId="1D416C84" w14:textId="32615956" w:rsidR="00BF586F" w:rsidRPr="00E651D8" w:rsidRDefault="00BF586F" w:rsidP="00BF586F">
            <w:pPr>
              <w:jc w:val="right"/>
              <w:rPr>
                <w:rFonts w:ascii="Arial" w:hAnsi="Arial" w:cs="Arial"/>
              </w:rPr>
            </w:pPr>
            <w:r w:rsidRPr="00E651D8">
              <w:rPr>
                <w:rFonts w:ascii="Arial" w:hAnsi="Arial" w:cs="Arial"/>
              </w:rPr>
              <w:t>(</w:t>
            </w:r>
            <w:r w:rsidR="00E651D8" w:rsidRPr="00E651D8">
              <w:rPr>
                <w:rFonts w:ascii="Arial" w:hAnsi="Arial" w:cs="Arial"/>
              </w:rPr>
              <w:t>12</w:t>
            </w:r>
            <w:r w:rsidRPr="00E651D8">
              <w:rPr>
                <w:rFonts w:ascii="Arial" w:hAnsi="Arial" w:cs="Arial"/>
              </w:rPr>
              <w:t>.</w:t>
            </w:r>
            <w:r w:rsidR="00E651D8" w:rsidRPr="00E651D8">
              <w:rPr>
                <w:rFonts w:ascii="Arial" w:hAnsi="Arial" w:cs="Arial"/>
              </w:rPr>
              <w:t>2</w:t>
            </w:r>
            <w:r w:rsidRPr="00E651D8">
              <w:rPr>
                <w:rFonts w:ascii="Arial" w:hAnsi="Arial" w:cs="Arial"/>
              </w:rPr>
              <w:t>)%</w:t>
            </w:r>
          </w:p>
        </w:tc>
      </w:tr>
    </w:tbl>
    <w:p w14:paraId="229339A2" w14:textId="77777777" w:rsidR="002F5458" w:rsidRPr="00AC598B" w:rsidRDefault="002F5458" w:rsidP="002F5458">
      <w:pPr>
        <w:jc w:val="left"/>
        <w:rPr>
          <w:rFonts w:ascii="Arial" w:hAnsi="Arial" w:cs="Arial"/>
          <w:b/>
          <w:bCs/>
        </w:rPr>
      </w:pPr>
    </w:p>
    <w:p w14:paraId="0516C3B6" w14:textId="77777777" w:rsidR="002F5458" w:rsidRPr="00AC598B" w:rsidRDefault="002F5458" w:rsidP="002F5458">
      <w:pPr>
        <w:jc w:val="left"/>
        <w:rPr>
          <w:rFonts w:ascii="Arial" w:hAnsi="Arial" w:cs="Arial"/>
          <w:b/>
          <w:bCs/>
        </w:rPr>
      </w:pPr>
    </w:p>
    <w:p w14:paraId="36F22DE4" w14:textId="149EE67E" w:rsidR="0061052B" w:rsidRDefault="002F5458" w:rsidP="00AE0F23">
      <w:pPr>
        <w:jc w:val="left"/>
        <w:rPr>
          <w:rFonts w:ascii="Arial" w:hAnsi="Arial" w:cs="Arial"/>
          <w:bCs/>
        </w:rPr>
      </w:pPr>
      <w:bookmarkStart w:id="27" w:name="_Hlk524531876"/>
      <w:r w:rsidRPr="00230CDB">
        <w:rPr>
          <w:rFonts w:ascii="Arial" w:hAnsi="Arial" w:cs="Arial"/>
          <w:bCs/>
        </w:rPr>
        <w:t xml:space="preserve">Kingfisher France sales </w:t>
      </w:r>
      <w:r w:rsidR="00B43B2F" w:rsidRPr="00230CDB">
        <w:rPr>
          <w:rFonts w:ascii="Arial" w:hAnsi="Arial" w:cs="Arial"/>
          <w:bCs/>
        </w:rPr>
        <w:t>decreased</w:t>
      </w:r>
      <w:r w:rsidR="00921FFC" w:rsidRPr="00230CDB">
        <w:rPr>
          <w:rFonts w:ascii="Arial" w:hAnsi="Arial" w:cs="Arial"/>
          <w:bCs/>
        </w:rPr>
        <w:t xml:space="preserve"> </w:t>
      </w:r>
      <w:r w:rsidRPr="005563F6">
        <w:rPr>
          <w:rFonts w:ascii="Arial" w:hAnsi="Arial" w:cs="Arial"/>
          <w:bCs/>
        </w:rPr>
        <w:t xml:space="preserve">by </w:t>
      </w:r>
      <w:r w:rsidR="00557093" w:rsidRPr="005563F6">
        <w:rPr>
          <w:rFonts w:ascii="Arial" w:hAnsi="Arial" w:cs="Arial"/>
          <w:bCs/>
        </w:rPr>
        <w:t>4.</w:t>
      </w:r>
      <w:r w:rsidR="00E651D8" w:rsidRPr="005563F6">
        <w:rPr>
          <w:rFonts w:ascii="Arial" w:hAnsi="Arial" w:cs="Arial"/>
          <w:bCs/>
        </w:rPr>
        <w:t>2</w:t>
      </w:r>
      <w:r w:rsidRPr="005563F6">
        <w:rPr>
          <w:rFonts w:ascii="Arial" w:hAnsi="Arial" w:cs="Arial"/>
          <w:bCs/>
        </w:rPr>
        <w:t>% (</w:t>
      </w:r>
      <w:r w:rsidR="002F54E4" w:rsidRPr="005563F6">
        <w:rPr>
          <w:rFonts w:ascii="Arial" w:hAnsi="Arial" w:cs="Arial"/>
          <w:szCs w:val="24"/>
        </w:rPr>
        <w:t>-</w:t>
      </w:r>
      <w:r w:rsidR="00557093" w:rsidRPr="005563F6">
        <w:rPr>
          <w:rFonts w:ascii="Arial" w:hAnsi="Arial" w:cs="Arial"/>
          <w:szCs w:val="24"/>
        </w:rPr>
        <w:t>4</w:t>
      </w:r>
      <w:r w:rsidR="002F54E4" w:rsidRPr="005563F6">
        <w:rPr>
          <w:rFonts w:ascii="Arial" w:hAnsi="Arial" w:cs="Arial"/>
          <w:szCs w:val="24"/>
        </w:rPr>
        <w:t>.</w:t>
      </w:r>
      <w:r w:rsidR="00E651D8" w:rsidRPr="005563F6">
        <w:rPr>
          <w:rFonts w:ascii="Arial" w:hAnsi="Arial" w:cs="Arial"/>
          <w:szCs w:val="24"/>
        </w:rPr>
        <w:t>4</w:t>
      </w:r>
      <w:r w:rsidRPr="005563F6">
        <w:rPr>
          <w:rFonts w:ascii="Arial" w:hAnsi="Arial" w:cs="Arial"/>
          <w:bCs/>
        </w:rPr>
        <w:t>% LFL) to £</w:t>
      </w:r>
      <w:r w:rsidR="00FF1D13" w:rsidRPr="005563F6">
        <w:rPr>
          <w:rFonts w:ascii="Arial" w:hAnsi="Arial" w:cs="Arial"/>
          <w:szCs w:val="24"/>
        </w:rPr>
        <w:t>2,</w:t>
      </w:r>
      <w:r w:rsidR="00E651D8" w:rsidRPr="005563F6">
        <w:rPr>
          <w:rFonts w:ascii="Arial" w:hAnsi="Arial" w:cs="Arial"/>
          <w:szCs w:val="24"/>
        </w:rPr>
        <w:t>158</w:t>
      </w:r>
      <w:r w:rsidRPr="005563F6">
        <w:rPr>
          <w:rFonts w:ascii="Arial" w:hAnsi="Arial" w:cs="Arial"/>
          <w:bCs/>
        </w:rPr>
        <w:t xml:space="preserve"> million</w:t>
      </w:r>
      <w:r w:rsidR="0061052B">
        <w:rPr>
          <w:rFonts w:ascii="Arial" w:hAnsi="Arial" w:cs="Arial"/>
          <w:bCs/>
        </w:rPr>
        <w:t xml:space="preserve">. </w:t>
      </w:r>
      <w:r w:rsidR="0061052B" w:rsidRPr="00AC598B">
        <w:rPr>
          <w:rFonts w:ascii="Arial" w:hAnsi="Arial" w:cs="Arial"/>
        </w:rPr>
        <w:t>According to Banque de France data</w:t>
      </w:r>
      <w:r w:rsidR="0061052B" w:rsidRPr="00AC598B">
        <w:rPr>
          <w:rFonts w:ascii="Arial" w:hAnsi="Arial" w:cs="Arial"/>
          <w:bCs/>
        </w:rPr>
        <w:t>*</w:t>
      </w:r>
      <w:r w:rsidR="0061052B" w:rsidRPr="00AC598B">
        <w:rPr>
          <w:rFonts w:ascii="Arial" w:hAnsi="Arial" w:cs="Arial"/>
        </w:rPr>
        <w:t xml:space="preserve">, sales for the home improvement market were </w:t>
      </w:r>
      <w:r w:rsidR="0061052B">
        <w:rPr>
          <w:rFonts w:ascii="Arial" w:hAnsi="Arial" w:cs="Arial"/>
        </w:rPr>
        <w:t xml:space="preserve">up </w:t>
      </w:r>
      <w:r w:rsidR="00C21EA0">
        <w:rPr>
          <w:rFonts w:ascii="Arial" w:hAnsi="Arial" w:cs="Arial"/>
        </w:rPr>
        <w:t>1.9</w:t>
      </w:r>
      <w:r w:rsidR="0061052B" w:rsidRPr="00AC598B">
        <w:rPr>
          <w:rFonts w:ascii="Arial" w:hAnsi="Arial" w:cs="Arial"/>
        </w:rPr>
        <w:t>%</w:t>
      </w:r>
      <w:r w:rsidR="0061052B">
        <w:rPr>
          <w:rFonts w:ascii="Arial" w:hAnsi="Arial" w:cs="Arial"/>
        </w:rPr>
        <w:t xml:space="preserve"> and continue to be volatile from month to month</w:t>
      </w:r>
      <w:r w:rsidR="0061052B" w:rsidRPr="003409A1">
        <w:rPr>
          <w:rFonts w:ascii="Arial" w:hAnsi="Arial" w:cs="Arial"/>
        </w:rPr>
        <w:t>.</w:t>
      </w:r>
      <w:r w:rsidR="007254E2">
        <w:rPr>
          <w:rFonts w:ascii="Arial" w:hAnsi="Arial" w:cs="Arial"/>
        </w:rPr>
        <w:t xml:space="preserve"> </w:t>
      </w:r>
      <w:r w:rsidR="007254E2">
        <w:rPr>
          <w:rFonts w:ascii="Arial" w:hAnsi="Arial" w:cs="Arial"/>
          <w:bCs/>
        </w:rPr>
        <w:t xml:space="preserve">Gross margin </w:t>
      </w:r>
      <w:r w:rsidR="004D33FE">
        <w:rPr>
          <w:rFonts w:ascii="Arial" w:hAnsi="Arial" w:cs="Arial"/>
          <w:bCs/>
        </w:rPr>
        <w:t xml:space="preserve">% </w:t>
      </w:r>
      <w:r w:rsidR="007254E2">
        <w:rPr>
          <w:rFonts w:ascii="Arial" w:hAnsi="Arial" w:cs="Arial"/>
          <w:bCs/>
        </w:rPr>
        <w:t xml:space="preserve">increased by 60 basis points with the benefit of lower promotional activity at </w:t>
      </w:r>
      <w:r w:rsidR="007254E2" w:rsidRPr="00B31286">
        <w:rPr>
          <w:rFonts w:ascii="Arial" w:hAnsi="Arial" w:cs="Arial"/>
        </w:rPr>
        <w:t>Brico Dépôt</w:t>
      </w:r>
      <w:r w:rsidR="007254E2">
        <w:rPr>
          <w:rFonts w:ascii="Arial" w:hAnsi="Arial" w:cs="Arial"/>
        </w:rPr>
        <w:t xml:space="preserve"> </w:t>
      </w:r>
      <w:r w:rsidR="007254E2" w:rsidRPr="00993978">
        <w:rPr>
          <w:rFonts w:ascii="Arial" w:hAnsi="Arial" w:cs="Arial"/>
          <w:bCs/>
        </w:rPr>
        <w:t xml:space="preserve">partly offset by a weak performance at Castorama France, including impacts from </w:t>
      </w:r>
      <w:r w:rsidR="007254E2">
        <w:rPr>
          <w:rFonts w:ascii="Arial" w:hAnsi="Arial" w:cs="Arial"/>
          <w:bCs/>
        </w:rPr>
        <w:t>logistics &amp; stock</w:t>
      </w:r>
      <w:r w:rsidR="007254E2" w:rsidRPr="00993978">
        <w:rPr>
          <w:rFonts w:ascii="Arial" w:hAnsi="Arial" w:cs="Arial"/>
          <w:bCs/>
        </w:rPr>
        <w:t xml:space="preserve"> inefficiencies.</w:t>
      </w:r>
      <w:r w:rsidR="007254E2">
        <w:rPr>
          <w:rFonts w:ascii="Arial" w:hAnsi="Arial" w:cs="Arial"/>
          <w:bCs/>
        </w:rPr>
        <w:t xml:space="preserve"> </w:t>
      </w:r>
      <w:r w:rsidR="007254E2" w:rsidRPr="000F64DF">
        <w:rPr>
          <w:rFonts w:ascii="Arial" w:hAnsi="Arial" w:cs="Arial"/>
          <w:bCs/>
        </w:rPr>
        <w:t>Retail profit decreased by 12.2% to £114</w:t>
      </w:r>
      <w:r w:rsidR="007254E2" w:rsidRPr="000F64DF">
        <w:rPr>
          <w:rFonts w:ascii="Arial" w:hAnsi="Arial" w:cs="Arial"/>
          <w:b/>
          <w:szCs w:val="24"/>
        </w:rPr>
        <w:t xml:space="preserve"> </w:t>
      </w:r>
      <w:r w:rsidR="007254E2" w:rsidRPr="000F64DF">
        <w:rPr>
          <w:rFonts w:ascii="Arial" w:hAnsi="Arial" w:cs="Arial"/>
          <w:bCs/>
        </w:rPr>
        <w:t>million.</w:t>
      </w:r>
    </w:p>
    <w:p w14:paraId="74BEC27E" w14:textId="77777777" w:rsidR="0061052B" w:rsidRDefault="0061052B" w:rsidP="00AE0F23">
      <w:pPr>
        <w:jc w:val="left"/>
        <w:rPr>
          <w:rFonts w:ascii="Arial" w:hAnsi="Arial" w:cs="Arial"/>
          <w:bCs/>
        </w:rPr>
      </w:pPr>
    </w:p>
    <w:p w14:paraId="6DFC79D7" w14:textId="2E48BA3C" w:rsidR="0061052B" w:rsidRDefault="002F5458" w:rsidP="00AE0F23">
      <w:pPr>
        <w:jc w:val="left"/>
        <w:rPr>
          <w:rFonts w:ascii="Arial" w:hAnsi="Arial" w:cs="Arial"/>
        </w:rPr>
      </w:pPr>
      <w:r w:rsidRPr="00E651D8">
        <w:rPr>
          <w:rFonts w:ascii="Arial" w:hAnsi="Arial" w:cs="Arial"/>
          <w:b/>
          <w:bCs/>
        </w:rPr>
        <w:t>Castorama</w:t>
      </w:r>
      <w:r w:rsidRPr="00E651D8">
        <w:rPr>
          <w:rFonts w:ascii="Arial" w:hAnsi="Arial" w:cs="Arial"/>
        </w:rPr>
        <w:t xml:space="preserve"> total sales </w:t>
      </w:r>
      <w:r w:rsidR="009C6430" w:rsidRPr="00E651D8">
        <w:rPr>
          <w:rFonts w:ascii="Arial" w:hAnsi="Arial" w:cs="Arial"/>
        </w:rPr>
        <w:t>declined</w:t>
      </w:r>
      <w:r w:rsidRPr="00E651D8">
        <w:rPr>
          <w:rFonts w:ascii="Arial" w:hAnsi="Arial" w:cs="Arial"/>
        </w:rPr>
        <w:t xml:space="preserve"> by </w:t>
      </w:r>
      <w:r w:rsidR="00557093" w:rsidRPr="00E651D8">
        <w:rPr>
          <w:rFonts w:ascii="Arial" w:hAnsi="Arial" w:cs="Arial"/>
        </w:rPr>
        <w:t>4</w:t>
      </w:r>
      <w:r w:rsidR="00FF1D13" w:rsidRPr="00E651D8">
        <w:rPr>
          <w:rFonts w:ascii="Arial" w:hAnsi="Arial" w:cs="Arial"/>
        </w:rPr>
        <w:t>.</w:t>
      </w:r>
      <w:r w:rsidR="005563F6">
        <w:rPr>
          <w:rFonts w:ascii="Arial" w:hAnsi="Arial" w:cs="Arial"/>
        </w:rPr>
        <w:t>3</w:t>
      </w:r>
      <w:r w:rsidRPr="00E651D8">
        <w:rPr>
          <w:rFonts w:ascii="Arial" w:hAnsi="Arial" w:cs="Arial"/>
        </w:rPr>
        <w:t>% (</w:t>
      </w:r>
      <w:r w:rsidR="006E1B74" w:rsidRPr="00E651D8">
        <w:rPr>
          <w:rFonts w:ascii="Arial" w:hAnsi="Arial" w:cs="Arial"/>
        </w:rPr>
        <w:t>-</w:t>
      </w:r>
      <w:r w:rsidR="00557093" w:rsidRPr="00E651D8">
        <w:rPr>
          <w:rFonts w:ascii="Arial" w:hAnsi="Arial" w:cs="Arial"/>
        </w:rPr>
        <w:t>4</w:t>
      </w:r>
      <w:r w:rsidR="003C6F8F" w:rsidRPr="00E651D8">
        <w:rPr>
          <w:rFonts w:ascii="Arial" w:hAnsi="Arial" w:cs="Arial"/>
        </w:rPr>
        <w:t>.</w:t>
      </w:r>
      <w:r w:rsidR="005563F6">
        <w:rPr>
          <w:rFonts w:ascii="Arial" w:hAnsi="Arial" w:cs="Arial"/>
        </w:rPr>
        <w:t>3</w:t>
      </w:r>
      <w:r w:rsidR="0092012D" w:rsidRPr="00E651D8">
        <w:rPr>
          <w:rFonts w:ascii="Arial" w:hAnsi="Arial" w:cs="Arial"/>
        </w:rPr>
        <w:t>%</w:t>
      </w:r>
      <w:r w:rsidRPr="00E651D8">
        <w:rPr>
          <w:rFonts w:ascii="Arial" w:hAnsi="Arial" w:cs="Arial"/>
        </w:rPr>
        <w:t xml:space="preserve"> LFL) to £</w:t>
      </w:r>
      <w:r w:rsidR="00BB544C" w:rsidRPr="00E651D8">
        <w:rPr>
          <w:rFonts w:ascii="Arial" w:hAnsi="Arial" w:cs="Arial"/>
        </w:rPr>
        <w:t>1,</w:t>
      </w:r>
      <w:r w:rsidR="00E651D8" w:rsidRPr="00E651D8">
        <w:rPr>
          <w:rFonts w:ascii="Arial" w:hAnsi="Arial" w:cs="Arial"/>
        </w:rPr>
        <w:t>143</w:t>
      </w:r>
      <w:r w:rsidR="00C70B05" w:rsidRPr="00E651D8">
        <w:rPr>
          <w:rFonts w:ascii="Arial" w:hAnsi="Arial" w:cs="Arial"/>
          <w:b/>
          <w:szCs w:val="24"/>
        </w:rPr>
        <w:t xml:space="preserve"> </w:t>
      </w:r>
      <w:r w:rsidRPr="00E651D8">
        <w:rPr>
          <w:rFonts w:ascii="Arial" w:hAnsi="Arial" w:cs="Arial"/>
        </w:rPr>
        <w:t>million</w:t>
      </w:r>
      <w:r w:rsidR="001A0E63" w:rsidRPr="00E651D8">
        <w:rPr>
          <w:rFonts w:ascii="Arial" w:hAnsi="Arial" w:cs="Arial"/>
        </w:rPr>
        <w:t xml:space="preserve"> </w:t>
      </w:r>
      <w:r w:rsidR="00BB544C" w:rsidRPr="00E651D8">
        <w:rPr>
          <w:rFonts w:ascii="Arial" w:hAnsi="Arial" w:cs="Arial"/>
        </w:rPr>
        <w:t xml:space="preserve">reflecting </w:t>
      </w:r>
      <w:r w:rsidR="005563F6">
        <w:rPr>
          <w:rFonts w:ascii="Arial" w:hAnsi="Arial" w:cs="Arial"/>
        </w:rPr>
        <w:t>price repositioning</w:t>
      </w:r>
      <w:r w:rsidR="00953B5C">
        <w:rPr>
          <w:rFonts w:ascii="Arial" w:hAnsi="Arial" w:cs="Arial"/>
        </w:rPr>
        <w:t xml:space="preserve"> (c.</w:t>
      </w:r>
      <w:r w:rsidR="00E13F43">
        <w:rPr>
          <w:rFonts w:ascii="Arial" w:hAnsi="Arial" w:cs="Arial"/>
        </w:rPr>
        <w:t xml:space="preserve"> </w:t>
      </w:r>
      <w:r w:rsidR="00953B5C">
        <w:rPr>
          <w:rFonts w:ascii="Arial" w:hAnsi="Arial" w:cs="Arial"/>
        </w:rPr>
        <w:t>-2% impact on LFL sales)</w:t>
      </w:r>
      <w:r w:rsidR="005563F6">
        <w:rPr>
          <w:rFonts w:ascii="Arial" w:hAnsi="Arial" w:cs="Arial"/>
        </w:rPr>
        <w:t xml:space="preserve">, and </w:t>
      </w:r>
      <w:r w:rsidR="005563F6" w:rsidRPr="00704A7F">
        <w:rPr>
          <w:rFonts w:ascii="Arial" w:hAnsi="Arial" w:cs="Arial"/>
        </w:rPr>
        <w:t>the impact of transformation-related activi</w:t>
      </w:r>
      <w:r w:rsidR="005563F6" w:rsidRPr="005563F6">
        <w:rPr>
          <w:rFonts w:ascii="Arial" w:hAnsi="Arial" w:cs="Arial"/>
        </w:rPr>
        <w:t>ty</w:t>
      </w:r>
      <w:r w:rsidR="00953B5C">
        <w:rPr>
          <w:rFonts w:ascii="Arial" w:hAnsi="Arial" w:cs="Arial"/>
        </w:rPr>
        <w:t xml:space="preserve"> (c.</w:t>
      </w:r>
      <w:r w:rsidR="00E13F43">
        <w:rPr>
          <w:rFonts w:ascii="Arial" w:hAnsi="Arial" w:cs="Arial"/>
        </w:rPr>
        <w:t xml:space="preserve"> </w:t>
      </w:r>
      <w:r w:rsidR="00953B5C">
        <w:rPr>
          <w:rFonts w:ascii="Arial" w:hAnsi="Arial" w:cs="Arial"/>
        </w:rPr>
        <w:t>-2% impact on LFL sales)</w:t>
      </w:r>
      <w:r w:rsidR="006D7C59" w:rsidRPr="005563F6">
        <w:rPr>
          <w:rFonts w:ascii="Arial" w:hAnsi="Arial" w:cs="Arial"/>
        </w:rPr>
        <w:t>.</w:t>
      </w:r>
      <w:r w:rsidRPr="005563F6">
        <w:rPr>
          <w:rFonts w:ascii="Arial" w:hAnsi="Arial" w:cs="Arial"/>
        </w:rPr>
        <w:t xml:space="preserve"> </w:t>
      </w:r>
      <w:r w:rsidR="00D00E64" w:rsidRPr="005563F6">
        <w:rPr>
          <w:rFonts w:ascii="Arial" w:hAnsi="Arial" w:cs="Arial"/>
        </w:rPr>
        <w:t xml:space="preserve">LFL sales of weather-related categories were down </w:t>
      </w:r>
      <w:r w:rsidR="00B75D5A">
        <w:rPr>
          <w:rFonts w:ascii="Arial" w:hAnsi="Arial" w:cs="Arial"/>
        </w:rPr>
        <w:t>4</w:t>
      </w:r>
      <w:r w:rsidR="003E2802" w:rsidRPr="00737D80">
        <w:rPr>
          <w:rFonts w:ascii="Arial" w:hAnsi="Arial" w:cs="Arial"/>
        </w:rPr>
        <w:t>.</w:t>
      </w:r>
      <w:r w:rsidR="00B75D5A">
        <w:rPr>
          <w:rFonts w:ascii="Arial" w:hAnsi="Arial" w:cs="Arial"/>
        </w:rPr>
        <w:t>1</w:t>
      </w:r>
      <w:r w:rsidR="00D00E64" w:rsidRPr="00737D80">
        <w:rPr>
          <w:rFonts w:ascii="Arial" w:hAnsi="Arial" w:cs="Arial"/>
        </w:rPr>
        <w:t xml:space="preserve">% while sales of non-weather-related categories, including showroom, were down </w:t>
      </w:r>
      <w:r w:rsidR="003E2802" w:rsidRPr="00737D80">
        <w:rPr>
          <w:rFonts w:ascii="Arial" w:hAnsi="Arial" w:cs="Arial"/>
        </w:rPr>
        <w:t>4</w:t>
      </w:r>
      <w:r w:rsidR="00760E29" w:rsidRPr="00737D80">
        <w:rPr>
          <w:rFonts w:ascii="Arial" w:hAnsi="Arial" w:cs="Arial"/>
        </w:rPr>
        <w:t>.</w:t>
      </w:r>
      <w:r w:rsidR="00B75D5A">
        <w:rPr>
          <w:rFonts w:ascii="Arial" w:hAnsi="Arial" w:cs="Arial"/>
        </w:rPr>
        <w:t>5</w:t>
      </w:r>
      <w:r w:rsidR="00D00E64" w:rsidRPr="00737D80">
        <w:rPr>
          <w:rFonts w:ascii="Arial" w:hAnsi="Arial" w:cs="Arial"/>
        </w:rPr>
        <w:t>%.</w:t>
      </w:r>
      <w:r w:rsidR="00D00E64" w:rsidRPr="00AC598B">
        <w:rPr>
          <w:rFonts w:ascii="Arial" w:hAnsi="Arial" w:cs="Arial"/>
        </w:rPr>
        <w:t xml:space="preserve"> </w:t>
      </w:r>
      <w:r w:rsidR="00B75D5A">
        <w:rPr>
          <w:rFonts w:ascii="Arial" w:hAnsi="Arial" w:cs="Arial"/>
          <w:bCs/>
        </w:rPr>
        <w:t>Further commentary on the performance of Castorama France is detailed in Section 1 of this release.</w:t>
      </w:r>
    </w:p>
    <w:p w14:paraId="33ABD7F8" w14:textId="77777777" w:rsidR="0061052B" w:rsidRDefault="0061052B" w:rsidP="00AE0F23">
      <w:pPr>
        <w:jc w:val="left"/>
        <w:rPr>
          <w:rFonts w:ascii="Arial" w:hAnsi="Arial" w:cs="Arial"/>
        </w:rPr>
      </w:pPr>
    </w:p>
    <w:p w14:paraId="3C339686" w14:textId="007E04A2" w:rsidR="00D00E64" w:rsidRDefault="002F5458" w:rsidP="00AE0F23">
      <w:pPr>
        <w:jc w:val="left"/>
        <w:rPr>
          <w:rFonts w:ascii="Arial" w:hAnsi="Arial" w:cs="Arial"/>
          <w:bCs/>
        </w:rPr>
      </w:pPr>
      <w:r w:rsidRPr="000F64DF">
        <w:rPr>
          <w:rFonts w:ascii="Arial" w:hAnsi="Arial" w:cs="Arial"/>
          <w:b/>
          <w:bCs/>
        </w:rPr>
        <w:t>Brico Dépôt</w:t>
      </w:r>
      <w:r w:rsidRPr="000F64DF">
        <w:rPr>
          <w:rFonts w:ascii="Arial" w:hAnsi="Arial" w:cs="Arial"/>
          <w:bCs/>
        </w:rPr>
        <w:t xml:space="preserve"> total sales </w:t>
      </w:r>
      <w:r w:rsidR="0090515B" w:rsidRPr="000F64DF">
        <w:rPr>
          <w:rFonts w:ascii="Arial" w:hAnsi="Arial" w:cs="Arial"/>
          <w:bCs/>
        </w:rPr>
        <w:t>declined</w:t>
      </w:r>
      <w:r w:rsidR="00C70B05" w:rsidRPr="000F64DF">
        <w:rPr>
          <w:rFonts w:ascii="Arial" w:hAnsi="Arial" w:cs="Arial"/>
          <w:bCs/>
        </w:rPr>
        <w:t xml:space="preserve"> </w:t>
      </w:r>
      <w:r w:rsidRPr="000F64DF">
        <w:rPr>
          <w:rFonts w:ascii="Arial" w:hAnsi="Arial" w:cs="Arial"/>
          <w:bCs/>
        </w:rPr>
        <w:t xml:space="preserve">by </w:t>
      </w:r>
      <w:r w:rsidR="00557093" w:rsidRPr="000F64DF">
        <w:rPr>
          <w:rFonts w:ascii="Arial" w:hAnsi="Arial" w:cs="Arial"/>
          <w:bCs/>
        </w:rPr>
        <w:t>4</w:t>
      </w:r>
      <w:r w:rsidR="00BB544C" w:rsidRPr="000F64DF">
        <w:rPr>
          <w:rFonts w:ascii="Arial" w:hAnsi="Arial" w:cs="Arial"/>
          <w:bCs/>
        </w:rPr>
        <w:t>.</w:t>
      </w:r>
      <w:r w:rsidR="005563F6">
        <w:rPr>
          <w:rFonts w:ascii="Arial" w:hAnsi="Arial" w:cs="Arial"/>
          <w:bCs/>
        </w:rPr>
        <w:t>2</w:t>
      </w:r>
      <w:r w:rsidRPr="000F64DF">
        <w:rPr>
          <w:rFonts w:ascii="Arial" w:hAnsi="Arial" w:cs="Arial"/>
          <w:bCs/>
        </w:rPr>
        <w:t>% (</w:t>
      </w:r>
      <w:r w:rsidR="005563F6">
        <w:rPr>
          <w:rFonts w:ascii="Arial" w:hAnsi="Arial" w:cs="Arial"/>
          <w:bCs/>
        </w:rPr>
        <w:t>-</w:t>
      </w:r>
      <w:r w:rsidR="00557093" w:rsidRPr="000F64DF">
        <w:rPr>
          <w:rFonts w:ascii="Arial" w:hAnsi="Arial" w:cs="Arial"/>
          <w:szCs w:val="24"/>
        </w:rPr>
        <w:t>4.</w:t>
      </w:r>
      <w:r w:rsidR="005563F6">
        <w:rPr>
          <w:rFonts w:ascii="Arial" w:hAnsi="Arial" w:cs="Arial"/>
          <w:szCs w:val="24"/>
        </w:rPr>
        <w:t>6</w:t>
      </w:r>
      <w:r w:rsidR="0092012D" w:rsidRPr="000F64DF">
        <w:rPr>
          <w:rFonts w:ascii="Arial" w:hAnsi="Arial" w:cs="Arial"/>
          <w:szCs w:val="24"/>
        </w:rPr>
        <w:t>%</w:t>
      </w:r>
      <w:r w:rsidRPr="000F64DF">
        <w:rPr>
          <w:rFonts w:ascii="Arial" w:hAnsi="Arial" w:cs="Arial"/>
          <w:bCs/>
        </w:rPr>
        <w:t xml:space="preserve"> LFL) to £</w:t>
      </w:r>
      <w:r w:rsidR="00BB544C" w:rsidRPr="000F64DF">
        <w:rPr>
          <w:rFonts w:ascii="Arial" w:hAnsi="Arial" w:cs="Arial"/>
          <w:bCs/>
        </w:rPr>
        <w:t>1,0</w:t>
      </w:r>
      <w:r w:rsidR="00E651D8" w:rsidRPr="000F64DF">
        <w:rPr>
          <w:rFonts w:ascii="Arial" w:hAnsi="Arial" w:cs="Arial"/>
          <w:bCs/>
        </w:rPr>
        <w:t>15</w:t>
      </w:r>
      <w:r w:rsidR="00C70B05" w:rsidRPr="000F64DF">
        <w:rPr>
          <w:rFonts w:ascii="Arial" w:hAnsi="Arial" w:cs="Arial"/>
          <w:b/>
          <w:color w:val="C00000"/>
          <w:szCs w:val="24"/>
        </w:rPr>
        <w:t xml:space="preserve"> </w:t>
      </w:r>
      <w:r w:rsidRPr="000F64DF">
        <w:rPr>
          <w:rFonts w:ascii="Arial" w:hAnsi="Arial" w:cs="Arial"/>
          <w:bCs/>
        </w:rPr>
        <w:t>million</w:t>
      </w:r>
      <w:r w:rsidR="001A0E63" w:rsidRPr="000F64DF">
        <w:rPr>
          <w:rFonts w:ascii="Arial" w:hAnsi="Arial" w:cs="Arial"/>
          <w:bCs/>
        </w:rPr>
        <w:t xml:space="preserve"> </w:t>
      </w:r>
      <w:r w:rsidR="00EB412C">
        <w:rPr>
          <w:rFonts w:ascii="Arial" w:hAnsi="Arial" w:cs="Arial"/>
          <w:bCs/>
        </w:rPr>
        <w:t>driven by</w:t>
      </w:r>
      <w:r w:rsidR="001A0E63" w:rsidRPr="000F64DF">
        <w:rPr>
          <w:rFonts w:ascii="Arial" w:hAnsi="Arial" w:cs="Arial"/>
          <w:bCs/>
        </w:rPr>
        <w:t xml:space="preserve"> </w:t>
      </w:r>
      <w:r w:rsidR="00EB412C">
        <w:rPr>
          <w:rFonts w:ascii="Arial" w:hAnsi="Arial" w:cs="Arial"/>
          <w:bCs/>
        </w:rPr>
        <w:t xml:space="preserve">the </w:t>
      </w:r>
      <w:r w:rsidR="00993978" w:rsidRPr="00347EE8">
        <w:rPr>
          <w:rFonts w:ascii="Arial" w:hAnsi="Arial" w:cs="Arial"/>
          <w:bCs/>
        </w:rPr>
        <w:t>proactive reduction of low margin promotional activity</w:t>
      </w:r>
      <w:r w:rsidR="004D33FE">
        <w:rPr>
          <w:rFonts w:ascii="Arial" w:hAnsi="Arial" w:cs="Arial"/>
          <w:bCs/>
        </w:rPr>
        <w:t>,</w:t>
      </w:r>
      <w:r w:rsidR="00993978">
        <w:rPr>
          <w:rFonts w:ascii="Arial" w:hAnsi="Arial" w:cs="Arial"/>
          <w:bCs/>
        </w:rPr>
        <w:t xml:space="preserve"> </w:t>
      </w:r>
      <w:r w:rsidR="004D33FE">
        <w:rPr>
          <w:rFonts w:ascii="Arial" w:hAnsi="Arial" w:cs="Arial"/>
          <w:bCs/>
        </w:rPr>
        <w:t xml:space="preserve">which </w:t>
      </w:r>
      <w:r w:rsidR="00CC3DFD">
        <w:rPr>
          <w:rFonts w:ascii="Arial" w:hAnsi="Arial" w:cs="Arial"/>
          <w:bCs/>
        </w:rPr>
        <w:t>impact</w:t>
      </w:r>
      <w:r w:rsidR="004D33FE">
        <w:rPr>
          <w:rFonts w:ascii="Arial" w:hAnsi="Arial" w:cs="Arial"/>
          <w:bCs/>
        </w:rPr>
        <w:t>ed</w:t>
      </w:r>
      <w:r w:rsidR="00CC3DFD">
        <w:rPr>
          <w:rFonts w:ascii="Arial" w:hAnsi="Arial" w:cs="Arial"/>
          <w:bCs/>
        </w:rPr>
        <w:t xml:space="preserve"> LFL </w:t>
      </w:r>
      <w:r w:rsidR="00CC3DFD" w:rsidRPr="004E4FBD">
        <w:rPr>
          <w:rFonts w:ascii="Arial" w:hAnsi="Arial" w:cs="Arial"/>
          <w:bCs/>
        </w:rPr>
        <w:t xml:space="preserve">sales by </w:t>
      </w:r>
      <w:r w:rsidR="00CC3DFD" w:rsidRPr="009F71DB">
        <w:rPr>
          <w:rFonts w:ascii="Arial" w:hAnsi="Arial"/>
        </w:rPr>
        <w:t>c.</w:t>
      </w:r>
      <w:r w:rsidR="00274D57" w:rsidRPr="009F71DB">
        <w:rPr>
          <w:rFonts w:ascii="Arial" w:hAnsi="Arial"/>
        </w:rPr>
        <w:t xml:space="preserve"> -</w:t>
      </w:r>
      <w:r w:rsidR="00CC3DFD" w:rsidRPr="009F71DB">
        <w:rPr>
          <w:rFonts w:ascii="Arial" w:hAnsi="Arial"/>
        </w:rPr>
        <w:t>5</w:t>
      </w:r>
      <w:r w:rsidR="00CC3DFD" w:rsidRPr="002110D5">
        <w:rPr>
          <w:rFonts w:ascii="Arial" w:hAnsi="Arial" w:cs="Arial"/>
          <w:bCs/>
        </w:rPr>
        <w:t>%</w:t>
      </w:r>
      <w:r w:rsidR="00993978" w:rsidRPr="004E4FBD">
        <w:rPr>
          <w:rFonts w:ascii="Arial" w:hAnsi="Arial" w:cs="Arial"/>
          <w:bCs/>
        </w:rPr>
        <w:t>.</w:t>
      </w:r>
      <w:r w:rsidR="004D33FE">
        <w:rPr>
          <w:rFonts w:ascii="Arial" w:hAnsi="Arial" w:cs="Arial"/>
          <w:bCs/>
        </w:rPr>
        <w:t xml:space="preserve"> </w:t>
      </w:r>
      <w:r w:rsidR="004D33FE" w:rsidRPr="004D33FE">
        <w:rPr>
          <w:rFonts w:ascii="Arial" w:hAnsi="Arial" w:cs="Arial"/>
          <w:bCs/>
        </w:rPr>
        <w:t xml:space="preserve">Gross profit and gross margin </w:t>
      </w:r>
      <w:r w:rsidR="00D60D3C">
        <w:rPr>
          <w:rFonts w:ascii="Arial" w:hAnsi="Arial" w:cs="Arial"/>
          <w:bCs/>
        </w:rPr>
        <w:t xml:space="preserve">% </w:t>
      </w:r>
      <w:r w:rsidR="004D33FE">
        <w:rPr>
          <w:rFonts w:ascii="Arial" w:hAnsi="Arial" w:cs="Arial"/>
          <w:bCs/>
        </w:rPr>
        <w:t>both increased</w:t>
      </w:r>
      <w:r w:rsidR="004D33FE" w:rsidRPr="004D33FE">
        <w:rPr>
          <w:rFonts w:ascii="Arial" w:hAnsi="Arial" w:cs="Arial"/>
          <w:bCs/>
        </w:rPr>
        <w:t xml:space="preserve"> year </w:t>
      </w:r>
      <w:r w:rsidR="004D33FE">
        <w:rPr>
          <w:rFonts w:ascii="Arial" w:hAnsi="Arial" w:cs="Arial"/>
          <w:bCs/>
        </w:rPr>
        <w:t xml:space="preserve">on </w:t>
      </w:r>
      <w:r w:rsidR="004D33FE" w:rsidRPr="004D33FE">
        <w:rPr>
          <w:rFonts w:ascii="Arial" w:hAnsi="Arial" w:cs="Arial"/>
          <w:bCs/>
        </w:rPr>
        <w:t>year</w:t>
      </w:r>
      <w:r w:rsidR="004D33FE">
        <w:rPr>
          <w:rFonts w:ascii="Arial" w:hAnsi="Arial" w:cs="Arial"/>
          <w:bCs/>
        </w:rPr>
        <w:t>.</w:t>
      </w:r>
    </w:p>
    <w:p w14:paraId="21084DB0" w14:textId="77777777" w:rsidR="00D00E64" w:rsidRDefault="00D00E64" w:rsidP="00AE0F23">
      <w:pPr>
        <w:jc w:val="left"/>
        <w:rPr>
          <w:rFonts w:ascii="Arial" w:hAnsi="Arial" w:cs="Arial"/>
          <w:bCs/>
        </w:rPr>
      </w:pPr>
    </w:p>
    <w:p w14:paraId="096A145B" w14:textId="164D7519" w:rsidR="00AE0F23" w:rsidRDefault="00AE0F23" w:rsidP="00AE0F23">
      <w:pPr>
        <w:jc w:val="left"/>
        <w:rPr>
          <w:rFonts w:ascii="Arial" w:hAnsi="Arial" w:cs="Arial"/>
          <w:bCs/>
        </w:rPr>
      </w:pPr>
      <w:r w:rsidRPr="00C21EA0">
        <w:rPr>
          <w:rFonts w:ascii="Arial" w:hAnsi="Arial" w:cs="Arial"/>
          <w:bCs/>
        </w:rPr>
        <w:t>Across the two businesse</w:t>
      </w:r>
      <w:r w:rsidRPr="00C5382F">
        <w:rPr>
          <w:rFonts w:ascii="Arial" w:hAnsi="Arial" w:cs="Arial"/>
          <w:bCs/>
        </w:rPr>
        <w:t>s</w:t>
      </w:r>
      <w:r w:rsidR="00A02016">
        <w:rPr>
          <w:rFonts w:ascii="Arial" w:hAnsi="Arial" w:cs="Arial"/>
          <w:bCs/>
        </w:rPr>
        <w:t>,</w:t>
      </w:r>
      <w:r w:rsidR="00D00E64" w:rsidRPr="00C5382F">
        <w:rPr>
          <w:rFonts w:ascii="Arial" w:hAnsi="Arial" w:cs="Arial"/>
          <w:bCs/>
        </w:rPr>
        <w:t xml:space="preserve"> space </w:t>
      </w:r>
      <w:r w:rsidR="0028616A" w:rsidRPr="00C5382F">
        <w:rPr>
          <w:rFonts w:ascii="Arial" w:hAnsi="Arial" w:cs="Arial"/>
          <w:bCs/>
        </w:rPr>
        <w:t xml:space="preserve">remained </w:t>
      </w:r>
      <w:r w:rsidR="00D00E64" w:rsidRPr="00C5382F">
        <w:rPr>
          <w:rFonts w:ascii="Arial" w:hAnsi="Arial" w:cs="Arial"/>
          <w:bCs/>
        </w:rPr>
        <w:t>broadly flat</w:t>
      </w:r>
      <w:r w:rsidRPr="00C5382F">
        <w:rPr>
          <w:rFonts w:ascii="Arial" w:hAnsi="Arial" w:cs="Arial"/>
          <w:bCs/>
        </w:rPr>
        <w:t>.</w:t>
      </w:r>
      <w:r w:rsidRPr="00AC598B">
        <w:rPr>
          <w:rFonts w:ascii="Arial" w:hAnsi="Arial" w:cs="Arial"/>
          <w:bCs/>
        </w:rPr>
        <w:t xml:space="preserve"> </w:t>
      </w:r>
    </w:p>
    <w:p w14:paraId="1EB66672" w14:textId="5ED0C6DC" w:rsidR="000621F1" w:rsidRDefault="000621F1" w:rsidP="00AE0F23">
      <w:pPr>
        <w:jc w:val="left"/>
        <w:rPr>
          <w:rFonts w:ascii="Arial" w:hAnsi="Arial" w:cs="Arial"/>
          <w:bCs/>
        </w:rPr>
      </w:pPr>
    </w:p>
    <w:p w14:paraId="162E5FC4" w14:textId="77777777" w:rsidR="004C3DD4" w:rsidRDefault="004C3DD4" w:rsidP="001A0E63">
      <w:pPr>
        <w:jc w:val="left"/>
        <w:rPr>
          <w:rFonts w:ascii="Arial" w:hAnsi="Arial" w:cs="Arial"/>
          <w:bCs/>
        </w:rPr>
      </w:pPr>
    </w:p>
    <w:bookmarkEnd w:id="27"/>
    <w:p w14:paraId="24203083" w14:textId="354BD3C8" w:rsidR="007D43ED" w:rsidRPr="00AC598B" w:rsidRDefault="007D43ED" w:rsidP="007D43ED">
      <w:pPr>
        <w:rPr>
          <w:rFonts w:ascii="Arial" w:hAnsi="Arial" w:cs="Arial"/>
          <w:b/>
          <w:bCs/>
        </w:rPr>
      </w:pPr>
      <w:r w:rsidRPr="00AC598B">
        <w:rPr>
          <w:rFonts w:ascii="Arial" w:hAnsi="Arial" w:cs="Arial"/>
          <w:b/>
          <w:bCs/>
        </w:rPr>
        <w:br w:type="page"/>
      </w:r>
      <w:r w:rsidRPr="00AC598B">
        <w:rPr>
          <w:rFonts w:ascii="Arial" w:hAnsi="Arial" w:cs="Arial"/>
          <w:b/>
          <w:bCs/>
        </w:rPr>
        <w:lastRenderedPageBreak/>
        <w:t>OTHER INTERNATIONAL</w:t>
      </w:r>
      <w:r w:rsidR="005E757F">
        <w:rPr>
          <w:rFonts w:ascii="Arial" w:hAnsi="Arial" w:cs="Arial"/>
          <w:b/>
          <w:bCs/>
        </w:rPr>
        <w:t>*</w:t>
      </w:r>
      <w:r w:rsidR="00013088" w:rsidRPr="00AC598B">
        <w:rPr>
          <w:rFonts w:ascii="Arial" w:hAnsi="Arial" w:cs="Arial"/>
          <w:b/>
          <w:bCs/>
        </w:rPr>
        <w:t xml:space="preserve"> </w:t>
      </w:r>
    </w:p>
    <w:p w14:paraId="01F1CD50" w14:textId="77777777" w:rsidR="007D43ED" w:rsidRPr="00AC598B" w:rsidRDefault="007D43ED" w:rsidP="007D43ED">
      <w:pPr>
        <w:rPr>
          <w:rFonts w:ascii="Arial" w:hAnsi="Arial" w:cs="Arial"/>
          <w:b/>
          <w:bCs/>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1311"/>
        <w:gridCol w:w="1162"/>
        <w:gridCol w:w="1596"/>
        <w:gridCol w:w="1598"/>
        <w:gridCol w:w="1305"/>
      </w:tblGrid>
      <w:tr w:rsidR="006B02CB" w:rsidRPr="00667C8E" w14:paraId="07299DA6" w14:textId="77777777" w:rsidTr="00931630">
        <w:tc>
          <w:tcPr>
            <w:tcW w:w="1287" w:type="pct"/>
            <w:tcBorders>
              <w:bottom w:val="single" w:sz="4" w:space="0" w:color="auto"/>
            </w:tcBorders>
          </w:tcPr>
          <w:p w14:paraId="345E209F" w14:textId="77777777" w:rsidR="007D43ED" w:rsidRPr="00AC598B" w:rsidRDefault="007D43ED" w:rsidP="00C51098">
            <w:pPr>
              <w:rPr>
                <w:rFonts w:ascii="Arial" w:hAnsi="Arial" w:cs="Arial"/>
                <w:b/>
              </w:rPr>
            </w:pPr>
            <w:r w:rsidRPr="00AC598B">
              <w:rPr>
                <w:rFonts w:ascii="Arial" w:hAnsi="Arial" w:cs="Arial"/>
                <w:b/>
              </w:rPr>
              <w:t>£m</w:t>
            </w:r>
          </w:p>
        </w:tc>
        <w:tc>
          <w:tcPr>
            <w:tcW w:w="698" w:type="pct"/>
            <w:tcBorders>
              <w:bottom w:val="single" w:sz="4" w:space="0" w:color="auto"/>
            </w:tcBorders>
          </w:tcPr>
          <w:p w14:paraId="1A165433" w14:textId="0B08C386" w:rsidR="007D43ED" w:rsidRPr="00AB52F3" w:rsidRDefault="007D43ED">
            <w:pPr>
              <w:jc w:val="right"/>
              <w:rPr>
                <w:rFonts w:ascii="Arial" w:hAnsi="Arial" w:cs="Arial"/>
                <w:b/>
              </w:rPr>
            </w:pPr>
            <w:r w:rsidRPr="0089408C">
              <w:rPr>
                <w:rFonts w:ascii="Arial" w:hAnsi="Arial" w:cs="Arial"/>
                <w:b/>
                <w:bCs/>
              </w:rPr>
              <w:t>201</w:t>
            </w:r>
            <w:r w:rsidR="00BF586F">
              <w:rPr>
                <w:rFonts w:ascii="Arial" w:hAnsi="Arial" w:cs="Arial"/>
                <w:b/>
                <w:bCs/>
              </w:rPr>
              <w:t>9</w:t>
            </w:r>
            <w:r w:rsidR="00931630" w:rsidRPr="0089408C">
              <w:rPr>
                <w:rFonts w:ascii="Arial" w:hAnsi="Arial" w:cs="Arial"/>
                <w:b/>
                <w:bCs/>
              </w:rPr>
              <w:t>/</w:t>
            </w:r>
            <w:r w:rsidR="00BF586F">
              <w:rPr>
                <w:rFonts w:ascii="Arial" w:hAnsi="Arial" w:cs="Arial"/>
                <w:b/>
                <w:bCs/>
              </w:rPr>
              <w:t>20</w:t>
            </w:r>
          </w:p>
        </w:tc>
        <w:tc>
          <w:tcPr>
            <w:tcW w:w="619" w:type="pct"/>
            <w:tcBorders>
              <w:bottom w:val="single" w:sz="4" w:space="0" w:color="auto"/>
            </w:tcBorders>
          </w:tcPr>
          <w:p w14:paraId="65A8EA3D" w14:textId="05EA792B" w:rsidR="007D43ED" w:rsidRPr="00AC598B" w:rsidRDefault="007D43ED">
            <w:pPr>
              <w:jc w:val="right"/>
              <w:rPr>
                <w:rFonts w:ascii="Arial" w:hAnsi="Arial" w:cs="Arial"/>
                <w:b/>
                <w:bCs/>
              </w:rPr>
            </w:pPr>
            <w:r w:rsidRPr="00AC598B">
              <w:rPr>
                <w:rFonts w:ascii="Arial" w:hAnsi="Arial" w:cs="Arial"/>
                <w:b/>
                <w:bCs/>
              </w:rPr>
              <w:t>201</w:t>
            </w:r>
            <w:r w:rsidR="00BF586F">
              <w:rPr>
                <w:rFonts w:ascii="Arial" w:hAnsi="Arial" w:cs="Arial"/>
                <w:b/>
                <w:bCs/>
              </w:rPr>
              <w:t>8</w:t>
            </w:r>
            <w:r w:rsidR="00931630" w:rsidRPr="00AC598B">
              <w:rPr>
                <w:rFonts w:ascii="Arial" w:hAnsi="Arial" w:cs="Arial"/>
                <w:b/>
                <w:bCs/>
              </w:rPr>
              <w:t>/1</w:t>
            </w:r>
            <w:r w:rsidR="00BF586F">
              <w:rPr>
                <w:rFonts w:ascii="Arial" w:hAnsi="Arial" w:cs="Arial"/>
                <w:b/>
                <w:bCs/>
              </w:rPr>
              <w:t>9</w:t>
            </w:r>
          </w:p>
        </w:tc>
        <w:tc>
          <w:tcPr>
            <w:tcW w:w="850" w:type="pct"/>
            <w:tcBorders>
              <w:bottom w:val="single" w:sz="4" w:space="0" w:color="auto"/>
            </w:tcBorders>
          </w:tcPr>
          <w:p w14:paraId="1C2F0B77" w14:textId="77777777" w:rsidR="007D43ED" w:rsidRPr="00AC598B" w:rsidRDefault="007D43ED" w:rsidP="00C51098">
            <w:pPr>
              <w:jc w:val="right"/>
              <w:rPr>
                <w:rFonts w:ascii="Arial" w:hAnsi="Arial" w:cs="Arial"/>
                <w:b/>
                <w:bCs/>
              </w:rPr>
            </w:pPr>
            <w:r w:rsidRPr="00AC598B">
              <w:rPr>
                <w:rFonts w:ascii="Arial" w:hAnsi="Arial" w:cs="Arial"/>
                <w:b/>
                <w:bCs/>
              </w:rPr>
              <w:t>% Reported</w:t>
            </w:r>
            <w:r w:rsidRPr="00AC598B" w:rsidDel="00197636">
              <w:rPr>
                <w:rFonts w:ascii="Arial" w:hAnsi="Arial" w:cs="Arial"/>
                <w:b/>
                <w:bCs/>
              </w:rPr>
              <w:t xml:space="preserve"> </w:t>
            </w:r>
            <w:r w:rsidRPr="00AC598B">
              <w:rPr>
                <w:rFonts w:ascii="Arial" w:hAnsi="Arial" w:cs="Arial"/>
                <w:b/>
                <w:bCs/>
              </w:rPr>
              <w:t>Change</w:t>
            </w:r>
          </w:p>
          <w:p w14:paraId="53D79DE2" w14:textId="77777777" w:rsidR="007D43ED" w:rsidRPr="00AC598B" w:rsidRDefault="007D43ED" w:rsidP="00C51098">
            <w:pPr>
              <w:jc w:val="right"/>
              <w:rPr>
                <w:rFonts w:ascii="Arial" w:hAnsi="Arial" w:cs="Arial"/>
                <w:b/>
                <w:bCs/>
              </w:rPr>
            </w:pPr>
          </w:p>
        </w:tc>
        <w:tc>
          <w:tcPr>
            <w:tcW w:w="851" w:type="pct"/>
            <w:tcBorders>
              <w:bottom w:val="single" w:sz="4" w:space="0" w:color="auto"/>
            </w:tcBorders>
          </w:tcPr>
          <w:p w14:paraId="11D0D626" w14:textId="77777777" w:rsidR="007D43ED" w:rsidRPr="00AC598B" w:rsidRDefault="007D43ED" w:rsidP="00C51098">
            <w:pPr>
              <w:jc w:val="right"/>
              <w:rPr>
                <w:rFonts w:ascii="Arial" w:hAnsi="Arial" w:cs="Arial"/>
                <w:b/>
                <w:bCs/>
              </w:rPr>
            </w:pPr>
            <w:r w:rsidRPr="00AC598B">
              <w:rPr>
                <w:rFonts w:ascii="Arial" w:hAnsi="Arial" w:cs="Arial"/>
                <w:b/>
                <w:bCs/>
              </w:rPr>
              <w:t>% Constant</w:t>
            </w:r>
          </w:p>
          <w:p w14:paraId="13B42AA0" w14:textId="77777777" w:rsidR="007D43ED" w:rsidRPr="00AC598B" w:rsidRDefault="007D43ED" w:rsidP="00C51098">
            <w:pPr>
              <w:jc w:val="right"/>
              <w:rPr>
                <w:rFonts w:ascii="Arial" w:hAnsi="Arial" w:cs="Arial"/>
                <w:b/>
                <w:bCs/>
              </w:rPr>
            </w:pPr>
            <w:r w:rsidRPr="00AC598B">
              <w:rPr>
                <w:rFonts w:ascii="Arial" w:hAnsi="Arial" w:cs="Arial"/>
                <w:b/>
                <w:bCs/>
              </w:rPr>
              <w:t>Currency</w:t>
            </w:r>
          </w:p>
          <w:p w14:paraId="01D40629" w14:textId="77777777" w:rsidR="007D43ED" w:rsidRPr="00AC598B" w:rsidRDefault="007D43ED" w:rsidP="00C51098">
            <w:pPr>
              <w:jc w:val="right"/>
              <w:rPr>
                <w:rFonts w:ascii="Arial" w:hAnsi="Arial" w:cs="Arial"/>
                <w:b/>
                <w:bCs/>
              </w:rPr>
            </w:pPr>
            <w:r w:rsidRPr="00AC598B">
              <w:rPr>
                <w:rFonts w:ascii="Arial" w:hAnsi="Arial" w:cs="Arial"/>
                <w:b/>
                <w:bCs/>
              </w:rPr>
              <w:t xml:space="preserve">Change  </w:t>
            </w:r>
          </w:p>
        </w:tc>
        <w:tc>
          <w:tcPr>
            <w:tcW w:w="695" w:type="pct"/>
            <w:tcBorders>
              <w:bottom w:val="single" w:sz="4" w:space="0" w:color="auto"/>
            </w:tcBorders>
          </w:tcPr>
          <w:p w14:paraId="3DFCF1B1" w14:textId="77777777" w:rsidR="007D43ED" w:rsidRPr="00AC598B" w:rsidRDefault="007D43ED" w:rsidP="00C51098">
            <w:pPr>
              <w:ind w:hanging="108"/>
              <w:jc w:val="right"/>
              <w:rPr>
                <w:rFonts w:ascii="Arial" w:hAnsi="Arial" w:cs="Arial"/>
                <w:b/>
                <w:bCs/>
              </w:rPr>
            </w:pPr>
            <w:r w:rsidRPr="00AC598B">
              <w:rPr>
                <w:rFonts w:ascii="Arial" w:hAnsi="Arial" w:cs="Arial"/>
                <w:b/>
                <w:bCs/>
              </w:rPr>
              <w:t>% LFL</w:t>
            </w:r>
          </w:p>
          <w:p w14:paraId="2BD0DFE2" w14:textId="77777777" w:rsidR="007D43ED" w:rsidRPr="00AC598B" w:rsidRDefault="007D43ED" w:rsidP="00C51098">
            <w:pPr>
              <w:ind w:hanging="108"/>
              <w:jc w:val="right"/>
              <w:rPr>
                <w:rFonts w:ascii="Arial" w:hAnsi="Arial" w:cs="Arial"/>
                <w:b/>
                <w:bCs/>
              </w:rPr>
            </w:pPr>
            <w:r w:rsidRPr="00AC598B">
              <w:rPr>
                <w:rFonts w:ascii="Arial" w:hAnsi="Arial" w:cs="Arial"/>
                <w:b/>
                <w:bCs/>
              </w:rPr>
              <w:t>Change</w:t>
            </w:r>
          </w:p>
        </w:tc>
      </w:tr>
      <w:tr w:rsidR="00BF586F" w:rsidRPr="00AF1D11" w14:paraId="3D9BC53E" w14:textId="77777777" w:rsidTr="00931630">
        <w:trPr>
          <w:trHeight w:val="147"/>
        </w:trPr>
        <w:tc>
          <w:tcPr>
            <w:tcW w:w="1287" w:type="pct"/>
            <w:tcBorders>
              <w:bottom w:val="single" w:sz="4" w:space="0" w:color="auto"/>
            </w:tcBorders>
            <w:shd w:val="clear" w:color="auto" w:fill="auto"/>
          </w:tcPr>
          <w:p w14:paraId="629193CA" w14:textId="77777777" w:rsidR="00BF586F" w:rsidRPr="00AC598B" w:rsidRDefault="00BF586F" w:rsidP="00BF586F">
            <w:pPr>
              <w:rPr>
                <w:rFonts w:ascii="Arial" w:hAnsi="Arial" w:cs="Arial"/>
                <w:b/>
              </w:rPr>
            </w:pPr>
            <w:r w:rsidRPr="00AC598B">
              <w:rPr>
                <w:rFonts w:ascii="Arial" w:hAnsi="Arial" w:cs="Arial"/>
                <w:b/>
                <w:bCs/>
              </w:rPr>
              <w:t>Sales</w:t>
            </w:r>
          </w:p>
        </w:tc>
        <w:tc>
          <w:tcPr>
            <w:tcW w:w="698" w:type="pct"/>
            <w:tcBorders>
              <w:bottom w:val="single" w:sz="4" w:space="0" w:color="auto"/>
            </w:tcBorders>
            <w:shd w:val="clear" w:color="auto" w:fill="auto"/>
          </w:tcPr>
          <w:p w14:paraId="05DF85DA" w14:textId="19AF2882" w:rsidR="00BF586F" w:rsidRPr="00AF1D11" w:rsidRDefault="00BF586F" w:rsidP="00BF586F">
            <w:pPr>
              <w:jc w:val="right"/>
              <w:rPr>
                <w:rFonts w:ascii="Arial" w:hAnsi="Arial" w:cs="Arial"/>
              </w:rPr>
            </w:pPr>
            <w:r w:rsidRPr="00AF1D11">
              <w:rPr>
                <w:rFonts w:ascii="Arial" w:hAnsi="Arial" w:cs="Arial"/>
              </w:rPr>
              <w:t>1,1</w:t>
            </w:r>
            <w:r w:rsidR="000F64DF" w:rsidRPr="00AF1D11">
              <w:rPr>
                <w:rFonts w:ascii="Arial" w:hAnsi="Arial" w:cs="Arial"/>
              </w:rPr>
              <w:t>84</w:t>
            </w:r>
          </w:p>
        </w:tc>
        <w:tc>
          <w:tcPr>
            <w:tcW w:w="619" w:type="pct"/>
            <w:tcBorders>
              <w:bottom w:val="single" w:sz="4" w:space="0" w:color="auto"/>
            </w:tcBorders>
            <w:shd w:val="clear" w:color="auto" w:fill="auto"/>
          </w:tcPr>
          <w:p w14:paraId="6B1EAB06" w14:textId="0B29646C" w:rsidR="00BF586F" w:rsidRPr="00AF1D11" w:rsidRDefault="00BF586F" w:rsidP="00BF586F">
            <w:pPr>
              <w:jc w:val="right"/>
              <w:rPr>
                <w:rFonts w:ascii="Arial" w:hAnsi="Arial" w:cs="Arial"/>
              </w:rPr>
            </w:pPr>
            <w:r w:rsidRPr="00AF1D11">
              <w:rPr>
                <w:rFonts w:ascii="Arial" w:hAnsi="Arial" w:cs="Arial"/>
              </w:rPr>
              <w:t>1,178</w:t>
            </w:r>
          </w:p>
        </w:tc>
        <w:tc>
          <w:tcPr>
            <w:tcW w:w="850" w:type="pct"/>
            <w:tcBorders>
              <w:bottom w:val="single" w:sz="4" w:space="0" w:color="auto"/>
            </w:tcBorders>
            <w:shd w:val="clear" w:color="auto" w:fill="auto"/>
          </w:tcPr>
          <w:p w14:paraId="1293F32D" w14:textId="77AC4821" w:rsidR="00BF586F" w:rsidRPr="00AF1D11" w:rsidRDefault="00BF586F" w:rsidP="00BF586F">
            <w:pPr>
              <w:jc w:val="right"/>
              <w:rPr>
                <w:rFonts w:ascii="Arial" w:hAnsi="Arial" w:cs="Arial"/>
              </w:rPr>
            </w:pPr>
            <w:r w:rsidRPr="00AF1D11">
              <w:rPr>
                <w:rFonts w:ascii="Arial" w:hAnsi="Arial" w:cs="Arial"/>
              </w:rPr>
              <w:t>+</w:t>
            </w:r>
            <w:r w:rsidR="000F64DF" w:rsidRPr="00AF1D11">
              <w:rPr>
                <w:rFonts w:ascii="Arial" w:hAnsi="Arial" w:cs="Arial"/>
              </w:rPr>
              <w:t>0.5</w:t>
            </w:r>
            <w:r w:rsidRPr="00AF1D11">
              <w:rPr>
                <w:rFonts w:ascii="Arial" w:hAnsi="Arial" w:cs="Arial"/>
              </w:rPr>
              <w:t>%</w:t>
            </w:r>
          </w:p>
        </w:tc>
        <w:tc>
          <w:tcPr>
            <w:tcW w:w="851" w:type="pct"/>
            <w:tcBorders>
              <w:bottom w:val="single" w:sz="4" w:space="0" w:color="auto"/>
            </w:tcBorders>
            <w:shd w:val="clear" w:color="auto" w:fill="auto"/>
          </w:tcPr>
          <w:p w14:paraId="50E4D1B3" w14:textId="10F0F97C" w:rsidR="00BF586F" w:rsidRPr="00AF1D11" w:rsidRDefault="00BF586F" w:rsidP="00BF586F">
            <w:pPr>
              <w:jc w:val="right"/>
              <w:rPr>
                <w:rFonts w:ascii="Arial" w:hAnsi="Arial" w:cs="Arial"/>
              </w:rPr>
            </w:pPr>
            <w:r w:rsidRPr="00AF1D11">
              <w:rPr>
                <w:rFonts w:ascii="Arial" w:hAnsi="Arial" w:cs="Arial"/>
              </w:rPr>
              <w:t>+</w:t>
            </w:r>
            <w:r w:rsidR="00AF1D11" w:rsidRPr="00AF1D11">
              <w:rPr>
                <w:rFonts w:ascii="Arial" w:hAnsi="Arial" w:cs="Arial"/>
              </w:rPr>
              <w:t>1.8</w:t>
            </w:r>
            <w:r w:rsidRPr="00AF1D11">
              <w:rPr>
                <w:rFonts w:ascii="Arial" w:hAnsi="Arial" w:cs="Arial"/>
              </w:rPr>
              <w:t>%</w:t>
            </w:r>
          </w:p>
        </w:tc>
        <w:tc>
          <w:tcPr>
            <w:tcW w:w="695" w:type="pct"/>
            <w:tcBorders>
              <w:bottom w:val="single" w:sz="4" w:space="0" w:color="auto"/>
            </w:tcBorders>
            <w:shd w:val="clear" w:color="auto" w:fill="auto"/>
          </w:tcPr>
          <w:p w14:paraId="754D9D63" w14:textId="3C5EADDB" w:rsidR="00BF586F" w:rsidRPr="00AF1D11" w:rsidRDefault="00BF586F" w:rsidP="00BF586F">
            <w:pPr>
              <w:jc w:val="right"/>
              <w:rPr>
                <w:rFonts w:ascii="Arial" w:hAnsi="Arial" w:cs="Arial"/>
                <w:b/>
              </w:rPr>
            </w:pPr>
            <w:r w:rsidRPr="00AF1D11">
              <w:rPr>
                <w:rFonts w:ascii="Arial" w:hAnsi="Arial" w:cs="Arial"/>
              </w:rPr>
              <w:t>+</w:t>
            </w:r>
            <w:r w:rsidR="00AF1D11" w:rsidRPr="00AF1D11">
              <w:rPr>
                <w:rFonts w:ascii="Arial" w:hAnsi="Arial" w:cs="Arial"/>
              </w:rPr>
              <w:t>1.2</w:t>
            </w:r>
            <w:r w:rsidRPr="00AF1D11">
              <w:rPr>
                <w:rFonts w:ascii="Arial" w:hAnsi="Arial" w:cs="Arial"/>
                <w:b/>
              </w:rPr>
              <w:t>%</w:t>
            </w:r>
          </w:p>
        </w:tc>
      </w:tr>
      <w:tr w:rsidR="00BF586F" w:rsidRPr="00BF586F" w14:paraId="46D96C64" w14:textId="77777777" w:rsidTr="00931630">
        <w:trPr>
          <w:trHeight w:val="147"/>
        </w:trPr>
        <w:tc>
          <w:tcPr>
            <w:tcW w:w="1287" w:type="pct"/>
            <w:tcBorders>
              <w:bottom w:val="single" w:sz="4" w:space="0" w:color="auto"/>
            </w:tcBorders>
            <w:shd w:val="clear" w:color="auto" w:fill="auto"/>
          </w:tcPr>
          <w:p w14:paraId="1E5129C3" w14:textId="49A37288" w:rsidR="00BF586F" w:rsidRPr="00AF1D11" w:rsidRDefault="00BF586F" w:rsidP="00BF586F">
            <w:pPr>
              <w:rPr>
                <w:rFonts w:ascii="Arial" w:hAnsi="Arial" w:cs="Arial"/>
                <w:b/>
                <w:bCs/>
              </w:rPr>
            </w:pPr>
            <w:r w:rsidRPr="00AF1D11">
              <w:rPr>
                <w:rFonts w:ascii="Arial" w:hAnsi="Arial" w:cs="Arial"/>
              </w:rPr>
              <w:t>Poland</w:t>
            </w:r>
          </w:p>
        </w:tc>
        <w:tc>
          <w:tcPr>
            <w:tcW w:w="698" w:type="pct"/>
            <w:tcBorders>
              <w:bottom w:val="single" w:sz="4" w:space="0" w:color="auto"/>
            </w:tcBorders>
            <w:shd w:val="clear" w:color="auto" w:fill="auto"/>
          </w:tcPr>
          <w:p w14:paraId="2ABBE8EB" w14:textId="1F77777A" w:rsidR="00BF586F" w:rsidRPr="00AF1D11" w:rsidRDefault="000F64DF" w:rsidP="00BF586F">
            <w:pPr>
              <w:jc w:val="right"/>
              <w:rPr>
                <w:rFonts w:ascii="Arial" w:hAnsi="Arial" w:cs="Arial"/>
              </w:rPr>
            </w:pPr>
            <w:r w:rsidRPr="00AF1D11">
              <w:rPr>
                <w:rFonts w:ascii="Arial" w:hAnsi="Arial" w:cs="Arial"/>
              </w:rPr>
              <w:t>753</w:t>
            </w:r>
          </w:p>
        </w:tc>
        <w:tc>
          <w:tcPr>
            <w:tcW w:w="619" w:type="pct"/>
            <w:tcBorders>
              <w:bottom w:val="single" w:sz="4" w:space="0" w:color="auto"/>
            </w:tcBorders>
            <w:shd w:val="clear" w:color="auto" w:fill="auto"/>
          </w:tcPr>
          <w:p w14:paraId="05E3595D" w14:textId="2DB66815" w:rsidR="00BF586F" w:rsidRPr="00AF1D11" w:rsidRDefault="00BF586F" w:rsidP="00BF586F">
            <w:pPr>
              <w:jc w:val="right"/>
              <w:rPr>
                <w:rFonts w:ascii="Arial" w:hAnsi="Arial" w:cs="Arial"/>
              </w:rPr>
            </w:pPr>
            <w:r w:rsidRPr="00AF1D11">
              <w:rPr>
                <w:rFonts w:ascii="Arial" w:hAnsi="Arial" w:cs="Arial"/>
              </w:rPr>
              <w:t>726</w:t>
            </w:r>
          </w:p>
        </w:tc>
        <w:tc>
          <w:tcPr>
            <w:tcW w:w="850" w:type="pct"/>
            <w:tcBorders>
              <w:bottom w:val="single" w:sz="4" w:space="0" w:color="auto"/>
            </w:tcBorders>
            <w:shd w:val="clear" w:color="auto" w:fill="auto"/>
          </w:tcPr>
          <w:p w14:paraId="7DE7FE07" w14:textId="6E9C6FB6" w:rsidR="00BF586F" w:rsidRPr="00AF1D11" w:rsidRDefault="00BF586F" w:rsidP="00BF586F">
            <w:pPr>
              <w:jc w:val="right"/>
              <w:rPr>
                <w:rFonts w:ascii="Arial" w:hAnsi="Arial" w:cs="Arial"/>
              </w:rPr>
            </w:pPr>
            <w:r w:rsidRPr="00AF1D11">
              <w:rPr>
                <w:rFonts w:ascii="Arial" w:hAnsi="Arial" w:cs="Arial"/>
              </w:rPr>
              <w:t>+</w:t>
            </w:r>
            <w:r w:rsidR="00AF1D11" w:rsidRPr="00AF1D11">
              <w:rPr>
                <w:rFonts w:ascii="Arial" w:hAnsi="Arial" w:cs="Arial"/>
              </w:rPr>
              <w:t>3.7</w:t>
            </w:r>
            <w:r w:rsidRPr="00AF1D11">
              <w:rPr>
                <w:rFonts w:ascii="Arial" w:hAnsi="Arial" w:cs="Arial"/>
              </w:rPr>
              <w:t>%</w:t>
            </w:r>
          </w:p>
        </w:tc>
        <w:tc>
          <w:tcPr>
            <w:tcW w:w="851" w:type="pct"/>
            <w:tcBorders>
              <w:bottom w:val="single" w:sz="4" w:space="0" w:color="auto"/>
            </w:tcBorders>
            <w:shd w:val="clear" w:color="auto" w:fill="auto"/>
          </w:tcPr>
          <w:p w14:paraId="48094A0E" w14:textId="014CD996" w:rsidR="00BF586F" w:rsidRPr="00AF1D11" w:rsidRDefault="00BF586F" w:rsidP="00BF586F">
            <w:pPr>
              <w:jc w:val="right"/>
              <w:rPr>
                <w:rFonts w:ascii="Arial" w:hAnsi="Arial" w:cs="Arial"/>
              </w:rPr>
            </w:pPr>
            <w:r w:rsidRPr="00AF1D11">
              <w:rPr>
                <w:rFonts w:ascii="Arial" w:hAnsi="Arial" w:cs="Arial"/>
              </w:rPr>
              <w:t>+</w:t>
            </w:r>
            <w:r w:rsidR="00AF1D11" w:rsidRPr="00AF1D11">
              <w:rPr>
                <w:rFonts w:ascii="Arial" w:hAnsi="Arial" w:cs="Arial"/>
              </w:rPr>
              <w:t>5.2</w:t>
            </w:r>
            <w:r w:rsidRPr="00AF1D11">
              <w:rPr>
                <w:rFonts w:ascii="Arial" w:hAnsi="Arial" w:cs="Arial"/>
              </w:rPr>
              <w:t>%</w:t>
            </w:r>
          </w:p>
        </w:tc>
        <w:tc>
          <w:tcPr>
            <w:tcW w:w="695" w:type="pct"/>
            <w:tcBorders>
              <w:bottom w:val="single" w:sz="4" w:space="0" w:color="auto"/>
            </w:tcBorders>
            <w:shd w:val="clear" w:color="auto" w:fill="auto"/>
          </w:tcPr>
          <w:p w14:paraId="276ACA23" w14:textId="030F3692" w:rsidR="00BF586F" w:rsidRPr="00AF1D11" w:rsidRDefault="00BF586F" w:rsidP="00BF586F">
            <w:pPr>
              <w:jc w:val="right"/>
              <w:rPr>
                <w:rFonts w:ascii="Arial" w:hAnsi="Arial" w:cs="Arial"/>
              </w:rPr>
            </w:pPr>
            <w:r w:rsidRPr="00AF1D11">
              <w:rPr>
                <w:rFonts w:ascii="Arial" w:hAnsi="Arial" w:cs="Arial"/>
              </w:rPr>
              <w:t>+</w:t>
            </w:r>
            <w:r w:rsidR="00AF1D11" w:rsidRPr="00AF1D11">
              <w:rPr>
                <w:rFonts w:ascii="Arial" w:hAnsi="Arial" w:cs="Arial"/>
              </w:rPr>
              <w:t>3.3</w:t>
            </w:r>
            <w:r w:rsidRPr="00AF1D11">
              <w:rPr>
                <w:rFonts w:ascii="Arial" w:hAnsi="Arial" w:cs="Arial"/>
              </w:rPr>
              <w:t>%</w:t>
            </w:r>
          </w:p>
        </w:tc>
      </w:tr>
      <w:tr w:rsidR="00BF586F" w:rsidRPr="00BF586F" w14:paraId="594590A6" w14:textId="77777777" w:rsidTr="00931630">
        <w:trPr>
          <w:trHeight w:val="147"/>
        </w:trPr>
        <w:tc>
          <w:tcPr>
            <w:tcW w:w="1287" w:type="pct"/>
            <w:tcBorders>
              <w:bottom w:val="single" w:sz="4" w:space="0" w:color="auto"/>
            </w:tcBorders>
            <w:shd w:val="clear" w:color="auto" w:fill="auto"/>
          </w:tcPr>
          <w:p w14:paraId="6053DC4A" w14:textId="10ADD82E" w:rsidR="00BF586F" w:rsidRPr="00AB52F3" w:rsidRDefault="00BF586F" w:rsidP="00BF586F">
            <w:pPr>
              <w:rPr>
                <w:rFonts w:ascii="Arial" w:hAnsi="Arial" w:cs="Arial"/>
                <w:bCs/>
              </w:rPr>
            </w:pPr>
            <w:r w:rsidRPr="0089408C">
              <w:rPr>
                <w:rFonts w:ascii="Arial" w:hAnsi="Arial" w:cs="Arial"/>
              </w:rPr>
              <w:t>Other</w:t>
            </w:r>
          </w:p>
        </w:tc>
        <w:tc>
          <w:tcPr>
            <w:tcW w:w="698" w:type="pct"/>
            <w:tcBorders>
              <w:bottom w:val="single" w:sz="4" w:space="0" w:color="auto"/>
            </w:tcBorders>
            <w:shd w:val="clear" w:color="auto" w:fill="auto"/>
          </w:tcPr>
          <w:p w14:paraId="0C36F800" w14:textId="5330B35D" w:rsidR="00BF586F" w:rsidRPr="00BF586F" w:rsidRDefault="000F64DF" w:rsidP="00BF586F">
            <w:pPr>
              <w:jc w:val="right"/>
              <w:rPr>
                <w:rFonts w:ascii="Arial" w:hAnsi="Arial" w:cs="Arial"/>
                <w:highlight w:val="yellow"/>
              </w:rPr>
            </w:pPr>
            <w:r w:rsidRPr="000F64DF">
              <w:rPr>
                <w:rFonts w:ascii="Arial" w:hAnsi="Arial" w:cs="Arial"/>
              </w:rPr>
              <w:t>431</w:t>
            </w:r>
          </w:p>
        </w:tc>
        <w:tc>
          <w:tcPr>
            <w:tcW w:w="619" w:type="pct"/>
            <w:tcBorders>
              <w:bottom w:val="single" w:sz="4" w:space="0" w:color="auto"/>
            </w:tcBorders>
            <w:shd w:val="clear" w:color="auto" w:fill="auto"/>
          </w:tcPr>
          <w:p w14:paraId="33D4DECF" w14:textId="747DB2A5" w:rsidR="00BF586F" w:rsidRPr="0089408C" w:rsidRDefault="00BF586F" w:rsidP="00BF586F">
            <w:pPr>
              <w:jc w:val="right"/>
              <w:rPr>
                <w:rFonts w:ascii="Arial" w:hAnsi="Arial" w:cs="Arial"/>
              </w:rPr>
            </w:pPr>
            <w:r w:rsidRPr="0089408C">
              <w:rPr>
                <w:rFonts w:ascii="Arial" w:hAnsi="Arial" w:cs="Arial"/>
              </w:rPr>
              <w:t>452</w:t>
            </w:r>
          </w:p>
        </w:tc>
        <w:tc>
          <w:tcPr>
            <w:tcW w:w="850" w:type="pct"/>
            <w:tcBorders>
              <w:bottom w:val="single" w:sz="4" w:space="0" w:color="auto"/>
            </w:tcBorders>
            <w:shd w:val="clear" w:color="auto" w:fill="auto"/>
          </w:tcPr>
          <w:p w14:paraId="087477A1" w14:textId="04768C57" w:rsidR="00BF586F" w:rsidRPr="00BF586F" w:rsidRDefault="007E0798" w:rsidP="00BF586F">
            <w:pPr>
              <w:jc w:val="right"/>
              <w:rPr>
                <w:rFonts w:ascii="Arial" w:hAnsi="Arial" w:cs="Arial"/>
                <w:highlight w:val="yellow"/>
              </w:rPr>
            </w:pPr>
            <w:r w:rsidRPr="007E0798">
              <w:rPr>
                <w:rFonts w:ascii="Arial" w:hAnsi="Arial" w:cs="Arial"/>
              </w:rPr>
              <w:t>(4.</w:t>
            </w:r>
            <w:r w:rsidR="000846B7">
              <w:rPr>
                <w:rFonts w:ascii="Arial" w:hAnsi="Arial" w:cs="Arial"/>
              </w:rPr>
              <w:t>5</w:t>
            </w:r>
            <w:r w:rsidRPr="007E0798">
              <w:rPr>
                <w:rFonts w:ascii="Arial" w:hAnsi="Arial" w:cs="Arial"/>
              </w:rPr>
              <w:t>)</w:t>
            </w:r>
            <w:r w:rsidR="00BF586F" w:rsidRPr="007E0798">
              <w:rPr>
                <w:rFonts w:ascii="Arial" w:hAnsi="Arial" w:cs="Arial"/>
              </w:rPr>
              <w:t>%</w:t>
            </w:r>
          </w:p>
        </w:tc>
        <w:tc>
          <w:tcPr>
            <w:tcW w:w="851" w:type="pct"/>
            <w:tcBorders>
              <w:bottom w:val="single" w:sz="4" w:space="0" w:color="auto"/>
            </w:tcBorders>
            <w:shd w:val="clear" w:color="auto" w:fill="auto"/>
          </w:tcPr>
          <w:p w14:paraId="771E1973" w14:textId="6DD7B3C3" w:rsidR="00BF586F" w:rsidRPr="000846B7" w:rsidRDefault="000846B7" w:rsidP="00BF586F">
            <w:pPr>
              <w:jc w:val="right"/>
              <w:rPr>
                <w:rFonts w:ascii="Arial" w:hAnsi="Arial" w:cs="Arial"/>
              </w:rPr>
            </w:pPr>
            <w:r w:rsidRPr="000846B7">
              <w:rPr>
                <w:rFonts w:ascii="Arial" w:hAnsi="Arial" w:cs="Arial"/>
              </w:rPr>
              <w:t>(3.5)</w:t>
            </w:r>
            <w:r w:rsidR="00BF586F" w:rsidRPr="000846B7">
              <w:rPr>
                <w:rFonts w:ascii="Arial" w:hAnsi="Arial" w:cs="Arial"/>
              </w:rPr>
              <w:t>%</w:t>
            </w:r>
          </w:p>
        </w:tc>
        <w:tc>
          <w:tcPr>
            <w:tcW w:w="695" w:type="pct"/>
            <w:tcBorders>
              <w:bottom w:val="single" w:sz="4" w:space="0" w:color="auto"/>
            </w:tcBorders>
            <w:shd w:val="clear" w:color="auto" w:fill="auto"/>
          </w:tcPr>
          <w:p w14:paraId="58C3594C" w14:textId="38DCAA12" w:rsidR="00BF586F" w:rsidRPr="000846B7" w:rsidRDefault="00BF586F" w:rsidP="00BF586F">
            <w:pPr>
              <w:jc w:val="right"/>
              <w:rPr>
                <w:rFonts w:ascii="Arial" w:hAnsi="Arial" w:cs="Arial"/>
              </w:rPr>
            </w:pPr>
            <w:r w:rsidRPr="000846B7">
              <w:rPr>
                <w:rFonts w:ascii="Arial" w:hAnsi="Arial" w:cs="Arial"/>
              </w:rPr>
              <w:t>(</w:t>
            </w:r>
            <w:r w:rsidR="000846B7" w:rsidRPr="000846B7">
              <w:rPr>
                <w:rFonts w:ascii="Arial" w:hAnsi="Arial" w:cs="Arial"/>
              </w:rPr>
              <w:t>2.8</w:t>
            </w:r>
            <w:r w:rsidRPr="000846B7">
              <w:rPr>
                <w:rFonts w:ascii="Arial" w:hAnsi="Arial" w:cs="Arial"/>
              </w:rPr>
              <w:t>)%</w:t>
            </w:r>
          </w:p>
        </w:tc>
      </w:tr>
      <w:tr w:rsidR="00BF586F" w:rsidRPr="00BF586F" w14:paraId="791050E8" w14:textId="77777777" w:rsidTr="00A605C0">
        <w:trPr>
          <w:gridAfter w:val="1"/>
          <w:wAfter w:w="695" w:type="pct"/>
        </w:trPr>
        <w:tc>
          <w:tcPr>
            <w:tcW w:w="1287" w:type="pct"/>
            <w:tcBorders>
              <w:top w:val="nil"/>
              <w:left w:val="nil"/>
              <w:bottom w:val="single" w:sz="4" w:space="0" w:color="auto"/>
              <w:right w:val="nil"/>
            </w:tcBorders>
          </w:tcPr>
          <w:p w14:paraId="1BEAB31E" w14:textId="77777777" w:rsidR="00BF586F" w:rsidRPr="00AC598B" w:rsidRDefault="00BF586F" w:rsidP="00BF586F">
            <w:pPr>
              <w:rPr>
                <w:rFonts w:ascii="Arial" w:hAnsi="Arial" w:cs="Arial"/>
                <w:bCs/>
              </w:rPr>
            </w:pPr>
          </w:p>
        </w:tc>
        <w:tc>
          <w:tcPr>
            <w:tcW w:w="698" w:type="pct"/>
            <w:tcBorders>
              <w:top w:val="nil"/>
              <w:left w:val="nil"/>
              <w:bottom w:val="single" w:sz="4" w:space="0" w:color="auto"/>
              <w:right w:val="nil"/>
            </w:tcBorders>
          </w:tcPr>
          <w:p w14:paraId="15E64657" w14:textId="77777777" w:rsidR="00BF586F" w:rsidRPr="00BF586F" w:rsidRDefault="00BF586F" w:rsidP="00BF586F">
            <w:pPr>
              <w:jc w:val="right"/>
              <w:rPr>
                <w:rFonts w:ascii="Arial" w:hAnsi="Arial" w:cs="Arial"/>
                <w:highlight w:val="yellow"/>
              </w:rPr>
            </w:pPr>
          </w:p>
        </w:tc>
        <w:tc>
          <w:tcPr>
            <w:tcW w:w="619" w:type="pct"/>
            <w:tcBorders>
              <w:top w:val="nil"/>
              <w:left w:val="nil"/>
              <w:bottom w:val="single" w:sz="4" w:space="0" w:color="auto"/>
              <w:right w:val="nil"/>
            </w:tcBorders>
          </w:tcPr>
          <w:p w14:paraId="3E25332D" w14:textId="77777777" w:rsidR="00BF586F" w:rsidRPr="00230CDB" w:rsidRDefault="00BF586F" w:rsidP="00BF586F">
            <w:pPr>
              <w:jc w:val="right"/>
              <w:rPr>
                <w:rFonts w:ascii="Arial" w:hAnsi="Arial" w:cs="Arial"/>
              </w:rPr>
            </w:pPr>
          </w:p>
        </w:tc>
        <w:tc>
          <w:tcPr>
            <w:tcW w:w="850" w:type="pct"/>
            <w:tcBorders>
              <w:top w:val="nil"/>
              <w:left w:val="nil"/>
              <w:bottom w:val="single" w:sz="4" w:space="0" w:color="auto"/>
              <w:right w:val="nil"/>
            </w:tcBorders>
          </w:tcPr>
          <w:p w14:paraId="34290856" w14:textId="77777777" w:rsidR="00BF586F" w:rsidRPr="00BF586F" w:rsidRDefault="00BF586F" w:rsidP="00BF586F">
            <w:pPr>
              <w:jc w:val="right"/>
              <w:rPr>
                <w:rFonts w:ascii="Arial" w:hAnsi="Arial" w:cs="Arial"/>
                <w:highlight w:val="yellow"/>
              </w:rPr>
            </w:pPr>
          </w:p>
        </w:tc>
        <w:tc>
          <w:tcPr>
            <w:tcW w:w="851" w:type="pct"/>
            <w:tcBorders>
              <w:top w:val="nil"/>
              <w:left w:val="nil"/>
              <w:bottom w:val="single" w:sz="4" w:space="0" w:color="auto"/>
              <w:right w:val="nil"/>
            </w:tcBorders>
          </w:tcPr>
          <w:p w14:paraId="25318D8E" w14:textId="77777777" w:rsidR="00BF586F" w:rsidRPr="00BF586F" w:rsidRDefault="00BF586F" w:rsidP="00BF586F">
            <w:pPr>
              <w:jc w:val="right"/>
              <w:rPr>
                <w:rFonts w:ascii="Arial" w:hAnsi="Arial" w:cs="Arial"/>
                <w:highlight w:val="yellow"/>
              </w:rPr>
            </w:pPr>
          </w:p>
        </w:tc>
      </w:tr>
      <w:tr w:rsidR="00BF586F" w:rsidRPr="007E0798" w14:paraId="544BED27" w14:textId="77777777" w:rsidTr="00A605C0">
        <w:trPr>
          <w:gridAfter w:val="1"/>
          <w:wAfter w:w="695" w:type="pct"/>
        </w:trPr>
        <w:tc>
          <w:tcPr>
            <w:tcW w:w="1287" w:type="pct"/>
            <w:tcBorders>
              <w:top w:val="single" w:sz="4" w:space="0" w:color="auto"/>
              <w:bottom w:val="single" w:sz="4" w:space="0" w:color="auto"/>
            </w:tcBorders>
          </w:tcPr>
          <w:p w14:paraId="01FCC9B3" w14:textId="77777777" w:rsidR="00BF586F" w:rsidRPr="007E0798" w:rsidRDefault="00BF586F" w:rsidP="00BF586F">
            <w:pPr>
              <w:rPr>
                <w:rFonts w:ascii="Arial" w:hAnsi="Arial" w:cs="Arial"/>
                <w:b/>
              </w:rPr>
            </w:pPr>
            <w:r w:rsidRPr="007E0798">
              <w:rPr>
                <w:rFonts w:ascii="Arial" w:hAnsi="Arial" w:cs="Arial"/>
                <w:b/>
                <w:bCs/>
              </w:rPr>
              <w:t>Retail profit</w:t>
            </w:r>
          </w:p>
        </w:tc>
        <w:tc>
          <w:tcPr>
            <w:tcW w:w="698" w:type="pct"/>
            <w:tcBorders>
              <w:top w:val="single" w:sz="4" w:space="0" w:color="auto"/>
              <w:bottom w:val="single" w:sz="4" w:space="0" w:color="auto"/>
            </w:tcBorders>
          </w:tcPr>
          <w:p w14:paraId="59D27D6A" w14:textId="414AFCA4" w:rsidR="00BF586F" w:rsidRPr="007E0798" w:rsidRDefault="00DE0D16" w:rsidP="00BF586F">
            <w:pPr>
              <w:jc w:val="right"/>
              <w:rPr>
                <w:rFonts w:ascii="Arial" w:hAnsi="Arial" w:cs="Arial"/>
              </w:rPr>
            </w:pPr>
            <w:r w:rsidRPr="007E0798">
              <w:rPr>
                <w:rFonts w:ascii="Arial" w:hAnsi="Arial" w:cs="Arial"/>
              </w:rPr>
              <w:t>7</w:t>
            </w:r>
            <w:r w:rsidR="006A3CEC">
              <w:rPr>
                <w:rFonts w:ascii="Arial" w:hAnsi="Arial" w:cs="Arial"/>
              </w:rPr>
              <w:t>5</w:t>
            </w:r>
          </w:p>
        </w:tc>
        <w:tc>
          <w:tcPr>
            <w:tcW w:w="619" w:type="pct"/>
            <w:tcBorders>
              <w:top w:val="single" w:sz="4" w:space="0" w:color="auto"/>
              <w:bottom w:val="single" w:sz="4" w:space="0" w:color="auto"/>
            </w:tcBorders>
          </w:tcPr>
          <w:p w14:paraId="7B223DD9" w14:textId="4735A3B7" w:rsidR="00BF586F" w:rsidRPr="007E0798" w:rsidRDefault="00DE0D16" w:rsidP="00BF586F">
            <w:pPr>
              <w:jc w:val="right"/>
              <w:rPr>
                <w:rFonts w:ascii="Arial" w:hAnsi="Arial" w:cs="Arial"/>
              </w:rPr>
            </w:pPr>
            <w:r w:rsidRPr="007E0798">
              <w:rPr>
                <w:rFonts w:ascii="Arial" w:hAnsi="Arial" w:cs="Arial"/>
              </w:rPr>
              <w:t>77</w:t>
            </w:r>
          </w:p>
        </w:tc>
        <w:tc>
          <w:tcPr>
            <w:tcW w:w="850" w:type="pct"/>
            <w:tcBorders>
              <w:top w:val="single" w:sz="4" w:space="0" w:color="auto"/>
              <w:bottom w:val="single" w:sz="4" w:space="0" w:color="auto"/>
            </w:tcBorders>
          </w:tcPr>
          <w:p w14:paraId="6BABA5B7" w14:textId="74CB034E" w:rsidR="00BF586F" w:rsidRPr="007E0798" w:rsidRDefault="00BF586F" w:rsidP="00BF586F">
            <w:pPr>
              <w:jc w:val="right"/>
              <w:rPr>
                <w:rFonts w:ascii="Arial" w:hAnsi="Arial" w:cs="Arial"/>
              </w:rPr>
            </w:pPr>
            <w:r w:rsidRPr="007E0798">
              <w:rPr>
                <w:rFonts w:ascii="Arial" w:hAnsi="Arial" w:cs="Arial"/>
              </w:rPr>
              <w:t>(</w:t>
            </w:r>
            <w:r w:rsidR="006A3CEC">
              <w:rPr>
                <w:rFonts w:ascii="Arial" w:hAnsi="Arial" w:cs="Arial"/>
              </w:rPr>
              <w:t>2.9</w:t>
            </w:r>
            <w:r w:rsidRPr="007E0798">
              <w:rPr>
                <w:rFonts w:ascii="Arial" w:hAnsi="Arial" w:cs="Arial"/>
              </w:rPr>
              <w:t>)%</w:t>
            </w:r>
          </w:p>
        </w:tc>
        <w:tc>
          <w:tcPr>
            <w:tcW w:w="851" w:type="pct"/>
            <w:tcBorders>
              <w:top w:val="single" w:sz="4" w:space="0" w:color="auto"/>
              <w:bottom w:val="single" w:sz="4" w:space="0" w:color="auto"/>
            </w:tcBorders>
          </w:tcPr>
          <w:p w14:paraId="33014F4C" w14:textId="6D79FA9A" w:rsidR="00BF586F" w:rsidRPr="007E0798" w:rsidRDefault="006A3CEC" w:rsidP="00BF586F">
            <w:pPr>
              <w:jc w:val="right"/>
              <w:rPr>
                <w:rFonts w:ascii="Arial" w:hAnsi="Arial" w:cs="Arial"/>
              </w:rPr>
            </w:pPr>
            <w:r>
              <w:rPr>
                <w:rFonts w:ascii="Arial" w:hAnsi="Arial" w:cs="Arial"/>
              </w:rPr>
              <w:t>(</w:t>
            </w:r>
            <w:r w:rsidR="00DE0D16" w:rsidRPr="007E0798">
              <w:rPr>
                <w:rFonts w:ascii="Arial" w:hAnsi="Arial" w:cs="Arial"/>
              </w:rPr>
              <w:t>0.</w:t>
            </w:r>
            <w:r>
              <w:rPr>
                <w:rFonts w:ascii="Arial" w:hAnsi="Arial" w:cs="Arial"/>
              </w:rPr>
              <w:t>9)</w:t>
            </w:r>
            <w:r w:rsidR="00BF586F" w:rsidRPr="007E0798">
              <w:rPr>
                <w:rFonts w:ascii="Arial" w:hAnsi="Arial" w:cs="Arial"/>
              </w:rPr>
              <w:t>%</w:t>
            </w:r>
          </w:p>
        </w:tc>
      </w:tr>
      <w:tr w:rsidR="00BF586F" w:rsidRPr="00BF586F" w14:paraId="7ED8A78B" w14:textId="77777777" w:rsidTr="00A605C0">
        <w:trPr>
          <w:gridAfter w:val="1"/>
          <w:wAfter w:w="695" w:type="pct"/>
        </w:trPr>
        <w:tc>
          <w:tcPr>
            <w:tcW w:w="1287" w:type="pct"/>
            <w:tcBorders>
              <w:top w:val="single" w:sz="4" w:space="0" w:color="auto"/>
            </w:tcBorders>
          </w:tcPr>
          <w:p w14:paraId="2FB5086C" w14:textId="4B460FFB" w:rsidR="00BF586F" w:rsidRPr="007E0798" w:rsidRDefault="00BF586F" w:rsidP="00BF586F">
            <w:pPr>
              <w:jc w:val="left"/>
              <w:rPr>
                <w:rFonts w:ascii="Arial" w:hAnsi="Arial" w:cs="Arial"/>
              </w:rPr>
            </w:pPr>
            <w:r w:rsidRPr="007E0798">
              <w:rPr>
                <w:rFonts w:ascii="Arial" w:hAnsi="Arial" w:cs="Arial"/>
              </w:rPr>
              <w:t>Poland</w:t>
            </w:r>
          </w:p>
        </w:tc>
        <w:tc>
          <w:tcPr>
            <w:tcW w:w="698" w:type="pct"/>
            <w:tcBorders>
              <w:top w:val="single" w:sz="4" w:space="0" w:color="auto"/>
            </w:tcBorders>
          </w:tcPr>
          <w:p w14:paraId="4F10ECE0" w14:textId="7B8FCD31" w:rsidR="00BF586F" w:rsidRPr="007E0798" w:rsidRDefault="006A3CEC" w:rsidP="00BF586F">
            <w:pPr>
              <w:jc w:val="right"/>
              <w:rPr>
                <w:rFonts w:ascii="Arial" w:hAnsi="Arial" w:cs="Arial"/>
              </w:rPr>
            </w:pPr>
            <w:r w:rsidRPr="007E0798">
              <w:rPr>
                <w:rFonts w:ascii="Arial" w:hAnsi="Arial" w:cs="Arial"/>
              </w:rPr>
              <w:t>8</w:t>
            </w:r>
            <w:r>
              <w:rPr>
                <w:rFonts w:ascii="Arial" w:hAnsi="Arial" w:cs="Arial"/>
              </w:rPr>
              <w:t>8</w:t>
            </w:r>
          </w:p>
        </w:tc>
        <w:tc>
          <w:tcPr>
            <w:tcW w:w="619" w:type="pct"/>
            <w:tcBorders>
              <w:top w:val="single" w:sz="4" w:space="0" w:color="auto"/>
            </w:tcBorders>
          </w:tcPr>
          <w:p w14:paraId="575C3ED1" w14:textId="1DC7BB31" w:rsidR="00BF586F" w:rsidRPr="007E0798" w:rsidRDefault="00DE0D16" w:rsidP="00BF586F">
            <w:pPr>
              <w:jc w:val="right"/>
              <w:rPr>
                <w:rFonts w:ascii="Arial" w:hAnsi="Arial" w:cs="Arial"/>
                <w:bCs/>
              </w:rPr>
            </w:pPr>
            <w:r w:rsidRPr="007E0798">
              <w:rPr>
                <w:rFonts w:ascii="Arial" w:hAnsi="Arial" w:cs="Arial"/>
                <w:bCs/>
              </w:rPr>
              <w:t>90</w:t>
            </w:r>
          </w:p>
        </w:tc>
        <w:tc>
          <w:tcPr>
            <w:tcW w:w="850" w:type="pct"/>
            <w:tcBorders>
              <w:top w:val="single" w:sz="4" w:space="0" w:color="auto"/>
            </w:tcBorders>
          </w:tcPr>
          <w:p w14:paraId="08E2B1EB" w14:textId="56BFDCB1" w:rsidR="00BF586F" w:rsidRPr="007E0798" w:rsidRDefault="007E0798" w:rsidP="00BF586F">
            <w:pPr>
              <w:jc w:val="right"/>
              <w:rPr>
                <w:rFonts w:ascii="Arial" w:hAnsi="Arial" w:cs="Arial"/>
              </w:rPr>
            </w:pPr>
            <w:r w:rsidRPr="007E0798">
              <w:rPr>
                <w:rFonts w:ascii="Arial" w:hAnsi="Arial" w:cs="Arial"/>
              </w:rPr>
              <w:t>(</w:t>
            </w:r>
            <w:r w:rsidR="006A3CEC">
              <w:rPr>
                <w:rFonts w:ascii="Arial" w:hAnsi="Arial" w:cs="Arial"/>
              </w:rPr>
              <w:t>1.9</w:t>
            </w:r>
            <w:r w:rsidRPr="007E0798">
              <w:rPr>
                <w:rFonts w:ascii="Arial" w:hAnsi="Arial" w:cs="Arial"/>
              </w:rPr>
              <w:t>)</w:t>
            </w:r>
            <w:r w:rsidR="00BF586F" w:rsidRPr="007E0798">
              <w:rPr>
                <w:rFonts w:ascii="Arial" w:hAnsi="Arial" w:cs="Arial"/>
              </w:rPr>
              <w:t>%</w:t>
            </w:r>
          </w:p>
        </w:tc>
        <w:tc>
          <w:tcPr>
            <w:tcW w:w="851" w:type="pct"/>
            <w:tcBorders>
              <w:top w:val="single" w:sz="4" w:space="0" w:color="auto"/>
            </w:tcBorders>
          </w:tcPr>
          <w:p w14:paraId="7BD03D9D" w14:textId="3767CA79" w:rsidR="00BF586F" w:rsidRPr="007E0798" w:rsidRDefault="006A3CEC" w:rsidP="00BF586F">
            <w:pPr>
              <w:jc w:val="right"/>
              <w:rPr>
                <w:rFonts w:ascii="Arial" w:hAnsi="Arial" w:cs="Arial"/>
              </w:rPr>
            </w:pPr>
            <w:r>
              <w:rPr>
                <w:rFonts w:ascii="Arial" w:hAnsi="Arial" w:cs="Arial"/>
              </w:rPr>
              <w:t>(</w:t>
            </w:r>
            <w:r w:rsidR="00DE0D16" w:rsidRPr="007E0798">
              <w:rPr>
                <w:rFonts w:ascii="Arial" w:hAnsi="Arial" w:cs="Arial"/>
              </w:rPr>
              <w:t>0.</w:t>
            </w:r>
            <w:r>
              <w:rPr>
                <w:rFonts w:ascii="Arial" w:hAnsi="Arial" w:cs="Arial"/>
              </w:rPr>
              <w:t>5)</w:t>
            </w:r>
            <w:r w:rsidR="00BF586F" w:rsidRPr="007E0798">
              <w:rPr>
                <w:rFonts w:ascii="Arial" w:hAnsi="Arial" w:cs="Arial"/>
              </w:rPr>
              <w:t>%</w:t>
            </w:r>
          </w:p>
        </w:tc>
      </w:tr>
      <w:tr w:rsidR="00BF586F" w:rsidRPr="00BF586F" w14:paraId="06153CF6" w14:textId="77777777" w:rsidTr="00A605C0">
        <w:trPr>
          <w:gridAfter w:val="1"/>
          <w:wAfter w:w="695" w:type="pct"/>
        </w:trPr>
        <w:tc>
          <w:tcPr>
            <w:tcW w:w="1287" w:type="pct"/>
            <w:tcBorders>
              <w:top w:val="single" w:sz="4" w:space="0" w:color="auto"/>
            </w:tcBorders>
          </w:tcPr>
          <w:p w14:paraId="7FD5C323" w14:textId="753272A8" w:rsidR="00BF586F" w:rsidRPr="00E03EE7" w:rsidRDefault="00BF586F" w:rsidP="00BF586F">
            <w:pPr>
              <w:jc w:val="left"/>
              <w:rPr>
                <w:rFonts w:ascii="Arial" w:hAnsi="Arial" w:cs="Arial"/>
                <w:bCs/>
              </w:rPr>
            </w:pPr>
            <w:r w:rsidRPr="00E03EE7">
              <w:rPr>
                <w:rFonts w:ascii="Arial" w:hAnsi="Arial" w:cs="Arial"/>
              </w:rPr>
              <w:t>Other</w:t>
            </w:r>
          </w:p>
        </w:tc>
        <w:tc>
          <w:tcPr>
            <w:tcW w:w="698" w:type="pct"/>
            <w:tcBorders>
              <w:top w:val="single" w:sz="4" w:space="0" w:color="auto"/>
            </w:tcBorders>
          </w:tcPr>
          <w:p w14:paraId="46AC0AFA" w14:textId="68D217F8" w:rsidR="00BF586F" w:rsidRPr="00B31286" w:rsidRDefault="00BF586F" w:rsidP="00BF586F">
            <w:pPr>
              <w:jc w:val="right"/>
              <w:rPr>
                <w:rFonts w:ascii="Arial" w:hAnsi="Arial" w:cs="Arial"/>
              </w:rPr>
            </w:pPr>
            <w:r w:rsidRPr="00B31286">
              <w:rPr>
                <w:rFonts w:ascii="Arial" w:hAnsi="Arial" w:cs="Arial"/>
              </w:rPr>
              <w:t>(</w:t>
            </w:r>
            <w:r w:rsidR="00DE0D16" w:rsidRPr="00B31286">
              <w:rPr>
                <w:rFonts w:ascii="Arial" w:hAnsi="Arial" w:cs="Arial"/>
              </w:rPr>
              <w:t>13</w:t>
            </w:r>
            <w:r w:rsidRPr="00B31286">
              <w:rPr>
                <w:rFonts w:ascii="Arial" w:hAnsi="Arial" w:cs="Arial"/>
              </w:rPr>
              <w:t>)</w:t>
            </w:r>
          </w:p>
        </w:tc>
        <w:tc>
          <w:tcPr>
            <w:tcW w:w="619" w:type="pct"/>
            <w:tcBorders>
              <w:top w:val="single" w:sz="4" w:space="0" w:color="auto"/>
            </w:tcBorders>
          </w:tcPr>
          <w:p w14:paraId="512DFD00" w14:textId="1BBD6FB7" w:rsidR="00BF586F" w:rsidRPr="00CF54AF" w:rsidRDefault="00BF586F" w:rsidP="00BF586F">
            <w:pPr>
              <w:jc w:val="right"/>
              <w:rPr>
                <w:rFonts w:ascii="Arial" w:hAnsi="Arial" w:cs="Arial"/>
              </w:rPr>
            </w:pPr>
            <w:r w:rsidRPr="00CF54AF">
              <w:rPr>
                <w:rFonts w:ascii="Arial" w:hAnsi="Arial" w:cs="Arial"/>
              </w:rPr>
              <w:t>(</w:t>
            </w:r>
            <w:r w:rsidR="00DE0D16" w:rsidRPr="00CF54AF">
              <w:rPr>
                <w:rFonts w:ascii="Arial" w:hAnsi="Arial" w:cs="Arial"/>
              </w:rPr>
              <w:t>13</w:t>
            </w:r>
            <w:r w:rsidRPr="00CF54AF">
              <w:rPr>
                <w:rFonts w:ascii="Arial" w:hAnsi="Arial" w:cs="Arial"/>
              </w:rPr>
              <w:t>)</w:t>
            </w:r>
          </w:p>
        </w:tc>
        <w:tc>
          <w:tcPr>
            <w:tcW w:w="850" w:type="pct"/>
            <w:tcBorders>
              <w:top w:val="single" w:sz="4" w:space="0" w:color="auto"/>
            </w:tcBorders>
          </w:tcPr>
          <w:p w14:paraId="6C4FBD38" w14:textId="5FA0CDE0" w:rsidR="00BF586F" w:rsidRPr="00CF54AF" w:rsidRDefault="00BF586F" w:rsidP="00BF586F">
            <w:pPr>
              <w:jc w:val="right"/>
              <w:rPr>
                <w:rFonts w:ascii="Arial" w:hAnsi="Arial" w:cs="Arial"/>
              </w:rPr>
            </w:pPr>
            <w:r w:rsidRPr="00CF54AF">
              <w:rPr>
                <w:rFonts w:ascii="Arial" w:hAnsi="Arial" w:cs="Arial"/>
              </w:rPr>
              <w:t>n/a</w:t>
            </w:r>
          </w:p>
        </w:tc>
        <w:tc>
          <w:tcPr>
            <w:tcW w:w="851" w:type="pct"/>
            <w:tcBorders>
              <w:top w:val="single" w:sz="4" w:space="0" w:color="auto"/>
            </w:tcBorders>
          </w:tcPr>
          <w:p w14:paraId="4A1AED7A" w14:textId="6AE32741" w:rsidR="00BF586F" w:rsidRPr="00CF54AF" w:rsidRDefault="00BF586F" w:rsidP="00BF586F">
            <w:pPr>
              <w:jc w:val="right"/>
              <w:rPr>
                <w:rFonts w:ascii="Arial" w:hAnsi="Arial" w:cs="Arial"/>
              </w:rPr>
            </w:pPr>
            <w:r w:rsidRPr="00CF54AF">
              <w:rPr>
                <w:rFonts w:ascii="Arial" w:hAnsi="Arial" w:cs="Arial"/>
              </w:rPr>
              <w:t>n/a</w:t>
            </w:r>
          </w:p>
        </w:tc>
      </w:tr>
    </w:tbl>
    <w:p w14:paraId="4D042E9A" w14:textId="77777777" w:rsidR="007D43ED" w:rsidRPr="00AC598B" w:rsidRDefault="007D43ED" w:rsidP="007D43ED">
      <w:pPr>
        <w:rPr>
          <w:rFonts w:ascii="Arial" w:hAnsi="Arial" w:cs="Arial"/>
          <w:b/>
          <w:bCs/>
        </w:rPr>
      </w:pPr>
    </w:p>
    <w:p w14:paraId="3036335F" w14:textId="4110832E" w:rsidR="007D43ED" w:rsidRPr="00AC598B" w:rsidRDefault="007D43ED" w:rsidP="007D43ED">
      <w:pPr>
        <w:jc w:val="left"/>
        <w:rPr>
          <w:rFonts w:ascii="Arial" w:hAnsi="Arial" w:cs="Arial"/>
          <w:b/>
        </w:rPr>
      </w:pPr>
      <w:r w:rsidRPr="00F01C34">
        <w:rPr>
          <w:rFonts w:ascii="Arial" w:hAnsi="Arial" w:cs="Arial"/>
          <w:b/>
        </w:rPr>
        <w:t>Other International</w:t>
      </w:r>
      <w:r w:rsidRPr="00230CDB">
        <w:rPr>
          <w:rFonts w:ascii="Arial" w:hAnsi="Arial" w:cs="Arial"/>
        </w:rPr>
        <w:t xml:space="preserve"> total sales increased by </w:t>
      </w:r>
      <w:r w:rsidR="00D0429A">
        <w:rPr>
          <w:rFonts w:ascii="Arial" w:hAnsi="Arial" w:cs="Arial"/>
        </w:rPr>
        <w:t>1.8</w:t>
      </w:r>
      <w:r w:rsidRPr="00230CDB">
        <w:rPr>
          <w:rFonts w:ascii="Arial" w:hAnsi="Arial" w:cs="Arial"/>
        </w:rPr>
        <w:t>% (</w:t>
      </w:r>
      <w:r w:rsidRPr="00D0429A">
        <w:rPr>
          <w:rFonts w:ascii="Arial" w:hAnsi="Arial" w:cs="Arial"/>
        </w:rPr>
        <w:t>+</w:t>
      </w:r>
      <w:r w:rsidR="00D0429A" w:rsidRPr="00D0429A">
        <w:rPr>
          <w:rFonts w:ascii="Arial" w:hAnsi="Arial" w:cs="Arial"/>
        </w:rPr>
        <w:t>1</w:t>
      </w:r>
      <w:r w:rsidR="00D0429A">
        <w:rPr>
          <w:rFonts w:ascii="Arial" w:hAnsi="Arial" w:cs="Arial"/>
        </w:rPr>
        <w:t>.2</w:t>
      </w:r>
      <w:r w:rsidRPr="00230CDB">
        <w:rPr>
          <w:rFonts w:ascii="Arial" w:hAnsi="Arial" w:cs="Arial"/>
        </w:rPr>
        <w:t xml:space="preserve">% LFL) to </w:t>
      </w:r>
      <w:r w:rsidRPr="00D0429A">
        <w:rPr>
          <w:rFonts w:ascii="Arial" w:hAnsi="Arial" w:cs="Arial"/>
        </w:rPr>
        <w:t>£</w:t>
      </w:r>
      <w:r w:rsidR="006A3C26" w:rsidRPr="00D0429A">
        <w:rPr>
          <w:rFonts w:ascii="Arial" w:hAnsi="Arial" w:cs="Arial"/>
        </w:rPr>
        <w:t>1,1</w:t>
      </w:r>
      <w:r w:rsidR="00D0429A" w:rsidRPr="00D0429A">
        <w:rPr>
          <w:rFonts w:ascii="Arial" w:hAnsi="Arial" w:cs="Arial"/>
        </w:rPr>
        <w:t>84</w:t>
      </w:r>
      <w:r w:rsidR="00080E39" w:rsidRPr="00F01C34">
        <w:rPr>
          <w:rFonts w:ascii="Arial" w:hAnsi="Arial" w:cs="Arial"/>
          <w:b/>
          <w:szCs w:val="24"/>
        </w:rPr>
        <w:t xml:space="preserve"> </w:t>
      </w:r>
      <w:r w:rsidRPr="00230CDB">
        <w:rPr>
          <w:rFonts w:ascii="Arial" w:hAnsi="Arial" w:cs="Arial"/>
        </w:rPr>
        <w:t>million</w:t>
      </w:r>
      <w:r w:rsidR="005B1D91" w:rsidRPr="00230CDB">
        <w:rPr>
          <w:rFonts w:ascii="Arial" w:hAnsi="Arial" w:cs="Arial"/>
        </w:rPr>
        <w:t xml:space="preserve"> </w:t>
      </w:r>
      <w:r w:rsidR="0039724B" w:rsidRPr="00230CDB">
        <w:rPr>
          <w:rFonts w:ascii="Arial" w:hAnsi="Arial" w:cs="Arial"/>
        </w:rPr>
        <w:t xml:space="preserve">reflecting growth in </w:t>
      </w:r>
      <w:r w:rsidR="0039724B" w:rsidRPr="00D0429A">
        <w:rPr>
          <w:rFonts w:ascii="Arial" w:hAnsi="Arial" w:cs="Arial"/>
        </w:rPr>
        <w:t>Poland and Romania. R</w:t>
      </w:r>
      <w:r w:rsidR="005B1D91" w:rsidRPr="00D0429A">
        <w:rPr>
          <w:rFonts w:ascii="Arial" w:hAnsi="Arial" w:cs="Arial"/>
        </w:rPr>
        <w:t xml:space="preserve">etail profit </w:t>
      </w:r>
      <w:r w:rsidR="006A3CEC">
        <w:rPr>
          <w:rFonts w:ascii="Arial" w:hAnsi="Arial" w:cs="Arial"/>
        </w:rPr>
        <w:t>de</w:t>
      </w:r>
      <w:r w:rsidR="006A3CEC" w:rsidRPr="00D0429A">
        <w:rPr>
          <w:rFonts w:ascii="Arial" w:hAnsi="Arial" w:cs="Arial"/>
        </w:rPr>
        <w:t xml:space="preserve">creased </w:t>
      </w:r>
      <w:r w:rsidR="007E0798" w:rsidRPr="00D0429A">
        <w:rPr>
          <w:rFonts w:ascii="Arial" w:hAnsi="Arial" w:cs="Arial"/>
        </w:rPr>
        <w:t>by 0.</w:t>
      </w:r>
      <w:r w:rsidR="006A3CEC">
        <w:rPr>
          <w:rFonts w:ascii="Arial" w:hAnsi="Arial" w:cs="Arial"/>
        </w:rPr>
        <w:t>9</w:t>
      </w:r>
      <w:r w:rsidR="005B1D91" w:rsidRPr="00D0429A">
        <w:rPr>
          <w:rFonts w:ascii="Arial" w:hAnsi="Arial" w:cs="Arial"/>
        </w:rPr>
        <w:t>% to £</w:t>
      </w:r>
      <w:r w:rsidR="006A3CEC" w:rsidRPr="00D0429A">
        <w:rPr>
          <w:rFonts w:ascii="Arial" w:hAnsi="Arial" w:cs="Arial"/>
        </w:rPr>
        <w:t>7</w:t>
      </w:r>
      <w:r w:rsidR="006A3CEC">
        <w:rPr>
          <w:rFonts w:ascii="Arial" w:hAnsi="Arial" w:cs="Arial"/>
        </w:rPr>
        <w:t>5</w:t>
      </w:r>
      <w:r w:rsidR="006A3CEC" w:rsidRPr="00D0429A">
        <w:rPr>
          <w:rFonts w:ascii="Arial" w:hAnsi="Arial" w:cs="Arial"/>
          <w:b/>
          <w:szCs w:val="24"/>
        </w:rPr>
        <w:t xml:space="preserve"> </w:t>
      </w:r>
      <w:r w:rsidR="005B1D91" w:rsidRPr="00D0429A">
        <w:rPr>
          <w:rFonts w:ascii="Arial" w:hAnsi="Arial" w:cs="Arial"/>
        </w:rPr>
        <w:t xml:space="preserve">million, </w:t>
      </w:r>
      <w:r w:rsidR="000B0126">
        <w:rPr>
          <w:rFonts w:ascii="Arial" w:hAnsi="Arial" w:cs="Arial"/>
        </w:rPr>
        <w:t xml:space="preserve">reflecting </w:t>
      </w:r>
      <w:r w:rsidR="00737AF7">
        <w:rPr>
          <w:rFonts w:ascii="Arial" w:hAnsi="Arial" w:cs="Arial"/>
        </w:rPr>
        <w:t xml:space="preserve">a modest decline in </w:t>
      </w:r>
      <w:r w:rsidR="007E0798" w:rsidRPr="00D0429A">
        <w:rPr>
          <w:rFonts w:ascii="Arial" w:hAnsi="Arial" w:cs="Arial"/>
        </w:rPr>
        <w:t xml:space="preserve">Poland and similar </w:t>
      </w:r>
      <w:r w:rsidR="000B0126">
        <w:rPr>
          <w:rFonts w:ascii="Arial" w:hAnsi="Arial" w:cs="Arial"/>
        </w:rPr>
        <w:t xml:space="preserve">combined </w:t>
      </w:r>
      <w:r w:rsidR="007E0798" w:rsidRPr="00D0429A">
        <w:rPr>
          <w:rFonts w:ascii="Arial" w:hAnsi="Arial" w:cs="Arial"/>
        </w:rPr>
        <w:t>losses</w:t>
      </w:r>
      <w:r w:rsidR="00D0429A">
        <w:rPr>
          <w:rFonts w:ascii="Arial" w:hAnsi="Arial" w:cs="Arial"/>
        </w:rPr>
        <w:t xml:space="preserve"> in</w:t>
      </w:r>
      <w:r w:rsidR="006A3C26" w:rsidRPr="00D0429A">
        <w:rPr>
          <w:rFonts w:ascii="Arial" w:hAnsi="Arial" w:cs="Arial"/>
        </w:rPr>
        <w:t xml:space="preserve"> </w:t>
      </w:r>
      <w:r w:rsidR="00B31286" w:rsidRPr="00D0429A">
        <w:rPr>
          <w:rFonts w:ascii="Arial" w:hAnsi="Arial" w:cs="Arial"/>
        </w:rPr>
        <w:t>Romania</w:t>
      </w:r>
      <w:r w:rsidR="000B0126">
        <w:rPr>
          <w:rFonts w:ascii="Arial" w:hAnsi="Arial" w:cs="Arial"/>
        </w:rPr>
        <w:t>,</w:t>
      </w:r>
      <w:r w:rsidR="00B31286" w:rsidRPr="00D0429A">
        <w:rPr>
          <w:rFonts w:ascii="Arial" w:hAnsi="Arial" w:cs="Arial"/>
        </w:rPr>
        <w:t xml:space="preserve"> </w:t>
      </w:r>
      <w:r w:rsidR="006A3C26" w:rsidRPr="00D0429A">
        <w:rPr>
          <w:rFonts w:ascii="Arial" w:hAnsi="Arial" w:cs="Arial"/>
        </w:rPr>
        <w:t xml:space="preserve">Russia, </w:t>
      </w:r>
      <w:r w:rsidR="0089408C" w:rsidRPr="00D0429A">
        <w:rPr>
          <w:rFonts w:ascii="Arial" w:hAnsi="Arial" w:cs="Arial"/>
        </w:rPr>
        <w:t>and Screwfix Germany</w:t>
      </w:r>
      <w:r w:rsidR="005B1D91" w:rsidRPr="00D0429A">
        <w:rPr>
          <w:rFonts w:ascii="Arial" w:hAnsi="Arial" w:cs="Arial"/>
        </w:rPr>
        <w:t>.</w:t>
      </w:r>
      <w:r w:rsidR="005B1D91" w:rsidRPr="00AC598B">
        <w:rPr>
          <w:rFonts w:ascii="Arial" w:hAnsi="Arial" w:cs="Arial"/>
        </w:rPr>
        <w:t xml:space="preserve"> </w:t>
      </w:r>
      <w:bookmarkStart w:id="28" w:name="_Hlk491357368"/>
    </w:p>
    <w:bookmarkEnd w:id="28"/>
    <w:p w14:paraId="7E8A28D7" w14:textId="0B5CFD82" w:rsidR="007D43ED" w:rsidRDefault="007D43ED" w:rsidP="007D43ED">
      <w:pPr>
        <w:jc w:val="left"/>
        <w:rPr>
          <w:rFonts w:ascii="Arial" w:hAnsi="Arial" w:cs="Arial"/>
          <w:highlight w:val="yellow"/>
        </w:rPr>
      </w:pPr>
    </w:p>
    <w:p w14:paraId="154DB4FF" w14:textId="4ACE2EFB" w:rsidR="007D43ED" w:rsidRPr="00BE1AA7" w:rsidRDefault="007D43ED" w:rsidP="007D43ED">
      <w:pPr>
        <w:jc w:val="left"/>
        <w:rPr>
          <w:rFonts w:ascii="Arial" w:hAnsi="Arial" w:cs="Arial"/>
        </w:rPr>
      </w:pPr>
      <w:bookmarkStart w:id="29" w:name="_Hlk523933312"/>
      <w:r w:rsidRPr="00230CDB">
        <w:rPr>
          <w:rFonts w:ascii="Arial" w:hAnsi="Arial" w:cs="Arial"/>
        </w:rPr>
        <w:t xml:space="preserve">Sales in </w:t>
      </w:r>
      <w:r w:rsidRPr="00230CDB">
        <w:rPr>
          <w:rFonts w:ascii="Arial" w:hAnsi="Arial" w:cs="Arial"/>
          <w:b/>
        </w:rPr>
        <w:t>Poland</w:t>
      </w:r>
      <w:r w:rsidRPr="00230CDB">
        <w:rPr>
          <w:rFonts w:ascii="Arial" w:hAnsi="Arial" w:cs="Arial"/>
        </w:rPr>
        <w:t xml:space="preserve"> were up </w:t>
      </w:r>
      <w:r w:rsidR="00BA4C5B" w:rsidRPr="00BA4C5B">
        <w:rPr>
          <w:rFonts w:ascii="Arial" w:hAnsi="Arial" w:cs="Arial"/>
          <w:szCs w:val="24"/>
        </w:rPr>
        <w:t>5.2</w:t>
      </w:r>
      <w:r w:rsidRPr="00BA4C5B">
        <w:rPr>
          <w:rFonts w:ascii="Arial" w:hAnsi="Arial" w:cs="Arial"/>
        </w:rPr>
        <w:t>% (+</w:t>
      </w:r>
      <w:r w:rsidR="00BA4C5B" w:rsidRPr="00BA4C5B">
        <w:rPr>
          <w:rFonts w:ascii="Arial" w:hAnsi="Arial" w:cs="Arial"/>
          <w:szCs w:val="24"/>
        </w:rPr>
        <w:t>3.3</w:t>
      </w:r>
      <w:r w:rsidRPr="00BA4C5B">
        <w:rPr>
          <w:rFonts w:ascii="Arial" w:hAnsi="Arial" w:cs="Arial"/>
        </w:rPr>
        <w:t>% LFL)</w:t>
      </w:r>
      <w:r w:rsidRPr="00230CDB">
        <w:rPr>
          <w:rFonts w:ascii="Arial" w:hAnsi="Arial" w:cs="Arial"/>
        </w:rPr>
        <w:t xml:space="preserve"> to </w:t>
      </w:r>
      <w:r w:rsidRPr="00BA4C5B">
        <w:rPr>
          <w:rFonts w:ascii="Arial" w:hAnsi="Arial" w:cs="Arial"/>
        </w:rPr>
        <w:t>£</w:t>
      </w:r>
      <w:r w:rsidR="007F65C8" w:rsidRPr="00BA4C5B">
        <w:rPr>
          <w:rFonts w:ascii="Arial" w:hAnsi="Arial" w:cs="Arial"/>
        </w:rPr>
        <w:t>7</w:t>
      </w:r>
      <w:r w:rsidR="00BA4C5B" w:rsidRPr="00BA4C5B">
        <w:rPr>
          <w:rFonts w:ascii="Arial" w:hAnsi="Arial" w:cs="Arial"/>
        </w:rPr>
        <w:t>53</w:t>
      </w:r>
      <w:r w:rsidR="00080E39" w:rsidRPr="00F01C34">
        <w:rPr>
          <w:rFonts w:ascii="Arial" w:hAnsi="Arial" w:cs="Arial"/>
          <w:b/>
          <w:szCs w:val="24"/>
        </w:rPr>
        <w:t xml:space="preserve"> </w:t>
      </w:r>
      <w:r w:rsidRPr="00230CDB">
        <w:rPr>
          <w:rFonts w:ascii="Arial" w:hAnsi="Arial" w:cs="Arial"/>
        </w:rPr>
        <w:t>million</w:t>
      </w:r>
      <w:r w:rsidR="00C84AC0">
        <w:rPr>
          <w:rFonts w:ascii="Arial" w:hAnsi="Arial" w:cs="Arial"/>
        </w:rPr>
        <w:t xml:space="preserve">. </w:t>
      </w:r>
      <w:r w:rsidR="00C67C29">
        <w:rPr>
          <w:rFonts w:ascii="Arial" w:hAnsi="Arial" w:cs="Arial"/>
        </w:rPr>
        <w:t xml:space="preserve">Two </w:t>
      </w:r>
      <w:r w:rsidR="00C84AC0">
        <w:rPr>
          <w:rFonts w:ascii="Arial" w:hAnsi="Arial" w:cs="Arial"/>
        </w:rPr>
        <w:t xml:space="preserve">new stores were opened in H1. </w:t>
      </w:r>
      <w:r w:rsidR="00C84AC0" w:rsidRPr="00321082">
        <w:rPr>
          <w:rFonts w:ascii="Arial" w:hAnsi="Arial" w:cs="Arial"/>
        </w:rPr>
        <w:t>The removal of one further</w:t>
      </w:r>
      <w:r w:rsidR="0093265E" w:rsidRPr="00321082">
        <w:rPr>
          <w:rFonts w:ascii="Arial" w:hAnsi="Arial" w:cs="Arial"/>
        </w:rPr>
        <w:t xml:space="preserve"> Sunday </w:t>
      </w:r>
      <w:r w:rsidR="00C84AC0" w:rsidRPr="00321082">
        <w:rPr>
          <w:rFonts w:ascii="Arial" w:hAnsi="Arial" w:cs="Arial"/>
        </w:rPr>
        <w:t xml:space="preserve">of </w:t>
      </w:r>
      <w:r w:rsidR="0093265E" w:rsidRPr="00321082">
        <w:rPr>
          <w:rFonts w:ascii="Arial" w:hAnsi="Arial" w:cs="Arial"/>
        </w:rPr>
        <w:t>trading</w:t>
      </w:r>
      <w:r w:rsidR="00C84AC0">
        <w:rPr>
          <w:rFonts w:ascii="Arial" w:hAnsi="Arial" w:cs="Arial"/>
        </w:rPr>
        <w:t xml:space="preserve"> each month </w:t>
      </w:r>
      <w:r w:rsidR="00A116E5">
        <w:rPr>
          <w:rFonts w:ascii="Arial" w:hAnsi="Arial" w:cs="Arial"/>
        </w:rPr>
        <w:t xml:space="preserve">had </w:t>
      </w:r>
      <w:r w:rsidR="00C84AC0">
        <w:rPr>
          <w:rFonts w:ascii="Arial" w:hAnsi="Arial" w:cs="Arial"/>
        </w:rPr>
        <w:t>an estimated adverse impact on LFL</w:t>
      </w:r>
      <w:r w:rsidR="00E1166B">
        <w:rPr>
          <w:rFonts w:ascii="Arial" w:hAnsi="Arial" w:cs="Arial"/>
        </w:rPr>
        <w:t xml:space="preserve"> sales of c.</w:t>
      </w:r>
      <w:r w:rsidR="00E13F43">
        <w:rPr>
          <w:rFonts w:ascii="Arial" w:hAnsi="Arial" w:cs="Arial"/>
        </w:rPr>
        <w:t xml:space="preserve"> </w:t>
      </w:r>
      <w:r w:rsidR="00E1166B">
        <w:rPr>
          <w:rFonts w:ascii="Arial" w:hAnsi="Arial" w:cs="Arial"/>
        </w:rPr>
        <w:t>1%</w:t>
      </w:r>
      <w:r w:rsidRPr="00230CDB">
        <w:rPr>
          <w:rFonts w:ascii="Arial" w:hAnsi="Arial" w:cs="Arial"/>
        </w:rPr>
        <w:t xml:space="preserve">. </w:t>
      </w:r>
      <w:r w:rsidR="00002818" w:rsidRPr="00760E29">
        <w:rPr>
          <w:rFonts w:ascii="Arial" w:hAnsi="Arial" w:cs="Arial"/>
        </w:rPr>
        <w:t xml:space="preserve">LFL sales of weather-related categories were up </w:t>
      </w:r>
      <w:r w:rsidR="0047447A">
        <w:rPr>
          <w:rFonts w:ascii="Arial" w:hAnsi="Arial" w:cs="Arial"/>
        </w:rPr>
        <w:t>5</w:t>
      </w:r>
      <w:r w:rsidR="00737D80">
        <w:rPr>
          <w:rFonts w:ascii="Arial" w:hAnsi="Arial" w:cs="Arial"/>
        </w:rPr>
        <w:t>.</w:t>
      </w:r>
      <w:r w:rsidR="0047447A">
        <w:rPr>
          <w:rFonts w:ascii="Arial" w:hAnsi="Arial" w:cs="Arial"/>
        </w:rPr>
        <w:t>1</w:t>
      </w:r>
      <w:r w:rsidR="00002818" w:rsidRPr="00AB52F3">
        <w:rPr>
          <w:rFonts w:ascii="Arial" w:hAnsi="Arial" w:cs="Arial"/>
        </w:rPr>
        <w:t>%</w:t>
      </w:r>
      <w:r w:rsidR="00002818" w:rsidRPr="00760E29">
        <w:rPr>
          <w:rFonts w:ascii="Arial" w:hAnsi="Arial" w:cs="Arial"/>
        </w:rPr>
        <w:t xml:space="preserve"> while sales of non-weather-</w:t>
      </w:r>
      <w:r w:rsidR="00002818" w:rsidRPr="003D4DBB">
        <w:rPr>
          <w:rFonts w:ascii="Arial" w:hAnsi="Arial" w:cs="Arial"/>
        </w:rPr>
        <w:t xml:space="preserve">related categories, including showroom, were up </w:t>
      </w:r>
      <w:r w:rsidR="00737D80">
        <w:rPr>
          <w:rFonts w:ascii="Arial" w:hAnsi="Arial" w:cs="Arial"/>
        </w:rPr>
        <w:t>2.9</w:t>
      </w:r>
      <w:r w:rsidR="00002818" w:rsidRPr="003D4DBB">
        <w:rPr>
          <w:rFonts w:ascii="Arial" w:hAnsi="Arial" w:cs="Arial"/>
        </w:rPr>
        <w:t xml:space="preserve">%. </w:t>
      </w:r>
      <w:r w:rsidRPr="003D4DBB">
        <w:rPr>
          <w:rFonts w:ascii="Arial" w:hAnsi="Arial" w:cs="Arial"/>
        </w:rPr>
        <w:t xml:space="preserve">Gross margin </w:t>
      </w:r>
      <w:r w:rsidR="00D60D3C">
        <w:rPr>
          <w:rFonts w:ascii="Arial" w:hAnsi="Arial" w:cs="Arial"/>
        </w:rPr>
        <w:t xml:space="preserve">% </w:t>
      </w:r>
      <w:r w:rsidRPr="003D4DBB">
        <w:rPr>
          <w:rFonts w:ascii="Arial" w:hAnsi="Arial" w:cs="Arial"/>
        </w:rPr>
        <w:t>w</w:t>
      </w:r>
      <w:r w:rsidR="00CA6BAE" w:rsidRPr="003D4DBB">
        <w:rPr>
          <w:rFonts w:ascii="Arial" w:hAnsi="Arial" w:cs="Arial"/>
        </w:rPr>
        <w:t>as</w:t>
      </w:r>
      <w:r w:rsidRPr="003D4DBB">
        <w:rPr>
          <w:rFonts w:ascii="Arial" w:hAnsi="Arial" w:cs="Arial"/>
        </w:rPr>
        <w:t xml:space="preserve"> </w:t>
      </w:r>
      <w:r w:rsidR="00D0429A">
        <w:rPr>
          <w:rFonts w:ascii="Arial" w:hAnsi="Arial" w:cs="Arial"/>
        </w:rPr>
        <w:t>down</w:t>
      </w:r>
      <w:r w:rsidR="0093265E" w:rsidRPr="003D4DBB">
        <w:rPr>
          <w:rFonts w:ascii="Arial" w:hAnsi="Arial" w:cs="Arial"/>
        </w:rPr>
        <w:t xml:space="preserve"> </w:t>
      </w:r>
      <w:r w:rsidR="001F6BC5">
        <w:rPr>
          <w:rFonts w:ascii="Arial" w:hAnsi="Arial" w:cs="Arial"/>
        </w:rPr>
        <w:t>2</w:t>
      </w:r>
      <w:r w:rsidR="00D0429A">
        <w:rPr>
          <w:rFonts w:ascii="Arial" w:hAnsi="Arial" w:cs="Arial"/>
        </w:rPr>
        <w:t>0</w:t>
      </w:r>
      <w:r w:rsidR="003F1BDF">
        <w:rPr>
          <w:rFonts w:ascii="Arial" w:hAnsi="Arial" w:cs="Arial"/>
        </w:rPr>
        <w:t xml:space="preserve"> </w:t>
      </w:r>
      <w:r w:rsidRPr="003D4DBB">
        <w:rPr>
          <w:rFonts w:ascii="Arial" w:hAnsi="Arial" w:cs="Arial"/>
        </w:rPr>
        <w:t>basis points</w:t>
      </w:r>
      <w:r w:rsidR="0047447A">
        <w:rPr>
          <w:rFonts w:ascii="Arial" w:hAnsi="Arial" w:cs="Arial"/>
        </w:rPr>
        <w:t xml:space="preserve"> reflecting higher sales of </w:t>
      </w:r>
      <w:r w:rsidR="00CB520F">
        <w:rPr>
          <w:rFonts w:ascii="Arial" w:hAnsi="Arial" w:cs="Arial"/>
        </w:rPr>
        <w:t>weather-related categories and higher clearance</w:t>
      </w:r>
      <w:r w:rsidR="00392C7D">
        <w:rPr>
          <w:rFonts w:ascii="Arial" w:hAnsi="Arial" w:cs="Arial"/>
        </w:rPr>
        <w:t>.</w:t>
      </w:r>
      <w:r w:rsidRPr="003D4DBB">
        <w:rPr>
          <w:rFonts w:ascii="Arial" w:hAnsi="Arial" w:cs="Arial"/>
        </w:rPr>
        <w:t xml:space="preserve"> Retail profit </w:t>
      </w:r>
      <w:r w:rsidR="00737AF7">
        <w:rPr>
          <w:rFonts w:ascii="Arial" w:hAnsi="Arial" w:cs="Arial"/>
        </w:rPr>
        <w:t>dec</w:t>
      </w:r>
      <w:r w:rsidR="003B39B8">
        <w:rPr>
          <w:rFonts w:ascii="Arial" w:hAnsi="Arial" w:cs="Arial"/>
        </w:rPr>
        <w:t>reased</w:t>
      </w:r>
      <w:r w:rsidR="00737AF7" w:rsidRPr="003D4DBB">
        <w:rPr>
          <w:rFonts w:ascii="Arial" w:hAnsi="Arial" w:cs="Arial"/>
        </w:rPr>
        <w:t xml:space="preserve"> </w:t>
      </w:r>
      <w:r w:rsidRPr="003D4DBB">
        <w:rPr>
          <w:rFonts w:ascii="Arial" w:hAnsi="Arial" w:cs="Arial"/>
        </w:rPr>
        <w:t xml:space="preserve">by </w:t>
      </w:r>
      <w:r w:rsidR="007865ED" w:rsidRPr="007865ED">
        <w:rPr>
          <w:rFonts w:ascii="Arial" w:hAnsi="Arial" w:cs="Arial"/>
        </w:rPr>
        <w:t>0.</w:t>
      </w:r>
      <w:r w:rsidR="00737AF7">
        <w:rPr>
          <w:rFonts w:ascii="Arial" w:hAnsi="Arial" w:cs="Arial"/>
        </w:rPr>
        <w:t>5</w:t>
      </w:r>
      <w:r w:rsidRPr="007865ED">
        <w:rPr>
          <w:rFonts w:ascii="Arial" w:hAnsi="Arial" w:cs="Arial"/>
        </w:rPr>
        <w:t>% to £</w:t>
      </w:r>
      <w:r w:rsidR="00737AF7" w:rsidRPr="007865ED">
        <w:rPr>
          <w:rFonts w:ascii="Arial" w:hAnsi="Arial" w:cs="Arial"/>
        </w:rPr>
        <w:t>8</w:t>
      </w:r>
      <w:r w:rsidR="00737AF7">
        <w:rPr>
          <w:rFonts w:ascii="Arial" w:hAnsi="Arial" w:cs="Arial"/>
        </w:rPr>
        <w:t>8</w:t>
      </w:r>
      <w:r w:rsidR="00737AF7" w:rsidRPr="007865ED">
        <w:rPr>
          <w:rFonts w:ascii="Arial" w:hAnsi="Arial" w:cs="Arial"/>
          <w:b/>
          <w:szCs w:val="24"/>
        </w:rPr>
        <w:t xml:space="preserve"> </w:t>
      </w:r>
      <w:r w:rsidRPr="007865ED">
        <w:rPr>
          <w:rFonts w:ascii="Arial" w:hAnsi="Arial" w:cs="Arial"/>
        </w:rPr>
        <w:t>million</w:t>
      </w:r>
      <w:r w:rsidR="005F0570" w:rsidRPr="007865ED">
        <w:rPr>
          <w:rFonts w:ascii="Arial" w:hAnsi="Arial" w:cs="Arial"/>
        </w:rPr>
        <w:t xml:space="preserve"> </w:t>
      </w:r>
      <w:r w:rsidR="00392C7D">
        <w:rPr>
          <w:rFonts w:ascii="Arial" w:hAnsi="Arial" w:cs="Arial"/>
        </w:rPr>
        <w:t xml:space="preserve">reflecting </w:t>
      </w:r>
      <w:r w:rsidR="00F02D73">
        <w:rPr>
          <w:rFonts w:ascii="Arial" w:hAnsi="Arial" w:cs="Arial"/>
        </w:rPr>
        <w:t xml:space="preserve">good sales growth offset by higher costs, largely driven by </w:t>
      </w:r>
      <w:r w:rsidR="00392C7D">
        <w:rPr>
          <w:rFonts w:ascii="Arial" w:hAnsi="Arial" w:cs="Arial"/>
        </w:rPr>
        <w:t xml:space="preserve">wage </w:t>
      </w:r>
      <w:r w:rsidR="00392C7D" w:rsidRPr="00392C7D">
        <w:rPr>
          <w:rFonts w:ascii="Arial" w:hAnsi="Arial" w:cs="Arial"/>
        </w:rPr>
        <w:t>inflation</w:t>
      </w:r>
      <w:r w:rsidR="00D10248" w:rsidRPr="00392C7D">
        <w:rPr>
          <w:rFonts w:ascii="Arial" w:hAnsi="Arial" w:cs="Arial"/>
        </w:rPr>
        <w:t>,</w:t>
      </w:r>
      <w:r w:rsidR="003F1BDF" w:rsidRPr="00392C7D">
        <w:rPr>
          <w:rFonts w:ascii="Arial" w:hAnsi="Arial" w:cs="Arial"/>
        </w:rPr>
        <w:t xml:space="preserve"> </w:t>
      </w:r>
      <w:r w:rsidR="00392C7D">
        <w:rPr>
          <w:rFonts w:ascii="Arial" w:hAnsi="Arial" w:cs="Arial"/>
        </w:rPr>
        <w:t xml:space="preserve">higher </w:t>
      </w:r>
      <w:r w:rsidR="003F1BDF" w:rsidRPr="00BE1AA7">
        <w:rPr>
          <w:rFonts w:ascii="Arial" w:hAnsi="Arial" w:cs="Arial"/>
        </w:rPr>
        <w:t>digital costs</w:t>
      </w:r>
      <w:r w:rsidR="00321082" w:rsidRPr="00BE1AA7">
        <w:rPr>
          <w:rFonts w:ascii="Arial" w:hAnsi="Arial" w:cs="Arial"/>
        </w:rPr>
        <w:t xml:space="preserve"> and </w:t>
      </w:r>
      <w:r w:rsidR="00321082" w:rsidRPr="009F71DB">
        <w:rPr>
          <w:rFonts w:ascii="Arial" w:hAnsi="Arial"/>
        </w:rPr>
        <w:t>pre-opening costs</w:t>
      </w:r>
      <w:r w:rsidR="005B1D91" w:rsidRPr="00BE1AA7">
        <w:rPr>
          <w:rFonts w:ascii="Arial" w:hAnsi="Arial" w:cs="Arial"/>
        </w:rPr>
        <w:t xml:space="preserve">. </w:t>
      </w:r>
    </w:p>
    <w:bookmarkEnd w:id="29"/>
    <w:p w14:paraId="61255BE6" w14:textId="77777777" w:rsidR="007D43ED" w:rsidRPr="009F71DB" w:rsidRDefault="007D43ED" w:rsidP="007D43ED">
      <w:pPr>
        <w:jc w:val="left"/>
        <w:rPr>
          <w:rFonts w:ascii="Arial" w:hAnsi="Arial"/>
        </w:rPr>
      </w:pPr>
    </w:p>
    <w:p w14:paraId="1FCEA276" w14:textId="5C6EE83C" w:rsidR="00C51C06" w:rsidRPr="008801B0" w:rsidRDefault="00C51C06" w:rsidP="004D2CC4">
      <w:pPr>
        <w:jc w:val="left"/>
        <w:rPr>
          <w:rFonts w:ascii="Arial" w:hAnsi="Arial" w:cs="Arial"/>
          <w:i/>
          <w:iCs/>
          <w:sz w:val="20"/>
          <w:szCs w:val="20"/>
        </w:rPr>
      </w:pPr>
      <w:bookmarkStart w:id="30" w:name="_Hlk524460777"/>
      <w:r w:rsidRPr="00C51C06">
        <w:rPr>
          <w:rFonts w:ascii="Arial" w:hAnsi="Arial" w:cs="Arial"/>
          <w:b/>
        </w:rPr>
        <w:t>Romania</w:t>
      </w:r>
      <w:r w:rsidRPr="00C51C06">
        <w:rPr>
          <w:rFonts w:ascii="Arial" w:hAnsi="Arial" w:cs="Arial"/>
        </w:rPr>
        <w:t xml:space="preserve"> sales increased by </w:t>
      </w:r>
      <w:r w:rsidR="00F02D73">
        <w:rPr>
          <w:rFonts w:ascii="Arial" w:hAnsi="Arial" w:cs="Arial"/>
        </w:rPr>
        <w:t>4</w:t>
      </w:r>
      <w:r w:rsidRPr="00C51C06">
        <w:rPr>
          <w:rFonts w:ascii="Arial" w:hAnsi="Arial" w:cs="Arial"/>
        </w:rPr>
        <w:t>.</w:t>
      </w:r>
      <w:r w:rsidR="00F02D73">
        <w:rPr>
          <w:rFonts w:ascii="Arial" w:hAnsi="Arial" w:cs="Arial"/>
        </w:rPr>
        <w:t>1</w:t>
      </w:r>
      <w:r w:rsidRPr="00C51C06">
        <w:rPr>
          <w:rFonts w:ascii="Arial" w:hAnsi="Arial" w:cs="Arial"/>
        </w:rPr>
        <w:t xml:space="preserve">% (+10.5% LFL) to £96 million </w:t>
      </w:r>
      <w:r w:rsidR="00F02D73">
        <w:rPr>
          <w:rFonts w:ascii="Arial" w:hAnsi="Arial" w:cs="Arial"/>
        </w:rPr>
        <w:t xml:space="preserve">with </w:t>
      </w:r>
      <w:r w:rsidR="00C60142">
        <w:rPr>
          <w:rFonts w:ascii="Arial" w:hAnsi="Arial" w:cs="Arial"/>
        </w:rPr>
        <w:t>a good</w:t>
      </w:r>
      <w:r w:rsidRPr="00C51C06">
        <w:rPr>
          <w:rFonts w:ascii="Arial" w:hAnsi="Arial" w:cs="Arial"/>
        </w:rPr>
        <w:t xml:space="preserve"> performance of</w:t>
      </w:r>
      <w:r w:rsidRPr="004D2CC4">
        <w:rPr>
          <w:rFonts w:ascii="Arial" w:hAnsi="Arial" w:cs="Arial"/>
        </w:rPr>
        <w:t xml:space="preserve"> unified &amp;</w:t>
      </w:r>
      <w:r>
        <w:rPr>
          <w:rFonts w:ascii="Arial" w:hAnsi="Arial" w:cs="Arial"/>
        </w:rPr>
        <w:t xml:space="preserve"> </w:t>
      </w:r>
      <w:r w:rsidRPr="004D2CC4">
        <w:rPr>
          <w:rFonts w:ascii="Arial" w:hAnsi="Arial" w:cs="Arial"/>
        </w:rPr>
        <w:t>unique ranges</w:t>
      </w:r>
      <w:r w:rsidR="00321082">
        <w:rPr>
          <w:rFonts w:ascii="Arial" w:hAnsi="Arial" w:cs="Arial"/>
        </w:rPr>
        <w:t>. The business</w:t>
      </w:r>
      <w:r>
        <w:rPr>
          <w:rFonts w:ascii="Arial" w:hAnsi="Arial" w:cs="Arial"/>
        </w:rPr>
        <w:t xml:space="preserve"> made a </w:t>
      </w:r>
      <w:r w:rsidRPr="00C51C06">
        <w:rPr>
          <w:rFonts w:ascii="Arial" w:hAnsi="Arial" w:cs="Arial"/>
        </w:rPr>
        <w:t>retail loss of £8 million (2018/19: £</w:t>
      </w:r>
      <w:r w:rsidR="000846B7">
        <w:rPr>
          <w:rFonts w:ascii="Arial" w:hAnsi="Arial" w:cs="Arial"/>
        </w:rPr>
        <w:t>7</w:t>
      </w:r>
      <w:r w:rsidRPr="00C51C06">
        <w:rPr>
          <w:rFonts w:ascii="Arial" w:hAnsi="Arial" w:cs="Arial"/>
        </w:rPr>
        <w:t xml:space="preserve"> million reported retail loss) </w:t>
      </w:r>
      <w:r w:rsidR="00392C7D">
        <w:rPr>
          <w:rFonts w:ascii="Arial" w:hAnsi="Arial" w:cs="Arial"/>
        </w:rPr>
        <w:t>driven by</w:t>
      </w:r>
      <w:r w:rsidRPr="00C51C06">
        <w:rPr>
          <w:rFonts w:ascii="Arial" w:hAnsi="Arial" w:cs="Arial"/>
        </w:rPr>
        <w:t xml:space="preserve"> </w:t>
      </w:r>
      <w:r w:rsidR="00D10248">
        <w:rPr>
          <w:rFonts w:ascii="Arial" w:hAnsi="Arial" w:cs="Arial"/>
        </w:rPr>
        <w:t xml:space="preserve">losses in </w:t>
      </w:r>
      <w:r w:rsidR="00392C7D">
        <w:rPr>
          <w:rFonts w:ascii="Arial" w:hAnsi="Arial" w:cs="Arial"/>
        </w:rPr>
        <w:t xml:space="preserve">the former Praktiker </w:t>
      </w:r>
      <w:r w:rsidR="008048C3" w:rsidRPr="00D10248">
        <w:rPr>
          <w:rFonts w:ascii="Arial" w:hAnsi="Arial" w:cs="Arial"/>
        </w:rPr>
        <w:t>stores</w:t>
      </w:r>
      <w:r w:rsidR="00BE1AA7">
        <w:rPr>
          <w:rFonts w:ascii="Arial" w:hAnsi="Arial" w:cs="Arial"/>
        </w:rPr>
        <w:t xml:space="preserve">, which have been rebranded to </w:t>
      </w:r>
      <w:r w:rsidR="00BE1AA7" w:rsidRPr="004D2CC4">
        <w:rPr>
          <w:rFonts w:ascii="Arial" w:hAnsi="Arial" w:cs="Arial"/>
        </w:rPr>
        <w:t>Brico Dépôt</w:t>
      </w:r>
      <w:r w:rsidR="009C391A">
        <w:rPr>
          <w:rFonts w:ascii="Arial" w:hAnsi="Arial" w:cs="Arial"/>
        </w:rPr>
        <w:t xml:space="preserve"> with the final store to complete in H2 19/20</w:t>
      </w:r>
      <w:r w:rsidR="00D10248">
        <w:rPr>
          <w:rFonts w:ascii="Arial" w:hAnsi="Arial" w:cs="Arial"/>
        </w:rPr>
        <w:t xml:space="preserve">. </w:t>
      </w:r>
      <w:r w:rsidR="009C391A">
        <w:rPr>
          <w:rFonts w:ascii="Arial" w:hAnsi="Arial" w:cs="Arial"/>
        </w:rPr>
        <w:t>T</w:t>
      </w:r>
      <w:r w:rsidR="00BE1AA7">
        <w:rPr>
          <w:rFonts w:ascii="Arial" w:hAnsi="Arial" w:cs="Arial"/>
        </w:rPr>
        <w:t>he back-office integration process for the businesses will commence</w:t>
      </w:r>
      <w:r w:rsidR="009C391A">
        <w:rPr>
          <w:rFonts w:ascii="Arial" w:hAnsi="Arial" w:cs="Arial"/>
        </w:rPr>
        <w:t xml:space="preserve"> towards the end of the year.</w:t>
      </w:r>
    </w:p>
    <w:p w14:paraId="193E04F9" w14:textId="7B517648" w:rsidR="00E41DB8" w:rsidRDefault="00E41DB8" w:rsidP="004D2CC4">
      <w:pPr>
        <w:jc w:val="left"/>
        <w:rPr>
          <w:rFonts w:ascii="Arial" w:hAnsi="Arial" w:cs="Arial"/>
        </w:rPr>
      </w:pPr>
    </w:p>
    <w:p w14:paraId="40254ED5" w14:textId="64F569D0" w:rsidR="00C51C06" w:rsidRDefault="00C51C06" w:rsidP="00C51C06">
      <w:pPr>
        <w:jc w:val="left"/>
        <w:rPr>
          <w:rFonts w:ascii="Arial" w:hAnsi="Arial" w:cs="Arial"/>
        </w:rPr>
      </w:pPr>
      <w:r w:rsidRPr="00C51C06">
        <w:rPr>
          <w:rFonts w:ascii="Arial" w:hAnsi="Arial" w:cs="Arial"/>
        </w:rPr>
        <w:t xml:space="preserve">At Q3 18/19 we announced the decision to exit Russia and Iberia to focus on markets where we have, or can reach, a market leading position. At FY 18/19 we announced that we </w:t>
      </w:r>
      <w:r w:rsidR="00737AF7">
        <w:rPr>
          <w:rFonts w:ascii="Arial" w:hAnsi="Arial" w:cs="Arial"/>
        </w:rPr>
        <w:t>would</w:t>
      </w:r>
      <w:r w:rsidR="00737AF7" w:rsidRPr="00C51C06">
        <w:rPr>
          <w:rFonts w:ascii="Arial" w:hAnsi="Arial" w:cs="Arial"/>
        </w:rPr>
        <w:t xml:space="preserve"> </w:t>
      </w:r>
      <w:r w:rsidRPr="00C51C06">
        <w:rPr>
          <w:rFonts w:ascii="Arial" w:hAnsi="Arial" w:cs="Arial"/>
        </w:rPr>
        <w:t xml:space="preserve">close our 19 Screwfix Germany outlets </w:t>
      </w:r>
      <w:r w:rsidRPr="00737AF7">
        <w:rPr>
          <w:rFonts w:ascii="Arial" w:hAnsi="Arial" w:cs="Arial"/>
        </w:rPr>
        <w:t xml:space="preserve">and </w:t>
      </w:r>
      <w:r w:rsidRPr="007655ED">
        <w:rPr>
          <w:rFonts w:ascii="Arial" w:hAnsi="Arial" w:cs="Arial"/>
        </w:rPr>
        <w:t>retain an online presence</w:t>
      </w:r>
      <w:r w:rsidRPr="00737AF7">
        <w:rPr>
          <w:rFonts w:ascii="Arial" w:hAnsi="Arial" w:cs="Arial"/>
        </w:rPr>
        <w:t>.</w:t>
      </w:r>
      <w:r>
        <w:rPr>
          <w:rFonts w:ascii="Arial" w:hAnsi="Arial" w:cs="Arial"/>
        </w:rPr>
        <w:t xml:space="preserve"> </w:t>
      </w:r>
    </w:p>
    <w:p w14:paraId="16BEBD4D" w14:textId="77777777" w:rsidR="00C51C06" w:rsidRDefault="00C51C06" w:rsidP="004D2CC4">
      <w:pPr>
        <w:jc w:val="left"/>
        <w:rPr>
          <w:rFonts w:ascii="Arial" w:hAnsi="Arial" w:cs="Arial"/>
        </w:rPr>
      </w:pPr>
    </w:p>
    <w:p w14:paraId="638E8058" w14:textId="4EED9D79" w:rsidR="0093265E" w:rsidRDefault="005F0570" w:rsidP="004D2CC4">
      <w:pPr>
        <w:jc w:val="left"/>
        <w:rPr>
          <w:rFonts w:ascii="Arial" w:hAnsi="Arial" w:cs="Arial"/>
        </w:rPr>
      </w:pPr>
      <w:r w:rsidRPr="007865ED">
        <w:rPr>
          <w:rFonts w:ascii="Arial" w:hAnsi="Arial" w:cs="Arial"/>
        </w:rPr>
        <w:t xml:space="preserve">In </w:t>
      </w:r>
      <w:r w:rsidRPr="007865ED">
        <w:rPr>
          <w:rFonts w:ascii="Arial" w:hAnsi="Arial" w:cs="Arial"/>
          <w:b/>
        </w:rPr>
        <w:t>Iberia*</w:t>
      </w:r>
      <w:r w:rsidRPr="007865ED">
        <w:rPr>
          <w:rFonts w:ascii="Arial" w:hAnsi="Arial" w:cs="Arial"/>
        </w:rPr>
        <w:t xml:space="preserve"> sales decreased by </w:t>
      </w:r>
      <w:r w:rsidR="00F02D73">
        <w:rPr>
          <w:rFonts w:ascii="Arial" w:hAnsi="Arial" w:cs="Arial"/>
        </w:rPr>
        <w:t>3</w:t>
      </w:r>
      <w:r w:rsidRPr="007865ED">
        <w:rPr>
          <w:rFonts w:ascii="Arial" w:hAnsi="Arial" w:cs="Arial"/>
        </w:rPr>
        <w:t>.</w:t>
      </w:r>
      <w:r w:rsidR="00F02D73">
        <w:rPr>
          <w:rFonts w:ascii="Arial" w:hAnsi="Arial" w:cs="Arial"/>
        </w:rPr>
        <w:t>6</w:t>
      </w:r>
      <w:r w:rsidRPr="007865ED">
        <w:rPr>
          <w:rFonts w:ascii="Arial" w:hAnsi="Arial" w:cs="Arial"/>
        </w:rPr>
        <w:t>% (</w:t>
      </w:r>
      <w:r w:rsidRPr="007865ED">
        <w:rPr>
          <w:rFonts w:ascii="Arial" w:hAnsi="Arial" w:cs="Arial"/>
          <w:szCs w:val="24"/>
        </w:rPr>
        <w:t>-</w:t>
      </w:r>
      <w:r w:rsidR="007865ED" w:rsidRPr="007865ED">
        <w:rPr>
          <w:rFonts w:ascii="Arial" w:hAnsi="Arial" w:cs="Arial"/>
          <w:szCs w:val="24"/>
        </w:rPr>
        <w:t>3.6</w:t>
      </w:r>
      <w:r w:rsidRPr="007865ED">
        <w:rPr>
          <w:rFonts w:ascii="Arial" w:hAnsi="Arial" w:cs="Arial"/>
          <w:b/>
          <w:szCs w:val="24"/>
        </w:rPr>
        <w:t>%</w:t>
      </w:r>
      <w:r w:rsidRPr="007865ED">
        <w:rPr>
          <w:rFonts w:ascii="Arial" w:hAnsi="Arial" w:cs="Arial"/>
        </w:rPr>
        <w:t xml:space="preserve"> LFL) to £</w:t>
      </w:r>
      <w:r w:rsidR="007865ED" w:rsidRPr="007865ED">
        <w:rPr>
          <w:rFonts w:ascii="Arial" w:hAnsi="Arial" w:cs="Arial"/>
        </w:rPr>
        <w:t>176</w:t>
      </w:r>
      <w:r w:rsidRPr="007865ED">
        <w:rPr>
          <w:rFonts w:ascii="Arial" w:hAnsi="Arial" w:cs="Arial"/>
          <w:b/>
          <w:szCs w:val="24"/>
        </w:rPr>
        <w:t xml:space="preserve"> </w:t>
      </w:r>
      <w:r w:rsidRPr="007865ED">
        <w:rPr>
          <w:rFonts w:ascii="Arial" w:hAnsi="Arial" w:cs="Arial"/>
        </w:rPr>
        <w:t xml:space="preserve">million, </w:t>
      </w:r>
      <w:r w:rsidR="00892B6F">
        <w:rPr>
          <w:rFonts w:ascii="Arial" w:hAnsi="Arial" w:cs="Arial"/>
        </w:rPr>
        <w:t xml:space="preserve">with </w:t>
      </w:r>
      <w:r w:rsidRPr="007865ED">
        <w:rPr>
          <w:rFonts w:ascii="Arial" w:hAnsi="Arial" w:cs="Arial"/>
        </w:rPr>
        <w:t xml:space="preserve">retail profit </w:t>
      </w:r>
      <w:r w:rsidR="00892B6F">
        <w:rPr>
          <w:rFonts w:ascii="Arial" w:hAnsi="Arial" w:cs="Arial"/>
        </w:rPr>
        <w:t xml:space="preserve">decreasing by 5.0% to </w:t>
      </w:r>
      <w:r w:rsidRPr="007865ED">
        <w:rPr>
          <w:rFonts w:ascii="Arial" w:hAnsi="Arial" w:cs="Arial"/>
        </w:rPr>
        <w:t>£</w:t>
      </w:r>
      <w:r w:rsidR="00892B6F">
        <w:rPr>
          <w:rFonts w:ascii="Arial" w:hAnsi="Arial" w:cs="Arial"/>
        </w:rPr>
        <w:t>3</w:t>
      </w:r>
      <w:r w:rsidRPr="007865ED">
        <w:rPr>
          <w:rFonts w:ascii="Arial" w:hAnsi="Arial" w:cs="Arial"/>
        </w:rPr>
        <w:t xml:space="preserve"> million. </w:t>
      </w:r>
      <w:bookmarkStart w:id="31" w:name="_Hlk524461269"/>
      <w:bookmarkEnd w:id="30"/>
      <w:r w:rsidR="007D43ED" w:rsidRPr="007865ED">
        <w:rPr>
          <w:rFonts w:ascii="Arial" w:hAnsi="Arial" w:cs="Arial"/>
        </w:rPr>
        <w:t xml:space="preserve">In </w:t>
      </w:r>
      <w:r w:rsidR="007D43ED" w:rsidRPr="007865ED">
        <w:rPr>
          <w:rFonts w:ascii="Arial" w:hAnsi="Arial" w:cs="Arial"/>
          <w:b/>
        </w:rPr>
        <w:t xml:space="preserve">Russia </w:t>
      </w:r>
      <w:r w:rsidR="007D43ED" w:rsidRPr="007865ED">
        <w:rPr>
          <w:rFonts w:ascii="Arial" w:hAnsi="Arial" w:cs="Arial"/>
        </w:rPr>
        <w:t xml:space="preserve">sales </w:t>
      </w:r>
      <w:r w:rsidR="00106BDC" w:rsidRPr="007865ED">
        <w:rPr>
          <w:rFonts w:ascii="Arial" w:hAnsi="Arial" w:cs="Arial"/>
        </w:rPr>
        <w:t xml:space="preserve">declined </w:t>
      </w:r>
      <w:r w:rsidR="00FC5C5A" w:rsidRPr="007865ED">
        <w:rPr>
          <w:rFonts w:ascii="Arial" w:hAnsi="Arial" w:cs="Arial"/>
        </w:rPr>
        <w:t xml:space="preserve">by </w:t>
      </w:r>
      <w:r w:rsidR="00F02D73">
        <w:rPr>
          <w:rFonts w:ascii="Arial" w:hAnsi="Arial" w:cs="Arial"/>
        </w:rPr>
        <w:t>6</w:t>
      </w:r>
      <w:r w:rsidR="007865ED" w:rsidRPr="007865ED">
        <w:rPr>
          <w:rFonts w:ascii="Arial" w:hAnsi="Arial" w:cs="Arial"/>
        </w:rPr>
        <w:t>.</w:t>
      </w:r>
      <w:r w:rsidR="00F02D73">
        <w:rPr>
          <w:rFonts w:ascii="Arial" w:hAnsi="Arial" w:cs="Arial"/>
        </w:rPr>
        <w:t>9</w:t>
      </w:r>
      <w:r w:rsidR="007D43ED" w:rsidRPr="007865ED">
        <w:rPr>
          <w:rFonts w:ascii="Arial" w:hAnsi="Arial" w:cs="Arial"/>
        </w:rPr>
        <w:t>% (</w:t>
      </w:r>
      <w:r w:rsidR="007F65C8" w:rsidRPr="007865ED">
        <w:rPr>
          <w:rFonts w:ascii="Arial" w:hAnsi="Arial" w:cs="Arial"/>
        </w:rPr>
        <w:t>-</w:t>
      </w:r>
      <w:r w:rsidR="007865ED" w:rsidRPr="007865ED">
        <w:rPr>
          <w:rFonts w:ascii="Arial" w:hAnsi="Arial" w:cs="Arial"/>
        </w:rPr>
        <w:t>6.9</w:t>
      </w:r>
      <w:r w:rsidR="007D43ED" w:rsidRPr="007865ED">
        <w:rPr>
          <w:rFonts w:ascii="Arial" w:hAnsi="Arial" w:cs="Arial"/>
        </w:rPr>
        <w:t>% LFL) to £</w:t>
      </w:r>
      <w:r w:rsidR="007865ED" w:rsidRPr="007865ED">
        <w:rPr>
          <w:rFonts w:ascii="Arial" w:hAnsi="Arial" w:cs="Arial"/>
        </w:rPr>
        <w:t>154</w:t>
      </w:r>
      <w:r w:rsidR="00080E39" w:rsidRPr="007865ED">
        <w:rPr>
          <w:rFonts w:ascii="Arial" w:hAnsi="Arial" w:cs="Arial"/>
          <w:b/>
          <w:szCs w:val="24"/>
        </w:rPr>
        <w:t xml:space="preserve"> </w:t>
      </w:r>
      <w:r w:rsidR="007D43ED" w:rsidRPr="00C60142">
        <w:rPr>
          <w:rFonts w:ascii="Arial" w:hAnsi="Arial" w:cs="Arial"/>
        </w:rPr>
        <w:t>million</w:t>
      </w:r>
      <w:r w:rsidR="00596958" w:rsidRPr="00C60142">
        <w:rPr>
          <w:rFonts w:ascii="Arial" w:hAnsi="Arial" w:cs="Arial"/>
        </w:rPr>
        <w:t>.</w:t>
      </w:r>
      <w:r w:rsidR="007D43ED" w:rsidRPr="00C60142">
        <w:rPr>
          <w:rFonts w:ascii="Arial" w:hAnsi="Arial" w:cs="Arial"/>
        </w:rPr>
        <w:t xml:space="preserve"> </w:t>
      </w:r>
      <w:r w:rsidR="00624ACF" w:rsidRPr="00C60142">
        <w:rPr>
          <w:rFonts w:ascii="Arial" w:hAnsi="Arial" w:cs="Arial"/>
        </w:rPr>
        <w:t xml:space="preserve">The business </w:t>
      </w:r>
      <w:r w:rsidR="00AC2B0B" w:rsidRPr="00C60142">
        <w:rPr>
          <w:rFonts w:ascii="Arial" w:hAnsi="Arial" w:cs="Arial"/>
        </w:rPr>
        <w:t xml:space="preserve">delivered a </w:t>
      </w:r>
      <w:r w:rsidR="0093265E" w:rsidRPr="00C60142">
        <w:rPr>
          <w:rFonts w:ascii="Arial" w:hAnsi="Arial" w:cs="Arial"/>
        </w:rPr>
        <w:t>retail l</w:t>
      </w:r>
      <w:r w:rsidR="00262E81" w:rsidRPr="00C60142">
        <w:rPr>
          <w:rFonts w:ascii="Arial" w:hAnsi="Arial" w:cs="Arial"/>
        </w:rPr>
        <w:t>oss of £</w:t>
      </w:r>
      <w:r w:rsidR="007865ED" w:rsidRPr="00C60142">
        <w:rPr>
          <w:rFonts w:ascii="Arial" w:hAnsi="Arial" w:cs="Arial"/>
        </w:rPr>
        <w:t>7</w:t>
      </w:r>
      <w:r w:rsidR="00357F39" w:rsidRPr="00C60142">
        <w:rPr>
          <w:rFonts w:ascii="Arial" w:hAnsi="Arial" w:cs="Arial"/>
          <w:b/>
          <w:szCs w:val="24"/>
        </w:rPr>
        <w:t xml:space="preserve"> </w:t>
      </w:r>
      <w:r w:rsidR="00262E81" w:rsidRPr="00C60142">
        <w:rPr>
          <w:rFonts w:ascii="Arial" w:hAnsi="Arial" w:cs="Arial"/>
        </w:rPr>
        <w:t xml:space="preserve">million </w:t>
      </w:r>
      <w:r w:rsidR="00681C26" w:rsidRPr="00C60142">
        <w:rPr>
          <w:rFonts w:ascii="Arial" w:hAnsi="Arial" w:cs="Arial"/>
        </w:rPr>
        <w:t>(201</w:t>
      </w:r>
      <w:r w:rsidR="003F1BDF" w:rsidRPr="00C60142">
        <w:rPr>
          <w:rFonts w:ascii="Arial" w:hAnsi="Arial" w:cs="Arial"/>
        </w:rPr>
        <w:t>8</w:t>
      </w:r>
      <w:r w:rsidR="00822B9C" w:rsidRPr="00C60142">
        <w:rPr>
          <w:rFonts w:ascii="Arial" w:hAnsi="Arial" w:cs="Arial"/>
        </w:rPr>
        <w:t>/1</w:t>
      </w:r>
      <w:r w:rsidR="003F1BDF" w:rsidRPr="00C60142">
        <w:rPr>
          <w:rFonts w:ascii="Arial" w:hAnsi="Arial" w:cs="Arial"/>
        </w:rPr>
        <w:t>9</w:t>
      </w:r>
      <w:r w:rsidR="00681C26" w:rsidRPr="00C60142">
        <w:rPr>
          <w:rFonts w:ascii="Arial" w:hAnsi="Arial" w:cs="Arial"/>
        </w:rPr>
        <w:t>:</w:t>
      </w:r>
      <w:r w:rsidR="004A3CBC" w:rsidRPr="00C60142">
        <w:rPr>
          <w:rFonts w:ascii="Arial" w:hAnsi="Arial" w:cs="Arial"/>
        </w:rPr>
        <w:t xml:space="preserve"> </w:t>
      </w:r>
      <w:r w:rsidR="00357F39" w:rsidRPr="00C60142">
        <w:rPr>
          <w:rFonts w:ascii="Arial" w:hAnsi="Arial" w:cs="Arial"/>
        </w:rPr>
        <w:t>£</w:t>
      </w:r>
      <w:r w:rsidR="00C82535">
        <w:rPr>
          <w:rFonts w:ascii="Arial" w:hAnsi="Arial" w:cs="Arial"/>
        </w:rPr>
        <w:t>5</w:t>
      </w:r>
      <w:r w:rsidR="00357F39" w:rsidRPr="00C60142">
        <w:rPr>
          <w:rFonts w:ascii="Arial" w:hAnsi="Arial" w:cs="Arial"/>
        </w:rPr>
        <w:t xml:space="preserve"> million </w:t>
      </w:r>
      <w:r w:rsidR="009E6791" w:rsidRPr="00C60142">
        <w:rPr>
          <w:rFonts w:ascii="Arial" w:hAnsi="Arial" w:cs="Arial"/>
        </w:rPr>
        <w:t xml:space="preserve">reported </w:t>
      </w:r>
      <w:r w:rsidR="00357F39" w:rsidRPr="00C60142">
        <w:rPr>
          <w:rFonts w:ascii="Arial" w:hAnsi="Arial" w:cs="Arial"/>
        </w:rPr>
        <w:t>retail loss</w:t>
      </w:r>
      <w:r w:rsidR="00144DA6" w:rsidRPr="00C60142">
        <w:rPr>
          <w:rFonts w:ascii="Arial" w:hAnsi="Arial" w:cs="Arial"/>
        </w:rPr>
        <w:t xml:space="preserve">) </w:t>
      </w:r>
      <w:r w:rsidR="0012195C" w:rsidRPr="00C60142">
        <w:rPr>
          <w:rFonts w:ascii="Arial" w:hAnsi="Arial" w:cs="Arial"/>
        </w:rPr>
        <w:t xml:space="preserve">reflecting </w:t>
      </w:r>
      <w:r w:rsidR="0093265E" w:rsidRPr="00C60142">
        <w:rPr>
          <w:rFonts w:ascii="Arial" w:hAnsi="Arial" w:cs="Arial"/>
          <w:szCs w:val="24"/>
        </w:rPr>
        <w:t xml:space="preserve">a </w:t>
      </w:r>
      <w:r w:rsidR="00C60142" w:rsidRPr="00C60142">
        <w:rPr>
          <w:rFonts w:ascii="Arial" w:hAnsi="Arial" w:cs="Arial"/>
          <w:szCs w:val="24"/>
        </w:rPr>
        <w:t xml:space="preserve">continuing </w:t>
      </w:r>
      <w:r w:rsidR="0093265E" w:rsidRPr="00C60142">
        <w:rPr>
          <w:rFonts w:ascii="Arial" w:hAnsi="Arial" w:cs="Arial"/>
          <w:szCs w:val="24"/>
        </w:rPr>
        <w:t xml:space="preserve">challenging </w:t>
      </w:r>
      <w:r w:rsidR="00C60142">
        <w:rPr>
          <w:rFonts w:ascii="Arial" w:hAnsi="Arial" w:cs="Arial"/>
          <w:szCs w:val="24"/>
        </w:rPr>
        <w:t xml:space="preserve">market </w:t>
      </w:r>
      <w:r w:rsidR="0093265E" w:rsidRPr="00C60142">
        <w:rPr>
          <w:rFonts w:ascii="Arial" w:hAnsi="Arial" w:cs="Arial"/>
          <w:szCs w:val="24"/>
        </w:rPr>
        <w:t>environment</w:t>
      </w:r>
      <w:r w:rsidR="008801B0">
        <w:rPr>
          <w:rFonts w:ascii="Arial" w:hAnsi="Arial" w:cs="Arial"/>
          <w:szCs w:val="24"/>
        </w:rPr>
        <w:t xml:space="preserve"> </w:t>
      </w:r>
      <w:r w:rsidR="008801B0" w:rsidRPr="00CA0EB7">
        <w:rPr>
          <w:rFonts w:ascii="Arial" w:hAnsi="Arial" w:cs="Arial"/>
          <w:szCs w:val="24"/>
        </w:rPr>
        <w:t xml:space="preserve">and </w:t>
      </w:r>
      <w:r w:rsidR="00C97532">
        <w:rPr>
          <w:rFonts w:ascii="Arial" w:hAnsi="Arial" w:cs="Arial"/>
          <w:szCs w:val="24"/>
        </w:rPr>
        <w:t>one</w:t>
      </w:r>
      <w:r w:rsidR="008801B0" w:rsidRPr="00CA0EB7">
        <w:rPr>
          <w:rFonts w:ascii="Arial" w:hAnsi="Arial" w:cs="Arial"/>
          <w:szCs w:val="24"/>
        </w:rPr>
        <w:t xml:space="preserve"> store closure</w:t>
      </w:r>
      <w:r w:rsidR="00C60142" w:rsidRPr="00C60142">
        <w:rPr>
          <w:rFonts w:ascii="Arial" w:hAnsi="Arial" w:cs="Arial"/>
          <w:szCs w:val="24"/>
        </w:rPr>
        <w:t>.</w:t>
      </w:r>
      <w:r w:rsidR="007D43ED" w:rsidRPr="00C60142">
        <w:rPr>
          <w:rFonts w:ascii="Arial" w:hAnsi="Arial" w:cs="Arial"/>
        </w:rPr>
        <w:t xml:space="preserve"> </w:t>
      </w:r>
      <w:bookmarkStart w:id="32" w:name="_Hlk524462136"/>
      <w:bookmarkEnd w:id="31"/>
      <w:r w:rsidR="00D32338" w:rsidRPr="00C60142">
        <w:rPr>
          <w:rFonts w:ascii="Arial" w:hAnsi="Arial" w:cs="Arial"/>
        </w:rPr>
        <w:t xml:space="preserve">In </w:t>
      </w:r>
      <w:bookmarkEnd w:id="32"/>
      <w:r w:rsidR="0093265E" w:rsidRPr="00C60142">
        <w:rPr>
          <w:rFonts w:ascii="Arial" w:hAnsi="Arial" w:cs="Arial"/>
          <w:b/>
        </w:rPr>
        <w:t>Screwfix Germany</w:t>
      </w:r>
      <w:r w:rsidR="00592268" w:rsidRPr="002110D5">
        <w:rPr>
          <w:rFonts w:ascii="Arial" w:hAnsi="Arial" w:cs="Arial"/>
          <w:bCs/>
        </w:rPr>
        <w:t>,</w:t>
      </w:r>
      <w:r w:rsidR="00592268">
        <w:rPr>
          <w:rFonts w:ascii="Arial" w:hAnsi="Arial" w:cs="Arial"/>
        </w:rPr>
        <w:t xml:space="preserve"> a</w:t>
      </w:r>
      <w:r w:rsidR="00614936">
        <w:rPr>
          <w:rFonts w:ascii="Arial" w:hAnsi="Arial" w:cs="Arial"/>
        </w:rPr>
        <w:t xml:space="preserve">ll </w:t>
      </w:r>
      <w:r w:rsidR="008801B0">
        <w:rPr>
          <w:rFonts w:ascii="Arial" w:hAnsi="Arial" w:cs="Arial"/>
        </w:rPr>
        <w:t>19</w:t>
      </w:r>
      <w:r w:rsidR="0082501C">
        <w:rPr>
          <w:rFonts w:ascii="Arial" w:hAnsi="Arial" w:cs="Arial"/>
        </w:rPr>
        <w:t xml:space="preserve"> </w:t>
      </w:r>
      <w:r w:rsidR="00906D7D">
        <w:rPr>
          <w:rFonts w:ascii="Arial" w:hAnsi="Arial" w:cs="Arial"/>
        </w:rPr>
        <w:t>store</w:t>
      </w:r>
      <w:r w:rsidR="00C82535">
        <w:rPr>
          <w:rFonts w:ascii="Arial" w:hAnsi="Arial" w:cs="Arial"/>
        </w:rPr>
        <w:t>s</w:t>
      </w:r>
      <w:r w:rsidR="00906D7D">
        <w:rPr>
          <w:rFonts w:ascii="Arial" w:hAnsi="Arial" w:cs="Arial"/>
        </w:rPr>
        <w:t xml:space="preserve"> </w:t>
      </w:r>
      <w:r w:rsidR="00FA6BFA">
        <w:rPr>
          <w:rFonts w:ascii="Arial" w:hAnsi="Arial" w:cs="Arial"/>
        </w:rPr>
        <w:t xml:space="preserve">were closed during the period </w:t>
      </w:r>
      <w:r w:rsidR="00D32338">
        <w:rPr>
          <w:rFonts w:ascii="Arial" w:hAnsi="Arial" w:cs="Arial"/>
        </w:rPr>
        <w:t xml:space="preserve">and </w:t>
      </w:r>
      <w:r w:rsidR="00D10248">
        <w:rPr>
          <w:rFonts w:ascii="Arial" w:hAnsi="Arial" w:cs="Arial"/>
        </w:rPr>
        <w:t xml:space="preserve">the business </w:t>
      </w:r>
      <w:r w:rsidR="0093265E">
        <w:rPr>
          <w:rFonts w:ascii="Arial" w:hAnsi="Arial" w:cs="Arial"/>
        </w:rPr>
        <w:t>made</w:t>
      </w:r>
      <w:r w:rsidR="0093265E" w:rsidRPr="00162D50">
        <w:rPr>
          <w:rFonts w:ascii="Arial" w:hAnsi="Arial" w:cs="Arial"/>
        </w:rPr>
        <w:t xml:space="preserve"> a £</w:t>
      </w:r>
      <w:r w:rsidR="004531D8">
        <w:rPr>
          <w:rFonts w:ascii="Arial" w:hAnsi="Arial" w:cs="Arial"/>
        </w:rPr>
        <w:t>4</w:t>
      </w:r>
      <w:r w:rsidR="0093265E" w:rsidRPr="00162D50">
        <w:rPr>
          <w:rFonts w:ascii="Arial" w:hAnsi="Arial" w:cs="Arial"/>
        </w:rPr>
        <w:t xml:space="preserve"> million </w:t>
      </w:r>
      <w:r w:rsidR="0093265E">
        <w:rPr>
          <w:rFonts w:ascii="Arial" w:hAnsi="Arial" w:cs="Arial"/>
        </w:rPr>
        <w:t xml:space="preserve">retail </w:t>
      </w:r>
      <w:r w:rsidR="0093265E" w:rsidRPr="00162D50">
        <w:rPr>
          <w:rFonts w:ascii="Arial" w:hAnsi="Arial" w:cs="Arial"/>
        </w:rPr>
        <w:t>loss (201</w:t>
      </w:r>
      <w:r w:rsidR="00992E11">
        <w:rPr>
          <w:rFonts w:ascii="Arial" w:hAnsi="Arial" w:cs="Arial"/>
        </w:rPr>
        <w:t>8</w:t>
      </w:r>
      <w:r w:rsidR="00D32338">
        <w:rPr>
          <w:rFonts w:ascii="Arial" w:hAnsi="Arial" w:cs="Arial"/>
        </w:rPr>
        <w:t>/1</w:t>
      </w:r>
      <w:r w:rsidR="00992E11">
        <w:rPr>
          <w:rFonts w:ascii="Arial" w:hAnsi="Arial" w:cs="Arial"/>
        </w:rPr>
        <w:t>9</w:t>
      </w:r>
      <w:r w:rsidR="0093265E" w:rsidRPr="00162D50">
        <w:rPr>
          <w:rFonts w:ascii="Arial" w:hAnsi="Arial" w:cs="Arial"/>
        </w:rPr>
        <w:t>: £</w:t>
      </w:r>
      <w:r w:rsidR="00C82535">
        <w:rPr>
          <w:rFonts w:ascii="Arial" w:hAnsi="Arial" w:cs="Arial"/>
        </w:rPr>
        <w:t>7</w:t>
      </w:r>
      <w:r w:rsidR="0093265E" w:rsidRPr="00162D50">
        <w:rPr>
          <w:rFonts w:ascii="Arial" w:hAnsi="Arial" w:cs="Arial"/>
        </w:rPr>
        <w:t xml:space="preserve"> million </w:t>
      </w:r>
      <w:r w:rsidR="0093265E">
        <w:rPr>
          <w:rFonts w:ascii="Arial" w:hAnsi="Arial" w:cs="Arial"/>
        </w:rPr>
        <w:t xml:space="preserve">reported retail </w:t>
      </w:r>
      <w:r w:rsidR="0093265E" w:rsidRPr="00162D50">
        <w:rPr>
          <w:rFonts w:ascii="Arial" w:hAnsi="Arial" w:cs="Arial"/>
        </w:rPr>
        <w:t>loss).</w:t>
      </w:r>
      <w:r w:rsidR="0093265E">
        <w:rPr>
          <w:rFonts w:ascii="Arial" w:hAnsi="Arial" w:cs="Arial"/>
        </w:rPr>
        <w:t xml:space="preserve"> </w:t>
      </w:r>
      <w:bookmarkStart w:id="33" w:name="_Hlk18868878"/>
      <w:r w:rsidR="002C7E17">
        <w:rPr>
          <w:rFonts w:ascii="Arial" w:hAnsi="Arial" w:cs="Arial"/>
        </w:rPr>
        <w:t>Screwfix maintains an online presence in Germany through its European website.</w:t>
      </w:r>
      <w:bookmarkEnd w:id="33"/>
    </w:p>
    <w:p w14:paraId="67EF3A20" w14:textId="77777777" w:rsidR="005F0570" w:rsidRDefault="005F0570" w:rsidP="005F0570">
      <w:pPr>
        <w:jc w:val="left"/>
        <w:rPr>
          <w:rFonts w:ascii="Arial" w:hAnsi="Arial" w:cs="Arial"/>
          <w:b/>
        </w:rPr>
      </w:pPr>
    </w:p>
    <w:p w14:paraId="40BF409B" w14:textId="1B22C51D" w:rsidR="005F0570" w:rsidRPr="00D32338" w:rsidRDefault="00A116E5" w:rsidP="005F0570">
      <w:pPr>
        <w:jc w:val="left"/>
        <w:rPr>
          <w:rFonts w:ascii="Arial" w:hAnsi="Arial" w:cs="Arial"/>
          <w:b/>
          <w:color w:val="C00000"/>
          <w:szCs w:val="24"/>
        </w:rPr>
      </w:pPr>
      <w:bookmarkStart w:id="34" w:name="_Hlk524460401"/>
      <w:r w:rsidRPr="001003E6">
        <w:rPr>
          <w:rFonts w:ascii="Arial" w:hAnsi="Arial" w:cs="Arial"/>
          <w:bCs/>
        </w:rPr>
        <w:t>In</w:t>
      </w:r>
      <w:r>
        <w:rPr>
          <w:rFonts w:ascii="Arial" w:hAnsi="Arial" w:cs="Arial"/>
          <w:b/>
        </w:rPr>
        <w:t xml:space="preserve"> </w:t>
      </w:r>
      <w:r w:rsidR="005F0570" w:rsidRPr="00AC598B">
        <w:rPr>
          <w:rFonts w:ascii="Arial" w:hAnsi="Arial" w:cs="Arial"/>
          <w:b/>
        </w:rPr>
        <w:t xml:space="preserve">Turkey, </w:t>
      </w:r>
      <w:r w:rsidR="005F0570" w:rsidRPr="00AC598B">
        <w:rPr>
          <w:rFonts w:ascii="Arial" w:hAnsi="Arial" w:cs="Arial"/>
        </w:rPr>
        <w:t xml:space="preserve">Kingfisher’s 50% JV, </w:t>
      </w:r>
      <w:r w:rsidR="005F0570" w:rsidRPr="00AC598B">
        <w:rPr>
          <w:rFonts w:ascii="Arial" w:hAnsi="Arial" w:cs="Arial"/>
          <w:bCs/>
        </w:rPr>
        <w:t>Koçtaş,</w:t>
      </w:r>
      <w:r w:rsidR="005F0570" w:rsidRPr="00AC598B">
        <w:rPr>
          <w:rFonts w:ascii="Arial" w:hAnsi="Arial" w:cs="Arial"/>
        </w:rPr>
        <w:t xml:space="preserve"> contributed retail profit of £</w:t>
      </w:r>
      <w:r w:rsidR="004531D8">
        <w:rPr>
          <w:rFonts w:ascii="Arial" w:hAnsi="Arial" w:cs="Arial"/>
        </w:rPr>
        <w:t>3</w:t>
      </w:r>
      <w:r w:rsidR="005F0570" w:rsidRPr="00357F39">
        <w:rPr>
          <w:rFonts w:ascii="Arial" w:hAnsi="Arial" w:cs="Arial"/>
          <w:b/>
          <w:color w:val="C00000"/>
          <w:szCs w:val="24"/>
        </w:rPr>
        <w:t xml:space="preserve"> </w:t>
      </w:r>
      <w:r w:rsidR="005F0570" w:rsidRPr="00AC598B">
        <w:rPr>
          <w:rFonts w:ascii="Arial" w:hAnsi="Arial" w:cs="Arial"/>
        </w:rPr>
        <w:t>million (201</w:t>
      </w:r>
      <w:r w:rsidR="00906D7D">
        <w:rPr>
          <w:rFonts w:ascii="Arial" w:hAnsi="Arial" w:cs="Arial"/>
        </w:rPr>
        <w:t>8</w:t>
      </w:r>
      <w:r w:rsidR="005F0570" w:rsidRPr="00AC598B">
        <w:rPr>
          <w:rFonts w:ascii="Arial" w:hAnsi="Arial" w:cs="Arial"/>
        </w:rPr>
        <w:t>/1</w:t>
      </w:r>
      <w:r w:rsidR="00906D7D">
        <w:rPr>
          <w:rFonts w:ascii="Arial" w:hAnsi="Arial" w:cs="Arial"/>
        </w:rPr>
        <w:t>9</w:t>
      </w:r>
      <w:r w:rsidR="005F0570" w:rsidRPr="00AC598B">
        <w:rPr>
          <w:rFonts w:ascii="Arial" w:hAnsi="Arial" w:cs="Arial"/>
        </w:rPr>
        <w:t>: £</w:t>
      </w:r>
      <w:r w:rsidR="004531D8">
        <w:rPr>
          <w:rFonts w:ascii="Arial" w:hAnsi="Arial" w:cs="Arial"/>
        </w:rPr>
        <w:t>2</w:t>
      </w:r>
      <w:r w:rsidR="005F0570" w:rsidRPr="00AC598B">
        <w:rPr>
          <w:rFonts w:ascii="Arial" w:hAnsi="Arial" w:cs="Arial"/>
        </w:rPr>
        <w:t xml:space="preserve"> million reported retail profit).</w:t>
      </w:r>
    </w:p>
    <w:bookmarkEnd w:id="34"/>
    <w:p w14:paraId="041E5EF1" w14:textId="77777777" w:rsidR="005F0570" w:rsidRPr="00AC598B" w:rsidRDefault="005F0570" w:rsidP="005F0570">
      <w:pPr>
        <w:jc w:val="left"/>
        <w:rPr>
          <w:rFonts w:ascii="Arial" w:hAnsi="Arial" w:cs="Arial"/>
          <w:b/>
          <w:highlight w:val="yellow"/>
          <w:u w:val="single"/>
        </w:rPr>
      </w:pPr>
    </w:p>
    <w:p w14:paraId="2588EC66" w14:textId="77777777" w:rsidR="005F0570" w:rsidRPr="00F9080F" w:rsidRDefault="005F0570" w:rsidP="0093265E">
      <w:pPr>
        <w:jc w:val="left"/>
        <w:rPr>
          <w:rFonts w:ascii="Arial" w:hAnsi="Arial" w:cs="Arial"/>
        </w:rPr>
      </w:pPr>
    </w:p>
    <w:p w14:paraId="6F895075" w14:textId="5A2EABE7" w:rsidR="005F0570" w:rsidRPr="00AC598B" w:rsidRDefault="004B36D9">
      <w:pPr>
        <w:jc w:val="left"/>
        <w:rPr>
          <w:rFonts w:ascii="Arial" w:hAnsi="Arial" w:cs="Arial"/>
          <w:b/>
          <w:bCs/>
        </w:rPr>
      </w:pPr>
      <w:r w:rsidRPr="00AC598B">
        <w:rPr>
          <w:rFonts w:ascii="Arial" w:hAnsi="Arial" w:cs="Arial"/>
          <w:b/>
          <w:bCs/>
        </w:rPr>
        <w:br w:type="page"/>
      </w:r>
    </w:p>
    <w:p w14:paraId="027FAA02" w14:textId="64DD4A27" w:rsidR="007D43ED" w:rsidRPr="00AC598B" w:rsidRDefault="007D43ED" w:rsidP="007D43ED">
      <w:pPr>
        <w:jc w:val="left"/>
        <w:rPr>
          <w:rFonts w:ascii="Arial" w:hAnsi="Arial" w:cs="Arial"/>
          <w:b/>
          <w:bCs/>
        </w:rPr>
      </w:pPr>
      <w:bookmarkStart w:id="35" w:name="_Hlk524463847"/>
      <w:r w:rsidRPr="00AC598B">
        <w:rPr>
          <w:rFonts w:ascii="Arial" w:hAnsi="Arial" w:cs="Arial"/>
          <w:b/>
          <w:bCs/>
        </w:rPr>
        <w:lastRenderedPageBreak/>
        <w:t>Section 3: FY 201</w:t>
      </w:r>
      <w:r w:rsidR="00BF586F">
        <w:rPr>
          <w:rFonts w:ascii="Arial" w:hAnsi="Arial" w:cs="Arial"/>
          <w:b/>
          <w:bCs/>
        </w:rPr>
        <w:t>9</w:t>
      </w:r>
      <w:r w:rsidR="00D23E41" w:rsidRPr="00AC598B">
        <w:rPr>
          <w:rFonts w:ascii="Arial" w:hAnsi="Arial" w:cs="Arial"/>
          <w:b/>
          <w:bCs/>
        </w:rPr>
        <w:t>/</w:t>
      </w:r>
      <w:r w:rsidR="00BF586F">
        <w:rPr>
          <w:rFonts w:ascii="Arial" w:hAnsi="Arial" w:cs="Arial"/>
          <w:b/>
          <w:bCs/>
        </w:rPr>
        <w:t>20</w:t>
      </w:r>
      <w:r w:rsidRPr="00AC598B">
        <w:rPr>
          <w:rFonts w:ascii="Arial" w:hAnsi="Arial" w:cs="Arial"/>
          <w:b/>
          <w:bCs/>
        </w:rPr>
        <w:t xml:space="preserve"> Technical guidance </w:t>
      </w:r>
    </w:p>
    <w:p w14:paraId="76A9CA5E" w14:textId="77777777" w:rsidR="007D43ED" w:rsidRPr="00AC598B" w:rsidRDefault="007D43ED" w:rsidP="007D43ED">
      <w:pPr>
        <w:jc w:val="left"/>
        <w:rPr>
          <w:rFonts w:ascii="Arial" w:hAnsi="Arial" w:cs="Arial"/>
          <w:b/>
          <w:bCs/>
        </w:rPr>
      </w:pPr>
      <w:bookmarkStart w:id="36" w:name="_Hlk524973926"/>
      <w:bookmarkEnd w:id="35"/>
    </w:p>
    <w:p w14:paraId="6AC56877" w14:textId="21AEEAD4" w:rsidR="007D43ED" w:rsidRPr="00C64D89" w:rsidRDefault="002E501D" w:rsidP="00925EFB">
      <w:pPr>
        <w:jc w:val="left"/>
        <w:rPr>
          <w:rFonts w:ascii="Arial" w:hAnsi="Arial" w:cs="Arial"/>
          <w:b/>
          <w:bCs/>
        </w:rPr>
      </w:pPr>
      <w:r w:rsidRPr="00C64D89">
        <w:rPr>
          <w:rFonts w:ascii="Arial" w:hAnsi="Arial" w:cs="Arial"/>
          <w:b/>
          <w:bCs/>
        </w:rPr>
        <w:t>Emplo</w:t>
      </w:r>
      <w:r w:rsidR="00E5523A" w:rsidRPr="00C64D89">
        <w:rPr>
          <w:rFonts w:ascii="Arial" w:hAnsi="Arial" w:cs="Arial"/>
          <w:b/>
          <w:bCs/>
        </w:rPr>
        <w:t>yee</w:t>
      </w:r>
      <w:r w:rsidR="00F0271D">
        <w:rPr>
          <w:rFonts w:ascii="Arial" w:hAnsi="Arial" w:cs="Arial"/>
          <w:b/>
          <w:bCs/>
        </w:rPr>
        <w:t>s</w:t>
      </w:r>
      <w:r w:rsidR="00E5523A" w:rsidRPr="00C64D89">
        <w:rPr>
          <w:rFonts w:ascii="Arial" w:hAnsi="Arial" w:cs="Arial"/>
          <w:b/>
          <w:bCs/>
        </w:rPr>
        <w:t>,</w:t>
      </w:r>
      <w:r w:rsidR="007D43ED" w:rsidRPr="00C64D89">
        <w:rPr>
          <w:rFonts w:ascii="Arial" w:hAnsi="Arial" w:cs="Arial"/>
          <w:b/>
          <w:bCs/>
        </w:rPr>
        <w:t xml:space="preserve"> new stores and space growth:</w:t>
      </w:r>
    </w:p>
    <w:tbl>
      <w:tblPr>
        <w:tblW w:w="5000" w:type="pct"/>
        <w:tblInd w:w="2" w:type="dxa"/>
        <w:tblLayout w:type="fixed"/>
        <w:tblLook w:val="01E0" w:firstRow="1" w:lastRow="1" w:firstColumn="1" w:lastColumn="1" w:noHBand="0" w:noVBand="0"/>
      </w:tblPr>
      <w:tblGrid>
        <w:gridCol w:w="2465"/>
        <w:gridCol w:w="1563"/>
        <w:gridCol w:w="1304"/>
        <w:gridCol w:w="1638"/>
        <w:gridCol w:w="1450"/>
        <w:gridCol w:w="1447"/>
      </w:tblGrid>
      <w:tr w:rsidR="001178CC" w:rsidRPr="004D39BF" w14:paraId="55226557" w14:textId="77777777" w:rsidTr="004215EF">
        <w:trPr>
          <w:trHeight w:val="739"/>
        </w:trPr>
        <w:tc>
          <w:tcPr>
            <w:tcW w:w="1249" w:type="pct"/>
            <w:tcBorders>
              <w:bottom w:val="single" w:sz="4" w:space="0" w:color="auto"/>
            </w:tcBorders>
          </w:tcPr>
          <w:p w14:paraId="3E1E6787" w14:textId="77777777" w:rsidR="001178CC" w:rsidRPr="00886A40" w:rsidRDefault="001178CC" w:rsidP="00FD5A2D">
            <w:pPr>
              <w:ind w:left="110" w:hanging="110"/>
              <w:jc w:val="left"/>
              <w:rPr>
                <w:rFonts w:ascii="Arial" w:hAnsi="Arial" w:cs="Arial"/>
              </w:rPr>
            </w:pPr>
          </w:p>
          <w:p w14:paraId="2F767C96" w14:textId="77777777" w:rsidR="001178CC" w:rsidRPr="007C4F78" w:rsidRDefault="001178CC" w:rsidP="00FD5A2D">
            <w:pPr>
              <w:jc w:val="left"/>
              <w:rPr>
                <w:rFonts w:ascii="Arial" w:hAnsi="Arial" w:cs="Arial"/>
                <w:b/>
                <w:bCs/>
              </w:rPr>
            </w:pPr>
          </w:p>
        </w:tc>
        <w:tc>
          <w:tcPr>
            <w:tcW w:w="792" w:type="pct"/>
            <w:tcBorders>
              <w:bottom w:val="single" w:sz="4" w:space="0" w:color="auto"/>
            </w:tcBorders>
          </w:tcPr>
          <w:p w14:paraId="30EEE86A" w14:textId="77777777" w:rsidR="0041662F" w:rsidRPr="004D39BF" w:rsidRDefault="0041662F" w:rsidP="00FD5A2D">
            <w:pPr>
              <w:ind w:left="110" w:hanging="110"/>
              <w:jc w:val="right"/>
              <w:rPr>
                <w:rFonts w:ascii="Arial" w:hAnsi="Arial" w:cs="Arial"/>
                <w:b/>
                <w:bCs/>
              </w:rPr>
            </w:pPr>
          </w:p>
          <w:p w14:paraId="6F965876" w14:textId="77777777" w:rsidR="001178CC" w:rsidRPr="004D39BF" w:rsidRDefault="001178CC" w:rsidP="00FD5A2D">
            <w:pPr>
              <w:ind w:left="110" w:hanging="110"/>
              <w:jc w:val="right"/>
              <w:rPr>
                <w:rFonts w:ascii="Arial" w:hAnsi="Arial" w:cs="Arial"/>
                <w:b/>
                <w:bCs/>
              </w:rPr>
            </w:pPr>
            <w:r w:rsidRPr="004D39BF">
              <w:rPr>
                <w:rFonts w:ascii="Arial" w:hAnsi="Arial" w:cs="Arial"/>
                <w:b/>
                <w:bCs/>
              </w:rPr>
              <w:t>Employees</w:t>
            </w:r>
          </w:p>
          <w:p w14:paraId="6BF819FD" w14:textId="77777777" w:rsidR="0041662F" w:rsidRPr="004D39BF" w:rsidRDefault="001178CC" w:rsidP="00FD5A2D">
            <w:pPr>
              <w:ind w:left="110" w:hanging="110"/>
              <w:jc w:val="right"/>
              <w:rPr>
                <w:rFonts w:ascii="Arial" w:hAnsi="Arial" w:cs="Arial"/>
                <w:b/>
                <w:bCs/>
              </w:rPr>
            </w:pPr>
            <w:r w:rsidRPr="004D39BF">
              <w:rPr>
                <w:rFonts w:ascii="Arial" w:hAnsi="Arial" w:cs="Arial"/>
                <w:b/>
                <w:bCs/>
              </w:rPr>
              <w:t>(FTE)</w:t>
            </w:r>
            <w:r w:rsidR="0041662F" w:rsidRPr="004D39BF">
              <w:rPr>
                <w:rFonts w:ascii="Arial" w:hAnsi="Arial" w:cs="Arial"/>
                <w:b/>
                <w:bCs/>
              </w:rPr>
              <w:t xml:space="preserve"> </w:t>
            </w:r>
          </w:p>
          <w:p w14:paraId="75CC9C21" w14:textId="3D3BC971" w:rsidR="001178CC" w:rsidRPr="004D39BF" w:rsidRDefault="0041662F">
            <w:pPr>
              <w:ind w:left="110" w:hanging="110"/>
              <w:jc w:val="right"/>
              <w:rPr>
                <w:rFonts w:ascii="Arial" w:hAnsi="Arial" w:cs="Arial"/>
                <w:b/>
                <w:bCs/>
              </w:rPr>
            </w:pPr>
            <w:r w:rsidRPr="004D39BF">
              <w:rPr>
                <w:rFonts w:ascii="Arial" w:hAnsi="Arial" w:cs="Arial"/>
                <w:b/>
                <w:bCs/>
              </w:rPr>
              <w:t xml:space="preserve">at </w:t>
            </w:r>
            <w:r w:rsidR="00931630" w:rsidRPr="004D39BF">
              <w:rPr>
                <w:rFonts w:ascii="Arial" w:hAnsi="Arial" w:cs="Arial"/>
                <w:b/>
                <w:bCs/>
              </w:rPr>
              <w:t xml:space="preserve">31 Jul </w:t>
            </w:r>
            <w:r w:rsidRPr="004D39BF">
              <w:rPr>
                <w:rFonts w:ascii="Arial" w:hAnsi="Arial" w:cs="Arial"/>
                <w:b/>
                <w:bCs/>
              </w:rPr>
              <w:t>201</w:t>
            </w:r>
            <w:r w:rsidR="00BF586F">
              <w:rPr>
                <w:rFonts w:ascii="Arial" w:hAnsi="Arial" w:cs="Arial"/>
                <w:b/>
                <w:bCs/>
              </w:rPr>
              <w:t>9</w:t>
            </w:r>
          </w:p>
        </w:tc>
        <w:tc>
          <w:tcPr>
            <w:tcW w:w="661" w:type="pct"/>
            <w:tcBorders>
              <w:bottom w:val="single" w:sz="4" w:space="0" w:color="auto"/>
            </w:tcBorders>
          </w:tcPr>
          <w:p w14:paraId="4B5400D9" w14:textId="77777777" w:rsidR="0041662F" w:rsidRPr="004D39BF" w:rsidRDefault="0041662F" w:rsidP="00FD5A2D">
            <w:pPr>
              <w:ind w:left="110" w:hanging="110"/>
              <w:jc w:val="right"/>
              <w:rPr>
                <w:rFonts w:ascii="Arial" w:hAnsi="Arial" w:cs="Arial"/>
                <w:b/>
                <w:bCs/>
              </w:rPr>
            </w:pPr>
          </w:p>
          <w:p w14:paraId="458E822B" w14:textId="77777777" w:rsidR="001178CC" w:rsidRPr="004D39BF" w:rsidRDefault="001178CC" w:rsidP="00FD5A2D">
            <w:pPr>
              <w:ind w:left="110" w:hanging="110"/>
              <w:jc w:val="right"/>
              <w:rPr>
                <w:rFonts w:ascii="Arial" w:hAnsi="Arial" w:cs="Arial"/>
                <w:b/>
                <w:bCs/>
              </w:rPr>
            </w:pPr>
            <w:r w:rsidRPr="004D39BF">
              <w:rPr>
                <w:rFonts w:ascii="Arial" w:hAnsi="Arial" w:cs="Arial"/>
                <w:b/>
                <w:bCs/>
              </w:rPr>
              <w:t xml:space="preserve">Store </w:t>
            </w:r>
          </w:p>
          <w:p w14:paraId="07247FEB" w14:textId="0D5A28C6" w:rsidR="001178CC" w:rsidRPr="004D39BF" w:rsidRDefault="0041662F">
            <w:pPr>
              <w:ind w:left="110" w:hanging="110"/>
              <w:jc w:val="right"/>
              <w:rPr>
                <w:rFonts w:ascii="Arial" w:hAnsi="Arial" w:cs="Arial"/>
                <w:b/>
                <w:bCs/>
              </w:rPr>
            </w:pPr>
            <w:r w:rsidRPr="004D39BF">
              <w:rPr>
                <w:rFonts w:ascii="Arial" w:hAnsi="Arial" w:cs="Arial"/>
                <w:b/>
                <w:bCs/>
              </w:rPr>
              <w:t>N</w:t>
            </w:r>
            <w:r w:rsidR="001178CC" w:rsidRPr="004D39BF">
              <w:rPr>
                <w:rFonts w:ascii="Arial" w:hAnsi="Arial" w:cs="Arial"/>
                <w:b/>
                <w:bCs/>
              </w:rPr>
              <w:t>umbers</w:t>
            </w:r>
            <w:r w:rsidRPr="004D39BF">
              <w:rPr>
                <w:rFonts w:ascii="Arial" w:hAnsi="Arial" w:cs="Arial"/>
                <w:b/>
                <w:bCs/>
              </w:rPr>
              <w:t xml:space="preserve"> at 31 </w:t>
            </w:r>
            <w:r w:rsidR="00931630" w:rsidRPr="004D39BF">
              <w:rPr>
                <w:rFonts w:ascii="Arial" w:hAnsi="Arial" w:cs="Arial"/>
                <w:b/>
                <w:bCs/>
              </w:rPr>
              <w:t xml:space="preserve">Jul </w:t>
            </w:r>
            <w:r w:rsidRPr="004D39BF">
              <w:rPr>
                <w:rFonts w:ascii="Arial" w:hAnsi="Arial" w:cs="Arial"/>
                <w:b/>
                <w:bCs/>
              </w:rPr>
              <w:t>201</w:t>
            </w:r>
            <w:r w:rsidR="00BF586F">
              <w:rPr>
                <w:rFonts w:ascii="Arial" w:hAnsi="Arial" w:cs="Arial"/>
                <w:b/>
                <w:bCs/>
              </w:rPr>
              <w:t>9</w:t>
            </w:r>
          </w:p>
        </w:tc>
        <w:tc>
          <w:tcPr>
            <w:tcW w:w="830" w:type="pct"/>
            <w:tcBorders>
              <w:bottom w:val="single" w:sz="4" w:space="0" w:color="auto"/>
            </w:tcBorders>
          </w:tcPr>
          <w:p w14:paraId="50118624" w14:textId="77777777" w:rsidR="0041662F" w:rsidRPr="004D39BF" w:rsidRDefault="0041662F" w:rsidP="00FD5A2D">
            <w:pPr>
              <w:ind w:left="110" w:hanging="110"/>
              <w:jc w:val="right"/>
              <w:rPr>
                <w:rFonts w:ascii="Arial" w:hAnsi="Arial" w:cs="Arial"/>
                <w:b/>
                <w:bCs/>
              </w:rPr>
            </w:pPr>
          </w:p>
          <w:p w14:paraId="1E4C1B1D" w14:textId="4C46117F" w:rsidR="001178CC" w:rsidRPr="004D39BF" w:rsidRDefault="0041662F" w:rsidP="00FD5A2D">
            <w:pPr>
              <w:ind w:left="110" w:hanging="110"/>
              <w:jc w:val="right"/>
              <w:rPr>
                <w:rFonts w:ascii="Arial" w:hAnsi="Arial" w:cs="Arial"/>
                <w:b/>
                <w:bCs/>
              </w:rPr>
            </w:pPr>
            <w:r w:rsidRPr="004D39BF">
              <w:rPr>
                <w:rFonts w:ascii="Arial" w:hAnsi="Arial" w:cs="Arial"/>
                <w:b/>
                <w:bCs/>
              </w:rPr>
              <w:t>Sales area</w:t>
            </w:r>
            <w:r w:rsidRPr="004D39BF">
              <w:rPr>
                <w:rFonts w:ascii="Arial" w:hAnsi="Arial" w:cs="Arial"/>
                <w:b/>
                <w:bCs/>
                <w:vertAlign w:val="superscript"/>
              </w:rPr>
              <w:t>(</w:t>
            </w:r>
            <w:r w:rsidR="002330C8">
              <w:rPr>
                <w:rFonts w:ascii="Arial" w:hAnsi="Arial" w:cs="Arial"/>
                <w:b/>
                <w:bCs/>
                <w:vertAlign w:val="superscript"/>
              </w:rPr>
              <w:t>1</w:t>
            </w:r>
            <w:r w:rsidRPr="004D39BF">
              <w:rPr>
                <w:rFonts w:ascii="Arial" w:hAnsi="Arial" w:cs="Arial"/>
                <w:b/>
                <w:bCs/>
                <w:vertAlign w:val="superscript"/>
              </w:rPr>
              <w:t>)</w:t>
            </w:r>
          </w:p>
          <w:p w14:paraId="7FB33D37" w14:textId="77777777" w:rsidR="0041662F" w:rsidRPr="004D39BF" w:rsidRDefault="001178CC" w:rsidP="00FD5A2D">
            <w:pPr>
              <w:ind w:left="110" w:hanging="110"/>
              <w:jc w:val="right"/>
              <w:rPr>
                <w:rFonts w:ascii="Arial" w:hAnsi="Arial" w:cs="Arial"/>
                <w:b/>
                <w:bCs/>
              </w:rPr>
            </w:pPr>
            <w:r w:rsidRPr="004D39BF">
              <w:rPr>
                <w:rFonts w:ascii="Arial" w:hAnsi="Arial" w:cs="Arial"/>
                <w:b/>
                <w:bCs/>
              </w:rPr>
              <w:t>(000s m</w:t>
            </w:r>
            <w:r w:rsidRPr="004D39BF">
              <w:rPr>
                <w:rFonts w:ascii="Arial" w:hAnsi="Arial" w:cs="Arial"/>
                <w:b/>
                <w:bCs/>
                <w:vertAlign w:val="superscript"/>
              </w:rPr>
              <w:t>2</w:t>
            </w:r>
            <w:r w:rsidRPr="004D39BF">
              <w:rPr>
                <w:rFonts w:ascii="Arial" w:hAnsi="Arial" w:cs="Arial"/>
                <w:b/>
                <w:bCs/>
              </w:rPr>
              <w:t>)</w:t>
            </w:r>
            <w:r w:rsidR="0041662F" w:rsidRPr="004D39BF">
              <w:rPr>
                <w:rFonts w:ascii="Arial" w:hAnsi="Arial" w:cs="Arial"/>
                <w:b/>
                <w:bCs/>
              </w:rPr>
              <w:t xml:space="preserve"> </w:t>
            </w:r>
          </w:p>
          <w:p w14:paraId="68B8D89C" w14:textId="26E3B2D8" w:rsidR="001178CC" w:rsidRPr="004D39BF" w:rsidRDefault="0041662F">
            <w:pPr>
              <w:ind w:left="110" w:hanging="110"/>
              <w:jc w:val="right"/>
              <w:rPr>
                <w:rFonts w:ascii="Arial" w:hAnsi="Arial" w:cs="Arial"/>
                <w:b/>
                <w:bCs/>
              </w:rPr>
            </w:pPr>
            <w:r w:rsidRPr="004D39BF">
              <w:rPr>
                <w:rFonts w:ascii="Arial" w:hAnsi="Arial" w:cs="Arial"/>
                <w:b/>
                <w:bCs/>
              </w:rPr>
              <w:t xml:space="preserve">at 31 </w:t>
            </w:r>
            <w:r w:rsidR="00931630" w:rsidRPr="004D39BF">
              <w:rPr>
                <w:rFonts w:ascii="Arial" w:hAnsi="Arial" w:cs="Arial"/>
                <w:b/>
                <w:bCs/>
              </w:rPr>
              <w:t xml:space="preserve">Jul </w:t>
            </w:r>
            <w:r w:rsidRPr="004D39BF">
              <w:rPr>
                <w:rFonts w:ascii="Arial" w:hAnsi="Arial" w:cs="Arial"/>
                <w:b/>
                <w:bCs/>
              </w:rPr>
              <w:t>201</w:t>
            </w:r>
            <w:r w:rsidR="00BF586F">
              <w:rPr>
                <w:rFonts w:ascii="Arial" w:hAnsi="Arial" w:cs="Arial"/>
                <w:b/>
                <w:bCs/>
              </w:rPr>
              <w:t>9</w:t>
            </w:r>
          </w:p>
        </w:tc>
        <w:tc>
          <w:tcPr>
            <w:tcW w:w="735" w:type="pct"/>
            <w:tcBorders>
              <w:bottom w:val="single" w:sz="4" w:space="0" w:color="auto"/>
            </w:tcBorders>
          </w:tcPr>
          <w:p w14:paraId="453C2495" w14:textId="77777777" w:rsidR="0041662F" w:rsidRPr="004D39BF" w:rsidRDefault="0041662F" w:rsidP="00FD5A2D">
            <w:pPr>
              <w:ind w:left="110" w:hanging="110"/>
              <w:jc w:val="right"/>
              <w:rPr>
                <w:rFonts w:ascii="Arial" w:hAnsi="Arial" w:cs="Arial"/>
                <w:b/>
                <w:bCs/>
              </w:rPr>
            </w:pPr>
          </w:p>
          <w:p w14:paraId="54464EF3" w14:textId="77777777" w:rsidR="00C449AA" w:rsidRPr="004D39BF" w:rsidRDefault="00C449AA" w:rsidP="00FD5A2D">
            <w:pPr>
              <w:ind w:left="110" w:hanging="110"/>
              <w:jc w:val="right"/>
              <w:rPr>
                <w:rFonts w:ascii="Arial" w:hAnsi="Arial" w:cs="Arial"/>
                <w:b/>
                <w:bCs/>
              </w:rPr>
            </w:pPr>
          </w:p>
          <w:p w14:paraId="3F5767D2" w14:textId="77777777" w:rsidR="001178CC" w:rsidRPr="004D39BF" w:rsidRDefault="001178CC" w:rsidP="00FD5A2D">
            <w:pPr>
              <w:ind w:left="110" w:hanging="110"/>
              <w:jc w:val="right"/>
              <w:rPr>
                <w:rFonts w:ascii="Arial" w:hAnsi="Arial" w:cs="Arial"/>
                <w:b/>
                <w:bCs/>
              </w:rPr>
            </w:pPr>
            <w:r w:rsidRPr="004D39BF">
              <w:rPr>
                <w:rFonts w:ascii="Arial" w:hAnsi="Arial" w:cs="Arial"/>
                <w:b/>
                <w:bCs/>
              </w:rPr>
              <w:t>Net new stores</w:t>
            </w:r>
          </w:p>
          <w:p w14:paraId="165AD7E7" w14:textId="021F3A2C" w:rsidR="00C449AA" w:rsidRPr="004D39BF" w:rsidRDefault="00C449AA" w:rsidP="00FD5A2D">
            <w:pPr>
              <w:ind w:left="110" w:hanging="110"/>
              <w:jc w:val="right"/>
              <w:rPr>
                <w:rFonts w:ascii="Arial" w:hAnsi="Arial" w:cs="Arial"/>
                <w:b/>
                <w:bCs/>
              </w:rPr>
            </w:pPr>
            <w:r w:rsidRPr="004D39BF">
              <w:rPr>
                <w:rFonts w:ascii="Arial" w:hAnsi="Arial" w:cs="Arial"/>
                <w:b/>
                <w:bCs/>
              </w:rPr>
              <w:t>FY 201</w:t>
            </w:r>
            <w:r w:rsidR="00BF586F">
              <w:rPr>
                <w:rFonts w:ascii="Arial" w:hAnsi="Arial" w:cs="Arial"/>
                <w:b/>
                <w:bCs/>
              </w:rPr>
              <w:t>9</w:t>
            </w:r>
            <w:r w:rsidRPr="004D39BF">
              <w:rPr>
                <w:rFonts w:ascii="Arial" w:hAnsi="Arial" w:cs="Arial"/>
                <w:b/>
                <w:bCs/>
              </w:rPr>
              <w:t>/</w:t>
            </w:r>
            <w:r w:rsidR="00BF586F">
              <w:rPr>
                <w:rFonts w:ascii="Arial" w:hAnsi="Arial" w:cs="Arial"/>
                <w:b/>
                <w:bCs/>
              </w:rPr>
              <w:t>20</w:t>
            </w:r>
          </w:p>
        </w:tc>
        <w:tc>
          <w:tcPr>
            <w:tcW w:w="733" w:type="pct"/>
            <w:tcBorders>
              <w:bottom w:val="single" w:sz="4" w:space="0" w:color="auto"/>
            </w:tcBorders>
          </w:tcPr>
          <w:p w14:paraId="2F544CC2" w14:textId="77777777" w:rsidR="0041662F" w:rsidRPr="004D39BF" w:rsidRDefault="0041662F" w:rsidP="00FD5A2D">
            <w:pPr>
              <w:ind w:left="110" w:hanging="110"/>
              <w:jc w:val="center"/>
              <w:rPr>
                <w:rFonts w:ascii="Arial" w:hAnsi="Arial" w:cs="Arial"/>
                <w:b/>
                <w:bCs/>
              </w:rPr>
            </w:pPr>
          </w:p>
          <w:p w14:paraId="284FAECC" w14:textId="77777777" w:rsidR="00C449AA" w:rsidRPr="004D39BF" w:rsidRDefault="00C449AA" w:rsidP="00440B16">
            <w:pPr>
              <w:ind w:left="110" w:hanging="110"/>
              <w:jc w:val="right"/>
              <w:rPr>
                <w:rFonts w:ascii="Arial" w:hAnsi="Arial" w:cs="Arial"/>
                <w:b/>
                <w:bCs/>
              </w:rPr>
            </w:pPr>
          </w:p>
          <w:p w14:paraId="36197CBB" w14:textId="77777777" w:rsidR="001178CC" w:rsidRPr="004D39BF" w:rsidRDefault="001178CC" w:rsidP="00440B16">
            <w:pPr>
              <w:ind w:left="110" w:hanging="110"/>
              <w:jc w:val="right"/>
              <w:rPr>
                <w:rFonts w:ascii="Arial" w:hAnsi="Arial" w:cs="Arial"/>
                <w:b/>
                <w:bCs/>
              </w:rPr>
            </w:pPr>
            <w:r w:rsidRPr="004D39BF">
              <w:rPr>
                <w:rFonts w:ascii="Arial" w:hAnsi="Arial" w:cs="Arial"/>
                <w:b/>
                <w:bCs/>
              </w:rPr>
              <w:t>Space</w:t>
            </w:r>
          </w:p>
          <w:p w14:paraId="278FC8DB" w14:textId="77777777" w:rsidR="001178CC" w:rsidRPr="004D39BF" w:rsidRDefault="001178CC" w:rsidP="00440B16">
            <w:pPr>
              <w:ind w:left="110" w:hanging="110"/>
              <w:jc w:val="right"/>
              <w:rPr>
                <w:rFonts w:ascii="Arial" w:hAnsi="Arial" w:cs="Arial"/>
                <w:b/>
                <w:bCs/>
              </w:rPr>
            </w:pPr>
            <w:r w:rsidRPr="004D39BF">
              <w:rPr>
                <w:rFonts w:ascii="Arial" w:hAnsi="Arial" w:cs="Arial"/>
                <w:b/>
                <w:bCs/>
              </w:rPr>
              <w:t>% change</w:t>
            </w:r>
          </w:p>
          <w:p w14:paraId="0AD2D42C" w14:textId="4F8AEA5F" w:rsidR="00C449AA" w:rsidRPr="004D39BF" w:rsidRDefault="00C449AA" w:rsidP="00440B16">
            <w:pPr>
              <w:ind w:left="110" w:hanging="110"/>
              <w:jc w:val="right"/>
              <w:rPr>
                <w:rFonts w:ascii="Arial" w:hAnsi="Arial" w:cs="Arial"/>
                <w:b/>
                <w:bCs/>
              </w:rPr>
            </w:pPr>
            <w:r w:rsidRPr="004D39BF">
              <w:rPr>
                <w:rFonts w:ascii="Arial" w:hAnsi="Arial" w:cs="Arial"/>
                <w:b/>
                <w:bCs/>
              </w:rPr>
              <w:t>FY 201</w:t>
            </w:r>
            <w:r w:rsidR="00BF586F">
              <w:rPr>
                <w:rFonts w:ascii="Arial" w:hAnsi="Arial" w:cs="Arial"/>
                <w:b/>
                <w:bCs/>
              </w:rPr>
              <w:t>9</w:t>
            </w:r>
            <w:r w:rsidRPr="004D39BF">
              <w:rPr>
                <w:rFonts w:ascii="Arial" w:hAnsi="Arial" w:cs="Arial"/>
                <w:b/>
                <w:bCs/>
              </w:rPr>
              <w:t>/</w:t>
            </w:r>
            <w:r w:rsidR="00BF586F">
              <w:rPr>
                <w:rFonts w:ascii="Arial" w:hAnsi="Arial" w:cs="Arial"/>
                <w:b/>
                <w:bCs/>
              </w:rPr>
              <w:t>20</w:t>
            </w:r>
          </w:p>
        </w:tc>
      </w:tr>
      <w:tr w:rsidR="00BF586F" w:rsidRPr="004D39BF" w14:paraId="3DFA64B8" w14:textId="77777777" w:rsidTr="001B494B">
        <w:tc>
          <w:tcPr>
            <w:tcW w:w="1249" w:type="pct"/>
            <w:tcBorders>
              <w:top w:val="single" w:sz="4" w:space="0" w:color="auto"/>
            </w:tcBorders>
          </w:tcPr>
          <w:p w14:paraId="61F2A560" w14:textId="4E738E46" w:rsidR="00BF586F" w:rsidRPr="00C5382F" w:rsidRDefault="00BF586F" w:rsidP="00BF586F">
            <w:pPr>
              <w:spacing w:before="60"/>
              <w:jc w:val="left"/>
              <w:rPr>
                <w:rFonts w:ascii="Arial" w:hAnsi="Arial" w:cs="Arial"/>
              </w:rPr>
            </w:pPr>
            <w:r w:rsidRPr="00C5382F">
              <w:rPr>
                <w:rFonts w:ascii="Arial" w:hAnsi="Arial" w:cs="Arial"/>
              </w:rPr>
              <w:t xml:space="preserve">B&amp;Q </w:t>
            </w:r>
          </w:p>
        </w:tc>
        <w:tc>
          <w:tcPr>
            <w:tcW w:w="792" w:type="pct"/>
            <w:tcBorders>
              <w:top w:val="single" w:sz="4" w:space="0" w:color="auto"/>
            </w:tcBorders>
            <w:shd w:val="clear" w:color="auto" w:fill="auto"/>
            <w:vAlign w:val="center"/>
          </w:tcPr>
          <w:p w14:paraId="34BF3F19" w14:textId="7D502367" w:rsidR="00BF586F" w:rsidRPr="00C5382F" w:rsidRDefault="00BF586F" w:rsidP="00BF586F">
            <w:pPr>
              <w:spacing w:before="60"/>
              <w:ind w:left="110" w:hanging="110"/>
              <w:jc w:val="right"/>
              <w:rPr>
                <w:rFonts w:ascii="Arial" w:hAnsi="Arial" w:cs="Arial"/>
              </w:rPr>
            </w:pPr>
            <w:r w:rsidRPr="00C5382F">
              <w:rPr>
                <w:rFonts w:ascii="Arial" w:hAnsi="Arial" w:cs="Arial"/>
              </w:rPr>
              <w:t>16,</w:t>
            </w:r>
            <w:r w:rsidR="00F02D73">
              <w:rPr>
                <w:rFonts w:ascii="Arial" w:hAnsi="Arial" w:cs="Arial"/>
              </w:rPr>
              <w:t>38</w:t>
            </w:r>
            <w:r w:rsidR="00E90E37" w:rsidRPr="00C5382F">
              <w:rPr>
                <w:rFonts w:ascii="Arial" w:hAnsi="Arial" w:cs="Arial"/>
              </w:rPr>
              <w:t>2</w:t>
            </w:r>
          </w:p>
        </w:tc>
        <w:tc>
          <w:tcPr>
            <w:tcW w:w="661" w:type="pct"/>
            <w:tcBorders>
              <w:top w:val="single" w:sz="4" w:space="0" w:color="auto"/>
            </w:tcBorders>
            <w:shd w:val="clear" w:color="auto" w:fill="auto"/>
            <w:vAlign w:val="center"/>
          </w:tcPr>
          <w:p w14:paraId="27E47927" w14:textId="4617BB5E" w:rsidR="00BF586F" w:rsidRPr="00E90E37" w:rsidRDefault="00BF586F" w:rsidP="00BF586F">
            <w:pPr>
              <w:spacing w:before="60"/>
              <w:ind w:left="110" w:hanging="110"/>
              <w:jc w:val="right"/>
              <w:rPr>
                <w:rFonts w:ascii="Arial" w:hAnsi="Arial" w:cs="Arial"/>
              </w:rPr>
            </w:pPr>
            <w:r w:rsidRPr="00E90E37">
              <w:rPr>
                <w:rFonts w:ascii="Arial" w:hAnsi="Arial" w:cs="Arial"/>
              </w:rPr>
              <w:t>296</w:t>
            </w:r>
          </w:p>
        </w:tc>
        <w:tc>
          <w:tcPr>
            <w:tcW w:w="830" w:type="pct"/>
            <w:tcBorders>
              <w:top w:val="single" w:sz="4" w:space="0" w:color="auto"/>
            </w:tcBorders>
            <w:shd w:val="clear" w:color="auto" w:fill="auto"/>
            <w:vAlign w:val="center"/>
          </w:tcPr>
          <w:p w14:paraId="03088332" w14:textId="5AADC597" w:rsidR="00BF586F" w:rsidRPr="00E90E37" w:rsidRDefault="00BF586F" w:rsidP="00BF586F">
            <w:pPr>
              <w:spacing w:before="60"/>
              <w:ind w:left="110" w:hanging="110"/>
              <w:jc w:val="right"/>
              <w:rPr>
                <w:rFonts w:ascii="Arial" w:hAnsi="Arial" w:cs="Arial"/>
              </w:rPr>
            </w:pPr>
            <w:r w:rsidRPr="00E90E37">
              <w:rPr>
                <w:rFonts w:ascii="Arial" w:hAnsi="Arial" w:cs="Arial"/>
              </w:rPr>
              <w:t>2,</w:t>
            </w:r>
            <w:r w:rsidR="004D4248" w:rsidRPr="00E90E37">
              <w:rPr>
                <w:rFonts w:ascii="Arial" w:hAnsi="Arial" w:cs="Arial"/>
              </w:rPr>
              <w:t>20</w:t>
            </w:r>
            <w:r w:rsidR="004D4248">
              <w:rPr>
                <w:rFonts w:ascii="Arial" w:hAnsi="Arial" w:cs="Arial"/>
              </w:rPr>
              <w:t>5</w:t>
            </w:r>
          </w:p>
        </w:tc>
        <w:tc>
          <w:tcPr>
            <w:tcW w:w="735" w:type="pct"/>
            <w:tcBorders>
              <w:top w:val="single" w:sz="4" w:space="0" w:color="auto"/>
            </w:tcBorders>
            <w:shd w:val="clear" w:color="auto" w:fill="auto"/>
          </w:tcPr>
          <w:p w14:paraId="789DC737" w14:textId="2E46D3CA" w:rsidR="00BF586F" w:rsidRPr="00CA0EB7" w:rsidRDefault="005F0113" w:rsidP="00BF586F">
            <w:pPr>
              <w:spacing w:before="60"/>
              <w:ind w:left="110" w:hanging="110"/>
              <w:jc w:val="right"/>
              <w:rPr>
                <w:rFonts w:ascii="Arial" w:hAnsi="Arial" w:cs="Arial"/>
              </w:rPr>
            </w:pPr>
            <w:r w:rsidRPr="00CA0EB7">
              <w:rPr>
                <w:rFonts w:ascii="Arial" w:hAnsi="Arial" w:cs="Arial"/>
              </w:rPr>
              <w:t>-</w:t>
            </w:r>
          </w:p>
        </w:tc>
        <w:tc>
          <w:tcPr>
            <w:tcW w:w="733" w:type="pct"/>
            <w:tcBorders>
              <w:top w:val="single" w:sz="4" w:space="0" w:color="auto"/>
            </w:tcBorders>
            <w:shd w:val="clear" w:color="auto" w:fill="auto"/>
          </w:tcPr>
          <w:p w14:paraId="57F06FB5" w14:textId="568020C4" w:rsidR="00BF586F" w:rsidRPr="00CA0EB7" w:rsidRDefault="005F0113" w:rsidP="00BF586F">
            <w:pPr>
              <w:spacing w:before="60"/>
              <w:ind w:left="110" w:hanging="110"/>
              <w:jc w:val="right"/>
              <w:rPr>
                <w:rFonts w:ascii="Arial" w:hAnsi="Arial" w:cs="Arial"/>
              </w:rPr>
            </w:pPr>
            <w:r w:rsidRPr="00CA0EB7">
              <w:rPr>
                <w:rFonts w:ascii="Arial" w:hAnsi="Arial" w:cs="Arial"/>
              </w:rPr>
              <w:t>(1)%</w:t>
            </w:r>
          </w:p>
        </w:tc>
      </w:tr>
      <w:tr w:rsidR="00BF586F" w:rsidRPr="004D39BF" w14:paraId="29194902" w14:textId="77777777" w:rsidTr="001B494B">
        <w:tc>
          <w:tcPr>
            <w:tcW w:w="1249" w:type="pct"/>
            <w:tcBorders>
              <w:bottom w:val="single" w:sz="4" w:space="0" w:color="auto"/>
            </w:tcBorders>
          </w:tcPr>
          <w:p w14:paraId="49F6CB3F" w14:textId="57821AFB" w:rsidR="00BF586F" w:rsidRPr="00614936" w:rsidRDefault="00BF586F" w:rsidP="00BF586F">
            <w:pPr>
              <w:ind w:left="110" w:hanging="110"/>
              <w:jc w:val="left"/>
              <w:rPr>
                <w:rFonts w:ascii="Arial" w:hAnsi="Arial" w:cs="Arial"/>
              </w:rPr>
            </w:pPr>
            <w:r w:rsidRPr="00614936">
              <w:rPr>
                <w:rFonts w:ascii="Arial" w:hAnsi="Arial" w:cs="Arial"/>
              </w:rPr>
              <w:t xml:space="preserve">Screwfix </w:t>
            </w:r>
          </w:p>
        </w:tc>
        <w:tc>
          <w:tcPr>
            <w:tcW w:w="792" w:type="pct"/>
            <w:tcBorders>
              <w:bottom w:val="single" w:sz="4" w:space="0" w:color="auto"/>
            </w:tcBorders>
            <w:shd w:val="clear" w:color="auto" w:fill="auto"/>
            <w:vAlign w:val="center"/>
          </w:tcPr>
          <w:p w14:paraId="1BE01903" w14:textId="5DF1F2AD" w:rsidR="00BF586F" w:rsidRPr="00614936" w:rsidRDefault="00E90E37" w:rsidP="00BF586F">
            <w:pPr>
              <w:ind w:left="110" w:hanging="110"/>
              <w:jc w:val="right"/>
              <w:rPr>
                <w:rFonts w:ascii="Arial" w:hAnsi="Arial" w:cs="Arial"/>
              </w:rPr>
            </w:pPr>
            <w:r w:rsidRPr="00614936">
              <w:rPr>
                <w:rFonts w:ascii="Arial" w:hAnsi="Arial" w:cs="Arial"/>
              </w:rPr>
              <w:t>8,394</w:t>
            </w:r>
          </w:p>
        </w:tc>
        <w:tc>
          <w:tcPr>
            <w:tcW w:w="661" w:type="pct"/>
            <w:tcBorders>
              <w:bottom w:val="single" w:sz="4" w:space="0" w:color="auto"/>
            </w:tcBorders>
            <w:shd w:val="clear" w:color="auto" w:fill="auto"/>
            <w:vAlign w:val="center"/>
          </w:tcPr>
          <w:p w14:paraId="7F2C5BDB" w14:textId="6D16A7C0" w:rsidR="00BF586F" w:rsidRPr="00614936" w:rsidRDefault="00E90E37" w:rsidP="00BF586F">
            <w:pPr>
              <w:ind w:left="110" w:hanging="110"/>
              <w:jc w:val="right"/>
              <w:rPr>
                <w:rFonts w:ascii="Arial" w:hAnsi="Arial" w:cs="Arial"/>
              </w:rPr>
            </w:pPr>
            <w:r w:rsidRPr="00614936">
              <w:rPr>
                <w:rFonts w:ascii="Arial" w:hAnsi="Arial" w:cs="Arial"/>
              </w:rPr>
              <w:t>643</w:t>
            </w:r>
          </w:p>
        </w:tc>
        <w:tc>
          <w:tcPr>
            <w:tcW w:w="830" w:type="pct"/>
            <w:tcBorders>
              <w:bottom w:val="single" w:sz="4" w:space="0" w:color="auto"/>
            </w:tcBorders>
            <w:shd w:val="clear" w:color="auto" w:fill="auto"/>
            <w:vAlign w:val="center"/>
          </w:tcPr>
          <w:p w14:paraId="63CCE39B" w14:textId="217C8754" w:rsidR="00BF586F" w:rsidRPr="00614936" w:rsidRDefault="004D4248" w:rsidP="00BF586F">
            <w:pPr>
              <w:ind w:left="110" w:hanging="110"/>
              <w:jc w:val="right"/>
              <w:rPr>
                <w:rFonts w:ascii="Arial" w:hAnsi="Arial" w:cs="Arial"/>
              </w:rPr>
            </w:pPr>
            <w:r w:rsidRPr="00614936">
              <w:rPr>
                <w:rFonts w:ascii="Arial" w:hAnsi="Arial" w:cs="Arial"/>
              </w:rPr>
              <w:t>4</w:t>
            </w:r>
            <w:r>
              <w:rPr>
                <w:rFonts w:ascii="Arial" w:hAnsi="Arial" w:cs="Arial"/>
              </w:rPr>
              <w:t>1</w:t>
            </w:r>
          </w:p>
        </w:tc>
        <w:tc>
          <w:tcPr>
            <w:tcW w:w="735" w:type="pct"/>
            <w:tcBorders>
              <w:bottom w:val="single" w:sz="4" w:space="0" w:color="auto"/>
            </w:tcBorders>
            <w:shd w:val="clear" w:color="auto" w:fill="auto"/>
          </w:tcPr>
          <w:p w14:paraId="4644A5AC" w14:textId="0A1C6B2A" w:rsidR="00BF586F" w:rsidRPr="00CA0EB7" w:rsidRDefault="00BF586F" w:rsidP="00BF586F">
            <w:pPr>
              <w:ind w:left="110" w:hanging="110"/>
              <w:jc w:val="right"/>
              <w:rPr>
                <w:rFonts w:ascii="Arial" w:hAnsi="Arial" w:cs="Arial"/>
              </w:rPr>
            </w:pPr>
            <w:r w:rsidRPr="00CA0EB7">
              <w:rPr>
                <w:rFonts w:ascii="Arial" w:hAnsi="Arial" w:cs="Arial"/>
              </w:rPr>
              <w:t>55</w:t>
            </w:r>
          </w:p>
        </w:tc>
        <w:tc>
          <w:tcPr>
            <w:tcW w:w="733" w:type="pct"/>
            <w:tcBorders>
              <w:bottom w:val="single" w:sz="4" w:space="0" w:color="auto"/>
            </w:tcBorders>
            <w:shd w:val="clear" w:color="auto" w:fill="auto"/>
          </w:tcPr>
          <w:p w14:paraId="529494B2" w14:textId="0376E272" w:rsidR="00BF586F" w:rsidRPr="00CA0EB7" w:rsidRDefault="00BF586F" w:rsidP="00BF586F">
            <w:pPr>
              <w:ind w:left="110" w:hanging="110"/>
              <w:jc w:val="right"/>
              <w:rPr>
                <w:rFonts w:ascii="Arial" w:hAnsi="Arial" w:cs="Arial"/>
              </w:rPr>
            </w:pPr>
            <w:r w:rsidRPr="00CA0EB7">
              <w:rPr>
                <w:rFonts w:ascii="Arial" w:hAnsi="Arial" w:cs="Arial"/>
              </w:rPr>
              <w:t>+10%</w:t>
            </w:r>
          </w:p>
        </w:tc>
      </w:tr>
      <w:tr w:rsidR="00BF586F" w:rsidRPr="004D39BF" w14:paraId="134D5645" w14:textId="77777777" w:rsidTr="001B494B">
        <w:tc>
          <w:tcPr>
            <w:tcW w:w="1249" w:type="pct"/>
            <w:tcBorders>
              <w:top w:val="single" w:sz="4" w:space="0" w:color="auto"/>
              <w:bottom w:val="single" w:sz="4" w:space="0" w:color="auto"/>
            </w:tcBorders>
          </w:tcPr>
          <w:p w14:paraId="4A128B1F" w14:textId="77777777" w:rsidR="00BF586F" w:rsidRPr="00C5382F" w:rsidRDefault="00BF586F" w:rsidP="00BF586F">
            <w:pPr>
              <w:ind w:left="110" w:hanging="110"/>
              <w:jc w:val="left"/>
              <w:rPr>
                <w:rFonts w:ascii="Arial" w:hAnsi="Arial" w:cs="Arial"/>
                <w:b/>
                <w:bCs/>
              </w:rPr>
            </w:pPr>
            <w:r w:rsidRPr="00C5382F">
              <w:rPr>
                <w:rFonts w:ascii="Arial" w:hAnsi="Arial" w:cs="Arial"/>
                <w:b/>
                <w:bCs/>
              </w:rPr>
              <w:t>UK &amp; Ireland</w:t>
            </w:r>
          </w:p>
        </w:tc>
        <w:tc>
          <w:tcPr>
            <w:tcW w:w="792" w:type="pct"/>
            <w:tcBorders>
              <w:top w:val="single" w:sz="4" w:space="0" w:color="auto"/>
              <w:bottom w:val="single" w:sz="4" w:space="0" w:color="auto"/>
            </w:tcBorders>
            <w:shd w:val="clear" w:color="auto" w:fill="auto"/>
            <w:vAlign w:val="center"/>
          </w:tcPr>
          <w:p w14:paraId="44700359" w14:textId="5360B627" w:rsidR="00BF586F" w:rsidRPr="00C5382F" w:rsidRDefault="00BF586F" w:rsidP="00BF586F">
            <w:pPr>
              <w:ind w:left="110" w:hanging="110"/>
              <w:jc w:val="right"/>
              <w:rPr>
                <w:rFonts w:ascii="Arial" w:hAnsi="Arial" w:cs="Arial"/>
                <w:b/>
                <w:bCs/>
              </w:rPr>
            </w:pPr>
            <w:r w:rsidRPr="00C5382F">
              <w:rPr>
                <w:rFonts w:ascii="Arial" w:hAnsi="Arial" w:cs="Arial"/>
                <w:b/>
                <w:bCs/>
              </w:rPr>
              <w:t>24,</w:t>
            </w:r>
            <w:r w:rsidR="00E90E37" w:rsidRPr="00C5382F">
              <w:rPr>
                <w:rFonts w:ascii="Arial" w:hAnsi="Arial" w:cs="Arial"/>
                <w:b/>
                <w:bCs/>
              </w:rPr>
              <w:t>776</w:t>
            </w:r>
          </w:p>
        </w:tc>
        <w:tc>
          <w:tcPr>
            <w:tcW w:w="661" w:type="pct"/>
            <w:tcBorders>
              <w:top w:val="single" w:sz="4" w:space="0" w:color="auto"/>
              <w:bottom w:val="single" w:sz="4" w:space="0" w:color="auto"/>
            </w:tcBorders>
            <w:shd w:val="clear" w:color="auto" w:fill="auto"/>
            <w:vAlign w:val="center"/>
          </w:tcPr>
          <w:p w14:paraId="183D3411" w14:textId="0786407E" w:rsidR="00BF586F" w:rsidRPr="00E90E37" w:rsidRDefault="00E90E37" w:rsidP="00BF586F">
            <w:pPr>
              <w:ind w:left="110" w:hanging="110"/>
              <w:jc w:val="right"/>
              <w:rPr>
                <w:rFonts w:ascii="Arial" w:hAnsi="Arial" w:cs="Arial"/>
                <w:b/>
                <w:bCs/>
              </w:rPr>
            </w:pPr>
            <w:r w:rsidRPr="00E90E37">
              <w:rPr>
                <w:rFonts w:ascii="Arial" w:hAnsi="Arial" w:cs="Arial"/>
                <w:b/>
                <w:bCs/>
              </w:rPr>
              <w:t>939</w:t>
            </w:r>
          </w:p>
        </w:tc>
        <w:tc>
          <w:tcPr>
            <w:tcW w:w="830" w:type="pct"/>
            <w:tcBorders>
              <w:top w:val="single" w:sz="4" w:space="0" w:color="auto"/>
              <w:bottom w:val="single" w:sz="4" w:space="0" w:color="auto"/>
            </w:tcBorders>
            <w:shd w:val="clear" w:color="auto" w:fill="auto"/>
            <w:vAlign w:val="center"/>
          </w:tcPr>
          <w:p w14:paraId="7F0335A1" w14:textId="2BA0184B" w:rsidR="00BF586F" w:rsidRPr="00E90E37" w:rsidRDefault="00BF586F" w:rsidP="00BF586F">
            <w:pPr>
              <w:ind w:left="110" w:hanging="110"/>
              <w:jc w:val="right"/>
              <w:rPr>
                <w:rFonts w:ascii="Arial" w:hAnsi="Arial" w:cs="Arial"/>
                <w:b/>
                <w:bCs/>
              </w:rPr>
            </w:pPr>
            <w:r w:rsidRPr="00E90E37">
              <w:rPr>
                <w:rFonts w:ascii="Arial" w:hAnsi="Arial" w:cs="Arial"/>
                <w:b/>
                <w:bCs/>
              </w:rPr>
              <w:t>2,</w:t>
            </w:r>
            <w:r w:rsidR="004D4248" w:rsidRPr="00E90E37">
              <w:rPr>
                <w:rFonts w:ascii="Arial" w:hAnsi="Arial" w:cs="Arial"/>
                <w:b/>
                <w:bCs/>
              </w:rPr>
              <w:t>24</w:t>
            </w:r>
            <w:r w:rsidR="004D4248">
              <w:rPr>
                <w:rFonts w:ascii="Arial" w:hAnsi="Arial" w:cs="Arial"/>
                <w:b/>
                <w:bCs/>
              </w:rPr>
              <w:t>6</w:t>
            </w:r>
          </w:p>
        </w:tc>
        <w:tc>
          <w:tcPr>
            <w:tcW w:w="735" w:type="pct"/>
            <w:tcBorders>
              <w:top w:val="single" w:sz="4" w:space="0" w:color="auto"/>
              <w:bottom w:val="single" w:sz="4" w:space="0" w:color="auto"/>
            </w:tcBorders>
            <w:shd w:val="clear" w:color="auto" w:fill="auto"/>
          </w:tcPr>
          <w:p w14:paraId="392D704D" w14:textId="2A8C4AC4" w:rsidR="00BF586F" w:rsidRPr="00CA0EB7" w:rsidRDefault="00BF586F" w:rsidP="00BF586F">
            <w:pPr>
              <w:ind w:left="110" w:hanging="110"/>
              <w:jc w:val="right"/>
              <w:rPr>
                <w:rFonts w:ascii="Arial" w:hAnsi="Arial" w:cs="Arial"/>
                <w:b/>
                <w:bCs/>
              </w:rPr>
            </w:pPr>
            <w:r w:rsidRPr="00CA0EB7">
              <w:rPr>
                <w:rFonts w:ascii="Arial" w:hAnsi="Arial" w:cs="Arial"/>
                <w:b/>
              </w:rPr>
              <w:t>5</w:t>
            </w:r>
            <w:r w:rsidR="005F0113" w:rsidRPr="00CA0EB7">
              <w:rPr>
                <w:rFonts w:ascii="Arial" w:hAnsi="Arial" w:cs="Arial"/>
                <w:b/>
              </w:rPr>
              <w:t>5</w:t>
            </w:r>
          </w:p>
        </w:tc>
        <w:tc>
          <w:tcPr>
            <w:tcW w:w="733" w:type="pct"/>
            <w:tcBorders>
              <w:top w:val="single" w:sz="4" w:space="0" w:color="auto"/>
              <w:bottom w:val="single" w:sz="4" w:space="0" w:color="auto"/>
            </w:tcBorders>
            <w:shd w:val="clear" w:color="auto" w:fill="auto"/>
          </w:tcPr>
          <w:p w14:paraId="1F3A1BE8" w14:textId="18396350" w:rsidR="00BF586F" w:rsidRPr="00CA0EB7" w:rsidRDefault="005F0113" w:rsidP="00BF586F">
            <w:pPr>
              <w:ind w:left="110" w:hanging="110"/>
              <w:jc w:val="right"/>
              <w:rPr>
                <w:rFonts w:ascii="Arial" w:hAnsi="Arial" w:cs="Arial"/>
                <w:b/>
                <w:bCs/>
              </w:rPr>
            </w:pPr>
            <w:r w:rsidRPr="00CA0EB7">
              <w:rPr>
                <w:rFonts w:ascii="Arial" w:hAnsi="Arial" w:cs="Arial"/>
                <w:b/>
                <w:bCs/>
              </w:rPr>
              <w:t>-</w:t>
            </w:r>
          </w:p>
        </w:tc>
      </w:tr>
      <w:tr w:rsidR="00B75D5A" w:rsidRPr="004D39BF" w14:paraId="029BE174" w14:textId="77777777" w:rsidTr="001B494B">
        <w:tc>
          <w:tcPr>
            <w:tcW w:w="1249" w:type="pct"/>
            <w:tcBorders>
              <w:top w:val="single" w:sz="4" w:space="0" w:color="auto"/>
            </w:tcBorders>
          </w:tcPr>
          <w:p w14:paraId="757F493E" w14:textId="77777777" w:rsidR="00B75D5A" w:rsidRPr="00C5382F" w:rsidRDefault="00B75D5A" w:rsidP="00B75D5A">
            <w:pPr>
              <w:ind w:left="110" w:hanging="110"/>
              <w:jc w:val="left"/>
              <w:rPr>
                <w:rFonts w:ascii="Arial" w:hAnsi="Arial" w:cs="Arial"/>
              </w:rPr>
            </w:pPr>
            <w:r w:rsidRPr="00C5382F">
              <w:rPr>
                <w:rFonts w:ascii="Arial" w:hAnsi="Arial" w:cs="Arial"/>
              </w:rPr>
              <w:t>Castorama</w:t>
            </w:r>
            <w:r w:rsidRPr="00C5382F" w:rsidDel="00CC3AB5">
              <w:rPr>
                <w:rFonts w:ascii="Arial" w:hAnsi="Arial" w:cs="Arial"/>
              </w:rPr>
              <w:t xml:space="preserve"> </w:t>
            </w:r>
          </w:p>
        </w:tc>
        <w:tc>
          <w:tcPr>
            <w:tcW w:w="792" w:type="pct"/>
            <w:tcBorders>
              <w:top w:val="single" w:sz="4" w:space="0" w:color="auto"/>
            </w:tcBorders>
            <w:shd w:val="clear" w:color="auto" w:fill="auto"/>
            <w:vAlign w:val="center"/>
          </w:tcPr>
          <w:p w14:paraId="2F29D4BF" w14:textId="40A0776C" w:rsidR="00B75D5A" w:rsidRPr="00C5382F" w:rsidRDefault="00B75D5A" w:rsidP="00B75D5A">
            <w:pPr>
              <w:ind w:left="110" w:hanging="110"/>
              <w:jc w:val="right"/>
              <w:rPr>
                <w:rFonts w:ascii="Arial" w:hAnsi="Arial" w:cs="Arial"/>
              </w:rPr>
            </w:pPr>
            <w:r w:rsidRPr="00C5382F">
              <w:rPr>
                <w:rFonts w:ascii="Arial" w:hAnsi="Arial" w:cs="Arial"/>
              </w:rPr>
              <w:t>11,583</w:t>
            </w:r>
          </w:p>
        </w:tc>
        <w:tc>
          <w:tcPr>
            <w:tcW w:w="661" w:type="pct"/>
            <w:tcBorders>
              <w:top w:val="single" w:sz="4" w:space="0" w:color="auto"/>
            </w:tcBorders>
            <w:shd w:val="clear" w:color="auto" w:fill="auto"/>
            <w:vAlign w:val="center"/>
          </w:tcPr>
          <w:p w14:paraId="72D37BB9" w14:textId="1AFA1F00" w:rsidR="00B75D5A" w:rsidRPr="00E90E37" w:rsidRDefault="00B75D5A" w:rsidP="00B75D5A">
            <w:pPr>
              <w:ind w:left="110" w:hanging="110"/>
              <w:jc w:val="right"/>
              <w:rPr>
                <w:rFonts w:ascii="Arial" w:hAnsi="Arial" w:cs="Arial"/>
              </w:rPr>
            </w:pPr>
            <w:r w:rsidRPr="00E90E37">
              <w:rPr>
                <w:rFonts w:ascii="Arial" w:hAnsi="Arial" w:cs="Arial"/>
              </w:rPr>
              <w:t>101</w:t>
            </w:r>
          </w:p>
        </w:tc>
        <w:tc>
          <w:tcPr>
            <w:tcW w:w="830" w:type="pct"/>
            <w:tcBorders>
              <w:top w:val="single" w:sz="4" w:space="0" w:color="auto"/>
            </w:tcBorders>
            <w:shd w:val="clear" w:color="auto" w:fill="auto"/>
            <w:vAlign w:val="center"/>
          </w:tcPr>
          <w:p w14:paraId="363E6E54" w14:textId="6109EC23" w:rsidR="00B75D5A" w:rsidRPr="00E90E37" w:rsidRDefault="00B75D5A" w:rsidP="00B75D5A">
            <w:pPr>
              <w:ind w:left="110" w:hanging="110"/>
              <w:jc w:val="right"/>
              <w:rPr>
                <w:rFonts w:ascii="Arial" w:hAnsi="Arial" w:cs="Arial"/>
              </w:rPr>
            </w:pPr>
            <w:r w:rsidRPr="00E90E37">
              <w:rPr>
                <w:rFonts w:ascii="Arial" w:hAnsi="Arial" w:cs="Arial"/>
              </w:rPr>
              <w:t>1,2</w:t>
            </w:r>
            <w:r>
              <w:rPr>
                <w:rFonts w:ascii="Arial" w:hAnsi="Arial" w:cs="Arial"/>
              </w:rPr>
              <w:t>50</w:t>
            </w:r>
          </w:p>
        </w:tc>
        <w:tc>
          <w:tcPr>
            <w:tcW w:w="735" w:type="pct"/>
            <w:tcBorders>
              <w:top w:val="single" w:sz="4" w:space="0" w:color="auto"/>
            </w:tcBorders>
            <w:shd w:val="clear" w:color="auto" w:fill="auto"/>
          </w:tcPr>
          <w:p w14:paraId="141B6BC1" w14:textId="679A4658" w:rsidR="00B75D5A" w:rsidRPr="00CA0EB7" w:rsidRDefault="00B75D5A" w:rsidP="00B75D5A">
            <w:pPr>
              <w:ind w:left="110" w:hanging="110"/>
              <w:jc w:val="right"/>
              <w:rPr>
                <w:rFonts w:ascii="Arial" w:hAnsi="Arial" w:cs="Arial"/>
              </w:rPr>
            </w:pPr>
            <w:r w:rsidRPr="00CA0EB7">
              <w:rPr>
                <w:rFonts w:ascii="Arial" w:hAnsi="Arial" w:cs="Arial"/>
              </w:rPr>
              <w:t>-</w:t>
            </w:r>
          </w:p>
        </w:tc>
        <w:tc>
          <w:tcPr>
            <w:tcW w:w="733" w:type="pct"/>
            <w:tcBorders>
              <w:top w:val="single" w:sz="4" w:space="0" w:color="auto"/>
            </w:tcBorders>
            <w:shd w:val="clear" w:color="auto" w:fill="auto"/>
          </w:tcPr>
          <w:p w14:paraId="7B01796A" w14:textId="583C7185" w:rsidR="00B75D5A" w:rsidRPr="00CA0EB7" w:rsidRDefault="00B75D5A" w:rsidP="00B75D5A">
            <w:pPr>
              <w:ind w:left="110" w:hanging="110"/>
              <w:jc w:val="right"/>
              <w:rPr>
                <w:rFonts w:ascii="Arial" w:hAnsi="Arial" w:cs="Arial"/>
              </w:rPr>
            </w:pPr>
            <w:r w:rsidRPr="00CA0EB7">
              <w:rPr>
                <w:rFonts w:ascii="Arial" w:hAnsi="Arial" w:cs="Arial"/>
              </w:rPr>
              <w:t>(1)%</w:t>
            </w:r>
          </w:p>
        </w:tc>
      </w:tr>
      <w:tr w:rsidR="00BF586F" w:rsidRPr="004D39BF" w14:paraId="3BCF802E" w14:textId="77777777" w:rsidTr="001B494B">
        <w:tc>
          <w:tcPr>
            <w:tcW w:w="1249" w:type="pct"/>
            <w:tcBorders>
              <w:bottom w:val="single" w:sz="4" w:space="0" w:color="auto"/>
            </w:tcBorders>
          </w:tcPr>
          <w:p w14:paraId="3124E20E" w14:textId="77777777" w:rsidR="00BF586F" w:rsidRPr="00C5382F" w:rsidRDefault="00BF586F" w:rsidP="00BF586F">
            <w:pPr>
              <w:ind w:left="110" w:hanging="110"/>
              <w:jc w:val="left"/>
              <w:rPr>
                <w:rFonts w:ascii="Arial" w:hAnsi="Arial" w:cs="Arial"/>
              </w:rPr>
            </w:pPr>
            <w:r w:rsidRPr="00C5382F">
              <w:rPr>
                <w:rFonts w:ascii="Arial" w:hAnsi="Arial" w:cs="Arial"/>
              </w:rPr>
              <w:t>Brico Dépôt</w:t>
            </w:r>
          </w:p>
        </w:tc>
        <w:tc>
          <w:tcPr>
            <w:tcW w:w="792" w:type="pct"/>
            <w:tcBorders>
              <w:bottom w:val="single" w:sz="4" w:space="0" w:color="auto"/>
            </w:tcBorders>
            <w:shd w:val="clear" w:color="auto" w:fill="auto"/>
            <w:vAlign w:val="center"/>
          </w:tcPr>
          <w:p w14:paraId="6F00EE6E" w14:textId="73E60B62" w:rsidR="00BF586F" w:rsidRPr="00C5382F" w:rsidRDefault="00BF586F" w:rsidP="00BF586F">
            <w:pPr>
              <w:ind w:left="110" w:hanging="110"/>
              <w:jc w:val="right"/>
              <w:rPr>
                <w:rFonts w:ascii="Arial" w:hAnsi="Arial" w:cs="Arial"/>
              </w:rPr>
            </w:pPr>
            <w:r w:rsidRPr="00C5382F">
              <w:rPr>
                <w:rFonts w:ascii="Arial" w:hAnsi="Arial" w:cs="Arial"/>
              </w:rPr>
              <w:t>7,</w:t>
            </w:r>
            <w:r w:rsidR="00E90E37" w:rsidRPr="00C5382F">
              <w:rPr>
                <w:rFonts w:ascii="Arial" w:hAnsi="Arial" w:cs="Arial"/>
              </w:rPr>
              <w:t>783</w:t>
            </w:r>
          </w:p>
        </w:tc>
        <w:tc>
          <w:tcPr>
            <w:tcW w:w="661" w:type="pct"/>
            <w:tcBorders>
              <w:bottom w:val="single" w:sz="4" w:space="0" w:color="auto"/>
            </w:tcBorders>
            <w:shd w:val="clear" w:color="auto" w:fill="auto"/>
            <w:vAlign w:val="center"/>
          </w:tcPr>
          <w:p w14:paraId="11C7DD69" w14:textId="6E6A23DE" w:rsidR="00BF586F" w:rsidRPr="00E90E37" w:rsidRDefault="00BF586F" w:rsidP="00BF586F">
            <w:pPr>
              <w:ind w:left="110" w:hanging="110"/>
              <w:jc w:val="right"/>
              <w:rPr>
                <w:rFonts w:ascii="Arial" w:hAnsi="Arial" w:cs="Arial"/>
              </w:rPr>
            </w:pPr>
            <w:r w:rsidRPr="00E90E37">
              <w:rPr>
                <w:rFonts w:ascii="Arial" w:hAnsi="Arial" w:cs="Arial"/>
              </w:rPr>
              <w:t>123</w:t>
            </w:r>
          </w:p>
        </w:tc>
        <w:tc>
          <w:tcPr>
            <w:tcW w:w="830" w:type="pct"/>
            <w:tcBorders>
              <w:bottom w:val="single" w:sz="4" w:space="0" w:color="auto"/>
            </w:tcBorders>
            <w:shd w:val="clear" w:color="auto" w:fill="auto"/>
            <w:vAlign w:val="center"/>
          </w:tcPr>
          <w:p w14:paraId="3B85CAE7" w14:textId="399B6E21" w:rsidR="00BF586F" w:rsidRPr="00E90E37" w:rsidRDefault="004D4248" w:rsidP="00BF586F">
            <w:pPr>
              <w:ind w:left="110" w:hanging="110"/>
              <w:jc w:val="right"/>
              <w:rPr>
                <w:rFonts w:ascii="Arial" w:hAnsi="Arial" w:cs="Arial"/>
              </w:rPr>
            </w:pPr>
            <w:r w:rsidRPr="00E90E37">
              <w:rPr>
                <w:rFonts w:ascii="Arial" w:hAnsi="Arial" w:cs="Arial"/>
              </w:rPr>
              <w:t>8</w:t>
            </w:r>
            <w:r>
              <w:rPr>
                <w:rFonts w:ascii="Arial" w:hAnsi="Arial" w:cs="Arial"/>
              </w:rPr>
              <w:t>50</w:t>
            </w:r>
          </w:p>
        </w:tc>
        <w:tc>
          <w:tcPr>
            <w:tcW w:w="735" w:type="pct"/>
            <w:tcBorders>
              <w:bottom w:val="single" w:sz="4" w:space="0" w:color="auto"/>
            </w:tcBorders>
            <w:shd w:val="clear" w:color="auto" w:fill="auto"/>
          </w:tcPr>
          <w:p w14:paraId="16C5DDE2" w14:textId="789B4237" w:rsidR="00BF586F" w:rsidRPr="00CA0EB7" w:rsidRDefault="00BF586F" w:rsidP="00BF586F">
            <w:pPr>
              <w:ind w:left="110" w:hanging="110"/>
              <w:jc w:val="right"/>
              <w:rPr>
                <w:rFonts w:ascii="Arial" w:hAnsi="Arial" w:cs="Arial"/>
              </w:rPr>
            </w:pPr>
            <w:r w:rsidRPr="00CA0EB7">
              <w:rPr>
                <w:rFonts w:ascii="Arial" w:hAnsi="Arial" w:cs="Arial"/>
              </w:rPr>
              <w:t>(</w:t>
            </w:r>
            <w:r w:rsidR="005F0113" w:rsidRPr="00CA0EB7">
              <w:rPr>
                <w:rFonts w:ascii="Arial" w:hAnsi="Arial" w:cs="Arial"/>
              </w:rPr>
              <w:t>2</w:t>
            </w:r>
            <w:r w:rsidRPr="00CA0EB7">
              <w:rPr>
                <w:rFonts w:ascii="Arial" w:hAnsi="Arial" w:cs="Arial"/>
              </w:rPr>
              <w:t>)</w:t>
            </w:r>
          </w:p>
        </w:tc>
        <w:tc>
          <w:tcPr>
            <w:tcW w:w="733" w:type="pct"/>
            <w:tcBorders>
              <w:bottom w:val="single" w:sz="4" w:space="0" w:color="auto"/>
            </w:tcBorders>
            <w:shd w:val="clear" w:color="auto" w:fill="auto"/>
          </w:tcPr>
          <w:p w14:paraId="3FDDD209" w14:textId="41EAA1F4" w:rsidR="00BF586F" w:rsidRPr="00CA0EB7" w:rsidRDefault="005F0113" w:rsidP="00BF586F">
            <w:pPr>
              <w:ind w:left="110" w:hanging="110"/>
              <w:jc w:val="right"/>
              <w:rPr>
                <w:rFonts w:ascii="Arial" w:hAnsi="Arial" w:cs="Arial"/>
              </w:rPr>
            </w:pPr>
            <w:r w:rsidRPr="00CA0EB7">
              <w:rPr>
                <w:rFonts w:ascii="Arial" w:hAnsi="Arial" w:cs="Arial"/>
              </w:rPr>
              <w:t>-</w:t>
            </w:r>
          </w:p>
        </w:tc>
      </w:tr>
      <w:tr w:rsidR="00BF586F" w:rsidRPr="004D39BF" w14:paraId="5913C68C" w14:textId="77777777" w:rsidTr="001B494B">
        <w:tc>
          <w:tcPr>
            <w:tcW w:w="1249" w:type="pct"/>
            <w:tcBorders>
              <w:top w:val="single" w:sz="4" w:space="0" w:color="auto"/>
              <w:bottom w:val="single" w:sz="4" w:space="0" w:color="auto"/>
            </w:tcBorders>
          </w:tcPr>
          <w:p w14:paraId="2275478B" w14:textId="77777777" w:rsidR="00BF586F" w:rsidRPr="00C5382F" w:rsidRDefault="00BF586F" w:rsidP="00BF586F">
            <w:pPr>
              <w:ind w:left="110" w:hanging="110"/>
              <w:jc w:val="left"/>
              <w:rPr>
                <w:rFonts w:ascii="Arial" w:hAnsi="Arial" w:cs="Arial"/>
                <w:b/>
                <w:bCs/>
              </w:rPr>
            </w:pPr>
            <w:r w:rsidRPr="00C5382F">
              <w:rPr>
                <w:rFonts w:ascii="Arial" w:hAnsi="Arial" w:cs="Arial"/>
                <w:b/>
                <w:bCs/>
              </w:rPr>
              <w:t>France</w:t>
            </w:r>
          </w:p>
        </w:tc>
        <w:tc>
          <w:tcPr>
            <w:tcW w:w="792" w:type="pct"/>
            <w:tcBorders>
              <w:top w:val="single" w:sz="4" w:space="0" w:color="auto"/>
              <w:bottom w:val="single" w:sz="4" w:space="0" w:color="auto"/>
            </w:tcBorders>
            <w:shd w:val="clear" w:color="auto" w:fill="auto"/>
            <w:vAlign w:val="center"/>
          </w:tcPr>
          <w:p w14:paraId="08466961" w14:textId="19E197DC" w:rsidR="00BF586F" w:rsidRPr="00C5382F" w:rsidRDefault="00C5382F" w:rsidP="00BF586F">
            <w:pPr>
              <w:ind w:left="110" w:hanging="110"/>
              <w:jc w:val="right"/>
              <w:rPr>
                <w:rFonts w:ascii="Arial" w:hAnsi="Arial" w:cs="Arial"/>
                <w:b/>
                <w:bCs/>
              </w:rPr>
            </w:pPr>
            <w:r w:rsidRPr="00C5382F">
              <w:rPr>
                <w:rFonts w:ascii="Arial" w:hAnsi="Arial" w:cs="Arial"/>
                <w:b/>
                <w:bCs/>
              </w:rPr>
              <w:t>19,366</w:t>
            </w:r>
          </w:p>
        </w:tc>
        <w:tc>
          <w:tcPr>
            <w:tcW w:w="661" w:type="pct"/>
            <w:tcBorders>
              <w:top w:val="single" w:sz="4" w:space="0" w:color="auto"/>
              <w:bottom w:val="single" w:sz="4" w:space="0" w:color="auto"/>
            </w:tcBorders>
            <w:shd w:val="clear" w:color="auto" w:fill="auto"/>
            <w:vAlign w:val="center"/>
          </w:tcPr>
          <w:p w14:paraId="10456577" w14:textId="607AE819" w:rsidR="00BF586F" w:rsidRPr="00E90E37" w:rsidRDefault="00BF586F" w:rsidP="00BF586F">
            <w:pPr>
              <w:ind w:left="110" w:hanging="110"/>
              <w:jc w:val="right"/>
              <w:rPr>
                <w:rFonts w:ascii="Arial" w:hAnsi="Arial" w:cs="Arial"/>
                <w:b/>
                <w:bCs/>
              </w:rPr>
            </w:pPr>
            <w:r w:rsidRPr="00E90E37">
              <w:rPr>
                <w:rFonts w:ascii="Arial" w:hAnsi="Arial" w:cs="Arial"/>
                <w:b/>
                <w:bCs/>
              </w:rPr>
              <w:t>224</w:t>
            </w:r>
          </w:p>
        </w:tc>
        <w:tc>
          <w:tcPr>
            <w:tcW w:w="830" w:type="pct"/>
            <w:tcBorders>
              <w:top w:val="single" w:sz="4" w:space="0" w:color="auto"/>
              <w:bottom w:val="single" w:sz="4" w:space="0" w:color="auto"/>
            </w:tcBorders>
            <w:shd w:val="clear" w:color="auto" w:fill="auto"/>
            <w:vAlign w:val="center"/>
          </w:tcPr>
          <w:p w14:paraId="515234AF" w14:textId="1EAEFA19" w:rsidR="00BF586F" w:rsidRPr="00E90E37" w:rsidRDefault="00BF586F" w:rsidP="00BF586F">
            <w:pPr>
              <w:ind w:left="110" w:hanging="110"/>
              <w:jc w:val="right"/>
              <w:rPr>
                <w:rFonts w:ascii="Arial" w:hAnsi="Arial" w:cs="Arial"/>
                <w:b/>
                <w:bCs/>
              </w:rPr>
            </w:pPr>
            <w:r w:rsidRPr="00E90E37">
              <w:rPr>
                <w:rFonts w:ascii="Arial" w:hAnsi="Arial" w:cs="Arial"/>
                <w:b/>
                <w:bCs/>
              </w:rPr>
              <w:t>2,</w:t>
            </w:r>
            <w:r w:rsidR="004D4248" w:rsidRPr="00E90E37">
              <w:rPr>
                <w:rFonts w:ascii="Arial" w:hAnsi="Arial" w:cs="Arial"/>
                <w:b/>
                <w:bCs/>
              </w:rPr>
              <w:t>10</w:t>
            </w:r>
            <w:r w:rsidR="004D4248">
              <w:rPr>
                <w:rFonts w:ascii="Arial" w:hAnsi="Arial" w:cs="Arial"/>
                <w:b/>
                <w:bCs/>
              </w:rPr>
              <w:t>0</w:t>
            </w:r>
          </w:p>
        </w:tc>
        <w:tc>
          <w:tcPr>
            <w:tcW w:w="735" w:type="pct"/>
            <w:tcBorders>
              <w:top w:val="single" w:sz="4" w:space="0" w:color="auto"/>
              <w:bottom w:val="single" w:sz="4" w:space="0" w:color="auto"/>
            </w:tcBorders>
            <w:shd w:val="clear" w:color="auto" w:fill="auto"/>
          </w:tcPr>
          <w:p w14:paraId="59BC0F17" w14:textId="24898B11" w:rsidR="00BF586F" w:rsidRPr="00CA0EB7" w:rsidRDefault="00CA0EB7" w:rsidP="00BF586F">
            <w:pPr>
              <w:ind w:left="110" w:hanging="110"/>
              <w:jc w:val="right"/>
              <w:rPr>
                <w:rFonts w:ascii="Arial" w:hAnsi="Arial" w:cs="Arial"/>
                <w:b/>
                <w:bCs/>
              </w:rPr>
            </w:pPr>
            <w:r w:rsidRPr="00CA0EB7">
              <w:rPr>
                <w:rFonts w:ascii="Arial" w:hAnsi="Arial" w:cs="Arial"/>
                <w:b/>
              </w:rPr>
              <w:t>(</w:t>
            </w:r>
            <w:r w:rsidR="00B75D5A">
              <w:rPr>
                <w:rFonts w:ascii="Arial" w:hAnsi="Arial" w:cs="Arial"/>
                <w:b/>
              </w:rPr>
              <w:t>2</w:t>
            </w:r>
            <w:r w:rsidRPr="00CA0EB7">
              <w:rPr>
                <w:rFonts w:ascii="Arial" w:hAnsi="Arial" w:cs="Arial"/>
                <w:b/>
              </w:rPr>
              <w:t>)</w:t>
            </w:r>
          </w:p>
        </w:tc>
        <w:tc>
          <w:tcPr>
            <w:tcW w:w="733" w:type="pct"/>
            <w:tcBorders>
              <w:top w:val="single" w:sz="4" w:space="0" w:color="auto"/>
              <w:bottom w:val="single" w:sz="4" w:space="0" w:color="auto"/>
            </w:tcBorders>
            <w:shd w:val="clear" w:color="auto" w:fill="auto"/>
          </w:tcPr>
          <w:p w14:paraId="1E9BC651" w14:textId="361E0F3A" w:rsidR="00BF586F" w:rsidRPr="00CA0EB7" w:rsidRDefault="00BF586F" w:rsidP="00BF586F">
            <w:pPr>
              <w:ind w:left="110" w:hanging="110"/>
              <w:jc w:val="right"/>
              <w:rPr>
                <w:rFonts w:ascii="Arial" w:hAnsi="Arial" w:cs="Arial"/>
                <w:b/>
                <w:bCs/>
              </w:rPr>
            </w:pPr>
            <w:r w:rsidRPr="00CA0EB7">
              <w:rPr>
                <w:rFonts w:ascii="Arial" w:hAnsi="Arial" w:cs="Arial"/>
              </w:rPr>
              <w:t>(1)%</w:t>
            </w:r>
          </w:p>
        </w:tc>
      </w:tr>
      <w:tr w:rsidR="00BF586F" w:rsidRPr="004D39BF" w14:paraId="6CC9AC66" w14:textId="77777777" w:rsidTr="001B494B">
        <w:tc>
          <w:tcPr>
            <w:tcW w:w="1249" w:type="pct"/>
            <w:tcBorders>
              <w:top w:val="single" w:sz="4" w:space="0" w:color="auto"/>
            </w:tcBorders>
          </w:tcPr>
          <w:p w14:paraId="18F35761" w14:textId="418AB3E9" w:rsidR="00BF586F" w:rsidRPr="00C5382F" w:rsidRDefault="00BF586F" w:rsidP="00BF586F">
            <w:pPr>
              <w:spacing w:before="60"/>
              <w:ind w:left="110" w:hanging="110"/>
              <w:jc w:val="left"/>
              <w:rPr>
                <w:rFonts w:ascii="Arial" w:hAnsi="Arial" w:cs="Arial"/>
              </w:rPr>
            </w:pPr>
            <w:r w:rsidRPr="00C5382F">
              <w:rPr>
                <w:rFonts w:ascii="Arial" w:hAnsi="Arial" w:cs="Arial"/>
                <w:lang w:val="it-IT"/>
              </w:rPr>
              <w:t>Iberia</w:t>
            </w:r>
            <w:r w:rsidR="00A116E5" w:rsidRPr="001003E6">
              <w:rPr>
                <w:rFonts w:ascii="Arial" w:hAnsi="Arial" w:cs="Arial"/>
                <w:vertAlign w:val="superscript"/>
                <w:lang w:val="it-IT"/>
              </w:rPr>
              <w:t>(2)</w:t>
            </w:r>
          </w:p>
        </w:tc>
        <w:tc>
          <w:tcPr>
            <w:tcW w:w="792" w:type="pct"/>
            <w:tcBorders>
              <w:top w:val="single" w:sz="4" w:space="0" w:color="auto"/>
            </w:tcBorders>
            <w:shd w:val="clear" w:color="auto" w:fill="auto"/>
            <w:vAlign w:val="center"/>
          </w:tcPr>
          <w:p w14:paraId="4A6BF490" w14:textId="2C31FA97" w:rsidR="00BF586F" w:rsidRPr="00C5382F" w:rsidRDefault="00C5382F" w:rsidP="00BF586F">
            <w:pPr>
              <w:spacing w:before="60"/>
              <w:ind w:left="110" w:hanging="110"/>
              <w:jc w:val="right"/>
              <w:rPr>
                <w:rFonts w:ascii="Arial" w:hAnsi="Arial" w:cs="Arial"/>
              </w:rPr>
            </w:pPr>
            <w:r w:rsidRPr="00C5382F">
              <w:rPr>
                <w:rFonts w:ascii="Arial" w:hAnsi="Arial" w:cs="Arial"/>
              </w:rPr>
              <w:t>2,000</w:t>
            </w:r>
          </w:p>
        </w:tc>
        <w:tc>
          <w:tcPr>
            <w:tcW w:w="661" w:type="pct"/>
            <w:tcBorders>
              <w:top w:val="single" w:sz="4" w:space="0" w:color="auto"/>
            </w:tcBorders>
            <w:shd w:val="clear" w:color="auto" w:fill="auto"/>
            <w:vAlign w:val="center"/>
          </w:tcPr>
          <w:p w14:paraId="2A92075D" w14:textId="35C13165" w:rsidR="00BF586F" w:rsidRPr="00E90E37" w:rsidRDefault="00BF586F" w:rsidP="00BF586F">
            <w:pPr>
              <w:spacing w:before="60"/>
              <w:ind w:left="110" w:hanging="110"/>
              <w:jc w:val="right"/>
              <w:rPr>
                <w:rFonts w:ascii="Arial" w:hAnsi="Arial" w:cs="Arial"/>
              </w:rPr>
            </w:pPr>
            <w:r w:rsidRPr="00E90E37">
              <w:rPr>
                <w:rFonts w:ascii="Arial" w:hAnsi="Arial" w:cs="Arial"/>
              </w:rPr>
              <w:t>31</w:t>
            </w:r>
          </w:p>
        </w:tc>
        <w:tc>
          <w:tcPr>
            <w:tcW w:w="830" w:type="pct"/>
            <w:tcBorders>
              <w:top w:val="single" w:sz="4" w:space="0" w:color="auto"/>
            </w:tcBorders>
            <w:shd w:val="clear" w:color="auto" w:fill="auto"/>
            <w:vAlign w:val="center"/>
          </w:tcPr>
          <w:p w14:paraId="3F314677" w14:textId="7CC4A3C9" w:rsidR="00BF586F" w:rsidRPr="00E90E37" w:rsidRDefault="00BF586F" w:rsidP="00BF586F">
            <w:pPr>
              <w:spacing w:before="60"/>
              <w:ind w:left="110" w:hanging="110"/>
              <w:jc w:val="right"/>
              <w:rPr>
                <w:rFonts w:ascii="Arial" w:hAnsi="Arial" w:cs="Arial"/>
              </w:rPr>
            </w:pPr>
            <w:r w:rsidRPr="00E90E37">
              <w:rPr>
                <w:rFonts w:ascii="Arial" w:hAnsi="Arial" w:cs="Arial"/>
              </w:rPr>
              <w:t>195</w:t>
            </w:r>
          </w:p>
        </w:tc>
        <w:tc>
          <w:tcPr>
            <w:tcW w:w="735" w:type="pct"/>
            <w:tcBorders>
              <w:top w:val="single" w:sz="4" w:space="0" w:color="auto"/>
            </w:tcBorders>
            <w:shd w:val="clear" w:color="auto" w:fill="auto"/>
          </w:tcPr>
          <w:p w14:paraId="6069083D" w14:textId="02E3F410" w:rsidR="00BF586F" w:rsidRPr="00CA0EB7" w:rsidRDefault="00BF586F" w:rsidP="00BF586F">
            <w:pPr>
              <w:spacing w:before="60"/>
              <w:ind w:left="110" w:hanging="110"/>
              <w:jc w:val="right"/>
              <w:rPr>
                <w:rFonts w:ascii="Arial" w:hAnsi="Arial" w:cs="Arial"/>
              </w:rPr>
            </w:pPr>
            <w:r w:rsidRPr="00CA0EB7">
              <w:rPr>
                <w:rFonts w:ascii="Arial" w:hAnsi="Arial" w:cs="Arial"/>
              </w:rPr>
              <w:t>-</w:t>
            </w:r>
          </w:p>
        </w:tc>
        <w:tc>
          <w:tcPr>
            <w:tcW w:w="733" w:type="pct"/>
            <w:tcBorders>
              <w:top w:val="single" w:sz="4" w:space="0" w:color="auto"/>
            </w:tcBorders>
            <w:shd w:val="clear" w:color="auto" w:fill="auto"/>
          </w:tcPr>
          <w:p w14:paraId="386DF12A" w14:textId="4AC1820A" w:rsidR="00BF586F" w:rsidRPr="00CA0EB7" w:rsidRDefault="00BF586F" w:rsidP="00BF586F">
            <w:pPr>
              <w:spacing w:before="60"/>
              <w:ind w:left="110" w:hanging="110"/>
              <w:jc w:val="right"/>
              <w:rPr>
                <w:rFonts w:ascii="Arial" w:hAnsi="Arial" w:cs="Arial"/>
              </w:rPr>
            </w:pPr>
            <w:r w:rsidRPr="00CA0EB7">
              <w:rPr>
                <w:rFonts w:ascii="Arial" w:hAnsi="Arial" w:cs="Arial"/>
              </w:rPr>
              <w:t>-</w:t>
            </w:r>
          </w:p>
        </w:tc>
      </w:tr>
      <w:tr w:rsidR="00BF586F" w:rsidRPr="004D39BF" w14:paraId="6E307F0C" w14:textId="77777777" w:rsidTr="001B494B">
        <w:tc>
          <w:tcPr>
            <w:tcW w:w="1249" w:type="pct"/>
          </w:tcPr>
          <w:p w14:paraId="00F97095" w14:textId="012CC374" w:rsidR="00BF586F" w:rsidRPr="00C5382F" w:rsidRDefault="00BF586F" w:rsidP="00BF586F">
            <w:pPr>
              <w:jc w:val="left"/>
              <w:rPr>
                <w:rFonts w:ascii="Arial" w:hAnsi="Arial" w:cs="Arial"/>
                <w:lang w:val="it-IT"/>
              </w:rPr>
            </w:pPr>
            <w:r w:rsidRPr="00C5382F">
              <w:rPr>
                <w:rFonts w:ascii="Arial" w:hAnsi="Arial" w:cs="Arial"/>
              </w:rPr>
              <w:t>Poland</w:t>
            </w:r>
          </w:p>
        </w:tc>
        <w:tc>
          <w:tcPr>
            <w:tcW w:w="792" w:type="pct"/>
            <w:shd w:val="clear" w:color="auto" w:fill="auto"/>
            <w:vAlign w:val="center"/>
          </w:tcPr>
          <w:p w14:paraId="7C60A9E4" w14:textId="54DAE608" w:rsidR="00BF586F" w:rsidRPr="00C5382F" w:rsidRDefault="00BF586F" w:rsidP="00BF586F">
            <w:pPr>
              <w:ind w:left="110" w:hanging="110"/>
              <w:jc w:val="right"/>
              <w:rPr>
                <w:rFonts w:ascii="Arial" w:hAnsi="Arial" w:cs="Arial"/>
              </w:rPr>
            </w:pPr>
            <w:r w:rsidRPr="00C5382F">
              <w:rPr>
                <w:rFonts w:ascii="Arial" w:hAnsi="Arial" w:cs="Arial"/>
              </w:rPr>
              <w:t>11,</w:t>
            </w:r>
            <w:r w:rsidR="00C5382F" w:rsidRPr="00C5382F">
              <w:rPr>
                <w:rFonts w:ascii="Arial" w:hAnsi="Arial" w:cs="Arial"/>
              </w:rPr>
              <w:t>475</w:t>
            </w:r>
          </w:p>
        </w:tc>
        <w:tc>
          <w:tcPr>
            <w:tcW w:w="661" w:type="pct"/>
            <w:shd w:val="clear" w:color="auto" w:fill="auto"/>
            <w:vAlign w:val="center"/>
          </w:tcPr>
          <w:p w14:paraId="23627EA6" w14:textId="6C94DB90" w:rsidR="00BF586F" w:rsidRPr="00E90E37" w:rsidRDefault="00BF586F" w:rsidP="00BF586F">
            <w:pPr>
              <w:ind w:left="110" w:hanging="110"/>
              <w:jc w:val="right"/>
              <w:rPr>
                <w:rFonts w:ascii="Arial" w:hAnsi="Arial" w:cs="Arial"/>
              </w:rPr>
            </w:pPr>
            <w:r w:rsidRPr="00E90E37">
              <w:rPr>
                <w:rFonts w:ascii="Arial" w:hAnsi="Arial" w:cs="Arial"/>
              </w:rPr>
              <w:t>7</w:t>
            </w:r>
            <w:r w:rsidR="00E90E37" w:rsidRPr="00E90E37">
              <w:rPr>
                <w:rFonts w:ascii="Arial" w:hAnsi="Arial" w:cs="Arial"/>
              </w:rPr>
              <w:t>8</w:t>
            </w:r>
          </w:p>
        </w:tc>
        <w:tc>
          <w:tcPr>
            <w:tcW w:w="830" w:type="pct"/>
            <w:shd w:val="clear" w:color="auto" w:fill="auto"/>
            <w:vAlign w:val="center"/>
          </w:tcPr>
          <w:p w14:paraId="14A17E33" w14:textId="321D9885" w:rsidR="00BF586F" w:rsidRPr="00E90E37" w:rsidRDefault="004D4248" w:rsidP="00BF586F">
            <w:pPr>
              <w:ind w:left="110" w:hanging="110"/>
              <w:jc w:val="right"/>
              <w:rPr>
                <w:rFonts w:ascii="Arial" w:hAnsi="Arial" w:cs="Arial"/>
              </w:rPr>
            </w:pPr>
            <w:r w:rsidRPr="00E90E37">
              <w:rPr>
                <w:rFonts w:ascii="Arial" w:hAnsi="Arial" w:cs="Arial"/>
              </w:rPr>
              <w:t>6</w:t>
            </w:r>
            <w:r>
              <w:rPr>
                <w:rFonts w:ascii="Arial" w:hAnsi="Arial" w:cs="Arial"/>
              </w:rPr>
              <w:t>79</w:t>
            </w:r>
          </w:p>
        </w:tc>
        <w:tc>
          <w:tcPr>
            <w:tcW w:w="735" w:type="pct"/>
            <w:shd w:val="clear" w:color="auto" w:fill="auto"/>
          </w:tcPr>
          <w:p w14:paraId="1273207B" w14:textId="6FF06E18" w:rsidR="00BF586F" w:rsidRPr="00CA0EB7" w:rsidRDefault="00CA0EB7" w:rsidP="00BF586F">
            <w:pPr>
              <w:ind w:left="110" w:hanging="110"/>
              <w:jc w:val="right"/>
              <w:rPr>
                <w:rFonts w:ascii="Arial" w:hAnsi="Arial" w:cs="Arial"/>
              </w:rPr>
            </w:pPr>
            <w:r w:rsidRPr="00CA0EB7">
              <w:rPr>
                <w:rFonts w:ascii="Arial" w:hAnsi="Arial" w:cs="Arial"/>
              </w:rPr>
              <w:t>4</w:t>
            </w:r>
          </w:p>
        </w:tc>
        <w:tc>
          <w:tcPr>
            <w:tcW w:w="733" w:type="pct"/>
            <w:shd w:val="clear" w:color="auto" w:fill="auto"/>
          </w:tcPr>
          <w:p w14:paraId="65B1B9C4" w14:textId="5CD81016" w:rsidR="00BF586F" w:rsidRPr="00CA0EB7" w:rsidRDefault="00BF586F" w:rsidP="00BF586F">
            <w:pPr>
              <w:ind w:left="110" w:hanging="110"/>
              <w:jc w:val="right"/>
              <w:rPr>
                <w:rFonts w:ascii="Arial" w:hAnsi="Arial" w:cs="Arial"/>
              </w:rPr>
            </w:pPr>
            <w:r w:rsidRPr="00CA0EB7">
              <w:rPr>
                <w:rFonts w:ascii="Arial" w:hAnsi="Arial" w:cs="Arial"/>
              </w:rPr>
              <w:t>+</w:t>
            </w:r>
            <w:r w:rsidR="00CA0EB7" w:rsidRPr="00CA0EB7">
              <w:rPr>
                <w:rFonts w:ascii="Arial" w:hAnsi="Arial" w:cs="Arial"/>
              </w:rPr>
              <w:t>6</w:t>
            </w:r>
            <w:r w:rsidRPr="00CA0EB7">
              <w:rPr>
                <w:rFonts w:ascii="Arial" w:hAnsi="Arial" w:cs="Arial"/>
              </w:rPr>
              <w:t>%</w:t>
            </w:r>
          </w:p>
        </w:tc>
      </w:tr>
      <w:tr w:rsidR="00BF586F" w:rsidRPr="004D39BF" w14:paraId="748E073F" w14:textId="77777777" w:rsidTr="001B494B">
        <w:tc>
          <w:tcPr>
            <w:tcW w:w="1249" w:type="pct"/>
          </w:tcPr>
          <w:p w14:paraId="03D65E7C" w14:textId="7F127BF2" w:rsidR="00BF586F" w:rsidRPr="00C5382F" w:rsidRDefault="00BF586F" w:rsidP="00BF586F">
            <w:pPr>
              <w:jc w:val="left"/>
              <w:rPr>
                <w:rFonts w:ascii="Arial" w:hAnsi="Arial" w:cs="Arial"/>
                <w:lang w:val="it-IT"/>
              </w:rPr>
            </w:pPr>
            <w:r w:rsidRPr="00C5382F">
              <w:rPr>
                <w:rFonts w:ascii="Arial" w:hAnsi="Arial" w:cs="Arial"/>
                <w:lang w:val="it-IT"/>
              </w:rPr>
              <w:t>Romania</w:t>
            </w:r>
          </w:p>
        </w:tc>
        <w:tc>
          <w:tcPr>
            <w:tcW w:w="792" w:type="pct"/>
            <w:shd w:val="clear" w:color="auto" w:fill="auto"/>
            <w:vAlign w:val="center"/>
          </w:tcPr>
          <w:p w14:paraId="51F364EE" w14:textId="02B8A784" w:rsidR="00BF586F" w:rsidRPr="00C5382F" w:rsidRDefault="00BF586F" w:rsidP="00BF586F">
            <w:pPr>
              <w:ind w:left="110" w:hanging="110"/>
              <w:jc w:val="right"/>
              <w:rPr>
                <w:rFonts w:ascii="Arial" w:hAnsi="Arial" w:cs="Arial"/>
              </w:rPr>
            </w:pPr>
            <w:r w:rsidRPr="00C5382F">
              <w:rPr>
                <w:rFonts w:ascii="Arial" w:hAnsi="Arial" w:cs="Arial"/>
              </w:rPr>
              <w:t>2,</w:t>
            </w:r>
            <w:r w:rsidR="00C5382F" w:rsidRPr="00C5382F">
              <w:rPr>
                <w:rFonts w:ascii="Arial" w:hAnsi="Arial" w:cs="Arial"/>
              </w:rPr>
              <w:t>321</w:t>
            </w:r>
          </w:p>
        </w:tc>
        <w:tc>
          <w:tcPr>
            <w:tcW w:w="661" w:type="pct"/>
            <w:shd w:val="clear" w:color="auto" w:fill="auto"/>
            <w:vAlign w:val="center"/>
          </w:tcPr>
          <w:p w14:paraId="0173ECE9" w14:textId="24962C5C" w:rsidR="00BF586F" w:rsidRPr="00E90E37" w:rsidRDefault="00BF586F" w:rsidP="00BF586F">
            <w:pPr>
              <w:ind w:left="110" w:hanging="110"/>
              <w:jc w:val="right"/>
              <w:rPr>
                <w:rFonts w:ascii="Arial" w:hAnsi="Arial" w:cs="Arial"/>
              </w:rPr>
            </w:pPr>
            <w:r w:rsidRPr="00E90E37">
              <w:rPr>
                <w:rFonts w:ascii="Arial" w:hAnsi="Arial" w:cs="Arial"/>
              </w:rPr>
              <w:t>3</w:t>
            </w:r>
            <w:r w:rsidR="00E90E37" w:rsidRPr="00E90E37">
              <w:rPr>
                <w:rFonts w:ascii="Arial" w:hAnsi="Arial" w:cs="Arial"/>
              </w:rPr>
              <w:t>5</w:t>
            </w:r>
          </w:p>
        </w:tc>
        <w:tc>
          <w:tcPr>
            <w:tcW w:w="830" w:type="pct"/>
            <w:shd w:val="clear" w:color="auto" w:fill="auto"/>
            <w:vAlign w:val="center"/>
          </w:tcPr>
          <w:p w14:paraId="57545014" w14:textId="21F563A5" w:rsidR="00BF586F" w:rsidRPr="00E90E37" w:rsidRDefault="00BF586F" w:rsidP="00BF586F">
            <w:pPr>
              <w:ind w:left="110" w:hanging="110"/>
              <w:jc w:val="right"/>
              <w:rPr>
                <w:rFonts w:ascii="Arial" w:hAnsi="Arial" w:cs="Arial"/>
              </w:rPr>
            </w:pPr>
            <w:r w:rsidRPr="00E90E37">
              <w:rPr>
                <w:rFonts w:ascii="Arial" w:hAnsi="Arial" w:cs="Arial"/>
              </w:rPr>
              <w:t>2</w:t>
            </w:r>
            <w:r w:rsidR="00E90E37" w:rsidRPr="00E90E37">
              <w:rPr>
                <w:rFonts w:ascii="Arial" w:hAnsi="Arial" w:cs="Arial"/>
              </w:rPr>
              <w:t>53</w:t>
            </w:r>
          </w:p>
        </w:tc>
        <w:tc>
          <w:tcPr>
            <w:tcW w:w="735" w:type="pct"/>
            <w:shd w:val="clear" w:color="auto" w:fill="auto"/>
          </w:tcPr>
          <w:p w14:paraId="5890FA43" w14:textId="7F99186E" w:rsidR="00BF586F" w:rsidRPr="00CA0EB7" w:rsidRDefault="00BF586F" w:rsidP="00BF586F">
            <w:pPr>
              <w:ind w:left="110" w:hanging="110"/>
              <w:jc w:val="right"/>
              <w:rPr>
                <w:rFonts w:ascii="Arial" w:hAnsi="Arial" w:cs="Arial"/>
              </w:rPr>
            </w:pPr>
            <w:r w:rsidRPr="00CA0EB7">
              <w:rPr>
                <w:rFonts w:ascii="Arial" w:hAnsi="Arial" w:cs="Arial"/>
              </w:rPr>
              <w:t>(3)</w:t>
            </w:r>
          </w:p>
        </w:tc>
        <w:tc>
          <w:tcPr>
            <w:tcW w:w="733" w:type="pct"/>
            <w:shd w:val="clear" w:color="auto" w:fill="auto"/>
          </w:tcPr>
          <w:p w14:paraId="4CDDD054" w14:textId="2CF85A22" w:rsidR="00BF586F" w:rsidRPr="00CA0EB7" w:rsidRDefault="00BF586F" w:rsidP="00BF586F">
            <w:pPr>
              <w:ind w:left="110" w:hanging="110"/>
              <w:jc w:val="right"/>
              <w:rPr>
                <w:rFonts w:ascii="Arial" w:hAnsi="Arial" w:cs="Arial"/>
              </w:rPr>
            </w:pPr>
            <w:r w:rsidRPr="00CA0EB7">
              <w:rPr>
                <w:rFonts w:ascii="Arial" w:hAnsi="Arial" w:cs="Arial"/>
              </w:rPr>
              <w:t>(</w:t>
            </w:r>
            <w:r w:rsidR="00CA0EB7" w:rsidRPr="00CA0EB7">
              <w:rPr>
                <w:rFonts w:ascii="Arial" w:hAnsi="Arial" w:cs="Arial"/>
              </w:rPr>
              <w:t>7</w:t>
            </w:r>
            <w:r w:rsidRPr="00CA0EB7">
              <w:rPr>
                <w:rFonts w:ascii="Arial" w:hAnsi="Arial" w:cs="Arial"/>
              </w:rPr>
              <w:t>)%</w:t>
            </w:r>
          </w:p>
        </w:tc>
      </w:tr>
      <w:tr w:rsidR="00BF586F" w:rsidRPr="004D39BF" w14:paraId="34DEDACB" w14:textId="77777777" w:rsidTr="001B494B">
        <w:tc>
          <w:tcPr>
            <w:tcW w:w="1249" w:type="pct"/>
          </w:tcPr>
          <w:p w14:paraId="2751F07D" w14:textId="2031C325" w:rsidR="00BF586F" w:rsidRPr="00C5382F" w:rsidRDefault="00BF586F" w:rsidP="00BF586F">
            <w:pPr>
              <w:jc w:val="left"/>
              <w:rPr>
                <w:rFonts w:ascii="Arial" w:hAnsi="Arial" w:cs="Arial"/>
                <w:lang w:val="it-IT"/>
              </w:rPr>
            </w:pPr>
            <w:r w:rsidRPr="00C5382F">
              <w:rPr>
                <w:rFonts w:ascii="Arial" w:hAnsi="Arial" w:cs="Arial"/>
                <w:lang w:val="it-IT"/>
              </w:rPr>
              <w:t>Russia</w:t>
            </w:r>
          </w:p>
        </w:tc>
        <w:tc>
          <w:tcPr>
            <w:tcW w:w="792" w:type="pct"/>
            <w:shd w:val="clear" w:color="auto" w:fill="auto"/>
            <w:vAlign w:val="center"/>
          </w:tcPr>
          <w:p w14:paraId="0D83AE66" w14:textId="714BEFE3" w:rsidR="00BF586F" w:rsidRPr="00C5382F" w:rsidRDefault="00C5382F" w:rsidP="00BF586F">
            <w:pPr>
              <w:ind w:left="110" w:hanging="110"/>
              <w:jc w:val="right"/>
              <w:rPr>
                <w:rFonts w:ascii="Arial" w:hAnsi="Arial" w:cs="Arial"/>
                <w:lang w:val="it-IT"/>
              </w:rPr>
            </w:pPr>
            <w:r w:rsidRPr="00C5382F">
              <w:rPr>
                <w:rFonts w:ascii="Arial" w:hAnsi="Arial" w:cs="Arial"/>
                <w:lang w:val="it-IT"/>
              </w:rPr>
              <w:t>2,931</w:t>
            </w:r>
          </w:p>
        </w:tc>
        <w:tc>
          <w:tcPr>
            <w:tcW w:w="661" w:type="pct"/>
            <w:shd w:val="clear" w:color="auto" w:fill="auto"/>
            <w:vAlign w:val="center"/>
          </w:tcPr>
          <w:p w14:paraId="0FC6415F" w14:textId="7FD0661E" w:rsidR="00BF586F" w:rsidRPr="00E90E37" w:rsidRDefault="00E90E37" w:rsidP="00BF586F">
            <w:pPr>
              <w:ind w:left="110" w:hanging="110"/>
              <w:jc w:val="right"/>
              <w:rPr>
                <w:rFonts w:ascii="Arial" w:hAnsi="Arial" w:cs="Arial"/>
                <w:lang w:val="it-IT"/>
              </w:rPr>
            </w:pPr>
            <w:r w:rsidRPr="00E90E37">
              <w:rPr>
                <w:rFonts w:ascii="Arial" w:hAnsi="Arial" w:cs="Arial"/>
                <w:lang w:val="it-IT"/>
              </w:rPr>
              <w:t>19</w:t>
            </w:r>
          </w:p>
        </w:tc>
        <w:tc>
          <w:tcPr>
            <w:tcW w:w="830" w:type="pct"/>
            <w:shd w:val="clear" w:color="auto" w:fill="auto"/>
            <w:vAlign w:val="center"/>
          </w:tcPr>
          <w:p w14:paraId="43C68379" w14:textId="00EF4814" w:rsidR="00BF586F" w:rsidRPr="00E90E37" w:rsidRDefault="004D4248" w:rsidP="00BF586F">
            <w:pPr>
              <w:ind w:left="110" w:hanging="110"/>
              <w:jc w:val="right"/>
              <w:rPr>
                <w:rFonts w:ascii="Arial" w:hAnsi="Arial" w:cs="Arial"/>
                <w:lang w:val="it-IT"/>
              </w:rPr>
            </w:pPr>
            <w:r w:rsidRPr="00E90E37">
              <w:rPr>
                <w:rFonts w:ascii="Arial" w:hAnsi="Arial" w:cs="Arial"/>
                <w:lang w:val="it-IT"/>
              </w:rPr>
              <w:t>1</w:t>
            </w:r>
            <w:r>
              <w:rPr>
                <w:rFonts w:ascii="Arial" w:hAnsi="Arial" w:cs="Arial"/>
                <w:lang w:val="it-IT"/>
              </w:rPr>
              <w:t>98</w:t>
            </w:r>
          </w:p>
        </w:tc>
        <w:tc>
          <w:tcPr>
            <w:tcW w:w="735" w:type="pct"/>
            <w:shd w:val="clear" w:color="auto" w:fill="auto"/>
          </w:tcPr>
          <w:p w14:paraId="31AE8802" w14:textId="0F0CD424" w:rsidR="00BF586F" w:rsidRPr="00CA0EB7" w:rsidRDefault="00BF586F" w:rsidP="00BF586F">
            <w:pPr>
              <w:ind w:left="110" w:hanging="110"/>
              <w:jc w:val="right"/>
              <w:rPr>
                <w:rFonts w:ascii="Arial" w:hAnsi="Arial" w:cs="Arial"/>
                <w:lang w:val="it-IT"/>
              </w:rPr>
            </w:pPr>
            <w:r w:rsidRPr="00CA0EB7">
              <w:rPr>
                <w:rFonts w:ascii="Arial" w:hAnsi="Arial" w:cs="Arial"/>
              </w:rPr>
              <w:t>(</w:t>
            </w:r>
            <w:r w:rsidR="00CA0EB7" w:rsidRPr="00CA0EB7">
              <w:rPr>
                <w:rFonts w:ascii="Arial" w:hAnsi="Arial" w:cs="Arial"/>
              </w:rPr>
              <w:t>2</w:t>
            </w:r>
            <w:r w:rsidRPr="00CA0EB7">
              <w:rPr>
                <w:rFonts w:ascii="Arial" w:hAnsi="Arial" w:cs="Arial"/>
              </w:rPr>
              <w:t>)</w:t>
            </w:r>
          </w:p>
        </w:tc>
        <w:tc>
          <w:tcPr>
            <w:tcW w:w="733" w:type="pct"/>
            <w:shd w:val="clear" w:color="auto" w:fill="auto"/>
          </w:tcPr>
          <w:p w14:paraId="0FA48068" w14:textId="608A1D67" w:rsidR="00BF586F" w:rsidRPr="00CA0EB7" w:rsidRDefault="00BF586F" w:rsidP="00BF586F">
            <w:pPr>
              <w:ind w:left="110" w:hanging="110"/>
              <w:jc w:val="right"/>
              <w:rPr>
                <w:rFonts w:ascii="Arial" w:hAnsi="Arial" w:cs="Arial"/>
                <w:lang w:val="it-IT"/>
              </w:rPr>
            </w:pPr>
            <w:r w:rsidRPr="00CA0EB7">
              <w:rPr>
                <w:rFonts w:ascii="Arial" w:hAnsi="Arial" w:cs="Arial"/>
              </w:rPr>
              <w:t>(</w:t>
            </w:r>
            <w:r w:rsidR="00CA0EB7" w:rsidRPr="00CA0EB7">
              <w:rPr>
                <w:rFonts w:ascii="Arial" w:hAnsi="Arial" w:cs="Arial"/>
              </w:rPr>
              <w:t>10</w:t>
            </w:r>
            <w:r w:rsidRPr="00CA0EB7">
              <w:rPr>
                <w:rFonts w:ascii="Arial" w:hAnsi="Arial" w:cs="Arial"/>
              </w:rPr>
              <w:t>)%</w:t>
            </w:r>
          </w:p>
        </w:tc>
      </w:tr>
      <w:tr w:rsidR="00BF586F" w:rsidRPr="004D39BF" w14:paraId="10D62F9E" w14:textId="77777777" w:rsidTr="001B494B">
        <w:tc>
          <w:tcPr>
            <w:tcW w:w="1249" w:type="pct"/>
            <w:tcBorders>
              <w:bottom w:val="single" w:sz="4" w:space="0" w:color="auto"/>
            </w:tcBorders>
          </w:tcPr>
          <w:p w14:paraId="62D313A0" w14:textId="77777777" w:rsidR="00BF586F" w:rsidRPr="00C5382F" w:rsidRDefault="00BF586F" w:rsidP="00BF586F">
            <w:pPr>
              <w:jc w:val="left"/>
              <w:rPr>
                <w:rFonts w:ascii="Arial" w:hAnsi="Arial" w:cs="Arial"/>
                <w:lang w:val="it-IT"/>
              </w:rPr>
            </w:pPr>
            <w:r w:rsidRPr="00614936">
              <w:rPr>
                <w:rFonts w:ascii="Arial" w:hAnsi="Arial" w:cs="Arial"/>
                <w:lang w:val="it-IT"/>
              </w:rPr>
              <w:t>Screwfix Germany</w:t>
            </w:r>
          </w:p>
        </w:tc>
        <w:tc>
          <w:tcPr>
            <w:tcW w:w="792" w:type="pct"/>
            <w:tcBorders>
              <w:bottom w:val="single" w:sz="4" w:space="0" w:color="auto"/>
            </w:tcBorders>
            <w:shd w:val="clear" w:color="auto" w:fill="auto"/>
            <w:vAlign w:val="center"/>
          </w:tcPr>
          <w:p w14:paraId="56A4BC9D" w14:textId="300AB64C" w:rsidR="00BF586F" w:rsidRPr="00C5382F" w:rsidRDefault="00C5382F" w:rsidP="00BF586F">
            <w:pPr>
              <w:ind w:left="110" w:hanging="110"/>
              <w:jc w:val="right"/>
              <w:rPr>
                <w:rFonts w:ascii="Arial" w:hAnsi="Arial" w:cs="Arial"/>
                <w:lang w:val="it-IT"/>
              </w:rPr>
            </w:pPr>
            <w:r w:rsidRPr="00C5382F">
              <w:rPr>
                <w:rFonts w:ascii="Arial" w:hAnsi="Arial" w:cs="Arial"/>
                <w:lang w:val="it-IT"/>
              </w:rPr>
              <w:t>20</w:t>
            </w:r>
          </w:p>
        </w:tc>
        <w:tc>
          <w:tcPr>
            <w:tcW w:w="661" w:type="pct"/>
            <w:tcBorders>
              <w:bottom w:val="single" w:sz="4" w:space="0" w:color="auto"/>
            </w:tcBorders>
            <w:shd w:val="clear" w:color="auto" w:fill="auto"/>
            <w:vAlign w:val="center"/>
          </w:tcPr>
          <w:p w14:paraId="08E4A490" w14:textId="6BF7639A" w:rsidR="00BF586F" w:rsidRPr="00E90E37" w:rsidRDefault="00E90E37" w:rsidP="00BF586F">
            <w:pPr>
              <w:ind w:left="110" w:hanging="110"/>
              <w:jc w:val="right"/>
              <w:rPr>
                <w:rFonts w:ascii="Arial" w:hAnsi="Arial" w:cs="Arial"/>
                <w:lang w:val="it-IT"/>
              </w:rPr>
            </w:pPr>
            <w:r w:rsidRPr="00E90E37">
              <w:rPr>
                <w:rFonts w:ascii="Arial" w:hAnsi="Arial" w:cs="Arial"/>
                <w:lang w:val="it-IT"/>
              </w:rPr>
              <w:t>-</w:t>
            </w:r>
          </w:p>
        </w:tc>
        <w:tc>
          <w:tcPr>
            <w:tcW w:w="830" w:type="pct"/>
            <w:tcBorders>
              <w:bottom w:val="single" w:sz="4" w:space="0" w:color="auto"/>
            </w:tcBorders>
            <w:shd w:val="clear" w:color="auto" w:fill="auto"/>
            <w:vAlign w:val="center"/>
          </w:tcPr>
          <w:p w14:paraId="4689CD67" w14:textId="59412DF5" w:rsidR="00BF586F" w:rsidRPr="00E90E37" w:rsidRDefault="00E90E37" w:rsidP="00BF586F">
            <w:pPr>
              <w:ind w:left="110" w:hanging="110"/>
              <w:jc w:val="right"/>
              <w:rPr>
                <w:rFonts w:ascii="Arial" w:hAnsi="Arial" w:cs="Arial"/>
                <w:lang w:val="it-IT"/>
              </w:rPr>
            </w:pPr>
            <w:r w:rsidRPr="00E90E37">
              <w:rPr>
                <w:rFonts w:ascii="Arial" w:hAnsi="Arial" w:cs="Arial"/>
                <w:lang w:val="it-IT"/>
              </w:rPr>
              <w:t>-</w:t>
            </w:r>
          </w:p>
        </w:tc>
        <w:tc>
          <w:tcPr>
            <w:tcW w:w="735" w:type="pct"/>
            <w:tcBorders>
              <w:bottom w:val="single" w:sz="4" w:space="0" w:color="auto"/>
            </w:tcBorders>
            <w:shd w:val="clear" w:color="auto" w:fill="auto"/>
          </w:tcPr>
          <w:p w14:paraId="2F99BEE3" w14:textId="5902AAF8" w:rsidR="00BF586F" w:rsidRPr="00CA0EB7" w:rsidRDefault="00BF586F" w:rsidP="00BF586F">
            <w:pPr>
              <w:ind w:left="110" w:hanging="110"/>
              <w:jc w:val="right"/>
              <w:rPr>
                <w:rFonts w:ascii="Arial" w:hAnsi="Arial" w:cs="Arial"/>
                <w:lang w:val="it-IT"/>
              </w:rPr>
            </w:pPr>
            <w:r w:rsidRPr="00CA0EB7">
              <w:rPr>
                <w:rFonts w:ascii="Arial" w:hAnsi="Arial" w:cs="Arial"/>
              </w:rPr>
              <w:t>(19)</w:t>
            </w:r>
          </w:p>
        </w:tc>
        <w:tc>
          <w:tcPr>
            <w:tcW w:w="733" w:type="pct"/>
            <w:tcBorders>
              <w:bottom w:val="single" w:sz="4" w:space="0" w:color="auto"/>
            </w:tcBorders>
            <w:shd w:val="clear" w:color="auto" w:fill="auto"/>
          </w:tcPr>
          <w:p w14:paraId="383CD578" w14:textId="1AF6C186" w:rsidR="00BF586F" w:rsidRPr="00CA0EB7" w:rsidRDefault="00BF586F" w:rsidP="00BF586F">
            <w:pPr>
              <w:ind w:left="110" w:hanging="110"/>
              <w:jc w:val="right"/>
              <w:rPr>
                <w:rFonts w:ascii="Arial" w:hAnsi="Arial" w:cs="Arial"/>
                <w:lang w:val="it-IT"/>
              </w:rPr>
            </w:pPr>
            <w:r w:rsidRPr="00CA0EB7">
              <w:rPr>
                <w:rFonts w:ascii="Arial" w:hAnsi="Arial" w:cs="Arial"/>
              </w:rPr>
              <w:t>n.a.</w:t>
            </w:r>
          </w:p>
        </w:tc>
      </w:tr>
      <w:tr w:rsidR="00BF586F" w:rsidRPr="004D39BF" w14:paraId="263C6D83" w14:textId="77777777" w:rsidTr="001B494B">
        <w:tc>
          <w:tcPr>
            <w:tcW w:w="1249" w:type="pct"/>
            <w:tcBorders>
              <w:top w:val="single" w:sz="4" w:space="0" w:color="auto"/>
              <w:bottom w:val="single" w:sz="4" w:space="0" w:color="auto"/>
            </w:tcBorders>
          </w:tcPr>
          <w:p w14:paraId="03ED7DC5" w14:textId="77777777" w:rsidR="00BF586F" w:rsidRPr="00C5382F" w:rsidRDefault="00BF586F" w:rsidP="00BF586F">
            <w:pPr>
              <w:jc w:val="left"/>
              <w:rPr>
                <w:rFonts w:ascii="Arial" w:hAnsi="Arial" w:cs="Arial"/>
                <w:b/>
                <w:bCs/>
              </w:rPr>
            </w:pPr>
            <w:r w:rsidRPr="00C5382F">
              <w:rPr>
                <w:rFonts w:ascii="Arial" w:hAnsi="Arial" w:cs="Arial"/>
                <w:b/>
                <w:bCs/>
              </w:rPr>
              <w:t>Other International</w:t>
            </w:r>
          </w:p>
        </w:tc>
        <w:tc>
          <w:tcPr>
            <w:tcW w:w="792" w:type="pct"/>
            <w:tcBorders>
              <w:top w:val="single" w:sz="4" w:space="0" w:color="auto"/>
              <w:bottom w:val="single" w:sz="4" w:space="0" w:color="auto"/>
            </w:tcBorders>
            <w:shd w:val="clear" w:color="auto" w:fill="auto"/>
            <w:vAlign w:val="center"/>
          </w:tcPr>
          <w:p w14:paraId="48FE98FA" w14:textId="72AF212F" w:rsidR="00BF586F" w:rsidRPr="00C5382F" w:rsidRDefault="00BF586F" w:rsidP="00BF586F">
            <w:pPr>
              <w:ind w:left="110" w:hanging="110"/>
              <w:jc w:val="right"/>
              <w:rPr>
                <w:rFonts w:ascii="Arial" w:hAnsi="Arial" w:cs="Arial"/>
                <w:b/>
                <w:bCs/>
              </w:rPr>
            </w:pPr>
            <w:r w:rsidRPr="00C5382F">
              <w:rPr>
                <w:rFonts w:ascii="Arial" w:hAnsi="Arial" w:cs="Arial"/>
                <w:b/>
                <w:bCs/>
              </w:rPr>
              <w:t>1</w:t>
            </w:r>
            <w:r w:rsidR="00C5382F">
              <w:rPr>
                <w:rFonts w:ascii="Arial" w:hAnsi="Arial" w:cs="Arial"/>
                <w:b/>
                <w:bCs/>
              </w:rPr>
              <w:t>8,747</w:t>
            </w:r>
          </w:p>
        </w:tc>
        <w:tc>
          <w:tcPr>
            <w:tcW w:w="661" w:type="pct"/>
            <w:tcBorders>
              <w:top w:val="single" w:sz="4" w:space="0" w:color="auto"/>
              <w:bottom w:val="single" w:sz="4" w:space="0" w:color="auto"/>
            </w:tcBorders>
            <w:shd w:val="clear" w:color="auto" w:fill="auto"/>
            <w:vAlign w:val="center"/>
          </w:tcPr>
          <w:p w14:paraId="6A3F8150" w14:textId="3F07CDC7" w:rsidR="00BF586F" w:rsidRPr="00E90E37" w:rsidRDefault="00BF586F" w:rsidP="00BF586F">
            <w:pPr>
              <w:ind w:left="110" w:hanging="110"/>
              <w:jc w:val="right"/>
              <w:rPr>
                <w:rFonts w:ascii="Arial" w:hAnsi="Arial" w:cs="Arial"/>
                <w:b/>
                <w:bCs/>
              </w:rPr>
            </w:pPr>
            <w:r w:rsidRPr="00E90E37">
              <w:rPr>
                <w:rFonts w:ascii="Arial" w:hAnsi="Arial" w:cs="Arial"/>
                <w:b/>
                <w:bCs/>
              </w:rPr>
              <w:t>1</w:t>
            </w:r>
            <w:r w:rsidR="00E90E37" w:rsidRPr="00E90E37">
              <w:rPr>
                <w:rFonts w:ascii="Arial" w:hAnsi="Arial" w:cs="Arial"/>
                <w:b/>
                <w:bCs/>
              </w:rPr>
              <w:t>63</w:t>
            </w:r>
          </w:p>
        </w:tc>
        <w:tc>
          <w:tcPr>
            <w:tcW w:w="830" w:type="pct"/>
            <w:tcBorders>
              <w:top w:val="single" w:sz="4" w:space="0" w:color="auto"/>
              <w:bottom w:val="single" w:sz="4" w:space="0" w:color="auto"/>
            </w:tcBorders>
            <w:shd w:val="clear" w:color="auto" w:fill="auto"/>
            <w:vAlign w:val="center"/>
          </w:tcPr>
          <w:p w14:paraId="2150D9BE" w14:textId="6158F0CC" w:rsidR="00BF586F" w:rsidRPr="00E90E37" w:rsidRDefault="00BF586F" w:rsidP="00BF586F">
            <w:pPr>
              <w:ind w:left="110" w:hanging="110"/>
              <w:jc w:val="right"/>
              <w:rPr>
                <w:rFonts w:ascii="Arial" w:hAnsi="Arial" w:cs="Arial"/>
                <w:b/>
                <w:bCs/>
              </w:rPr>
            </w:pPr>
            <w:r w:rsidRPr="00E90E37">
              <w:rPr>
                <w:rFonts w:ascii="Arial" w:hAnsi="Arial" w:cs="Arial"/>
                <w:b/>
                <w:bCs/>
              </w:rPr>
              <w:t>1,</w:t>
            </w:r>
            <w:r w:rsidR="004D4248">
              <w:rPr>
                <w:rFonts w:ascii="Arial" w:hAnsi="Arial" w:cs="Arial"/>
                <w:b/>
                <w:bCs/>
              </w:rPr>
              <w:t>325</w:t>
            </w:r>
          </w:p>
        </w:tc>
        <w:tc>
          <w:tcPr>
            <w:tcW w:w="735" w:type="pct"/>
            <w:tcBorders>
              <w:top w:val="single" w:sz="4" w:space="0" w:color="auto"/>
              <w:bottom w:val="single" w:sz="4" w:space="0" w:color="auto"/>
            </w:tcBorders>
            <w:shd w:val="clear" w:color="auto" w:fill="auto"/>
          </w:tcPr>
          <w:p w14:paraId="35BE1548" w14:textId="3DBB2EF3" w:rsidR="00BF586F" w:rsidRPr="00CA0EB7" w:rsidRDefault="00BF586F" w:rsidP="00BF586F">
            <w:pPr>
              <w:ind w:left="110" w:hanging="110"/>
              <w:jc w:val="right"/>
              <w:rPr>
                <w:rFonts w:ascii="Arial" w:hAnsi="Arial" w:cs="Arial"/>
                <w:b/>
                <w:bCs/>
              </w:rPr>
            </w:pPr>
            <w:r w:rsidRPr="00CA0EB7">
              <w:rPr>
                <w:rFonts w:ascii="Arial" w:hAnsi="Arial" w:cs="Arial"/>
                <w:b/>
              </w:rPr>
              <w:t>(</w:t>
            </w:r>
            <w:r w:rsidR="00CA0EB7" w:rsidRPr="00CA0EB7">
              <w:rPr>
                <w:rFonts w:ascii="Arial" w:hAnsi="Arial" w:cs="Arial"/>
                <w:b/>
              </w:rPr>
              <w:t>20</w:t>
            </w:r>
            <w:r w:rsidRPr="00CA0EB7">
              <w:rPr>
                <w:rFonts w:ascii="Arial" w:hAnsi="Arial" w:cs="Arial"/>
                <w:b/>
              </w:rPr>
              <w:t>)</w:t>
            </w:r>
          </w:p>
        </w:tc>
        <w:tc>
          <w:tcPr>
            <w:tcW w:w="733" w:type="pct"/>
            <w:tcBorders>
              <w:top w:val="single" w:sz="4" w:space="0" w:color="auto"/>
              <w:bottom w:val="single" w:sz="4" w:space="0" w:color="auto"/>
            </w:tcBorders>
            <w:shd w:val="clear" w:color="auto" w:fill="auto"/>
          </w:tcPr>
          <w:p w14:paraId="58433B07" w14:textId="64002E97" w:rsidR="00BF586F" w:rsidRPr="00CA0EB7" w:rsidRDefault="00CA0EB7" w:rsidP="00BF586F">
            <w:pPr>
              <w:ind w:left="110" w:hanging="110"/>
              <w:jc w:val="right"/>
              <w:rPr>
                <w:rFonts w:ascii="Arial" w:hAnsi="Arial" w:cs="Arial"/>
                <w:b/>
                <w:bCs/>
              </w:rPr>
            </w:pPr>
            <w:r w:rsidRPr="00CA0EB7">
              <w:rPr>
                <w:rFonts w:ascii="Arial" w:hAnsi="Arial" w:cs="Arial"/>
                <w:b/>
                <w:bCs/>
              </w:rPr>
              <w:t>-</w:t>
            </w:r>
          </w:p>
        </w:tc>
      </w:tr>
      <w:tr w:rsidR="00BF586F" w:rsidRPr="00667C8E" w14:paraId="6E94D097" w14:textId="77777777" w:rsidTr="009F71DB">
        <w:trPr>
          <w:trHeight w:val="277"/>
        </w:trPr>
        <w:tc>
          <w:tcPr>
            <w:tcW w:w="1249" w:type="pct"/>
            <w:tcBorders>
              <w:top w:val="single" w:sz="4" w:space="0" w:color="auto"/>
              <w:bottom w:val="single" w:sz="4" w:space="0" w:color="auto"/>
            </w:tcBorders>
          </w:tcPr>
          <w:p w14:paraId="7741F8A1" w14:textId="78325639" w:rsidR="00BF586F" w:rsidRPr="00C5382F" w:rsidRDefault="00BF586F" w:rsidP="00BF586F">
            <w:pPr>
              <w:spacing w:before="100"/>
              <w:ind w:left="108" w:hanging="108"/>
              <w:jc w:val="left"/>
              <w:rPr>
                <w:rFonts w:ascii="Arial" w:hAnsi="Arial" w:cs="Arial"/>
                <w:b/>
                <w:bCs/>
              </w:rPr>
            </w:pPr>
            <w:r w:rsidRPr="00C5382F">
              <w:rPr>
                <w:rFonts w:ascii="Arial" w:hAnsi="Arial" w:cs="Arial"/>
                <w:b/>
                <w:bCs/>
              </w:rPr>
              <w:t xml:space="preserve">Total </w:t>
            </w:r>
          </w:p>
        </w:tc>
        <w:tc>
          <w:tcPr>
            <w:tcW w:w="792" w:type="pct"/>
            <w:tcBorders>
              <w:top w:val="single" w:sz="4" w:space="0" w:color="auto"/>
              <w:bottom w:val="single" w:sz="4" w:space="0" w:color="auto"/>
            </w:tcBorders>
            <w:shd w:val="clear" w:color="auto" w:fill="auto"/>
            <w:vAlign w:val="center"/>
          </w:tcPr>
          <w:p w14:paraId="38EC219D" w14:textId="1F94F1BC" w:rsidR="00BF586F" w:rsidRPr="00C5382F" w:rsidRDefault="00BF586F" w:rsidP="00BF586F">
            <w:pPr>
              <w:spacing w:before="100"/>
              <w:ind w:left="108" w:hanging="108"/>
              <w:jc w:val="right"/>
              <w:rPr>
                <w:rFonts w:ascii="Arial" w:hAnsi="Arial" w:cs="Arial"/>
                <w:b/>
                <w:bCs/>
              </w:rPr>
            </w:pPr>
            <w:r w:rsidRPr="00C5382F">
              <w:rPr>
                <w:rFonts w:ascii="Arial" w:hAnsi="Arial" w:cs="Arial"/>
                <w:b/>
                <w:bCs/>
              </w:rPr>
              <w:t>6</w:t>
            </w:r>
            <w:r w:rsidR="00C5382F">
              <w:rPr>
                <w:rFonts w:ascii="Arial" w:hAnsi="Arial" w:cs="Arial"/>
                <w:b/>
                <w:bCs/>
              </w:rPr>
              <w:t>2,889</w:t>
            </w:r>
          </w:p>
        </w:tc>
        <w:tc>
          <w:tcPr>
            <w:tcW w:w="661" w:type="pct"/>
            <w:tcBorders>
              <w:top w:val="single" w:sz="4" w:space="0" w:color="auto"/>
              <w:bottom w:val="single" w:sz="4" w:space="0" w:color="auto"/>
            </w:tcBorders>
            <w:shd w:val="clear" w:color="auto" w:fill="auto"/>
            <w:vAlign w:val="center"/>
          </w:tcPr>
          <w:p w14:paraId="55D257E1" w14:textId="3BBCE272" w:rsidR="00BF586F" w:rsidRPr="00E90E37" w:rsidRDefault="00BF586F" w:rsidP="00BF586F">
            <w:pPr>
              <w:spacing w:before="100"/>
              <w:ind w:left="108" w:hanging="108"/>
              <w:jc w:val="right"/>
              <w:rPr>
                <w:rFonts w:ascii="Arial" w:hAnsi="Arial" w:cs="Arial"/>
                <w:b/>
                <w:bCs/>
              </w:rPr>
            </w:pPr>
            <w:r w:rsidRPr="00E90E37">
              <w:rPr>
                <w:rFonts w:ascii="Arial" w:hAnsi="Arial" w:cs="Arial"/>
                <w:b/>
                <w:bCs/>
              </w:rPr>
              <w:t>1,3</w:t>
            </w:r>
            <w:r w:rsidR="00E90E37" w:rsidRPr="00E90E37">
              <w:rPr>
                <w:rFonts w:ascii="Arial" w:hAnsi="Arial" w:cs="Arial"/>
                <w:b/>
                <w:bCs/>
              </w:rPr>
              <w:t>26</w:t>
            </w:r>
          </w:p>
        </w:tc>
        <w:tc>
          <w:tcPr>
            <w:tcW w:w="830" w:type="pct"/>
            <w:tcBorders>
              <w:top w:val="single" w:sz="4" w:space="0" w:color="auto"/>
              <w:bottom w:val="single" w:sz="4" w:space="0" w:color="auto"/>
            </w:tcBorders>
            <w:shd w:val="clear" w:color="auto" w:fill="auto"/>
            <w:vAlign w:val="center"/>
          </w:tcPr>
          <w:p w14:paraId="01823666" w14:textId="1633700D" w:rsidR="00BF586F" w:rsidRPr="00E90E37" w:rsidRDefault="00BF586F" w:rsidP="00BF586F">
            <w:pPr>
              <w:spacing w:before="100"/>
              <w:ind w:left="108" w:hanging="108"/>
              <w:jc w:val="right"/>
              <w:rPr>
                <w:rFonts w:ascii="Arial" w:hAnsi="Arial" w:cs="Arial"/>
                <w:b/>
                <w:bCs/>
              </w:rPr>
            </w:pPr>
            <w:r w:rsidRPr="00E90E37">
              <w:rPr>
                <w:rFonts w:ascii="Arial" w:hAnsi="Arial" w:cs="Arial"/>
                <w:b/>
                <w:bCs/>
              </w:rPr>
              <w:t>5,</w:t>
            </w:r>
            <w:r w:rsidR="004D4248" w:rsidRPr="00E90E37">
              <w:rPr>
                <w:rFonts w:ascii="Arial" w:hAnsi="Arial" w:cs="Arial"/>
                <w:b/>
                <w:bCs/>
              </w:rPr>
              <w:t>6</w:t>
            </w:r>
            <w:r w:rsidR="004D4248">
              <w:rPr>
                <w:rFonts w:ascii="Arial" w:hAnsi="Arial" w:cs="Arial"/>
                <w:b/>
                <w:bCs/>
              </w:rPr>
              <w:t>71</w:t>
            </w:r>
          </w:p>
        </w:tc>
        <w:tc>
          <w:tcPr>
            <w:tcW w:w="735" w:type="pct"/>
            <w:tcBorders>
              <w:top w:val="single" w:sz="4" w:space="0" w:color="auto"/>
              <w:bottom w:val="single" w:sz="4" w:space="0" w:color="auto"/>
            </w:tcBorders>
            <w:shd w:val="clear" w:color="auto" w:fill="auto"/>
          </w:tcPr>
          <w:p w14:paraId="7B6D8A7E" w14:textId="4BA8D0A2" w:rsidR="00BF586F" w:rsidRPr="00CA0EB7" w:rsidRDefault="00CA0EB7" w:rsidP="00BF586F">
            <w:pPr>
              <w:spacing w:before="100"/>
              <w:ind w:left="108" w:hanging="108"/>
              <w:jc w:val="right"/>
              <w:rPr>
                <w:rFonts w:ascii="Arial" w:hAnsi="Arial" w:cs="Arial"/>
                <w:b/>
                <w:bCs/>
              </w:rPr>
            </w:pPr>
            <w:r w:rsidRPr="00CA0EB7">
              <w:rPr>
                <w:rFonts w:ascii="Arial" w:hAnsi="Arial" w:cs="Arial"/>
                <w:b/>
                <w:bCs/>
              </w:rPr>
              <w:t>3</w:t>
            </w:r>
            <w:r w:rsidR="00B75D5A">
              <w:rPr>
                <w:rFonts w:ascii="Arial" w:hAnsi="Arial" w:cs="Arial"/>
                <w:b/>
                <w:bCs/>
              </w:rPr>
              <w:t>3</w:t>
            </w:r>
          </w:p>
        </w:tc>
        <w:tc>
          <w:tcPr>
            <w:tcW w:w="733" w:type="pct"/>
            <w:tcBorders>
              <w:top w:val="single" w:sz="4" w:space="0" w:color="auto"/>
              <w:bottom w:val="single" w:sz="4" w:space="0" w:color="auto"/>
            </w:tcBorders>
            <w:shd w:val="clear" w:color="auto" w:fill="auto"/>
          </w:tcPr>
          <w:p w14:paraId="346700C2" w14:textId="6F32E874" w:rsidR="00BF586F" w:rsidRPr="00CA0EB7" w:rsidRDefault="00BF586F" w:rsidP="00BF586F">
            <w:pPr>
              <w:spacing w:before="100"/>
              <w:ind w:left="108" w:hanging="108"/>
              <w:jc w:val="right"/>
              <w:rPr>
                <w:rFonts w:ascii="Arial" w:hAnsi="Arial" w:cs="Arial"/>
                <w:b/>
                <w:bCs/>
              </w:rPr>
            </w:pPr>
            <w:r w:rsidRPr="00CA0EB7">
              <w:rPr>
                <w:rFonts w:ascii="Arial" w:hAnsi="Arial" w:cs="Arial"/>
                <w:b/>
              </w:rPr>
              <w:t>-</w:t>
            </w:r>
          </w:p>
        </w:tc>
      </w:tr>
    </w:tbl>
    <w:p w14:paraId="4E3A71AC" w14:textId="795B61D5" w:rsidR="00CF487E" w:rsidRDefault="007D43ED" w:rsidP="005A2F64">
      <w:pPr>
        <w:pStyle w:val="ListParagraph"/>
        <w:numPr>
          <w:ilvl w:val="0"/>
          <w:numId w:val="33"/>
        </w:numPr>
        <w:rPr>
          <w:rFonts w:ascii="Arial" w:hAnsi="Arial" w:cs="Arial"/>
          <w:sz w:val="18"/>
        </w:rPr>
      </w:pPr>
      <w:r w:rsidRPr="002330C8">
        <w:rPr>
          <w:rFonts w:ascii="Arial" w:hAnsi="Arial" w:cs="Arial"/>
          <w:sz w:val="18"/>
        </w:rPr>
        <w:t>Screwfix sales area relates to the front of counter area of an outlet</w:t>
      </w:r>
    </w:p>
    <w:p w14:paraId="1B5C88AD" w14:textId="7C7D1A0D" w:rsidR="00A116E5" w:rsidRDefault="006538EA" w:rsidP="00A116E5">
      <w:pPr>
        <w:pStyle w:val="ListParagraph"/>
        <w:numPr>
          <w:ilvl w:val="0"/>
          <w:numId w:val="33"/>
        </w:numPr>
        <w:rPr>
          <w:rFonts w:ascii="Arial" w:hAnsi="Arial" w:cs="Arial"/>
          <w:sz w:val="18"/>
        </w:rPr>
      </w:pPr>
      <w:r w:rsidRPr="006538EA">
        <w:rPr>
          <w:rFonts w:ascii="Arial" w:hAnsi="Arial" w:cs="Arial"/>
          <w:sz w:val="18"/>
        </w:rPr>
        <w:t>Brico Dépôt</w:t>
      </w:r>
      <w:r>
        <w:rPr>
          <w:rFonts w:ascii="Arial" w:hAnsi="Arial" w:cs="Arial"/>
          <w:sz w:val="18"/>
        </w:rPr>
        <w:t xml:space="preserve"> Spain &amp; Portugal</w:t>
      </w:r>
    </w:p>
    <w:bookmarkEnd w:id="36"/>
    <w:p w14:paraId="5294E385" w14:textId="77777777" w:rsidR="007D43ED" w:rsidRPr="009F71DB" w:rsidRDefault="007D43ED" w:rsidP="009F71DB">
      <w:pPr>
        <w:jc w:val="left"/>
        <w:rPr>
          <w:rFonts w:ascii="Arial" w:hAnsi="Arial"/>
          <w:b/>
        </w:rPr>
      </w:pPr>
    </w:p>
    <w:p w14:paraId="604682F6" w14:textId="77777777" w:rsidR="00B81DAF" w:rsidRPr="00A845B7" w:rsidRDefault="00B81DAF" w:rsidP="00B81DAF">
      <w:pPr>
        <w:jc w:val="left"/>
        <w:rPr>
          <w:rFonts w:ascii="Arial" w:hAnsi="Arial" w:cs="Arial"/>
          <w:b/>
          <w:bCs/>
        </w:rPr>
      </w:pPr>
      <w:r w:rsidRPr="00A845B7">
        <w:rPr>
          <w:rFonts w:ascii="Arial" w:hAnsi="Arial" w:cs="Arial"/>
          <w:b/>
          <w:bCs/>
        </w:rPr>
        <w:t>Income statement:</w:t>
      </w:r>
    </w:p>
    <w:p w14:paraId="0C1B0E35" w14:textId="77777777" w:rsidR="00B81DAF" w:rsidRDefault="00B81DAF" w:rsidP="001140BA">
      <w:pPr>
        <w:pStyle w:val="ListParagraph"/>
        <w:numPr>
          <w:ilvl w:val="0"/>
          <w:numId w:val="19"/>
        </w:numPr>
        <w:jc w:val="left"/>
        <w:rPr>
          <w:rFonts w:ascii="Arial" w:hAnsi="Arial" w:cs="Arial"/>
          <w:bCs/>
        </w:rPr>
      </w:pPr>
      <w:r>
        <w:rPr>
          <w:rFonts w:ascii="Arial" w:hAnsi="Arial" w:cs="Arial"/>
          <w:bCs/>
        </w:rPr>
        <w:t>Sales outlook:</w:t>
      </w:r>
    </w:p>
    <w:p w14:paraId="04FCBDE1" w14:textId="330489BD" w:rsidR="00B81DAF" w:rsidRPr="00372A58" w:rsidRDefault="00B81DAF" w:rsidP="001140BA">
      <w:pPr>
        <w:pStyle w:val="ListParagraph"/>
        <w:numPr>
          <w:ilvl w:val="1"/>
          <w:numId w:val="19"/>
        </w:numPr>
        <w:jc w:val="left"/>
        <w:rPr>
          <w:rFonts w:ascii="Arial" w:hAnsi="Arial" w:cs="Arial"/>
          <w:bCs/>
        </w:rPr>
      </w:pPr>
      <w:r w:rsidRPr="00372A58">
        <w:rPr>
          <w:rFonts w:ascii="Arial" w:hAnsi="Arial" w:cs="Arial"/>
          <w:bCs/>
        </w:rPr>
        <w:t>UK – heightened levels of uncertainty</w:t>
      </w:r>
      <w:r w:rsidR="00392C7D">
        <w:rPr>
          <w:rFonts w:ascii="Arial" w:hAnsi="Arial" w:cs="Arial"/>
          <w:bCs/>
        </w:rPr>
        <w:t>;</w:t>
      </w:r>
      <w:r w:rsidR="00392C7D" w:rsidRPr="00392C7D">
        <w:rPr>
          <w:rFonts w:asciiTheme="minorHAnsi" w:eastAsiaTheme="minorEastAsia" w:hAnsi="Arial" w:cstheme="minorBidi"/>
          <w:color w:val="000000" w:themeColor="text1"/>
          <w:kern w:val="24"/>
          <w:sz w:val="32"/>
          <w:szCs w:val="32"/>
        </w:rPr>
        <w:t xml:space="preserve"> </w:t>
      </w:r>
      <w:r w:rsidR="00143786">
        <w:rPr>
          <w:rFonts w:ascii="Arial" w:hAnsi="Arial" w:cs="Arial"/>
          <w:bCs/>
        </w:rPr>
        <w:t>annualising d</w:t>
      </w:r>
      <w:r w:rsidR="00392C7D" w:rsidRPr="00392C7D">
        <w:rPr>
          <w:rFonts w:ascii="Arial" w:hAnsi="Arial" w:cs="Arial"/>
          <w:bCs/>
        </w:rPr>
        <w:t xml:space="preserve">iscontinuation of installations at B&amp;Q </w:t>
      </w:r>
      <w:r w:rsidR="007037B9">
        <w:rPr>
          <w:rFonts w:ascii="Arial" w:hAnsi="Arial" w:cs="Arial"/>
          <w:bCs/>
        </w:rPr>
        <w:t>at the end of</w:t>
      </w:r>
      <w:r w:rsidR="00392C7D" w:rsidRPr="00143786">
        <w:rPr>
          <w:rFonts w:ascii="Arial" w:hAnsi="Arial" w:cs="Arial"/>
          <w:bCs/>
        </w:rPr>
        <w:t xml:space="preserve"> Q3 19/20</w:t>
      </w:r>
    </w:p>
    <w:p w14:paraId="6F0D242C" w14:textId="349B9D87" w:rsidR="00B81DAF" w:rsidRPr="00F80454" w:rsidRDefault="00B81DAF" w:rsidP="001140BA">
      <w:pPr>
        <w:pStyle w:val="ListParagraph"/>
        <w:numPr>
          <w:ilvl w:val="1"/>
          <w:numId w:val="19"/>
        </w:numPr>
        <w:jc w:val="left"/>
        <w:rPr>
          <w:rFonts w:ascii="Arial" w:hAnsi="Arial" w:cs="Arial"/>
          <w:bCs/>
        </w:rPr>
      </w:pPr>
      <w:r w:rsidRPr="00F80454">
        <w:rPr>
          <w:rFonts w:ascii="Arial" w:hAnsi="Arial" w:cs="Arial"/>
          <w:bCs/>
        </w:rPr>
        <w:t>France –</w:t>
      </w:r>
      <w:r w:rsidR="00F80454" w:rsidRPr="00F80454">
        <w:rPr>
          <w:rFonts w:ascii="Arial" w:hAnsi="Arial" w:cs="Arial"/>
          <w:bCs/>
        </w:rPr>
        <w:t xml:space="preserve"> </w:t>
      </w:r>
      <w:r w:rsidR="00831BF6" w:rsidRPr="00831BF6">
        <w:rPr>
          <w:rFonts w:ascii="Arial" w:hAnsi="Arial" w:cs="Arial"/>
          <w:bCs/>
        </w:rPr>
        <w:t xml:space="preserve">Castorama </w:t>
      </w:r>
      <w:r w:rsidR="0054241E">
        <w:rPr>
          <w:rFonts w:ascii="Arial" w:hAnsi="Arial" w:cs="Arial"/>
          <w:bCs/>
        </w:rPr>
        <w:t xml:space="preserve">continues to </w:t>
      </w:r>
      <w:r w:rsidR="00831BF6" w:rsidRPr="00831BF6">
        <w:rPr>
          <w:rFonts w:ascii="Arial" w:hAnsi="Arial" w:cs="Arial"/>
          <w:bCs/>
        </w:rPr>
        <w:t>underperform</w:t>
      </w:r>
      <w:r w:rsidR="00831BF6">
        <w:rPr>
          <w:rFonts w:ascii="Arial" w:hAnsi="Arial" w:cs="Arial"/>
          <w:bCs/>
        </w:rPr>
        <w:t xml:space="preserve">; </w:t>
      </w:r>
      <w:r w:rsidR="00831BF6" w:rsidRPr="00F80454">
        <w:rPr>
          <w:rFonts w:ascii="Arial" w:hAnsi="Arial" w:cs="Arial"/>
          <w:bCs/>
        </w:rPr>
        <w:t xml:space="preserve">Brico Dépôt </w:t>
      </w:r>
      <w:r w:rsidR="00143786">
        <w:rPr>
          <w:rFonts w:ascii="Arial" w:hAnsi="Arial" w:cs="Arial"/>
          <w:bCs/>
        </w:rPr>
        <w:t xml:space="preserve">annualising </w:t>
      </w:r>
      <w:r w:rsidR="00392C7D" w:rsidRPr="00F80454">
        <w:rPr>
          <w:rFonts w:ascii="Arial" w:hAnsi="Arial" w:cs="Arial"/>
          <w:bCs/>
        </w:rPr>
        <w:t>reduction in promotional activity (“</w:t>
      </w:r>
      <w:r w:rsidR="00392C7D" w:rsidRPr="009F71DB">
        <w:rPr>
          <w:rFonts w:ascii="Arial" w:hAnsi="Arial"/>
          <w:i/>
        </w:rPr>
        <w:t>arrivages</w:t>
      </w:r>
      <w:r w:rsidR="00392C7D" w:rsidRPr="00F80454">
        <w:rPr>
          <w:rFonts w:ascii="Arial" w:hAnsi="Arial" w:cs="Arial"/>
          <w:bCs/>
        </w:rPr>
        <w:t xml:space="preserve">”) </w:t>
      </w:r>
      <w:r w:rsidR="00D06F4B">
        <w:rPr>
          <w:rFonts w:ascii="Arial" w:hAnsi="Arial" w:cs="Arial"/>
          <w:bCs/>
        </w:rPr>
        <w:t xml:space="preserve">at end of </w:t>
      </w:r>
      <w:r w:rsidR="00392C7D" w:rsidRPr="00F80454">
        <w:rPr>
          <w:rFonts w:ascii="Arial" w:hAnsi="Arial" w:cs="Arial"/>
          <w:bCs/>
        </w:rPr>
        <w:t>Q</w:t>
      </w:r>
      <w:r w:rsidR="00D06F4B">
        <w:rPr>
          <w:rFonts w:ascii="Arial" w:hAnsi="Arial" w:cs="Arial"/>
          <w:bCs/>
        </w:rPr>
        <w:t>3</w:t>
      </w:r>
      <w:r w:rsidR="00392C7D" w:rsidRPr="00F80454">
        <w:rPr>
          <w:rFonts w:ascii="Arial" w:hAnsi="Arial" w:cs="Arial"/>
          <w:bCs/>
        </w:rPr>
        <w:t xml:space="preserve"> 19/20</w:t>
      </w:r>
    </w:p>
    <w:p w14:paraId="6631981B" w14:textId="5D6E3D87" w:rsidR="00B81DAF" w:rsidRDefault="00B81DAF" w:rsidP="001140BA">
      <w:pPr>
        <w:pStyle w:val="ListParagraph"/>
        <w:numPr>
          <w:ilvl w:val="1"/>
          <w:numId w:val="19"/>
        </w:numPr>
        <w:jc w:val="left"/>
        <w:rPr>
          <w:rFonts w:ascii="Arial" w:hAnsi="Arial" w:cs="Arial"/>
          <w:bCs/>
        </w:rPr>
      </w:pPr>
      <w:r w:rsidRPr="00C2187E">
        <w:rPr>
          <w:rFonts w:ascii="Arial" w:hAnsi="Arial" w:cs="Arial"/>
          <w:bCs/>
        </w:rPr>
        <w:t>Poland – loss of one further Sunday of trading per month (3</w:t>
      </w:r>
      <w:r>
        <w:rPr>
          <w:rFonts w:ascii="Arial" w:hAnsi="Arial" w:cs="Arial"/>
          <w:bCs/>
        </w:rPr>
        <w:t xml:space="preserve"> non-trading Sundays</w:t>
      </w:r>
      <w:r w:rsidR="00834778">
        <w:rPr>
          <w:rFonts w:ascii="Arial" w:hAnsi="Arial" w:cs="Arial"/>
          <w:bCs/>
        </w:rPr>
        <w:t xml:space="preserve"> from January 2019</w:t>
      </w:r>
      <w:r>
        <w:rPr>
          <w:rFonts w:ascii="Arial" w:hAnsi="Arial" w:cs="Arial"/>
          <w:bCs/>
        </w:rPr>
        <w:t>; previously 2</w:t>
      </w:r>
      <w:r w:rsidRPr="00C2187E">
        <w:rPr>
          <w:rFonts w:ascii="Arial" w:hAnsi="Arial" w:cs="Arial"/>
          <w:bCs/>
        </w:rPr>
        <w:t>)</w:t>
      </w:r>
    </w:p>
    <w:p w14:paraId="4FB061EE" w14:textId="50F70E99" w:rsidR="00B27BD6" w:rsidRDefault="00143786" w:rsidP="00143786">
      <w:pPr>
        <w:pStyle w:val="ListParagraph"/>
        <w:numPr>
          <w:ilvl w:val="0"/>
          <w:numId w:val="4"/>
        </w:numPr>
        <w:jc w:val="left"/>
        <w:rPr>
          <w:rFonts w:ascii="Arial" w:hAnsi="Arial" w:cs="Arial"/>
          <w:bCs/>
        </w:rPr>
      </w:pPr>
      <w:r w:rsidRPr="00143786">
        <w:rPr>
          <w:rFonts w:ascii="Arial" w:hAnsi="Arial" w:cs="Arial"/>
          <w:bCs/>
        </w:rPr>
        <w:t>Continue to expect full year gross margin % after clearance to be flat</w:t>
      </w:r>
      <w:r w:rsidRPr="00B56D28">
        <w:rPr>
          <w:rFonts w:ascii="Arial" w:hAnsi="Arial" w:cs="Arial"/>
          <w:bCs/>
          <w:vertAlign w:val="superscript"/>
        </w:rPr>
        <w:t>(</w:t>
      </w:r>
      <w:r w:rsidR="006538EA">
        <w:rPr>
          <w:rFonts w:ascii="Arial" w:hAnsi="Arial" w:cs="Arial"/>
          <w:bCs/>
          <w:vertAlign w:val="superscript"/>
        </w:rPr>
        <w:t>3</w:t>
      </w:r>
      <w:r w:rsidRPr="00B56D28">
        <w:rPr>
          <w:rFonts w:ascii="Arial" w:hAnsi="Arial" w:cs="Arial"/>
          <w:bCs/>
          <w:vertAlign w:val="superscript"/>
        </w:rPr>
        <w:t>)</w:t>
      </w:r>
      <w:r w:rsidRPr="00143786">
        <w:rPr>
          <w:rFonts w:ascii="Arial" w:hAnsi="Arial" w:cs="Arial"/>
          <w:bCs/>
        </w:rPr>
        <w:t xml:space="preserve"> </w:t>
      </w:r>
    </w:p>
    <w:p w14:paraId="7C7FBAB3" w14:textId="661D73CE" w:rsidR="00143786" w:rsidRPr="00143786" w:rsidRDefault="00143786" w:rsidP="001F1C68">
      <w:pPr>
        <w:pStyle w:val="ListParagraph"/>
        <w:numPr>
          <w:ilvl w:val="1"/>
          <w:numId w:val="4"/>
        </w:numPr>
        <w:jc w:val="left"/>
        <w:rPr>
          <w:rFonts w:ascii="Arial" w:hAnsi="Arial" w:cs="Arial"/>
          <w:bCs/>
        </w:rPr>
      </w:pPr>
      <w:r w:rsidRPr="00143786">
        <w:rPr>
          <w:rFonts w:ascii="Arial" w:hAnsi="Arial" w:cs="Arial"/>
          <w:bCs/>
        </w:rPr>
        <w:t>c. £30</w:t>
      </w:r>
      <w:r w:rsidR="002948EB">
        <w:rPr>
          <w:rFonts w:ascii="Arial" w:hAnsi="Arial" w:cs="Arial"/>
          <w:bCs/>
        </w:rPr>
        <w:t>-35</w:t>
      </w:r>
      <w:r w:rsidRPr="00143786">
        <w:rPr>
          <w:rFonts w:ascii="Arial" w:hAnsi="Arial" w:cs="Arial"/>
          <w:bCs/>
        </w:rPr>
        <w:t>m incremental clearance costs</w:t>
      </w:r>
      <w:r w:rsidR="002948EB">
        <w:rPr>
          <w:rFonts w:ascii="Arial" w:hAnsi="Arial" w:cs="Arial"/>
          <w:bCs/>
        </w:rPr>
        <w:t xml:space="preserve"> (previously £25-30m)</w:t>
      </w:r>
      <w:r w:rsidR="00BE6431">
        <w:rPr>
          <w:rFonts w:ascii="Arial" w:hAnsi="Arial" w:cs="Arial"/>
          <w:bCs/>
        </w:rPr>
        <w:t xml:space="preserve">, including </w:t>
      </w:r>
      <w:r w:rsidR="00B27BD6" w:rsidRPr="00B27BD6">
        <w:rPr>
          <w:rFonts w:ascii="Arial" w:hAnsi="Arial" w:cs="Arial"/>
          <w:bCs/>
        </w:rPr>
        <w:t>B&amp;Q kitchens in H2 19/20</w:t>
      </w:r>
    </w:p>
    <w:p w14:paraId="499D8C16" w14:textId="0D029CEB" w:rsidR="00B81DAF" w:rsidRPr="00530C7F" w:rsidRDefault="00B81DAF" w:rsidP="001652D3">
      <w:pPr>
        <w:pStyle w:val="ListParagraph"/>
        <w:numPr>
          <w:ilvl w:val="0"/>
          <w:numId w:val="4"/>
        </w:numPr>
        <w:jc w:val="left"/>
        <w:rPr>
          <w:rFonts w:ascii="Arial" w:hAnsi="Arial" w:cs="Arial"/>
          <w:bCs/>
        </w:rPr>
      </w:pPr>
      <w:r w:rsidRPr="00F80454">
        <w:rPr>
          <w:rFonts w:ascii="Arial" w:hAnsi="Arial" w:cs="Arial"/>
          <w:bCs/>
        </w:rPr>
        <w:t xml:space="preserve">Central costs </w:t>
      </w:r>
      <w:r w:rsidRPr="00530C7F">
        <w:rPr>
          <w:rFonts w:ascii="Arial" w:hAnsi="Arial" w:cs="Arial"/>
          <w:bCs/>
        </w:rPr>
        <w:t xml:space="preserve">expected to be </w:t>
      </w:r>
      <w:r w:rsidR="00C86D40">
        <w:rPr>
          <w:rFonts w:ascii="Arial" w:hAnsi="Arial" w:cs="Arial"/>
          <w:bCs/>
        </w:rPr>
        <w:t xml:space="preserve">up to </w:t>
      </w:r>
      <w:r w:rsidRPr="00530C7F">
        <w:rPr>
          <w:rFonts w:ascii="Arial" w:hAnsi="Arial" w:cs="Arial"/>
          <w:bCs/>
        </w:rPr>
        <w:t>c.</w:t>
      </w:r>
      <w:r w:rsidR="00614936" w:rsidRPr="00530C7F">
        <w:rPr>
          <w:rFonts w:ascii="Arial" w:hAnsi="Arial" w:cs="Arial"/>
          <w:bCs/>
        </w:rPr>
        <w:t xml:space="preserve"> </w:t>
      </w:r>
      <w:r w:rsidRPr="00530C7F">
        <w:rPr>
          <w:rFonts w:ascii="Arial" w:hAnsi="Arial" w:cs="Arial"/>
          <w:bCs/>
        </w:rPr>
        <w:t>£</w:t>
      </w:r>
      <w:r w:rsidRPr="007655ED">
        <w:rPr>
          <w:rFonts w:ascii="Arial" w:hAnsi="Arial" w:cs="Arial"/>
          <w:bCs/>
        </w:rPr>
        <w:t>55</w:t>
      </w:r>
      <w:r w:rsidRPr="00530C7F">
        <w:rPr>
          <w:rFonts w:ascii="Arial" w:hAnsi="Arial" w:cs="Arial"/>
          <w:bCs/>
        </w:rPr>
        <w:t>m</w:t>
      </w:r>
      <w:r w:rsidR="00B27BD6">
        <w:rPr>
          <w:rFonts w:ascii="Arial" w:hAnsi="Arial" w:cs="Arial"/>
          <w:bCs/>
        </w:rPr>
        <w:t xml:space="preserve"> </w:t>
      </w:r>
      <w:r w:rsidR="00B27BD6" w:rsidRPr="00B27BD6">
        <w:rPr>
          <w:rFonts w:ascii="Arial" w:hAnsi="Arial" w:cs="Arial"/>
          <w:bCs/>
        </w:rPr>
        <w:t>(previously c. £</w:t>
      </w:r>
      <w:r w:rsidR="00B27BD6">
        <w:rPr>
          <w:rFonts w:ascii="Arial" w:hAnsi="Arial" w:cs="Arial"/>
          <w:bCs/>
        </w:rPr>
        <w:t>5</w:t>
      </w:r>
      <w:r w:rsidR="00B27BD6" w:rsidRPr="00B27BD6">
        <w:rPr>
          <w:rFonts w:ascii="Arial" w:hAnsi="Arial" w:cs="Arial"/>
          <w:bCs/>
        </w:rPr>
        <w:t>0m)</w:t>
      </w:r>
    </w:p>
    <w:p w14:paraId="3C140B33" w14:textId="6998F84E" w:rsidR="00B81DAF" w:rsidRPr="00C2187E" w:rsidRDefault="00B81DAF" w:rsidP="00B81DAF">
      <w:pPr>
        <w:numPr>
          <w:ilvl w:val="0"/>
          <w:numId w:val="4"/>
        </w:numPr>
        <w:jc w:val="left"/>
        <w:rPr>
          <w:rFonts w:ascii="Arial" w:hAnsi="Arial" w:cs="Arial"/>
          <w:bCs/>
        </w:rPr>
      </w:pPr>
      <w:r w:rsidRPr="00C2187E">
        <w:rPr>
          <w:rFonts w:ascii="Arial" w:hAnsi="Arial" w:cs="Arial"/>
          <w:bCs/>
        </w:rPr>
        <w:t xml:space="preserve">Total transformation costs over </w:t>
      </w:r>
      <w:r w:rsidR="00146952">
        <w:rPr>
          <w:rFonts w:ascii="Arial" w:hAnsi="Arial" w:cs="Arial"/>
          <w:bCs/>
        </w:rPr>
        <w:t>five</w:t>
      </w:r>
      <w:r w:rsidR="00146952" w:rsidRPr="00C2187E">
        <w:rPr>
          <w:rFonts w:ascii="Arial" w:hAnsi="Arial" w:cs="Arial"/>
          <w:bCs/>
        </w:rPr>
        <w:t xml:space="preserve"> </w:t>
      </w:r>
      <w:r w:rsidRPr="00C2187E">
        <w:rPr>
          <w:rFonts w:ascii="Arial" w:hAnsi="Arial" w:cs="Arial"/>
          <w:bCs/>
        </w:rPr>
        <w:t xml:space="preserve">years to FY 20/21 expected to be </w:t>
      </w:r>
      <w:r>
        <w:rPr>
          <w:rFonts w:ascii="Arial" w:hAnsi="Arial" w:cs="Arial"/>
          <w:bCs/>
        </w:rPr>
        <w:t>less than</w:t>
      </w:r>
      <w:r w:rsidRPr="00C2187E">
        <w:rPr>
          <w:rFonts w:ascii="Arial" w:hAnsi="Arial" w:cs="Arial"/>
          <w:bCs/>
        </w:rPr>
        <w:t xml:space="preserve"> £800m </w:t>
      </w:r>
    </w:p>
    <w:p w14:paraId="3FAE0F04" w14:textId="2C7AB97B" w:rsidR="00143786" w:rsidRPr="00143786" w:rsidRDefault="00B81DAF" w:rsidP="00143786">
      <w:pPr>
        <w:pStyle w:val="ListParagraph"/>
        <w:numPr>
          <w:ilvl w:val="1"/>
          <w:numId w:val="4"/>
        </w:numPr>
        <w:jc w:val="left"/>
        <w:rPr>
          <w:rFonts w:ascii="Arial" w:hAnsi="Arial" w:cs="Arial"/>
          <w:bCs/>
        </w:rPr>
      </w:pPr>
      <w:r w:rsidRPr="00E630F1">
        <w:rPr>
          <w:rFonts w:ascii="Arial" w:hAnsi="Arial" w:cs="Arial"/>
          <w:bCs/>
        </w:rPr>
        <w:t>Transformation P&amp;L costs expected to be c.</w:t>
      </w:r>
      <w:r w:rsidR="00E13F43">
        <w:rPr>
          <w:rFonts w:ascii="Arial" w:hAnsi="Arial" w:cs="Arial"/>
          <w:bCs/>
        </w:rPr>
        <w:t xml:space="preserve"> </w:t>
      </w:r>
      <w:r w:rsidRPr="00E630F1">
        <w:rPr>
          <w:rFonts w:ascii="Arial" w:hAnsi="Arial" w:cs="Arial"/>
          <w:bCs/>
        </w:rPr>
        <w:t>£</w:t>
      </w:r>
      <w:r w:rsidR="00143786" w:rsidRPr="00143786">
        <w:rPr>
          <w:rFonts w:ascii="Arial" w:hAnsi="Arial" w:cs="Arial"/>
          <w:bCs/>
        </w:rPr>
        <w:t>50-</w:t>
      </w:r>
      <w:r w:rsidR="00614936" w:rsidRPr="00B56D28">
        <w:rPr>
          <w:rFonts w:ascii="Arial" w:hAnsi="Arial" w:cs="Arial"/>
          <w:bCs/>
        </w:rPr>
        <w:t>60</w:t>
      </w:r>
      <w:r w:rsidRPr="00143786">
        <w:rPr>
          <w:rFonts w:ascii="Arial" w:hAnsi="Arial" w:cs="Arial"/>
          <w:bCs/>
        </w:rPr>
        <w:t>m</w:t>
      </w:r>
      <w:r w:rsidRPr="00E630F1">
        <w:rPr>
          <w:rFonts w:ascii="Arial" w:hAnsi="Arial" w:cs="Arial"/>
          <w:bCs/>
        </w:rPr>
        <w:t xml:space="preserve"> in FY 19/20</w:t>
      </w:r>
      <w:r>
        <w:rPr>
          <w:rFonts w:ascii="Arial" w:hAnsi="Arial" w:cs="Arial"/>
          <w:bCs/>
        </w:rPr>
        <w:t xml:space="preserve"> </w:t>
      </w:r>
      <w:r w:rsidR="00143786" w:rsidRPr="00143786">
        <w:rPr>
          <w:rFonts w:ascii="Arial" w:hAnsi="Arial" w:cs="Arial"/>
          <w:bCs/>
        </w:rPr>
        <w:t>(previously c. £60-80m)</w:t>
      </w:r>
    </w:p>
    <w:p w14:paraId="1782E04C" w14:textId="4B27DEAD" w:rsidR="00D43CEA" w:rsidRDefault="00466908" w:rsidP="00D43CEA">
      <w:pPr>
        <w:pStyle w:val="ListParagraph"/>
        <w:numPr>
          <w:ilvl w:val="1"/>
          <w:numId w:val="4"/>
        </w:numPr>
        <w:jc w:val="left"/>
        <w:rPr>
          <w:rFonts w:ascii="Arial" w:hAnsi="Arial" w:cs="Arial"/>
          <w:bCs/>
        </w:rPr>
      </w:pPr>
      <w:r w:rsidRPr="00466908">
        <w:rPr>
          <w:rFonts w:ascii="Arial" w:hAnsi="Arial" w:cs="Arial"/>
          <w:bCs/>
        </w:rPr>
        <w:t>Transformation exceptional costs in FY 19/20 expected to be up to c. £40m</w:t>
      </w:r>
    </w:p>
    <w:p w14:paraId="3ED1D61B" w14:textId="0CDF0CB1" w:rsidR="00B81DAF" w:rsidRPr="0035009E" w:rsidRDefault="00B27BD6" w:rsidP="00B81DAF">
      <w:pPr>
        <w:pStyle w:val="ListParagraph"/>
        <w:numPr>
          <w:ilvl w:val="0"/>
          <w:numId w:val="4"/>
        </w:numPr>
        <w:rPr>
          <w:rFonts w:ascii="Arial" w:hAnsi="Arial" w:cs="Arial"/>
          <w:bCs/>
        </w:rPr>
      </w:pPr>
      <w:bookmarkStart w:id="37" w:name="_Hlk2950775"/>
      <w:r>
        <w:rPr>
          <w:rFonts w:ascii="Arial" w:hAnsi="Arial" w:cs="Arial"/>
          <w:bCs/>
        </w:rPr>
        <w:t>Group a</w:t>
      </w:r>
      <w:r w:rsidR="00B81DAF" w:rsidRPr="0035009E">
        <w:rPr>
          <w:rFonts w:ascii="Arial" w:hAnsi="Arial" w:cs="Arial"/>
          <w:bCs/>
        </w:rPr>
        <w:t>djusted effective tax rate</w:t>
      </w:r>
      <w:r w:rsidR="00F0271D">
        <w:rPr>
          <w:rFonts w:ascii="Arial" w:hAnsi="Arial" w:cs="Arial"/>
          <w:bCs/>
        </w:rPr>
        <w:t>*</w:t>
      </w:r>
      <w:r w:rsidR="00B81DAF" w:rsidRPr="0035009E">
        <w:rPr>
          <w:rFonts w:ascii="Arial" w:hAnsi="Arial" w:cs="Arial"/>
          <w:bCs/>
        </w:rPr>
        <w:t xml:space="preserve"> expected to be around </w:t>
      </w:r>
      <w:r w:rsidR="00B81DAF" w:rsidRPr="00B56D28">
        <w:rPr>
          <w:rFonts w:ascii="Arial" w:hAnsi="Arial" w:cs="Arial"/>
          <w:bCs/>
        </w:rPr>
        <w:t>26-27</w:t>
      </w:r>
      <w:r w:rsidR="00B81DAF" w:rsidRPr="0035009E">
        <w:rPr>
          <w:rFonts w:ascii="Arial" w:hAnsi="Arial" w:cs="Arial"/>
          <w:bCs/>
        </w:rPr>
        <w:t>%</w:t>
      </w:r>
      <w:r w:rsidR="006538EA" w:rsidRPr="001003E6">
        <w:rPr>
          <w:rFonts w:ascii="Arial" w:hAnsi="Arial" w:cs="Arial"/>
          <w:bCs/>
          <w:vertAlign w:val="superscript"/>
        </w:rPr>
        <w:t>(4)</w:t>
      </w:r>
      <w:r w:rsidR="00B81DAF" w:rsidRPr="0035009E">
        <w:rPr>
          <w:rFonts w:ascii="Arial" w:hAnsi="Arial" w:cs="Arial"/>
          <w:bCs/>
        </w:rPr>
        <w:t xml:space="preserve"> </w:t>
      </w:r>
    </w:p>
    <w:bookmarkEnd w:id="37"/>
    <w:p w14:paraId="130FA9B8" w14:textId="77777777" w:rsidR="00B81DAF" w:rsidRDefault="00B81DAF" w:rsidP="00B81DAF">
      <w:pPr>
        <w:jc w:val="left"/>
        <w:rPr>
          <w:rFonts w:ascii="Arial" w:hAnsi="Arial" w:cs="Arial"/>
          <w:b/>
          <w:bCs/>
        </w:rPr>
      </w:pPr>
    </w:p>
    <w:p w14:paraId="5AEEBE80" w14:textId="77777777" w:rsidR="00B81DAF" w:rsidRPr="00E742A0" w:rsidRDefault="00B81DAF" w:rsidP="00B81DAF">
      <w:pPr>
        <w:jc w:val="left"/>
        <w:rPr>
          <w:rFonts w:ascii="Arial" w:hAnsi="Arial" w:cs="Arial"/>
          <w:b/>
          <w:bCs/>
        </w:rPr>
      </w:pPr>
      <w:r w:rsidRPr="00E742A0">
        <w:rPr>
          <w:rFonts w:ascii="Arial" w:hAnsi="Arial" w:cs="Arial"/>
          <w:b/>
          <w:bCs/>
        </w:rPr>
        <w:t>Cash flow:</w:t>
      </w:r>
    </w:p>
    <w:p w14:paraId="140F195B" w14:textId="3F078254" w:rsidR="00B81DAF" w:rsidRPr="00CA0EB7" w:rsidRDefault="00B27BD6" w:rsidP="00B81DAF">
      <w:pPr>
        <w:pStyle w:val="ListParagraph"/>
        <w:numPr>
          <w:ilvl w:val="0"/>
          <w:numId w:val="4"/>
        </w:numPr>
        <w:jc w:val="left"/>
        <w:rPr>
          <w:rFonts w:ascii="Arial" w:hAnsi="Arial" w:cs="Arial"/>
          <w:bCs/>
        </w:rPr>
      </w:pPr>
      <w:r>
        <w:rPr>
          <w:rFonts w:ascii="Arial" w:hAnsi="Arial" w:cs="Arial"/>
          <w:bCs/>
        </w:rPr>
        <w:t>Continue to expect t</w:t>
      </w:r>
      <w:r w:rsidR="00B81DAF" w:rsidRPr="00CA0EB7">
        <w:rPr>
          <w:rFonts w:ascii="Arial" w:hAnsi="Arial" w:cs="Arial"/>
          <w:bCs/>
        </w:rPr>
        <w:t xml:space="preserve">otal capex </w:t>
      </w:r>
      <w:r w:rsidR="00D43CEA">
        <w:rPr>
          <w:rFonts w:ascii="Arial" w:hAnsi="Arial" w:cs="Arial"/>
          <w:bCs/>
        </w:rPr>
        <w:t>(</w:t>
      </w:r>
      <w:r w:rsidR="00B81DAF" w:rsidRPr="00CA0EB7">
        <w:rPr>
          <w:rFonts w:ascii="Arial" w:hAnsi="Arial" w:cs="Arial"/>
          <w:bCs/>
        </w:rPr>
        <w:t>including transformation</w:t>
      </w:r>
      <w:r w:rsidR="00D43CEA">
        <w:rPr>
          <w:rFonts w:ascii="Arial" w:hAnsi="Arial" w:cs="Arial"/>
          <w:bCs/>
        </w:rPr>
        <w:t>)</w:t>
      </w:r>
      <w:r w:rsidR="00B81DAF" w:rsidRPr="00CA0EB7">
        <w:rPr>
          <w:rFonts w:ascii="Arial" w:hAnsi="Arial" w:cs="Arial"/>
          <w:bCs/>
        </w:rPr>
        <w:t xml:space="preserve"> of up to c.</w:t>
      </w:r>
      <w:r w:rsidR="00E13F43">
        <w:rPr>
          <w:rFonts w:ascii="Arial" w:hAnsi="Arial" w:cs="Arial"/>
          <w:bCs/>
        </w:rPr>
        <w:t xml:space="preserve"> </w:t>
      </w:r>
      <w:r w:rsidR="00B81DAF" w:rsidRPr="00CA0EB7">
        <w:rPr>
          <w:rFonts w:ascii="Arial" w:hAnsi="Arial" w:cs="Arial"/>
          <w:bCs/>
        </w:rPr>
        <w:t>£375m</w:t>
      </w:r>
    </w:p>
    <w:p w14:paraId="6B94D81C" w14:textId="1D6B2FF0" w:rsidR="00B81DAF" w:rsidRPr="00CA0EB7" w:rsidRDefault="00D43CEA" w:rsidP="00802EB6">
      <w:pPr>
        <w:pStyle w:val="ListParagraph"/>
        <w:numPr>
          <w:ilvl w:val="0"/>
          <w:numId w:val="4"/>
        </w:numPr>
        <w:jc w:val="left"/>
        <w:rPr>
          <w:rFonts w:ascii="Arial" w:hAnsi="Arial" w:cs="Arial"/>
          <w:bCs/>
        </w:rPr>
      </w:pPr>
      <w:r>
        <w:rPr>
          <w:rFonts w:ascii="Arial" w:hAnsi="Arial" w:cs="Arial"/>
          <w:bCs/>
        </w:rPr>
        <w:t>1</w:t>
      </w:r>
      <w:r w:rsidR="00614936" w:rsidRPr="00CA0EB7">
        <w:rPr>
          <w:rFonts w:ascii="Arial" w:hAnsi="Arial" w:cs="Arial"/>
          <w:bCs/>
        </w:rPr>
        <w:t>5</w:t>
      </w:r>
      <w:r>
        <w:rPr>
          <w:rFonts w:ascii="Arial" w:hAnsi="Arial" w:cs="Arial"/>
          <w:bCs/>
        </w:rPr>
        <w:t xml:space="preserve"> store closures</w:t>
      </w:r>
      <w:r w:rsidR="00614936" w:rsidRPr="00CA0EB7">
        <w:rPr>
          <w:rFonts w:ascii="Arial" w:hAnsi="Arial" w:cs="Arial"/>
          <w:bCs/>
        </w:rPr>
        <w:t xml:space="preserve"> over next 18 months</w:t>
      </w:r>
      <w:r w:rsidR="00EA5983">
        <w:rPr>
          <w:rFonts w:ascii="Arial" w:hAnsi="Arial" w:cs="Arial"/>
          <w:bCs/>
        </w:rPr>
        <w:t xml:space="preserve">, </w:t>
      </w:r>
      <w:r w:rsidR="00EA5983" w:rsidRPr="00F20CBC">
        <w:rPr>
          <w:rFonts w:ascii="Arial" w:hAnsi="Arial" w:cs="Arial"/>
        </w:rPr>
        <w:t>including 11 in France</w:t>
      </w:r>
      <w:r>
        <w:rPr>
          <w:rFonts w:ascii="Arial" w:hAnsi="Arial" w:cs="Arial"/>
          <w:bCs/>
        </w:rPr>
        <w:t>;</w:t>
      </w:r>
      <w:r w:rsidR="00B81DAF" w:rsidRPr="00CA0EB7">
        <w:rPr>
          <w:rFonts w:ascii="Arial" w:hAnsi="Arial" w:cs="Arial"/>
          <w:bCs/>
        </w:rPr>
        <w:t xml:space="preserve"> cash costs expected to be covered by</w:t>
      </w:r>
      <w:r w:rsidR="00F80454">
        <w:rPr>
          <w:rFonts w:ascii="Arial" w:hAnsi="Arial" w:cs="Arial"/>
          <w:bCs/>
        </w:rPr>
        <w:t xml:space="preserve"> store</w:t>
      </w:r>
      <w:r w:rsidR="00B81DAF" w:rsidRPr="00CA0EB7">
        <w:rPr>
          <w:rFonts w:ascii="Arial" w:hAnsi="Arial" w:cs="Arial"/>
          <w:bCs/>
        </w:rPr>
        <w:t xml:space="preserve"> disposal proceeds </w:t>
      </w:r>
    </w:p>
    <w:p w14:paraId="1566E2DE" w14:textId="77777777" w:rsidR="00614936" w:rsidRDefault="00614936" w:rsidP="00B81DAF">
      <w:pPr>
        <w:rPr>
          <w:rFonts w:ascii="Arial" w:hAnsi="Arial" w:cs="Arial"/>
          <w:bCs/>
          <w:sz w:val="18"/>
          <w:highlight w:val="yellow"/>
          <w:vertAlign w:val="superscript"/>
        </w:rPr>
      </w:pPr>
    </w:p>
    <w:p w14:paraId="7C1FB00A" w14:textId="162DD324" w:rsidR="00B81DAF" w:rsidRPr="005A2F64" w:rsidRDefault="00B81DAF" w:rsidP="009F71DB">
      <w:pPr>
        <w:pStyle w:val="ListParagraph"/>
        <w:numPr>
          <w:ilvl w:val="0"/>
          <w:numId w:val="33"/>
        </w:numPr>
        <w:rPr>
          <w:rFonts w:ascii="Arial" w:hAnsi="Arial" w:cs="Arial"/>
          <w:sz w:val="18"/>
        </w:rPr>
      </w:pPr>
      <w:r w:rsidRPr="005A2F64">
        <w:rPr>
          <w:rFonts w:ascii="Arial" w:hAnsi="Arial" w:cs="Arial"/>
          <w:sz w:val="18"/>
        </w:rPr>
        <w:t xml:space="preserve">Gross margin </w:t>
      </w:r>
      <w:r w:rsidR="00D60D3C">
        <w:rPr>
          <w:rFonts w:ascii="Arial" w:hAnsi="Arial" w:cs="Arial"/>
          <w:sz w:val="18"/>
        </w:rPr>
        <w:t xml:space="preserve">% </w:t>
      </w:r>
      <w:r w:rsidRPr="005A2F64">
        <w:rPr>
          <w:rFonts w:ascii="Arial" w:hAnsi="Arial" w:cs="Arial"/>
          <w:sz w:val="18"/>
        </w:rPr>
        <w:t>movement excluding Russia and Iberia</w:t>
      </w:r>
    </w:p>
    <w:p w14:paraId="48A61FF5" w14:textId="68A7613D" w:rsidR="00D06F4B" w:rsidRPr="005A2F64" w:rsidRDefault="00D06F4B" w:rsidP="005A2F64">
      <w:pPr>
        <w:pStyle w:val="ListParagraph"/>
        <w:numPr>
          <w:ilvl w:val="0"/>
          <w:numId w:val="33"/>
        </w:numPr>
        <w:rPr>
          <w:rFonts w:ascii="Arial" w:hAnsi="Arial" w:cs="Arial"/>
          <w:sz w:val="18"/>
        </w:rPr>
      </w:pPr>
      <w:r w:rsidRPr="005A2F64">
        <w:rPr>
          <w:rFonts w:ascii="Arial" w:hAnsi="Arial" w:cs="Arial"/>
          <w:sz w:val="18"/>
        </w:rPr>
        <w:t>Subject to the blend of profit within the companies' various jurisdictions, as well as the timing of exits from Russia and Iberia</w:t>
      </w:r>
    </w:p>
    <w:p w14:paraId="6F63BD57" w14:textId="7709CB64" w:rsidR="00773A54" w:rsidRPr="00AC598B" w:rsidRDefault="00600B8D">
      <w:pPr>
        <w:jc w:val="left"/>
        <w:rPr>
          <w:rFonts w:ascii="Arial" w:hAnsi="Arial" w:cs="Arial"/>
          <w:b/>
          <w:bCs/>
        </w:rPr>
      </w:pPr>
      <w:r w:rsidRPr="00AC598B">
        <w:rPr>
          <w:rFonts w:ascii="Arial" w:hAnsi="Arial" w:cs="Arial"/>
          <w:bCs/>
        </w:rPr>
        <w:br w:type="page"/>
      </w:r>
      <w:bookmarkStart w:id="38" w:name="_Hlk524531967"/>
      <w:r w:rsidR="00773A54" w:rsidRPr="00AC598B">
        <w:rPr>
          <w:rFonts w:ascii="Arial" w:hAnsi="Arial" w:cs="Arial"/>
          <w:b/>
          <w:bCs/>
        </w:rPr>
        <w:lastRenderedPageBreak/>
        <w:t>Section 4: H</w:t>
      </w:r>
      <w:r w:rsidR="0041309B">
        <w:rPr>
          <w:rFonts w:ascii="Arial" w:hAnsi="Arial" w:cs="Arial"/>
          <w:b/>
          <w:bCs/>
        </w:rPr>
        <w:t>1</w:t>
      </w:r>
      <w:r w:rsidR="00773A54" w:rsidRPr="00AC598B">
        <w:rPr>
          <w:rFonts w:ascii="Arial" w:hAnsi="Arial" w:cs="Arial"/>
          <w:b/>
          <w:bCs/>
        </w:rPr>
        <w:t xml:space="preserve"> 201</w:t>
      </w:r>
      <w:r w:rsidR="00B81DAF">
        <w:rPr>
          <w:rFonts w:ascii="Arial" w:hAnsi="Arial" w:cs="Arial"/>
          <w:b/>
          <w:bCs/>
        </w:rPr>
        <w:t>9</w:t>
      </w:r>
      <w:r w:rsidR="00935E7A">
        <w:rPr>
          <w:rFonts w:ascii="Arial" w:hAnsi="Arial" w:cs="Arial"/>
          <w:b/>
          <w:bCs/>
        </w:rPr>
        <w:t>/</w:t>
      </w:r>
      <w:r w:rsidR="00B81DAF">
        <w:rPr>
          <w:rFonts w:ascii="Arial" w:hAnsi="Arial" w:cs="Arial"/>
          <w:b/>
          <w:bCs/>
        </w:rPr>
        <w:t>20</w:t>
      </w:r>
      <w:r w:rsidR="00773A54" w:rsidRPr="00AC598B">
        <w:rPr>
          <w:rFonts w:ascii="Arial" w:hAnsi="Arial" w:cs="Arial"/>
          <w:b/>
          <w:bCs/>
        </w:rPr>
        <w:t xml:space="preserve"> Financial </w:t>
      </w:r>
      <w:r w:rsidR="007341CC" w:rsidRPr="00AC598B">
        <w:rPr>
          <w:rFonts w:ascii="Arial" w:hAnsi="Arial" w:cs="Arial"/>
          <w:b/>
          <w:bCs/>
        </w:rPr>
        <w:t>r</w:t>
      </w:r>
      <w:r w:rsidR="00773A54" w:rsidRPr="00AC598B">
        <w:rPr>
          <w:rFonts w:ascii="Arial" w:hAnsi="Arial" w:cs="Arial"/>
          <w:b/>
          <w:bCs/>
        </w:rPr>
        <w:t xml:space="preserve">eview </w:t>
      </w:r>
      <w:bookmarkEnd w:id="38"/>
    </w:p>
    <w:p w14:paraId="6063968F" w14:textId="77777777" w:rsidR="00773A54" w:rsidRPr="00AC598B" w:rsidRDefault="00773A54" w:rsidP="00773A54">
      <w:pPr>
        <w:tabs>
          <w:tab w:val="right" w:pos="9356"/>
        </w:tabs>
        <w:rPr>
          <w:rFonts w:ascii="Arial" w:hAnsi="Arial" w:cs="Arial"/>
          <w:b/>
          <w:i/>
          <w:szCs w:val="24"/>
        </w:rPr>
      </w:pPr>
    </w:p>
    <w:p w14:paraId="6793D1C6" w14:textId="32A12548" w:rsidR="00773A54" w:rsidRDefault="00773A54" w:rsidP="00773A54">
      <w:pPr>
        <w:jc w:val="left"/>
        <w:rPr>
          <w:rFonts w:ascii="Arial" w:hAnsi="Arial" w:cs="Arial"/>
          <w:szCs w:val="24"/>
        </w:rPr>
      </w:pPr>
      <w:r w:rsidRPr="00AC598B">
        <w:rPr>
          <w:rFonts w:ascii="Arial" w:hAnsi="Arial" w:cs="Arial"/>
          <w:szCs w:val="24"/>
        </w:rPr>
        <w:t xml:space="preserve">A summary of the reported financial results for the </w:t>
      </w:r>
      <w:r w:rsidR="009E70F6" w:rsidRPr="00AC598B">
        <w:rPr>
          <w:rFonts w:ascii="Arial" w:hAnsi="Arial" w:cs="Arial"/>
          <w:szCs w:val="24"/>
        </w:rPr>
        <w:t xml:space="preserve">half </w:t>
      </w:r>
      <w:r w:rsidRPr="00AC598B">
        <w:rPr>
          <w:rFonts w:ascii="Arial" w:hAnsi="Arial" w:cs="Arial"/>
          <w:szCs w:val="24"/>
        </w:rPr>
        <w:t>year ended 31 July 201</w:t>
      </w:r>
      <w:r w:rsidR="001B7E62">
        <w:rPr>
          <w:rFonts w:ascii="Arial" w:hAnsi="Arial" w:cs="Arial"/>
          <w:szCs w:val="24"/>
        </w:rPr>
        <w:t>9</w:t>
      </w:r>
      <w:r w:rsidRPr="00AC598B">
        <w:rPr>
          <w:rFonts w:ascii="Arial" w:hAnsi="Arial" w:cs="Arial"/>
          <w:szCs w:val="24"/>
        </w:rPr>
        <w:t xml:space="preserve"> is set out below</w:t>
      </w:r>
      <w:r w:rsidR="001B7E62">
        <w:rPr>
          <w:rFonts w:ascii="Arial" w:hAnsi="Arial" w:cs="Arial"/>
          <w:szCs w:val="24"/>
        </w:rPr>
        <w:t>. IFRS</w:t>
      </w:r>
      <w:r w:rsidR="006538EA">
        <w:rPr>
          <w:rFonts w:ascii="Arial" w:hAnsi="Arial" w:cs="Arial"/>
          <w:szCs w:val="24"/>
        </w:rPr>
        <w:t xml:space="preserve"> </w:t>
      </w:r>
      <w:r w:rsidR="001B7E62">
        <w:rPr>
          <w:rFonts w:ascii="Arial" w:hAnsi="Arial" w:cs="Arial"/>
          <w:szCs w:val="24"/>
        </w:rPr>
        <w:t>16 has been adopted as of 1 February 2019</w:t>
      </w:r>
      <w:r w:rsidR="00A8244E">
        <w:rPr>
          <w:rFonts w:ascii="Arial" w:hAnsi="Arial" w:cs="Arial"/>
          <w:szCs w:val="24"/>
        </w:rPr>
        <w:t xml:space="preserve"> with comparatives restated</w:t>
      </w:r>
      <w:r w:rsidR="001B7E62">
        <w:rPr>
          <w:rFonts w:ascii="Arial" w:hAnsi="Arial" w:cs="Arial"/>
          <w:szCs w:val="24"/>
        </w:rPr>
        <w:t>.</w:t>
      </w:r>
    </w:p>
    <w:p w14:paraId="1EE60950" w14:textId="77777777" w:rsidR="00667C8E" w:rsidRPr="00AC598B" w:rsidRDefault="00667C8E" w:rsidP="00773A54">
      <w:pPr>
        <w:jc w:val="left"/>
        <w:rPr>
          <w:rFonts w:ascii="Arial" w:hAnsi="Arial" w:cs="Arial"/>
          <w:szCs w:val="24"/>
        </w:rPr>
      </w:pPr>
    </w:p>
    <w:tbl>
      <w:tblPr>
        <w:tblW w:w="5147" w:type="pct"/>
        <w:tblLayout w:type="fixed"/>
        <w:tblLook w:val="01E0" w:firstRow="1" w:lastRow="1" w:firstColumn="1" w:lastColumn="1" w:noHBand="0" w:noVBand="0"/>
      </w:tblPr>
      <w:tblGrid>
        <w:gridCol w:w="4207"/>
        <w:gridCol w:w="1597"/>
        <w:gridCol w:w="1450"/>
        <w:gridCol w:w="1424"/>
        <w:gridCol w:w="1479"/>
      </w:tblGrid>
      <w:tr w:rsidR="00773A54" w:rsidRPr="00667C8E" w14:paraId="3426381E" w14:textId="77777777" w:rsidTr="00925EFB">
        <w:tc>
          <w:tcPr>
            <w:tcW w:w="2071" w:type="pct"/>
            <w:tcBorders>
              <w:bottom w:val="single" w:sz="4" w:space="0" w:color="auto"/>
            </w:tcBorders>
            <w:shd w:val="clear" w:color="auto" w:fill="auto"/>
          </w:tcPr>
          <w:p w14:paraId="2CE3935D" w14:textId="77777777" w:rsidR="00773A54" w:rsidRPr="00AC598B" w:rsidRDefault="00773A54" w:rsidP="00907EA8">
            <w:pPr>
              <w:rPr>
                <w:rFonts w:ascii="Arial" w:hAnsi="Arial" w:cs="Arial"/>
                <w:szCs w:val="24"/>
              </w:rPr>
            </w:pPr>
          </w:p>
        </w:tc>
        <w:tc>
          <w:tcPr>
            <w:tcW w:w="786" w:type="pct"/>
            <w:tcBorders>
              <w:bottom w:val="single" w:sz="4" w:space="0" w:color="auto"/>
            </w:tcBorders>
            <w:shd w:val="clear" w:color="auto" w:fill="auto"/>
          </w:tcPr>
          <w:p w14:paraId="319928FC" w14:textId="58101E27" w:rsidR="00773A54" w:rsidRPr="00AC598B" w:rsidRDefault="00773A54" w:rsidP="00907EA8">
            <w:pPr>
              <w:jc w:val="right"/>
              <w:rPr>
                <w:rFonts w:ascii="Arial" w:hAnsi="Arial" w:cs="Arial"/>
                <w:b/>
                <w:szCs w:val="24"/>
              </w:rPr>
            </w:pPr>
            <w:r w:rsidRPr="00AC598B">
              <w:rPr>
                <w:rFonts w:ascii="Arial" w:hAnsi="Arial" w:cs="Arial"/>
                <w:b/>
                <w:szCs w:val="24"/>
              </w:rPr>
              <w:t>201</w:t>
            </w:r>
            <w:r w:rsidR="00B81DAF">
              <w:rPr>
                <w:rFonts w:ascii="Arial" w:hAnsi="Arial" w:cs="Arial"/>
                <w:b/>
                <w:szCs w:val="24"/>
              </w:rPr>
              <w:t>9</w:t>
            </w:r>
            <w:r w:rsidRPr="00AC598B">
              <w:rPr>
                <w:rFonts w:ascii="Arial" w:hAnsi="Arial" w:cs="Arial"/>
                <w:b/>
                <w:szCs w:val="24"/>
              </w:rPr>
              <w:t>/</w:t>
            </w:r>
            <w:r w:rsidR="00B81DAF">
              <w:rPr>
                <w:rFonts w:ascii="Arial" w:hAnsi="Arial" w:cs="Arial"/>
                <w:b/>
                <w:szCs w:val="24"/>
              </w:rPr>
              <w:t>20</w:t>
            </w:r>
          </w:p>
          <w:p w14:paraId="5BC608FD" w14:textId="77777777" w:rsidR="00773A54" w:rsidRPr="00AC598B" w:rsidRDefault="00773A54" w:rsidP="00907EA8">
            <w:pPr>
              <w:jc w:val="right"/>
              <w:rPr>
                <w:rFonts w:ascii="Arial" w:hAnsi="Arial" w:cs="Arial"/>
                <w:b/>
                <w:szCs w:val="24"/>
              </w:rPr>
            </w:pPr>
          </w:p>
        </w:tc>
        <w:tc>
          <w:tcPr>
            <w:tcW w:w="714" w:type="pct"/>
            <w:tcBorders>
              <w:bottom w:val="single" w:sz="4" w:space="0" w:color="auto"/>
            </w:tcBorders>
            <w:shd w:val="clear" w:color="auto" w:fill="auto"/>
          </w:tcPr>
          <w:p w14:paraId="5753A9A6" w14:textId="6E432C98" w:rsidR="00773A54" w:rsidRPr="00AC598B" w:rsidRDefault="00773A54" w:rsidP="00907EA8">
            <w:pPr>
              <w:jc w:val="right"/>
              <w:rPr>
                <w:rFonts w:ascii="Arial" w:hAnsi="Arial" w:cs="Arial"/>
                <w:szCs w:val="24"/>
              </w:rPr>
            </w:pPr>
            <w:r w:rsidRPr="00AC598B">
              <w:rPr>
                <w:rFonts w:ascii="Arial" w:hAnsi="Arial" w:cs="Arial"/>
                <w:szCs w:val="24"/>
              </w:rPr>
              <w:t>201</w:t>
            </w:r>
            <w:r w:rsidR="00B81DAF">
              <w:rPr>
                <w:rFonts w:ascii="Arial" w:hAnsi="Arial" w:cs="Arial"/>
                <w:szCs w:val="24"/>
              </w:rPr>
              <w:t>8</w:t>
            </w:r>
            <w:r w:rsidRPr="00AC598B">
              <w:rPr>
                <w:rFonts w:ascii="Arial" w:hAnsi="Arial" w:cs="Arial"/>
                <w:szCs w:val="24"/>
              </w:rPr>
              <w:t>/1</w:t>
            </w:r>
            <w:r w:rsidR="00B81DAF">
              <w:rPr>
                <w:rFonts w:ascii="Arial" w:hAnsi="Arial" w:cs="Arial"/>
                <w:szCs w:val="24"/>
              </w:rPr>
              <w:t>9</w:t>
            </w:r>
            <w:r w:rsidR="006538EA" w:rsidRPr="00B56D28">
              <w:rPr>
                <w:rFonts w:ascii="Arial" w:hAnsi="Arial" w:cs="Arial"/>
                <w:szCs w:val="24"/>
                <w:vertAlign w:val="superscript"/>
              </w:rPr>
              <w:t>(1)</w:t>
            </w:r>
          </w:p>
          <w:p w14:paraId="3FA03A0B" w14:textId="77777777" w:rsidR="00773A54" w:rsidRPr="00AC598B" w:rsidRDefault="00773A54" w:rsidP="00907EA8">
            <w:pPr>
              <w:tabs>
                <w:tab w:val="center" w:pos="434"/>
                <w:tab w:val="right" w:pos="869"/>
              </w:tabs>
              <w:jc w:val="right"/>
              <w:rPr>
                <w:rFonts w:ascii="Arial" w:hAnsi="Arial" w:cs="Arial"/>
                <w:szCs w:val="24"/>
              </w:rPr>
            </w:pPr>
          </w:p>
        </w:tc>
        <w:tc>
          <w:tcPr>
            <w:tcW w:w="701" w:type="pct"/>
            <w:tcBorders>
              <w:bottom w:val="single" w:sz="4" w:space="0" w:color="auto"/>
            </w:tcBorders>
          </w:tcPr>
          <w:p w14:paraId="00DF91B0" w14:textId="77777777" w:rsidR="00773A54" w:rsidRPr="00AC598B" w:rsidRDefault="00773A54" w:rsidP="00907EA8">
            <w:pPr>
              <w:jc w:val="right"/>
              <w:rPr>
                <w:rFonts w:ascii="Arial" w:hAnsi="Arial" w:cs="Arial"/>
                <w:szCs w:val="24"/>
              </w:rPr>
            </w:pPr>
            <w:r w:rsidRPr="00AC598B">
              <w:rPr>
                <w:rFonts w:ascii="Arial" w:hAnsi="Arial" w:cs="Arial"/>
                <w:szCs w:val="24"/>
              </w:rPr>
              <w:t>% Reported Change</w:t>
            </w:r>
          </w:p>
        </w:tc>
        <w:tc>
          <w:tcPr>
            <w:tcW w:w="728" w:type="pct"/>
            <w:tcBorders>
              <w:bottom w:val="single" w:sz="4" w:space="0" w:color="auto"/>
            </w:tcBorders>
            <w:shd w:val="clear" w:color="auto" w:fill="auto"/>
          </w:tcPr>
          <w:p w14:paraId="1BE4D0AD" w14:textId="77777777" w:rsidR="00773A54" w:rsidRPr="00AC598B" w:rsidRDefault="00773A54" w:rsidP="00907EA8">
            <w:pPr>
              <w:jc w:val="right"/>
              <w:rPr>
                <w:rFonts w:ascii="Arial" w:hAnsi="Arial" w:cs="Arial"/>
                <w:szCs w:val="24"/>
              </w:rPr>
            </w:pPr>
            <w:r w:rsidRPr="00AC598B">
              <w:rPr>
                <w:rFonts w:ascii="Arial" w:hAnsi="Arial" w:cs="Arial"/>
                <w:szCs w:val="24"/>
              </w:rPr>
              <w:t>% Constant Currency Change</w:t>
            </w:r>
          </w:p>
        </w:tc>
      </w:tr>
      <w:tr w:rsidR="00773A54" w:rsidRPr="00587A5B" w14:paraId="11E25A97" w14:textId="77777777" w:rsidTr="00925EFB">
        <w:trPr>
          <w:trHeight w:val="80"/>
        </w:trPr>
        <w:tc>
          <w:tcPr>
            <w:tcW w:w="2071" w:type="pct"/>
            <w:tcBorders>
              <w:top w:val="single" w:sz="4" w:space="0" w:color="auto"/>
            </w:tcBorders>
            <w:shd w:val="clear" w:color="auto" w:fill="auto"/>
          </w:tcPr>
          <w:p w14:paraId="3943AFE0" w14:textId="77777777" w:rsidR="00773A54" w:rsidRPr="003419F1" w:rsidRDefault="00773A54" w:rsidP="00907EA8">
            <w:pPr>
              <w:rPr>
                <w:rFonts w:ascii="Arial" w:hAnsi="Arial" w:cs="Arial"/>
                <w:sz w:val="2"/>
                <w:szCs w:val="2"/>
              </w:rPr>
            </w:pPr>
          </w:p>
        </w:tc>
        <w:tc>
          <w:tcPr>
            <w:tcW w:w="786" w:type="pct"/>
            <w:tcBorders>
              <w:top w:val="single" w:sz="4" w:space="0" w:color="auto"/>
            </w:tcBorders>
            <w:shd w:val="clear" w:color="auto" w:fill="auto"/>
          </w:tcPr>
          <w:p w14:paraId="74BF05D1" w14:textId="77777777" w:rsidR="00773A54" w:rsidRPr="00A03549" w:rsidRDefault="00773A54" w:rsidP="00907EA8">
            <w:pPr>
              <w:jc w:val="right"/>
              <w:rPr>
                <w:rFonts w:ascii="Arial" w:hAnsi="Arial" w:cs="Arial"/>
                <w:b/>
                <w:sz w:val="2"/>
                <w:szCs w:val="2"/>
                <w:highlight w:val="yellow"/>
              </w:rPr>
            </w:pPr>
          </w:p>
        </w:tc>
        <w:tc>
          <w:tcPr>
            <w:tcW w:w="714" w:type="pct"/>
            <w:tcBorders>
              <w:top w:val="single" w:sz="4" w:space="0" w:color="auto"/>
            </w:tcBorders>
            <w:shd w:val="clear" w:color="auto" w:fill="auto"/>
          </w:tcPr>
          <w:p w14:paraId="5F4F1890" w14:textId="77777777" w:rsidR="00773A54" w:rsidRPr="009F642E" w:rsidRDefault="00773A54" w:rsidP="00907EA8">
            <w:pPr>
              <w:jc w:val="right"/>
              <w:rPr>
                <w:rFonts w:ascii="Arial" w:hAnsi="Arial" w:cs="Arial"/>
                <w:sz w:val="2"/>
                <w:szCs w:val="2"/>
              </w:rPr>
            </w:pPr>
          </w:p>
        </w:tc>
        <w:tc>
          <w:tcPr>
            <w:tcW w:w="701" w:type="pct"/>
            <w:tcBorders>
              <w:top w:val="single" w:sz="4" w:space="0" w:color="auto"/>
            </w:tcBorders>
          </w:tcPr>
          <w:p w14:paraId="786E2D0B" w14:textId="77777777" w:rsidR="00773A54" w:rsidRPr="00EF42EF" w:rsidRDefault="00773A54" w:rsidP="00907EA8">
            <w:pPr>
              <w:jc w:val="right"/>
              <w:rPr>
                <w:rFonts w:ascii="Arial" w:hAnsi="Arial" w:cs="Arial"/>
                <w:sz w:val="2"/>
                <w:szCs w:val="2"/>
              </w:rPr>
            </w:pPr>
          </w:p>
        </w:tc>
        <w:tc>
          <w:tcPr>
            <w:tcW w:w="728" w:type="pct"/>
            <w:tcBorders>
              <w:top w:val="single" w:sz="4" w:space="0" w:color="auto"/>
            </w:tcBorders>
            <w:shd w:val="clear" w:color="auto" w:fill="auto"/>
          </w:tcPr>
          <w:p w14:paraId="35C2EBF1" w14:textId="77777777" w:rsidR="00773A54" w:rsidRPr="00EF42EF" w:rsidRDefault="00773A54" w:rsidP="00907EA8">
            <w:pPr>
              <w:jc w:val="right"/>
              <w:rPr>
                <w:rFonts w:ascii="Arial" w:hAnsi="Arial" w:cs="Arial"/>
                <w:sz w:val="2"/>
                <w:szCs w:val="2"/>
              </w:rPr>
            </w:pPr>
          </w:p>
        </w:tc>
      </w:tr>
      <w:tr w:rsidR="00B81DAF" w:rsidRPr="00BA4C5B" w14:paraId="530F38F5" w14:textId="77777777" w:rsidTr="00925EFB">
        <w:tc>
          <w:tcPr>
            <w:tcW w:w="2071" w:type="pct"/>
            <w:shd w:val="clear" w:color="auto" w:fill="auto"/>
          </w:tcPr>
          <w:p w14:paraId="33BA04C2" w14:textId="56EB4A4B" w:rsidR="00B81DAF" w:rsidRPr="00BA4C5B" w:rsidRDefault="00B81DAF" w:rsidP="00B81DAF">
            <w:pPr>
              <w:rPr>
                <w:rFonts w:ascii="Arial" w:hAnsi="Arial" w:cs="Arial"/>
                <w:szCs w:val="24"/>
              </w:rPr>
            </w:pPr>
            <w:r w:rsidRPr="00BA4C5B">
              <w:rPr>
                <w:rFonts w:ascii="Arial" w:hAnsi="Arial" w:cs="Arial"/>
                <w:szCs w:val="24"/>
              </w:rPr>
              <w:t>Sales</w:t>
            </w:r>
          </w:p>
        </w:tc>
        <w:tc>
          <w:tcPr>
            <w:tcW w:w="786" w:type="pct"/>
            <w:shd w:val="clear" w:color="auto" w:fill="auto"/>
          </w:tcPr>
          <w:p w14:paraId="02555F45" w14:textId="544220B6" w:rsidR="00B81DAF" w:rsidRPr="00BA4C5B" w:rsidRDefault="00B81DAF" w:rsidP="00B81DAF">
            <w:pPr>
              <w:jc w:val="right"/>
              <w:rPr>
                <w:rFonts w:ascii="Arial" w:hAnsi="Arial" w:cs="Arial"/>
                <w:b/>
                <w:szCs w:val="24"/>
              </w:rPr>
            </w:pPr>
            <w:r w:rsidRPr="00BA4C5B">
              <w:rPr>
                <w:rFonts w:ascii="Arial" w:hAnsi="Arial" w:cs="Arial"/>
                <w:b/>
                <w:szCs w:val="24"/>
              </w:rPr>
              <w:t>£</w:t>
            </w:r>
            <w:r w:rsidR="00BA4C5B" w:rsidRPr="00BA4C5B">
              <w:rPr>
                <w:rFonts w:ascii="Arial" w:hAnsi="Arial" w:cs="Arial"/>
                <w:b/>
                <w:szCs w:val="24"/>
              </w:rPr>
              <w:t>5,997</w:t>
            </w:r>
            <w:r w:rsidRPr="00BA4C5B">
              <w:rPr>
                <w:rFonts w:ascii="Arial" w:hAnsi="Arial" w:cs="Arial"/>
                <w:b/>
                <w:szCs w:val="24"/>
              </w:rPr>
              <w:t>m</w:t>
            </w:r>
          </w:p>
        </w:tc>
        <w:tc>
          <w:tcPr>
            <w:tcW w:w="714" w:type="pct"/>
            <w:shd w:val="clear" w:color="auto" w:fill="auto"/>
          </w:tcPr>
          <w:p w14:paraId="203496E9" w14:textId="1154E778" w:rsidR="00B81DAF" w:rsidRPr="00BA4C5B" w:rsidRDefault="00B81DAF" w:rsidP="00B81DAF">
            <w:pPr>
              <w:jc w:val="right"/>
              <w:rPr>
                <w:rFonts w:ascii="Arial" w:hAnsi="Arial" w:cs="Arial"/>
                <w:bCs/>
                <w:szCs w:val="24"/>
              </w:rPr>
            </w:pPr>
            <w:r w:rsidRPr="00BA4C5B">
              <w:rPr>
                <w:rFonts w:ascii="Arial" w:hAnsi="Arial" w:cs="Arial"/>
                <w:bCs/>
                <w:szCs w:val="24"/>
              </w:rPr>
              <w:t>£6,080m</w:t>
            </w:r>
          </w:p>
        </w:tc>
        <w:tc>
          <w:tcPr>
            <w:tcW w:w="701" w:type="pct"/>
          </w:tcPr>
          <w:p w14:paraId="1C8E2F02" w14:textId="1A48B1F3" w:rsidR="00B81DAF" w:rsidRPr="00BA4C5B" w:rsidRDefault="00801CCE" w:rsidP="00B81DAF">
            <w:pPr>
              <w:jc w:val="right"/>
              <w:rPr>
                <w:rFonts w:ascii="Arial" w:hAnsi="Arial" w:cs="Arial"/>
                <w:szCs w:val="24"/>
              </w:rPr>
            </w:pPr>
            <w:r w:rsidRPr="00BA4C5B">
              <w:rPr>
                <w:rFonts w:ascii="Arial" w:hAnsi="Arial" w:cs="Arial"/>
                <w:szCs w:val="24"/>
              </w:rPr>
              <w:t>(</w:t>
            </w:r>
            <w:r w:rsidR="00B81DAF" w:rsidRPr="00BA4C5B">
              <w:rPr>
                <w:rFonts w:ascii="Arial" w:hAnsi="Arial" w:cs="Arial"/>
              </w:rPr>
              <w:t>1.</w:t>
            </w:r>
            <w:r w:rsidR="00592D19">
              <w:rPr>
                <w:rFonts w:ascii="Arial" w:hAnsi="Arial" w:cs="Arial"/>
              </w:rPr>
              <w:t>4</w:t>
            </w:r>
            <w:r w:rsidRPr="00BA4C5B">
              <w:rPr>
                <w:rFonts w:ascii="Arial" w:hAnsi="Arial" w:cs="Arial"/>
              </w:rPr>
              <w:t>)</w:t>
            </w:r>
            <w:r w:rsidR="00B81DAF" w:rsidRPr="00BA4C5B">
              <w:rPr>
                <w:rFonts w:ascii="Arial" w:hAnsi="Arial" w:cs="Arial"/>
                <w:szCs w:val="24"/>
              </w:rPr>
              <w:t>%</w:t>
            </w:r>
            <w:r w:rsidR="00B81DAF" w:rsidRPr="00BA4C5B" w:rsidDel="00265815">
              <w:rPr>
                <w:rFonts w:ascii="Arial" w:hAnsi="Arial" w:cs="Arial"/>
                <w:szCs w:val="24"/>
              </w:rPr>
              <w:t xml:space="preserve"> </w:t>
            </w:r>
          </w:p>
        </w:tc>
        <w:tc>
          <w:tcPr>
            <w:tcW w:w="728" w:type="pct"/>
            <w:shd w:val="clear" w:color="auto" w:fill="auto"/>
          </w:tcPr>
          <w:p w14:paraId="15AE1959" w14:textId="2F62DC68" w:rsidR="00B81DAF" w:rsidRPr="00BA4C5B" w:rsidRDefault="00592D19" w:rsidP="00B81DAF">
            <w:pPr>
              <w:jc w:val="right"/>
              <w:rPr>
                <w:rFonts w:ascii="Arial" w:hAnsi="Arial" w:cs="Arial"/>
                <w:szCs w:val="24"/>
              </w:rPr>
            </w:pPr>
            <w:r>
              <w:rPr>
                <w:rFonts w:ascii="Arial" w:hAnsi="Arial" w:cs="Arial"/>
              </w:rPr>
              <w:t>(</w:t>
            </w:r>
            <w:r w:rsidR="00B81DAF" w:rsidRPr="00BA4C5B">
              <w:rPr>
                <w:rFonts w:ascii="Arial" w:hAnsi="Arial" w:cs="Arial"/>
              </w:rPr>
              <w:t>0.</w:t>
            </w:r>
            <w:r>
              <w:rPr>
                <w:rFonts w:ascii="Arial" w:hAnsi="Arial" w:cs="Arial"/>
              </w:rPr>
              <w:t>9)</w:t>
            </w:r>
            <w:r w:rsidR="00B81DAF" w:rsidRPr="00BA4C5B">
              <w:rPr>
                <w:rFonts w:ascii="Arial" w:hAnsi="Arial" w:cs="Arial"/>
                <w:szCs w:val="24"/>
              </w:rPr>
              <w:t>%</w:t>
            </w:r>
            <w:r w:rsidR="00B81DAF" w:rsidRPr="00BA4C5B" w:rsidDel="00265815">
              <w:rPr>
                <w:rFonts w:ascii="Arial" w:hAnsi="Arial" w:cs="Arial"/>
                <w:szCs w:val="24"/>
              </w:rPr>
              <w:t xml:space="preserve"> </w:t>
            </w:r>
          </w:p>
        </w:tc>
      </w:tr>
      <w:tr w:rsidR="002330C8" w:rsidRPr="00667C8E" w14:paraId="57AAA115" w14:textId="77777777" w:rsidTr="00925EFB">
        <w:tc>
          <w:tcPr>
            <w:tcW w:w="2071" w:type="pct"/>
            <w:shd w:val="clear" w:color="auto" w:fill="auto"/>
          </w:tcPr>
          <w:p w14:paraId="3FF2C720" w14:textId="16066E4D" w:rsidR="002330C8" w:rsidRPr="00BA4C5B" w:rsidRDefault="002330C8" w:rsidP="002330C8">
            <w:pPr>
              <w:rPr>
                <w:rFonts w:ascii="Arial" w:hAnsi="Arial" w:cs="Arial"/>
                <w:szCs w:val="24"/>
              </w:rPr>
            </w:pPr>
            <w:r w:rsidRPr="00BA4C5B">
              <w:rPr>
                <w:rFonts w:ascii="Arial" w:hAnsi="Arial" w:cs="Arial"/>
                <w:szCs w:val="24"/>
              </w:rPr>
              <w:t>Gross margin</w:t>
            </w:r>
          </w:p>
        </w:tc>
        <w:tc>
          <w:tcPr>
            <w:tcW w:w="786" w:type="pct"/>
            <w:shd w:val="clear" w:color="auto" w:fill="auto"/>
          </w:tcPr>
          <w:p w14:paraId="5FCDE9CB" w14:textId="7F4FDAFD" w:rsidR="002330C8" w:rsidRPr="00BA4C5B" w:rsidRDefault="002330C8" w:rsidP="002330C8">
            <w:pPr>
              <w:jc w:val="right"/>
              <w:rPr>
                <w:rFonts w:ascii="Arial" w:hAnsi="Arial" w:cs="Arial"/>
                <w:b/>
                <w:szCs w:val="24"/>
              </w:rPr>
            </w:pPr>
            <w:r w:rsidRPr="00BA4C5B">
              <w:rPr>
                <w:rFonts w:ascii="Arial" w:hAnsi="Arial" w:cs="Arial"/>
                <w:b/>
              </w:rPr>
              <w:t>37.</w:t>
            </w:r>
            <w:r>
              <w:rPr>
                <w:rFonts w:ascii="Arial" w:hAnsi="Arial" w:cs="Arial"/>
                <w:b/>
              </w:rPr>
              <w:t>0</w:t>
            </w:r>
            <w:r w:rsidRPr="00BA4C5B">
              <w:rPr>
                <w:rFonts w:ascii="Arial" w:hAnsi="Arial" w:cs="Arial"/>
                <w:b/>
              </w:rPr>
              <w:t>%</w:t>
            </w:r>
          </w:p>
        </w:tc>
        <w:tc>
          <w:tcPr>
            <w:tcW w:w="714" w:type="pct"/>
            <w:shd w:val="clear" w:color="auto" w:fill="auto"/>
          </w:tcPr>
          <w:p w14:paraId="798F0269" w14:textId="48033490" w:rsidR="002330C8" w:rsidRPr="00BA4C5B" w:rsidRDefault="002330C8" w:rsidP="002330C8">
            <w:pPr>
              <w:jc w:val="right"/>
              <w:rPr>
                <w:rFonts w:ascii="Arial" w:hAnsi="Arial" w:cs="Arial"/>
                <w:bCs/>
                <w:szCs w:val="24"/>
              </w:rPr>
            </w:pPr>
            <w:r w:rsidRPr="00BA4C5B">
              <w:rPr>
                <w:rFonts w:ascii="Arial" w:hAnsi="Arial" w:cs="Arial"/>
                <w:bCs/>
              </w:rPr>
              <w:t>36.</w:t>
            </w:r>
            <w:r>
              <w:rPr>
                <w:rFonts w:ascii="Arial" w:hAnsi="Arial" w:cs="Arial"/>
                <w:bCs/>
              </w:rPr>
              <w:t>4</w:t>
            </w:r>
            <w:r w:rsidRPr="00BA4C5B">
              <w:rPr>
                <w:rFonts w:ascii="Arial" w:hAnsi="Arial" w:cs="Arial"/>
                <w:bCs/>
              </w:rPr>
              <w:t>%</w:t>
            </w:r>
          </w:p>
        </w:tc>
        <w:tc>
          <w:tcPr>
            <w:tcW w:w="701" w:type="pct"/>
          </w:tcPr>
          <w:p w14:paraId="7E5C6509" w14:textId="246C9058" w:rsidR="002330C8" w:rsidRPr="00BA4C5B" w:rsidRDefault="002330C8" w:rsidP="002330C8">
            <w:pPr>
              <w:jc w:val="right"/>
              <w:rPr>
                <w:rFonts w:ascii="Arial" w:hAnsi="Arial" w:cs="Arial"/>
                <w:szCs w:val="24"/>
              </w:rPr>
            </w:pPr>
            <w:r w:rsidRPr="00BA4C5B">
              <w:rPr>
                <w:rFonts w:ascii="Arial" w:hAnsi="Arial" w:cs="Arial"/>
                <w:szCs w:val="24"/>
              </w:rPr>
              <w:t>+</w:t>
            </w:r>
            <w:r>
              <w:rPr>
                <w:rFonts w:ascii="Arial" w:hAnsi="Arial" w:cs="Arial"/>
                <w:szCs w:val="24"/>
              </w:rPr>
              <w:t>6</w:t>
            </w:r>
            <w:r w:rsidRPr="00BA4C5B">
              <w:rPr>
                <w:rFonts w:ascii="Arial" w:hAnsi="Arial" w:cs="Arial"/>
                <w:szCs w:val="24"/>
              </w:rPr>
              <w:t>0bps</w:t>
            </w:r>
          </w:p>
        </w:tc>
        <w:tc>
          <w:tcPr>
            <w:tcW w:w="728" w:type="pct"/>
            <w:shd w:val="clear" w:color="auto" w:fill="auto"/>
          </w:tcPr>
          <w:p w14:paraId="399D03E1" w14:textId="6B1FFE4A" w:rsidR="002330C8" w:rsidRPr="00BA4C5B" w:rsidRDefault="002330C8" w:rsidP="002330C8">
            <w:pPr>
              <w:jc w:val="right"/>
              <w:rPr>
                <w:rFonts w:ascii="Arial" w:hAnsi="Arial" w:cs="Arial"/>
                <w:szCs w:val="24"/>
              </w:rPr>
            </w:pPr>
            <w:r w:rsidRPr="00BA4C5B">
              <w:rPr>
                <w:rFonts w:ascii="Arial" w:hAnsi="Arial" w:cs="Arial"/>
                <w:szCs w:val="24"/>
              </w:rPr>
              <w:t>+</w:t>
            </w:r>
            <w:r w:rsidR="00781603">
              <w:rPr>
                <w:rFonts w:ascii="Arial" w:hAnsi="Arial" w:cs="Arial"/>
                <w:szCs w:val="24"/>
              </w:rPr>
              <w:t>6</w:t>
            </w:r>
            <w:r w:rsidRPr="00BA4C5B">
              <w:rPr>
                <w:rFonts w:ascii="Arial" w:hAnsi="Arial" w:cs="Arial"/>
                <w:szCs w:val="24"/>
              </w:rPr>
              <w:t>0bps</w:t>
            </w:r>
          </w:p>
        </w:tc>
      </w:tr>
      <w:tr w:rsidR="002330C8" w:rsidRPr="00667C8E" w14:paraId="634F3BD5" w14:textId="77777777" w:rsidTr="00925EFB">
        <w:tc>
          <w:tcPr>
            <w:tcW w:w="2071" w:type="pct"/>
            <w:shd w:val="clear" w:color="auto" w:fill="auto"/>
          </w:tcPr>
          <w:p w14:paraId="378E538D" w14:textId="146B9540" w:rsidR="002330C8" w:rsidRPr="007C4FD0" w:rsidRDefault="002330C8" w:rsidP="002330C8">
            <w:pPr>
              <w:rPr>
                <w:rFonts w:ascii="Arial" w:hAnsi="Arial" w:cs="Arial"/>
                <w:szCs w:val="24"/>
              </w:rPr>
            </w:pPr>
            <w:r w:rsidRPr="007C4FD0">
              <w:rPr>
                <w:rFonts w:ascii="Arial" w:hAnsi="Arial" w:cs="Arial"/>
                <w:szCs w:val="24"/>
              </w:rPr>
              <w:t xml:space="preserve">Retail profit </w:t>
            </w:r>
          </w:p>
        </w:tc>
        <w:tc>
          <w:tcPr>
            <w:tcW w:w="786" w:type="pct"/>
            <w:shd w:val="clear" w:color="auto" w:fill="auto"/>
          </w:tcPr>
          <w:p w14:paraId="6A28140C" w14:textId="7B29098E" w:rsidR="002330C8" w:rsidRPr="007C4FD0" w:rsidRDefault="002330C8" w:rsidP="002330C8">
            <w:pPr>
              <w:jc w:val="right"/>
              <w:rPr>
                <w:rFonts w:ascii="Arial" w:hAnsi="Arial" w:cs="Arial"/>
                <w:b/>
                <w:szCs w:val="24"/>
              </w:rPr>
            </w:pPr>
            <w:r w:rsidRPr="007C4FD0">
              <w:rPr>
                <w:rFonts w:ascii="Arial" w:hAnsi="Arial" w:cs="Arial"/>
                <w:b/>
                <w:szCs w:val="24"/>
              </w:rPr>
              <w:t>£46</w:t>
            </w:r>
            <w:r>
              <w:rPr>
                <w:rFonts w:ascii="Arial" w:hAnsi="Arial" w:cs="Arial"/>
                <w:b/>
                <w:szCs w:val="24"/>
              </w:rPr>
              <w:t>6</w:t>
            </w:r>
            <w:r w:rsidRPr="007C4FD0">
              <w:rPr>
                <w:rFonts w:ascii="Arial" w:hAnsi="Arial" w:cs="Arial"/>
                <w:b/>
                <w:szCs w:val="24"/>
              </w:rPr>
              <w:t>m</w:t>
            </w:r>
          </w:p>
        </w:tc>
        <w:tc>
          <w:tcPr>
            <w:tcW w:w="714" w:type="pct"/>
            <w:shd w:val="clear" w:color="auto" w:fill="auto"/>
          </w:tcPr>
          <w:p w14:paraId="1E9609AC" w14:textId="2AC1E885" w:rsidR="002330C8" w:rsidRPr="007C4FD0" w:rsidRDefault="002330C8" w:rsidP="002330C8">
            <w:pPr>
              <w:jc w:val="right"/>
              <w:rPr>
                <w:rFonts w:ascii="Arial" w:hAnsi="Arial" w:cs="Arial"/>
                <w:bCs/>
                <w:szCs w:val="24"/>
              </w:rPr>
            </w:pPr>
            <w:r w:rsidRPr="007C4FD0">
              <w:rPr>
                <w:rFonts w:ascii="Arial" w:hAnsi="Arial" w:cs="Arial"/>
                <w:bCs/>
                <w:szCs w:val="24"/>
              </w:rPr>
              <w:t>£4</w:t>
            </w:r>
            <w:r>
              <w:rPr>
                <w:rFonts w:ascii="Arial" w:hAnsi="Arial" w:cs="Arial"/>
                <w:bCs/>
                <w:szCs w:val="24"/>
              </w:rPr>
              <w:t>90</w:t>
            </w:r>
            <w:r w:rsidRPr="007C4FD0">
              <w:rPr>
                <w:rFonts w:ascii="Arial" w:hAnsi="Arial" w:cs="Arial"/>
                <w:bCs/>
                <w:szCs w:val="24"/>
              </w:rPr>
              <w:t>m</w:t>
            </w:r>
          </w:p>
        </w:tc>
        <w:tc>
          <w:tcPr>
            <w:tcW w:w="701" w:type="pct"/>
          </w:tcPr>
          <w:p w14:paraId="7CFDC1E1" w14:textId="674931DA" w:rsidR="002330C8" w:rsidRPr="007C4FD0" w:rsidRDefault="002330C8" w:rsidP="002330C8">
            <w:pPr>
              <w:jc w:val="right"/>
              <w:rPr>
                <w:rFonts w:ascii="Arial" w:hAnsi="Arial" w:cs="Arial"/>
                <w:szCs w:val="24"/>
              </w:rPr>
            </w:pPr>
            <w:r w:rsidRPr="007C4FD0">
              <w:rPr>
                <w:rFonts w:ascii="Arial" w:hAnsi="Arial" w:cs="Arial"/>
                <w:szCs w:val="24"/>
              </w:rPr>
              <w:t>(</w:t>
            </w:r>
            <w:r w:rsidRPr="007C4FD0">
              <w:rPr>
                <w:rFonts w:ascii="Arial" w:hAnsi="Arial" w:cs="Arial"/>
              </w:rPr>
              <w:t>4.</w:t>
            </w:r>
            <w:r>
              <w:rPr>
                <w:rFonts w:ascii="Arial" w:hAnsi="Arial" w:cs="Arial"/>
              </w:rPr>
              <w:t>8</w:t>
            </w:r>
            <w:r w:rsidRPr="007C4FD0">
              <w:rPr>
                <w:rFonts w:ascii="Arial" w:hAnsi="Arial" w:cs="Arial"/>
              </w:rPr>
              <w:t>)</w:t>
            </w:r>
            <w:r w:rsidRPr="007C4FD0">
              <w:rPr>
                <w:rFonts w:ascii="Arial" w:hAnsi="Arial" w:cs="Arial"/>
                <w:szCs w:val="24"/>
              </w:rPr>
              <w:t>%</w:t>
            </w:r>
            <w:r w:rsidRPr="007C4FD0" w:rsidDel="00265815">
              <w:rPr>
                <w:rFonts w:ascii="Arial" w:hAnsi="Arial" w:cs="Arial"/>
                <w:szCs w:val="24"/>
              </w:rPr>
              <w:t xml:space="preserve"> </w:t>
            </w:r>
          </w:p>
        </w:tc>
        <w:tc>
          <w:tcPr>
            <w:tcW w:w="728" w:type="pct"/>
            <w:shd w:val="clear" w:color="auto" w:fill="auto"/>
          </w:tcPr>
          <w:p w14:paraId="2E03CFFF" w14:textId="29AFDEAF" w:rsidR="002330C8" w:rsidRPr="007C4FD0" w:rsidRDefault="002330C8" w:rsidP="002330C8">
            <w:pPr>
              <w:jc w:val="right"/>
              <w:rPr>
                <w:rFonts w:ascii="Arial" w:hAnsi="Arial" w:cs="Arial"/>
                <w:szCs w:val="24"/>
              </w:rPr>
            </w:pPr>
            <w:r w:rsidRPr="007C4FD0">
              <w:rPr>
                <w:rFonts w:ascii="Arial" w:hAnsi="Arial" w:cs="Arial"/>
              </w:rPr>
              <w:t>(</w:t>
            </w:r>
            <w:r>
              <w:rPr>
                <w:rFonts w:ascii="Arial" w:hAnsi="Arial" w:cs="Arial"/>
              </w:rPr>
              <w:t>4</w:t>
            </w:r>
            <w:r w:rsidRPr="007C4FD0">
              <w:rPr>
                <w:rFonts w:ascii="Arial" w:hAnsi="Arial" w:cs="Arial"/>
              </w:rPr>
              <w:t>.</w:t>
            </w:r>
            <w:r w:rsidR="00B7253B">
              <w:rPr>
                <w:rFonts w:ascii="Arial" w:hAnsi="Arial" w:cs="Arial"/>
              </w:rPr>
              <w:t>4</w:t>
            </w:r>
            <w:r>
              <w:rPr>
                <w:rFonts w:ascii="Arial" w:hAnsi="Arial" w:cs="Arial"/>
              </w:rPr>
              <w:t>)</w:t>
            </w:r>
            <w:r w:rsidRPr="007C4FD0">
              <w:rPr>
                <w:rFonts w:ascii="Arial" w:hAnsi="Arial" w:cs="Arial"/>
                <w:szCs w:val="24"/>
              </w:rPr>
              <w:t>%</w:t>
            </w:r>
            <w:r w:rsidRPr="007C4FD0" w:rsidDel="00265815">
              <w:rPr>
                <w:rFonts w:ascii="Arial" w:hAnsi="Arial" w:cs="Arial"/>
                <w:szCs w:val="24"/>
              </w:rPr>
              <w:t xml:space="preserve"> </w:t>
            </w:r>
          </w:p>
        </w:tc>
      </w:tr>
      <w:tr w:rsidR="002330C8" w:rsidRPr="00667C8E" w14:paraId="04CD7F9D" w14:textId="77777777" w:rsidTr="00925EFB">
        <w:tc>
          <w:tcPr>
            <w:tcW w:w="2071" w:type="pct"/>
            <w:shd w:val="clear" w:color="auto" w:fill="auto"/>
          </w:tcPr>
          <w:p w14:paraId="71B73E2E" w14:textId="77777777" w:rsidR="002330C8" w:rsidRPr="00592D19" w:rsidRDefault="002330C8" w:rsidP="002330C8">
            <w:pPr>
              <w:rPr>
                <w:rFonts w:ascii="Arial" w:hAnsi="Arial" w:cs="Arial"/>
                <w:szCs w:val="24"/>
              </w:rPr>
            </w:pPr>
            <w:r w:rsidRPr="00592D19">
              <w:rPr>
                <w:rFonts w:ascii="Arial" w:hAnsi="Arial" w:cs="Arial"/>
                <w:szCs w:val="24"/>
              </w:rPr>
              <w:t>Underlying pre-tax profit</w:t>
            </w:r>
          </w:p>
        </w:tc>
        <w:tc>
          <w:tcPr>
            <w:tcW w:w="786" w:type="pct"/>
            <w:shd w:val="clear" w:color="auto" w:fill="auto"/>
          </w:tcPr>
          <w:p w14:paraId="1DD968D1" w14:textId="7E0A68E2" w:rsidR="002330C8" w:rsidRPr="00592D19" w:rsidDel="00265815" w:rsidRDefault="002330C8" w:rsidP="002330C8">
            <w:pPr>
              <w:jc w:val="right"/>
              <w:rPr>
                <w:rFonts w:ascii="Arial" w:hAnsi="Arial" w:cs="Arial"/>
                <w:b/>
                <w:szCs w:val="24"/>
              </w:rPr>
            </w:pPr>
            <w:r w:rsidRPr="00592D19">
              <w:rPr>
                <w:rFonts w:ascii="Arial" w:hAnsi="Arial" w:cs="Arial"/>
                <w:b/>
                <w:szCs w:val="24"/>
              </w:rPr>
              <w:t>£35</w:t>
            </w:r>
            <w:r>
              <w:rPr>
                <w:rFonts w:ascii="Arial" w:hAnsi="Arial" w:cs="Arial"/>
                <w:b/>
                <w:szCs w:val="24"/>
              </w:rPr>
              <w:t>3</w:t>
            </w:r>
            <w:r w:rsidRPr="00592D19">
              <w:rPr>
                <w:rFonts w:ascii="Arial" w:hAnsi="Arial" w:cs="Arial"/>
                <w:b/>
                <w:szCs w:val="24"/>
              </w:rPr>
              <w:t>m</w:t>
            </w:r>
          </w:p>
        </w:tc>
        <w:tc>
          <w:tcPr>
            <w:tcW w:w="714" w:type="pct"/>
            <w:shd w:val="clear" w:color="auto" w:fill="auto"/>
          </w:tcPr>
          <w:p w14:paraId="3896E860" w14:textId="7066AD7F" w:rsidR="002330C8" w:rsidRPr="00592D19" w:rsidRDefault="002330C8" w:rsidP="002330C8">
            <w:pPr>
              <w:jc w:val="right"/>
              <w:rPr>
                <w:rFonts w:ascii="Arial" w:hAnsi="Arial" w:cs="Arial"/>
                <w:bCs/>
                <w:szCs w:val="24"/>
              </w:rPr>
            </w:pPr>
            <w:r w:rsidRPr="00592D19">
              <w:rPr>
                <w:rFonts w:ascii="Arial" w:hAnsi="Arial" w:cs="Arial"/>
                <w:bCs/>
                <w:szCs w:val="24"/>
              </w:rPr>
              <w:t>£377m</w:t>
            </w:r>
          </w:p>
        </w:tc>
        <w:tc>
          <w:tcPr>
            <w:tcW w:w="701" w:type="pct"/>
          </w:tcPr>
          <w:p w14:paraId="105D8B89" w14:textId="53D14B90" w:rsidR="002330C8" w:rsidRPr="00592D19" w:rsidDel="00265815" w:rsidRDefault="002330C8" w:rsidP="002330C8">
            <w:pPr>
              <w:jc w:val="right"/>
              <w:rPr>
                <w:rFonts w:ascii="Arial" w:hAnsi="Arial" w:cs="Arial"/>
                <w:szCs w:val="24"/>
              </w:rPr>
            </w:pPr>
            <w:r w:rsidRPr="00592D19">
              <w:rPr>
                <w:rFonts w:ascii="Arial" w:hAnsi="Arial" w:cs="Arial"/>
              </w:rPr>
              <w:t>(6.</w:t>
            </w:r>
            <w:r>
              <w:rPr>
                <w:rFonts w:ascii="Arial" w:hAnsi="Arial" w:cs="Arial"/>
              </w:rPr>
              <w:t>4</w:t>
            </w:r>
            <w:r w:rsidRPr="00592D19">
              <w:rPr>
                <w:rFonts w:ascii="Arial" w:hAnsi="Arial" w:cs="Arial"/>
              </w:rPr>
              <w:t>)</w:t>
            </w:r>
            <w:r w:rsidRPr="00592D19">
              <w:rPr>
                <w:rFonts w:ascii="Arial" w:hAnsi="Arial" w:cs="Arial"/>
                <w:szCs w:val="24"/>
              </w:rPr>
              <w:t>%</w:t>
            </w:r>
            <w:r w:rsidRPr="00592D19" w:rsidDel="00265815">
              <w:rPr>
                <w:rFonts w:ascii="Arial" w:hAnsi="Arial" w:cs="Arial"/>
                <w:szCs w:val="24"/>
              </w:rPr>
              <w:t xml:space="preserve"> </w:t>
            </w:r>
          </w:p>
        </w:tc>
        <w:tc>
          <w:tcPr>
            <w:tcW w:w="728" w:type="pct"/>
            <w:shd w:val="clear" w:color="auto" w:fill="auto"/>
          </w:tcPr>
          <w:p w14:paraId="6FBEC662" w14:textId="77777777" w:rsidR="002330C8" w:rsidRPr="00230CDB" w:rsidRDefault="002330C8" w:rsidP="002330C8">
            <w:pPr>
              <w:jc w:val="right"/>
              <w:rPr>
                <w:rFonts w:ascii="Arial" w:hAnsi="Arial" w:cs="Arial"/>
                <w:szCs w:val="24"/>
              </w:rPr>
            </w:pPr>
          </w:p>
        </w:tc>
      </w:tr>
      <w:tr w:rsidR="002330C8" w:rsidRPr="00667C8E" w14:paraId="167A531F" w14:textId="77777777" w:rsidTr="00925EFB">
        <w:tc>
          <w:tcPr>
            <w:tcW w:w="2071" w:type="pct"/>
            <w:shd w:val="clear" w:color="auto" w:fill="auto"/>
          </w:tcPr>
          <w:p w14:paraId="5AA54DA0" w14:textId="5AFEB584" w:rsidR="002330C8" w:rsidRPr="007C4FD0" w:rsidRDefault="002330C8" w:rsidP="002330C8">
            <w:pPr>
              <w:rPr>
                <w:rFonts w:ascii="Arial" w:hAnsi="Arial" w:cs="Arial"/>
                <w:szCs w:val="24"/>
              </w:rPr>
            </w:pPr>
            <w:r w:rsidRPr="007C4FD0">
              <w:rPr>
                <w:rFonts w:ascii="Arial" w:hAnsi="Arial" w:cs="Arial"/>
                <w:szCs w:val="24"/>
              </w:rPr>
              <w:t>Transformation P&amp;L costs</w:t>
            </w:r>
            <w:r w:rsidRPr="007C4FD0">
              <w:rPr>
                <w:rFonts w:ascii="Arial" w:hAnsi="Arial" w:cs="Arial"/>
                <w:szCs w:val="24"/>
                <w:vertAlign w:val="superscript"/>
              </w:rPr>
              <w:t>(</w:t>
            </w:r>
            <w:r w:rsidR="00B7253B">
              <w:rPr>
                <w:rFonts w:ascii="Arial" w:hAnsi="Arial" w:cs="Arial"/>
                <w:szCs w:val="24"/>
                <w:vertAlign w:val="superscript"/>
              </w:rPr>
              <w:t>2</w:t>
            </w:r>
            <w:r w:rsidRPr="007C4FD0">
              <w:rPr>
                <w:rFonts w:ascii="Arial" w:hAnsi="Arial" w:cs="Arial"/>
                <w:szCs w:val="24"/>
                <w:vertAlign w:val="superscript"/>
              </w:rPr>
              <w:t>)</w:t>
            </w:r>
          </w:p>
        </w:tc>
        <w:tc>
          <w:tcPr>
            <w:tcW w:w="786" w:type="pct"/>
            <w:shd w:val="clear" w:color="auto" w:fill="auto"/>
          </w:tcPr>
          <w:p w14:paraId="129FD7AF" w14:textId="5FAEF3E5" w:rsidR="002330C8" w:rsidRPr="007C4FD0" w:rsidDel="00265815" w:rsidRDefault="002330C8" w:rsidP="002330C8">
            <w:pPr>
              <w:jc w:val="right"/>
              <w:rPr>
                <w:rFonts w:ascii="Arial" w:hAnsi="Arial" w:cs="Arial"/>
                <w:b/>
                <w:szCs w:val="24"/>
              </w:rPr>
            </w:pPr>
            <w:r w:rsidRPr="007C4FD0">
              <w:rPr>
                <w:rFonts w:ascii="Arial" w:hAnsi="Arial" w:cs="Arial"/>
                <w:b/>
                <w:szCs w:val="24"/>
              </w:rPr>
              <w:t>£(16)m</w:t>
            </w:r>
          </w:p>
        </w:tc>
        <w:tc>
          <w:tcPr>
            <w:tcW w:w="714" w:type="pct"/>
            <w:shd w:val="clear" w:color="auto" w:fill="auto"/>
          </w:tcPr>
          <w:p w14:paraId="1921FEE9" w14:textId="55CF71CE" w:rsidR="002330C8" w:rsidRPr="007C4FD0" w:rsidRDefault="002330C8" w:rsidP="002330C8">
            <w:pPr>
              <w:jc w:val="right"/>
              <w:rPr>
                <w:rFonts w:ascii="Arial" w:hAnsi="Arial" w:cs="Arial"/>
                <w:bCs/>
                <w:szCs w:val="24"/>
              </w:rPr>
            </w:pPr>
            <w:r w:rsidRPr="007C4FD0">
              <w:rPr>
                <w:rFonts w:ascii="Arial" w:hAnsi="Arial" w:cs="Arial"/>
                <w:bCs/>
                <w:szCs w:val="24"/>
              </w:rPr>
              <w:t>£(52)m</w:t>
            </w:r>
          </w:p>
        </w:tc>
        <w:tc>
          <w:tcPr>
            <w:tcW w:w="701" w:type="pct"/>
          </w:tcPr>
          <w:p w14:paraId="483CFC2C" w14:textId="124DCEF8" w:rsidR="002330C8" w:rsidRPr="007C4FD0" w:rsidDel="00265815" w:rsidRDefault="002330C8" w:rsidP="002330C8">
            <w:pPr>
              <w:jc w:val="right"/>
              <w:rPr>
                <w:rFonts w:ascii="Arial" w:hAnsi="Arial" w:cs="Arial"/>
                <w:szCs w:val="24"/>
              </w:rPr>
            </w:pPr>
            <w:r w:rsidRPr="007C4FD0">
              <w:rPr>
                <w:rFonts w:ascii="Arial" w:hAnsi="Arial" w:cs="Arial"/>
                <w:szCs w:val="24"/>
              </w:rPr>
              <w:t>n/a</w:t>
            </w:r>
          </w:p>
        </w:tc>
        <w:tc>
          <w:tcPr>
            <w:tcW w:w="728" w:type="pct"/>
            <w:shd w:val="clear" w:color="auto" w:fill="auto"/>
          </w:tcPr>
          <w:p w14:paraId="66A3016B" w14:textId="77777777" w:rsidR="002330C8" w:rsidRPr="007C4FD0" w:rsidRDefault="002330C8" w:rsidP="002330C8">
            <w:pPr>
              <w:jc w:val="right"/>
              <w:rPr>
                <w:rFonts w:ascii="Arial" w:hAnsi="Arial" w:cs="Arial"/>
                <w:szCs w:val="24"/>
              </w:rPr>
            </w:pPr>
          </w:p>
        </w:tc>
      </w:tr>
      <w:tr w:rsidR="002330C8" w:rsidRPr="007C4FD0" w14:paraId="59138906" w14:textId="77777777" w:rsidTr="00925EFB">
        <w:tc>
          <w:tcPr>
            <w:tcW w:w="2071" w:type="pct"/>
            <w:shd w:val="clear" w:color="auto" w:fill="auto"/>
          </w:tcPr>
          <w:p w14:paraId="6DD3794B" w14:textId="77777777" w:rsidR="002330C8" w:rsidRPr="007C4FD0" w:rsidRDefault="002330C8" w:rsidP="002330C8">
            <w:pPr>
              <w:rPr>
                <w:rFonts w:ascii="Arial" w:hAnsi="Arial" w:cs="Arial"/>
                <w:szCs w:val="24"/>
              </w:rPr>
            </w:pPr>
            <w:r w:rsidRPr="007C4FD0">
              <w:rPr>
                <w:rFonts w:ascii="Arial" w:hAnsi="Arial" w:cs="Arial"/>
                <w:szCs w:val="24"/>
              </w:rPr>
              <w:t xml:space="preserve">Adjusted pre-tax profit </w:t>
            </w:r>
          </w:p>
        </w:tc>
        <w:tc>
          <w:tcPr>
            <w:tcW w:w="786" w:type="pct"/>
            <w:shd w:val="clear" w:color="auto" w:fill="auto"/>
          </w:tcPr>
          <w:p w14:paraId="64E11274" w14:textId="4E09BF7C" w:rsidR="002330C8" w:rsidRPr="007C4FD0" w:rsidRDefault="002330C8" w:rsidP="002330C8">
            <w:pPr>
              <w:jc w:val="right"/>
              <w:rPr>
                <w:rFonts w:ascii="Arial" w:hAnsi="Arial" w:cs="Arial"/>
                <w:b/>
                <w:szCs w:val="24"/>
              </w:rPr>
            </w:pPr>
            <w:r w:rsidRPr="007C4FD0">
              <w:rPr>
                <w:rFonts w:ascii="Arial" w:hAnsi="Arial" w:cs="Arial"/>
                <w:b/>
                <w:szCs w:val="24"/>
              </w:rPr>
              <w:t>£33</w:t>
            </w:r>
            <w:r>
              <w:rPr>
                <w:rFonts w:ascii="Arial" w:hAnsi="Arial" w:cs="Arial"/>
                <w:b/>
                <w:szCs w:val="24"/>
              </w:rPr>
              <w:t>7</w:t>
            </w:r>
            <w:r w:rsidRPr="007C4FD0">
              <w:rPr>
                <w:rFonts w:ascii="Arial" w:hAnsi="Arial" w:cs="Arial"/>
                <w:b/>
                <w:szCs w:val="24"/>
              </w:rPr>
              <w:t>m</w:t>
            </w:r>
          </w:p>
        </w:tc>
        <w:tc>
          <w:tcPr>
            <w:tcW w:w="714" w:type="pct"/>
            <w:shd w:val="clear" w:color="auto" w:fill="auto"/>
          </w:tcPr>
          <w:p w14:paraId="298DCEAC" w14:textId="6703C525" w:rsidR="002330C8" w:rsidRPr="007C4FD0" w:rsidRDefault="002330C8" w:rsidP="002330C8">
            <w:pPr>
              <w:jc w:val="right"/>
              <w:rPr>
                <w:rFonts w:ascii="Arial" w:hAnsi="Arial" w:cs="Arial"/>
                <w:bCs/>
                <w:szCs w:val="24"/>
              </w:rPr>
            </w:pPr>
            <w:r w:rsidRPr="007C4FD0">
              <w:rPr>
                <w:rFonts w:ascii="Arial" w:hAnsi="Arial" w:cs="Arial"/>
                <w:bCs/>
                <w:szCs w:val="24"/>
              </w:rPr>
              <w:t>£325m</w:t>
            </w:r>
          </w:p>
        </w:tc>
        <w:tc>
          <w:tcPr>
            <w:tcW w:w="701" w:type="pct"/>
          </w:tcPr>
          <w:p w14:paraId="403E70DB" w14:textId="56639DB1" w:rsidR="002330C8" w:rsidRPr="007C4FD0" w:rsidRDefault="002330C8" w:rsidP="002330C8">
            <w:pPr>
              <w:jc w:val="right"/>
              <w:rPr>
                <w:rFonts w:ascii="Arial" w:hAnsi="Arial" w:cs="Arial"/>
                <w:szCs w:val="24"/>
              </w:rPr>
            </w:pPr>
            <w:r>
              <w:rPr>
                <w:rFonts w:ascii="Arial" w:hAnsi="Arial" w:cs="Arial"/>
              </w:rPr>
              <w:t>+3.7</w:t>
            </w:r>
            <w:r w:rsidRPr="007C4FD0">
              <w:rPr>
                <w:rFonts w:ascii="Arial" w:hAnsi="Arial" w:cs="Arial"/>
                <w:szCs w:val="24"/>
              </w:rPr>
              <w:t>%</w:t>
            </w:r>
            <w:r w:rsidRPr="007C4FD0" w:rsidDel="00265815">
              <w:rPr>
                <w:rFonts w:ascii="Arial" w:hAnsi="Arial" w:cs="Arial"/>
                <w:szCs w:val="24"/>
              </w:rPr>
              <w:t xml:space="preserve"> </w:t>
            </w:r>
          </w:p>
        </w:tc>
        <w:tc>
          <w:tcPr>
            <w:tcW w:w="728" w:type="pct"/>
            <w:shd w:val="clear" w:color="auto" w:fill="auto"/>
          </w:tcPr>
          <w:p w14:paraId="367C4944" w14:textId="77777777" w:rsidR="002330C8" w:rsidRPr="007C4FD0" w:rsidRDefault="002330C8" w:rsidP="002330C8">
            <w:pPr>
              <w:jc w:val="right"/>
              <w:rPr>
                <w:rFonts w:ascii="Arial" w:hAnsi="Arial" w:cs="Arial"/>
                <w:szCs w:val="24"/>
              </w:rPr>
            </w:pPr>
          </w:p>
        </w:tc>
      </w:tr>
      <w:tr w:rsidR="002330C8" w:rsidRPr="00667C8E" w14:paraId="4686AF62" w14:textId="77777777" w:rsidTr="00925EFB">
        <w:tc>
          <w:tcPr>
            <w:tcW w:w="2071" w:type="pct"/>
            <w:shd w:val="clear" w:color="auto" w:fill="auto"/>
          </w:tcPr>
          <w:p w14:paraId="5D7C846B" w14:textId="45B76467" w:rsidR="002330C8" w:rsidRPr="007C4FD0" w:rsidRDefault="002330C8" w:rsidP="002330C8">
            <w:pPr>
              <w:rPr>
                <w:rFonts w:ascii="Arial" w:hAnsi="Arial" w:cs="Arial"/>
                <w:szCs w:val="24"/>
              </w:rPr>
            </w:pPr>
            <w:r w:rsidRPr="007C4FD0">
              <w:rPr>
                <w:rFonts w:ascii="Arial" w:hAnsi="Arial" w:cs="Arial"/>
                <w:szCs w:val="24"/>
              </w:rPr>
              <w:t xml:space="preserve">Statutory pre-tax profit </w:t>
            </w:r>
          </w:p>
        </w:tc>
        <w:tc>
          <w:tcPr>
            <w:tcW w:w="786" w:type="pct"/>
            <w:shd w:val="clear" w:color="auto" w:fill="auto"/>
          </w:tcPr>
          <w:p w14:paraId="0CF0E387" w14:textId="41698A10" w:rsidR="002330C8" w:rsidRPr="007C4FD0" w:rsidRDefault="002330C8" w:rsidP="002330C8">
            <w:pPr>
              <w:jc w:val="right"/>
              <w:rPr>
                <w:rFonts w:ascii="Arial" w:hAnsi="Arial" w:cs="Arial"/>
                <w:b/>
                <w:szCs w:val="24"/>
              </w:rPr>
            </w:pPr>
            <w:r w:rsidRPr="007C4FD0">
              <w:rPr>
                <w:rFonts w:ascii="Arial" w:hAnsi="Arial" w:cs="Arial"/>
                <w:b/>
                <w:szCs w:val="24"/>
              </w:rPr>
              <w:t>£2</w:t>
            </w:r>
            <w:r>
              <w:rPr>
                <w:rFonts w:ascii="Arial" w:hAnsi="Arial" w:cs="Arial"/>
                <w:b/>
                <w:szCs w:val="24"/>
              </w:rPr>
              <w:t>45</w:t>
            </w:r>
            <w:r w:rsidRPr="007C4FD0">
              <w:rPr>
                <w:rFonts w:ascii="Arial" w:hAnsi="Arial" w:cs="Arial"/>
                <w:b/>
                <w:szCs w:val="24"/>
              </w:rPr>
              <w:t>m</w:t>
            </w:r>
          </w:p>
        </w:tc>
        <w:tc>
          <w:tcPr>
            <w:tcW w:w="714" w:type="pct"/>
            <w:shd w:val="clear" w:color="auto" w:fill="auto"/>
          </w:tcPr>
          <w:p w14:paraId="10555FAD" w14:textId="08E25D29" w:rsidR="002330C8" w:rsidRPr="007C4FD0" w:rsidRDefault="002330C8" w:rsidP="002330C8">
            <w:pPr>
              <w:jc w:val="right"/>
              <w:rPr>
                <w:rFonts w:ascii="Arial" w:hAnsi="Arial" w:cs="Arial"/>
                <w:bCs/>
                <w:szCs w:val="24"/>
              </w:rPr>
            </w:pPr>
            <w:r w:rsidRPr="007C4FD0">
              <w:rPr>
                <w:rFonts w:ascii="Arial" w:hAnsi="Arial" w:cs="Arial"/>
                <w:bCs/>
                <w:szCs w:val="24"/>
              </w:rPr>
              <w:t>£280m</w:t>
            </w:r>
          </w:p>
        </w:tc>
        <w:tc>
          <w:tcPr>
            <w:tcW w:w="701" w:type="pct"/>
          </w:tcPr>
          <w:p w14:paraId="36443B14" w14:textId="19209EC5" w:rsidR="002330C8" w:rsidRPr="007C4FD0" w:rsidRDefault="002330C8" w:rsidP="002330C8">
            <w:pPr>
              <w:jc w:val="right"/>
              <w:rPr>
                <w:rFonts w:ascii="Arial" w:hAnsi="Arial" w:cs="Arial"/>
                <w:szCs w:val="24"/>
              </w:rPr>
            </w:pPr>
            <w:r w:rsidRPr="007C4FD0">
              <w:rPr>
                <w:rFonts w:ascii="Arial" w:hAnsi="Arial" w:cs="Arial"/>
              </w:rPr>
              <w:t>(</w:t>
            </w:r>
            <w:r>
              <w:rPr>
                <w:rFonts w:ascii="Arial" w:hAnsi="Arial" w:cs="Arial"/>
              </w:rPr>
              <w:t>12.5</w:t>
            </w:r>
            <w:r w:rsidRPr="007C4FD0">
              <w:rPr>
                <w:rFonts w:ascii="Arial" w:hAnsi="Arial" w:cs="Arial"/>
              </w:rPr>
              <w:t>)</w:t>
            </w:r>
            <w:r w:rsidRPr="007C4FD0">
              <w:rPr>
                <w:rFonts w:ascii="Arial" w:hAnsi="Arial" w:cs="Arial"/>
                <w:szCs w:val="24"/>
              </w:rPr>
              <w:t>%</w:t>
            </w:r>
            <w:r w:rsidRPr="007C4FD0" w:rsidDel="00265815">
              <w:rPr>
                <w:rFonts w:ascii="Arial" w:hAnsi="Arial" w:cs="Arial"/>
                <w:szCs w:val="24"/>
              </w:rPr>
              <w:t xml:space="preserve"> </w:t>
            </w:r>
          </w:p>
        </w:tc>
        <w:tc>
          <w:tcPr>
            <w:tcW w:w="728" w:type="pct"/>
            <w:shd w:val="clear" w:color="auto" w:fill="auto"/>
          </w:tcPr>
          <w:p w14:paraId="729B2FD3" w14:textId="77777777" w:rsidR="002330C8" w:rsidRPr="007C4FD0" w:rsidRDefault="002330C8" w:rsidP="002330C8">
            <w:pPr>
              <w:jc w:val="right"/>
              <w:rPr>
                <w:rFonts w:ascii="Arial" w:hAnsi="Arial" w:cs="Arial"/>
                <w:szCs w:val="24"/>
              </w:rPr>
            </w:pPr>
          </w:p>
        </w:tc>
      </w:tr>
      <w:tr w:rsidR="002330C8" w:rsidRPr="00667C8E" w14:paraId="1D63175A" w14:textId="77777777" w:rsidTr="00925EFB">
        <w:tc>
          <w:tcPr>
            <w:tcW w:w="2071" w:type="pct"/>
            <w:shd w:val="clear" w:color="auto" w:fill="auto"/>
          </w:tcPr>
          <w:p w14:paraId="380314A6" w14:textId="587FE0C9" w:rsidR="002330C8" w:rsidRPr="0080255D" w:rsidRDefault="002330C8" w:rsidP="002330C8">
            <w:pPr>
              <w:rPr>
                <w:rFonts w:ascii="Arial" w:hAnsi="Arial" w:cs="Arial"/>
                <w:szCs w:val="24"/>
              </w:rPr>
            </w:pPr>
            <w:r w:rsidRPr="0080255D">
              <w:rPr>
                <w:rFonts w:ascii="Arial" w:hAnsi="Arial" w:cs="Arial"/>
                <w:szCs w:val="24"/>
              </w:rPr>
              <w:t>Exceptional items (post-tax)</w:t>
            </w:r>
            <w:r w:rsidRPr="0080255D">
              <w:rPr>
                <w:rFonts w:ascii="Arial" w:hAnsi="Arial" w:cs="Arial"/>
                <w:szCs w:val="24"/>
                <w:vertAlign w:val="superscript"/>
              </w:rPr>
              <w:t>(</w:t>
            </w:r>
            <w:r w:rsidR="00B7253B">
              <w:rPr>
                <w:rFonts w:ascii="Arial" w:hAnsi="Arial" w:cs="Arial"/>
                <w:szCs w:val="24"/>
                <w:vertAlign w:val="superscript"/>
              </w:rPr>
              <w:t>2</w:t>
            </w:r>
            <w:r w:rsidRPr="0080255D">
              <w:rPr>
                <w:rFonts w:ascii="Arial" w:hAnsi="Arial" w:cs="Arial"/>
                <w:szCs w:val="24"/>
                <w:vertAlign w:val="superscript"/>
              </w:rPr>
              <w:t>)</w:t>
            </w:r>
          </w:p>
        </w:tc>
        <w:tc>
          <w:tcPr>
            <w:tcW w:w="786" w:type="pct"/>
            <w:shd w:val="clear" w:color="auto" w:fill="auto"/>
          </w:tcPr>
          <w:p w14:paraId="693BFA2C" w14:textId="457E7D90" w:rsidR="002330C8" w:rsidRPr="0080255D" w:rsidRDefault="002330C8" w:rsidP="002330C8">
            <w:pPr>
              <w:jc w:val="right"/>
              <w:rPr>
                <w:rFonts w:ascii="Arial" w:hAnsi="Arial" w:cs="Arial"/>
                <w:b/>
                <w:szCs w:val="24"/>
              </w:rPr>
            </w:pPr>
            <w:r w:rsidRPr="0080255D">
              <w:rPr>
                <w:rFonts w:ascii="Arial" w:hAnsi="Arial" w:cs="Arial"/>
                <w:b/>
                <w:szCs w:val="24"/>
              </w:rPr>
              <w:t>£(</w:t>
            </w:r>
            <w:r>
              <w:rPr>
                <w:rFonts w:ascii="Arial" w:hAnsi="Arial" w:cs="Arial"/>
                <w:b/>
                <w:szCs w:val="24"/>
              </w:rPr>
              <w:t>74</w:t>
            </w:r>
            <w:r w:rsidRPr="0080255D">
              <w:rPr>
                <w:rFonts w:ascii="Arial" w:hAnsi="Arial" w:cs="Arial"/>
                <w:b/>
                <w:szCs w:val="24"/>
              </w:rPr>
              <w:t>)m</w:t>
            </w:r>
          </w:p>
        </w:tc>
        <w:tc>
          <w:tcPr>
            <w:tcW w:w="714" w:type="pct"/>
            <w:shd w:val="clear" w:color="auto" w:fill="auto"/>
          </w:tcPr>
          <w:p w14:paraId="3CF949F8" w14:textId="20A3DECC" w:rsidR="002330C8" w:rsidRPr="0080255D" w:rsidRDefault="002330C8" w:rsidP="002330C8">
            <w:pPr>
              <w:jc w:val="right"/>
              <w:rPr>
                <w:rFonts w:ascii="Arial" w:hAnsi="Arial" w:cs="Arial"/>
                <w:bCs/>
                <w:szCs w:val="24"/>
              </w:rPr>
            </w:pPr>
            <w:r w:rsidRPr="0080255D">
              <w:rPr>
                <w:rFonts w:ascii="Arial" w:hAnsi="Arial" w:cs="Arial"/>
                <w:bCs/>
                <w:szCs w:val="24"/>
              </w:rPr>
              <w:t>£(29)m</w:t>
            </w:r>
          </w:p>
        </w:tc>
        <w:tc>
          <w:tcPr>
            <w:tcW w:w="701" w:type="pct"/>
          </w:tcPr>
          <w:p w14:paraId="42977CB8" w14:textId="49A6F7A6" w:rsidR="002330C8" w:rsidRPr="0080255D" w:rsidRDefault="002330C8" w:rsidP="002330C8">
            <w:pPr>
              <w:jc w:val="right"/>
              <w:rPr>
                <w:rFonts w:ascii="Arial" w:hAnsi="Arial" w:cs="Arial"/>
                <w:szCs w:val="24"/>
              </w:rPr>
            </w:pPr>
            <w:r w:rsidRPr="0080255D">
              <w:rPr>
                <w:rFonts w:ascii="Arial" w:hAnsi="Arial" w:cs="Arial"/>
                <w:szCs w:val="24"/>
              </w:rPr>
              <w:t>n/a</w:t>
            </w:r>
            <w:r w:rsidRPr="0080255D" w:rsidDel="00265815">
              <w:rPr>
                <w:rFonts w:ascii="Arial" w:hAnsi="Arial" w:cs="Arial"/>
                <w:szCs w:val="24"/>
              </w:rPr>
              <w:t xml:space="preserve"> </w:t>
            </w:r>
          </w:p>
        </w:tc>
        <w:tc>
          <w:tcPr>
            <w:tcW w:w="728" w:type="pct"/>
            <w:shd w:val="clear" w:color="auto" w:fill="auto"/>
          </w:tcPr>
          <w:p w14:paraId="48987F93" w14:textId="77777777" w:rsidR="002330C8" w:rsidRPr="0080255D" w:rsidRDefault="002330C8" w:rsidP="002330C8">
            <w:pPr>
              <w:jc w:val="right"/>
              <w:rPr>
                <w:rFonts w:ascii="Arial" w:hAnsi="Arial" w:cs="Arial"/>
                <w:szCs w:val="24"/>
              </w:rPr>
            </w:pPr>
          </w:p>
        </w:tc>
      </w:tr>
      <w:tr w:rsidR="002330C8" w:rsidRPr="00667C8E" w14:paraId="330CF691" w14:textId="77777777" w:rsidTr="00925EFB">
        <w:tc>
          <w:tcPr>
            <w:tcW w:w="2071" w:type="pct"/>
            <w:shd w:val="clear" w:color="auto" w:fill="auto"/>
          </w:tcPr>
          <w:p w14:paraId="1C76CE9C" w14:textId="6A527B8D" w:rsidR="002330C8" w:rsidRPr="00AC598B" w:rsidRDefault="002330C8" w:rsidP="002330C8">
            <w:pPr>
              <w:rPr>
                <w:rFonts w:ascii="Arial" w:hAnsi="Arial" w:cs="Arial"/>
                <w:szCs w:val="24"/>
              </w:rPr>
            </w:pPr>
            <w:r>
              <w:rPr>
                <w:rFonts w:ascii="Arial" w:hAnsi="Arial" w:cs="Arial"/>
                <w:szCs w:val="24"/>
              </w:rPr>
              <w:t>Adjusted e</w:t>
            </w:r>
            <w:r w:rsidRPr="00AC598B">
              <w:rPr>
                <w:rFonts w:ascii="Arial" w:hAnsi="Arial" w:cs="Arial"/>
                <w:szCs w:val="24"/>
              </w:rPr>
              <w:t>ffective tax rate</w:t>
            </w:r>
          </w:p>
        </w:tc>
        <w:tc>
          <w:tcPr>
            <w:tcW w:w="786" w:type="pct"/>
            <w:shd w:val="clear" w:color="auto" w:fill="auto"/>
          </w:tcPr>
          <w:p w14:paraId="14E0EA86" w14:textId="25777658" w:rsidR="002330C8" w:rsidRPr="00361E13" w:rsidRDefault="002330C8" w:rsidP="002330C8">
            <w:pPr>
              <w:jc w:val="right"/>
              <w:rPr>
                <w:rFonts w:ascii="Arial" w:hAnsi="Arial" w:cs="Arial"/>
                <w:b/>
                <w:color w:val="C00000"/>
                <w:szCs w:val="24"/>
              </w:rPr>
            </w:pPr>
            <w:r w:rsidRPr="00361E13">
              <w:rPr>
                <w:rFonts w:ascii="Arial" w:hAnsi="Arial" w:cs="Arial"/>
                <w:b/>
                <w:szCs w:val="24"/>
              </w:rPr>
              <w:t>26%</w:t>
            </w:r>
          </w:p>
        </w:tc>
        <w:tc>
          <w:tcPr>
            <w:tcW w:w="714" w:type="pct"/>
            <w:shd w:val="clear" w:color="auto" w:fill="auto"/>
          </w:tcPr>
          <w:p w14:paraId="1391E4D5" w14:textId="7303DC0B" w:rsidR="002330C8" w:rsidRPr="00361E13" w:rsidRDefault="002330C8" w:rsidP="002330C8">
            <w:pPr>
              <w:jc w:val="right"/>
              <w:rPr>
                <w:rFonts w:ascii="Arial" w:hAnsi="Arial" w:cs="Arial"/>
                <w:bCs/>
                <w:szCs w:val="24"/>
                <w:vertAlign w:val="superscript"/>
              </w:rPr>
            </w:pPr>
            <w:r w:rsidRPr="00361E13">
              <w:rPr>
                <w:rFonts w:ascii="Arial" w:hAnsi="Arial" w:cs="Arial"/>
                <w:bCs/>
                <w:szCs w:val="24"/>
              </w:rPr>
              <w:t>27%</w:t>
            </w:r>
          </w:p>
        </w:tc>
        <w:tc>
          <w:tcPr>
            <w:tcW w:w="701" w:type="pct"/>
          </w:tcPr>
          <w:p w14:paraId="5F048429" w14:textId="456B537F" w:rsidR="002330C8" w:rsidRPr="00361E13" w:rsidRDefault="009832E9" w:rsidP="002330C8">
            <w:pPr>
              <w:jc w:val="right"/>
              <w:rPr>
                <w:rFonts w:ascii="Arial" w:hAnsi="Arial" w:cs="Arial"/>
                <w:szCs w:val="24"/>
              </w:rPr>
            </w:pPr>
            <w:r>
              <w:rPr>
                <w:rFonts w:ascii="Arial" w:hAnsi="Arial" w:cs="Arial"/>
                <w:szCs w:val="24"/>
              </w:rPr>
              <w:t>1%</w:t>
            </w:r>
          </w:p>
        </w:tc>
        <w:tc>
          <w:tcPr>
            <w:tcW w:w="728" w:type="pct"/>
            <w:shd w:val="clear" w:color="auto" w:fill="auto"/>
          </w:tcPr>
          <w:p w14:paraId="4B4F0F5B" w14:textId="77777777" w:rsidR="002330C8" w:rsidRPr="00AC598B" w:rsidRDefault="002330C8" w:rsidP="002330C8">
            <w:pPr>
              <w:jc w:val="right"/>
              <w:rPr>
                <w:rFonts w:ascii="Arial" w:hAnsi="Arial" w:cs="Arial"/>
                <w:szCs w:val="24"/>
                <w:highlight w:val="yellow"/>
              </w:rPr>
            </w:pPr>
          </w:p>
        </w:tc>
      </w:tr>
      <w:tr w:rsidR="002330C8" w:rsidRPr="00667C8E" w14:paraId="6582626F" w14:textId="77777777" w:rsidTr="00925EFB">
        <w:tc>
          <w:tcPr>
            <w:tcW w:w="2071" w:type="pct"/>
            <w:shd w:val="clear" w:color="auto" w:fill="auto"/>
          </w:tcPr>
          <w:p w14:paraId="239F2C7B" w14:textId="0E8F878D" w:rsidR="002330C8" w:rsidRPr="00AC598B" w:rsidRDefault="002330C8" w:rsidP="002330C8">
            <w:pPr>
              <w:rPr>
                <w:rFonts w:ascii="Arial" w:hAnsi="Arial" w:cs="Arial"/>
                <w:szCs w:val="24"/>
              </w:rPr>
            </w:pPr>
            <w:r w:rsidRPr="00AC598B">
              <w:rPr>
                <w:rFonts w:ascii="Arial" w:hAnsi="Arial" w:cs="Arial"/>
                <w:szCs w:val="24"/>
              </w:rPr>
              <w:t xml:space="preserve">Underlying basic earnings per share </w:t>
            </w:r>
          </w:p>
        </w:tc>
        <w:tc>
          <w:tcPr>
            <w:tcW w:w="786" w:type="pct"/>
            <w:shd w:val="clear" w:color="auto" w:fill="auto"/>
          </w:tcPr>
          <w:p w14:paraId="2C7A3A09" w14:textId="634B70A4" w:rsidR="002330C8" w:rsidRPr="00361E13" w:rsidRDefault="002330C8" w:rsidP="002330C8">
            <w:pPr>
              <w:jc w:val="right"/>
              <w:rPr>
                <w:rFonts w:ascii="Arial" w:hAnsi="Arial" w:cs="Arial"/>
                <w:b/>
                <w:szCs w:val="24"/>
              </w:rPr>
            </w:pPr>
            <w:r w:rsidRPr="00361E13">
              <w:rPr>
                <w:rFonts w:ascii="Arial" w:hAnsi="Arial" w:cs="Arial"/>
                <w:b/>
                <w:szCs w:val="24"/>
              </w:rPr>
              <w:t>12.</w:t>
            </w:r>
            <w:r>
              <w:rPr>
                <w:rFonts w:ascii="Arial" w:hAnsi="Arial" w:cs="Arial"/>
                <w:b/>
                <w:szCs w:val="24"/>
              </w:rPr>
              <w:t>3</w:t>
            </w:r>
            <w:r w:rsidRPr="00361E13">
              <w:rPr>
                <w:rFonts w:ascii="Arial" w:hAnsi="Arial" w:cs="Arial"/>
                <w:b/>
                <w:szCs w:val="24"/>
              </w:rPr>
              <w:t>p</w:t>
            </w:r>
          </w:p>
        </w:tc>
        <w:tc>
          <w:tcPr>
            <w:tcW w:w="714" w:type="pct"/>
            <w:shd w:val="clear" w:color="auto" w:fill="auto"/>
          </w:tcPr>
          <w:p w14:paraId="68112C74" w14:textId="602D2AC1" w:rsidR="002330C8" w:rsidRPr="00361E13" w:rsidRDefault="002330C8" w:rsidP="002330C8">
            <w:pPr>
              <w:jc w:val="right"/>
              <w:rPr>
                <w:rFonts w:ascii="Arial" w:hAnsi="Arial" w:cs="Arial"/>
                <w:bCs/>
                <w:szCs w:val="24"/>
              </w:rPr>
            </w:pPr>
            <w:r w:rsidRPr="00361E13">
              <w:rPr>
                <w:rFonts w:ascii="Arial" w:hAnsi="Arial" w:cs="Arial"/>
                <w:bCs/>
                <w:szCs w:val="24"/>
              </w:rPr>
              <w:t>12.8p</w:t>
            </w:r>
          </w:p>
        </w:tc>
        <w:tc>
          <w:tcPr>
            <w:tcW w:w="701" w:type="pct"/>
          </w:tcPr>
          <w:p w14:paraId="75E35F64" w14:textId="044B2AC9" w:rsidR="002330C8" w:rsidRPr="00361E13" w:rsidRDefault="002330C8" w:rsidP="002330C8">
            <w:pPr>
              <w:jc w:val="right"/>
              <w:rPr>
                <w:rFonts w:ascii="Arial" w:hAnsi="Arial" w:cs="Arial"/>
                <w:szCs w:val="24"/>
              </w:rPr>
            </w:pPr>
            <w:r w:rsidRPr="00361E13">
              <w:rPr>
                <w:rFonts w:ascii="Arial" w:hAnsi="Arial" w:cs="Arial"/>
                <w:szCs w:val="24"/>
              </w:rPr>
              <w:t>(</w:t>
            </w:r>
            <w:r>
              <w:rPr>
                <w:rFonts w:ascii="Arial" w:hAnsi="Arial" w:cs="Arial"/>
                <w:szCs w:val="24"/>
              </w:rPr>
              <w:t>3.9</w:t>
            </w:r>
            <w:r w:rsidRPr="00361E13">
              <w:rPr>
                <w:rFonts w:ascii="Arial" w:hAnsi="Arial" w:cs="Arial"/>
                <w:szCs w:val="24"/>
              </w:rPr>
              <w:t>)%</w:t>
            </w:r>
            <w:r w:rsidRPr="00361E13" w:rsidDel="00265815">
              <w:rPr>
                <w:rFonts w:ascii="Arial" w:hAnsi="Arial" w:cs="Arial"/>
                <w:szCs w:val="24"/>
              </w:rPr>
              <w:t xml:space="preserve"> </w:t>
            </w:r>
          </w:p>
        </w:tc>
        <w:tc>
          <w:tcPr>
            <w:tcW w:w="728" w:type="pct"/>
            <w:shd w:val="clear" w:color="auto" w:fill="auto"/>
          </w:tcPr>
          <w:p w14:paraId="2ECF65D5" w14:textId="77777777" w:rsidR="002330C8" w:rsidRPr="00AC598B" w:rsidRDefault="002330C8" w:rsidP="002330C8">
            <w:pPr>
              <w:jc w:val="right"/>
              <w:rPr>
                <w:rFonts w:ascii="Arial" w:hAnsi="Arial" w:cs="Arial"/>
                <w:szCs w:val="24"/>
                <w:highlight w:val="yellow"/>
              </w:rPr>
            </w:pPr>
          </w:p>
        </w:tc>
      </w:tr>
      <w:tr w:rsidR="002330C8" w:rsidRPr="00667C8E" w14:paraId="33D7F96E" w14:textId="77777777" w:rsidTr="00925EFB">
        <w:tc>
          <w:tcPr>
            <w:tcW w:w="2071" w:type="pct"/>
            <w:shd w:val="clear" w:color="auto" w:fill="auto"/>
          </w:tcPr>
          <w:p w14:paraId="7D838F37" w14:textId="5175A571" w:rsidR="002330C8" w:rsidRPr="00AC598B" w:rsidRDefault="002330C8" w:rsidP="002330C8">
            <w:pPr>
              <w:rPr>
                <w:rFonts w:ascii="Arial" w:hAnsi="Arial" w:cs="Arial"/>
                <w:szCs w:val="24"/>
              </w:rPr>
            </w:pPr>
            <w:r w:rsidRPr="00AC598B">
              <w:rPr>
                <w:rFonts w:ascii="Arial" w:hAnsi="Arial" w:cs="Arial"/>
                <w:szCs w:val="24"/>
              </w:rPr>
              <w:t xml:space="preserve">Adjusted basic earnings per share </w:t>
            </w:r>
          </w:p>
        </w:tc>
        <w:tc>
          <w:tcPr>
            <w:tcW w:w="786" w:type="pct"/>
            <w:shd w:val="clear" w:color="auto" w:fill="auto"/>
          </w:tcPr>
          <w:p w14:paraId="3B1A21AC" w14:textId="52B51FBC" w:rsidR="002330C8" w:rsidRPr="00361E13" w:rsidRDefault="002330C8" w:rsidP="002330C8">
            <w:pPr>
              <w:jc w:val="right"/>
              <w:rPr>
                <w:rFonts w:ascii="Arial" w:hAnsi="Arial" w:cs="Arial"/>
                <w:b/>
                <w:szCs w:val="24"/>
              </w:rPr>
            </w:pPr>
            <w:r w:rsidRPr="00361E13">
              <w:rPr>
                <w:rFonts w:ascii="Arial" w:hAnsi="Arial" w:cs="Arial"/>
                <w:b/>
                <w:szCs w:val="24"/>
              </w:rPr>
              <w:t>11.</w:t>
            </w:r>
            <w:r>
              <w:rPr>
                <w:rFonts w:ascii="Arial" w:hAnsi="Arial" w:cs="Arial"/>
                <w:b/>
                <w:szCs w:val="24"/>
              </w:rPr>
              <w:t>8</w:t>
            </w:r>
            <w:r w:rsidRPr="00361E13">
              <w:rPr>
                <w:rFonts w:ascii="Arial" w:hAnsi="Arial" w:cs="Arial"/>
                <w:b/>
                <w:szCs w:val="24"/>
              </w:rPr>
              <w:t>p</w:t>
            </w:r>
          </w:p>
        </w:tc>
        <w:tc>
          <w:tcPr>
            <w:tcW w:w="714" w:type="pct"/>
            <w:shd w:val="clear" w:color="auto" w:fill="auto"/>
          </w:tcPr>
          <w:p w14:paraId="748AA483" w14:textId="098F4A6A" w:rsidR="002330C8" w:rsidRPr="00361E13" w:rsidRDefault="002330C8" w:rsidP="002330C8">
            <w:pPr>
              <w:jc w:val="right"/>
              <w:rPr>
                <w:rFonts w:ascii="Arial" w:hAnsi="Arial" w:cs="Arial"/>
                <w:bCs/>
                <w:szCs w:val="24"/>
              </w:rPr>
            </w:pPr>
            <w:r w:rsidRPr="00361E13">
              <w:rPr>
                <w:rFonts w:ascii="Arial" w:hAnsi="Arial" w:cs="Arial"/>
                <w:bCs/>
                <w:szCs w:val="24"/>
              </w:rPr>
              <w:t>11.0p</w:t>
            </w:r>
          </w:p>
        </w:tc>
        <w:tc>
          <w:tcPr>
            <w:tcW w:w="701" w:type="pct"/>
          </w:tcPr>
          <w:p w14:paraId="05D63E6A" w14:textId="15CD5F4B" w:rsidR="002330C8" w:rsidRPr="00361E13" w:rsidRDefault="002330C8" w:rsidP="002330C8">
            <w:pPr>
              <w:jc w:val="right"/>
              <w:rPr>
                <w:rFonts w:ascii="Arial" w:hAnsi="Arial" w:cs="Arial"/>
                <w:szCs w:val="24"/>
              </w:rPr>
            </w:pPr>
            <w:r>
              <w:rPr>
                <w:rFonts w:ascii="Arial" w:hAnsi="Arial" w:cs="Arial"/>
                <w:szCs w:val="24"/>
              </w:rPr>
              <w:t>+7.3</w:t>
            </w:r>
            <w:r w:rsidRPr="00361E13">
              <w:rPr>
                <w:rFonts w:ascii="Arial" w:hAnsi="Arial" w:cs="Arial"/>
                <w:szCs w:val="24"/>
              </w:rPr>
              <w:t>%</w:t>
            </w:r>
            <w:r w:rsidRPr="00361E13" w:rsidDel="00265815">
              <w:rPr>
                <w:rFonts w:ascii="Arial" w:hAnsi="Arial" w:cs="Arial"/>
                <w:szCs w:val="24"/>
              </w:rPr>
              <w:t xml:space="preserve"> </w:t>
            </w:r>
          </w:p>
        </w:tc>
        <w:tc>
          <w:tcPr>
            <w:tcW w:w="728" w:type="pct"/>
            <w:shd w:val="clear" w:color="auto" w:fill="auto"/>
          </w:tcPr>
          <w:p w14:paraId="07250FB3" w14:textId="77777777" w:rsidR="002330C8" w:rsidRPr="00AC598B" w:rsidRDefault="002330C8" w:rsidP="002330C8">
            <w:pPr>
              <w:jc w:val="right"/>
              <w:rPr>
                <w:rFonts w:ascii="Arial" w:hAnsi="Arial" w:cs="Arial"/>
                <w:szCs w:val="24"/>
                <w:highlight w:val="yellow"/>
              </w:rPr>
            </w:pPr>
          </w:p>
        </w:tc>
      </w:tr>
      <w:tr w:rsidR="002330C8" w:rsidRPr="00667C8E" w14:paraId="279375B1" w14:textId="77777777" w:rsidTr="00925EFB">
        <w:tc>
          <w:tcPr>
            <w:tcW w:w="2071" w:type="pct"/>
            <w:shd w:val="clear" w:color="auto" w:fill="auto"/>
          </w:tcPr>
          <w:p w14:paraId="7F88BBA9" w14:textId="6D143EC7" w:rsidR="002330C8" w:rsidRPr="00AC598B" w:rsidRDefault="002330C8" w:rsidP="002330C8">
            <w:pPr>
              <w:rPr>
                <w:rFonts w:ascii="Arial" w:hAnsi="Arial" w:cs="Arial"/>
                <w:szCs w:val="24"/>
              </w:rPr>
            </w:pPr>
            <w:r w:rsidRPr="00AC598B">
              <w:rPr>
                <w:rFonts w:ascii="Arial" w:hAnsi="Arial" w:cs="Arial"/>
                <w:szCs w:val="24"/>
              </w:rPr>
              <w:t>Basic earnings per share</w:t>
            </w:r>
          </w:p>
        </w:tc>
        <w:tc>
          <w:tcPr>
            <w:tcW w:w="786" w:type="pct"/>
            <w:shd w:val="clear" w:color="auto" w:fill="auto"/>
          </w:tcPr>
          <w:p w14:paraId="3B944645" w14:textId="02CD8CFA" w:rsidR="002330C8" w:rsidRPr="00361E13" w:rsidRDefault="002330C8" w:rsidP="002330C8">
            <w:pPr>
              <w:jc w:val="right"/>
              <w:rPr>
                <w:rFonts w:ascii="Arial" w:hAnsi="Arial" w:cs="Arial"/>
                <w:b/>
                <w:szCs w:val="24"/>
              </w:rPr>
            </w:pPr>
            <w:r w:rsidRPr="00361E13">
              <w:rPr>
                <w:rFonts w:ascii="Arial" w:hAnsi="Arial" w:cs="Arial"/>
                <w:b/>
                <w:szCs w:val="24"/>
              </w:rPr>
              <w:t>8.</w:t>
            </w:r>
            <w:r>
              <w:rPr>
                <w:rFonts w:ascii="Arial" w:hAnsi="Arial" w:cs="Arial"/>
                <w:b/>
                <w:szCs w:val="24"/>
              </w:rPr>
              <w:t>1</w:t>
            </w:r>
            <w:r w:rsidRPr="00361E13">
              <w:rPr>
                <w:rFonts w:ascii="Arial" w:hAnsi="Arial" w:cs="Arial"/>
                <w:b/>
                <w:szCs w:val="24"/>
              </w:rPr>
              <w:t>p</w:t>
            </w:r>
          </w:p>
        </w:tc>
        <w:tc>
          <w:tcPr>
            <w:tcW w:w="714" w:type="pct"/>
            <w:shd w:val="clear" w:color="auto" w:fill="auto"/>
          </w:tcPr>
          <w:p w14:paraId="425892EB" w14:textId="22A6064C" w:rsidR="002330C8" w:rsidRPr="00361E13" w:rsidDel="00791ABF" w:rsidRDefault="002330C8" w:rsidP="002330C8">
            <w:pPr>
              <w:jc w:val="right"/>
              <w:rPr>
                <w:rFonts w:ascii="Arial" w:hAnsi="Arial" w:cs="Arial"/>
                <w:bCs/>
                <w:szCs w:val="24"/>
              </w:rPr>
            </w:pPr>
            <w:r w:rsidRPr="00361E13">
              <w:rPr>
                <w:rFonts w:ascii="Arial" w:hAnsi="Arial" w:cs="Arial"/>
                <w:bCs/>
                <w:szCs w:val="24"/>
              </w:rPr>
              <w:t>9.6p</w:t>
            </w:r>
          </w:p>
        </w:tc>
        <w:tc>
          <w:tcPr>
            <w:tcW w:w="701" w:type="pct"/>
          </w:tcPr>
          <w:p w14:paraId="5B0910A5" w14:textId="7C6D3361" w:rsidR="002330C8" w:rsidRPr="00361E13" w:rsidDel="00791ABF" w:rsidRDefault="002330C8" w:rsidP="002330C8">
            <w:pPr>
              <w:jc w:val="right"/>
              <w:rPr>
                <w:rFonts w:ascii="Arial" w:hAnsi="Arial" w:cs="Arial"/>
                <w:szCs w:val="24"/>
              </w:rPr>
            </w:pPr>
            <w:r w:rsidRPr="00361E13">
              <w:rPr>
                <w:rFonts w:ascii="Arial" w:hAnsi="Arial" w:cs="Arial"/>
                <w:szCs w:val="24"/>
              </w:rPr>
              <w:t>(</w:t>
            </w:r>
            <w:r>
              <w:rPr>
                <w:rFonts w:ascii="Arial" w:hAnsi="Arial" w:cs="Arial"/>
                <w:szCs w:val="24"/>
              </w:rPr>
              <w:t>15.6</w:t>
            </w:r>
            <w:r w:rsidRPr="00361E13">
              <w:rPr>
                <w:rFonts w:ascii="Arial" w:hAnsi="Arial" w:cs="Arial"/>
                <w:szCs w:val="24"/>
              </w:rPr>
              <w:t>)%</w:t>
            </w:r>
            <w:r w:rsidRPr="00361E13" w:rsidDel="00265815">
              <w:rPr>
                <w:rFonts w:ascii="Arial" w:hAnsi="Arial" w:cs="Arial"/>
                <w:szCs w:val="24"/>
              </w:rPr>
              <w:t xml:space="preserve"> </w:t>
            </w:r>
          </w:p>
        </w:tc>
        <w:tc>
          <w:tcPr>
            <w:tcW w:w="728" w:type="pct"/>
            <w:shd w:val="clear" w:color="auto" w:fill="auto"/>
          </w:tcPr>
          <w:p w14:paraId="05D06A87" w14:textId="77777777" w:rsidR="002330C8" w:rsidRPr="00AC598B" w:rsidRDefault="002330C8" w:rsidP="002330C8">
            <w:pPr>
              <w:jc w:val="right"/>
              <w:rPr>
                <w:rFonts w:ascii="Arial" w:hAnsi="Arial" w:cs="Arial"/>
                <w:szCs w:val="24"/>
                <w:highlight w:val="yellow"/>
              </w:rPr>
            </w:pPr>
          </w:p>
        </w:tc>
      </w:tr>
      <w:tr w:rsidR="00B81DAF" w:rsidRPr="00667C8E" w14:paraId="7255DFE3" w14:textId="77777777" w:rsidTr="00D26751">
        <w:tc>
          <w:tcPr>
            <w:tcW w:w="2071" w:type="pct"/>
            <w:shd w:val="clear" w:color="auto" w:fill="auto"/>
          </w:tcPr>
          <w:p w14:paraId="5F16C710" w14:textId="2349ED7E" w:rsidR="00B81DAF" w:rsidRPr="00AC598B" w:rsidRDefault="00B81DAF" w:rsidP="00B81DAF">
            <w:pPr>
              <w:rPr>
                <w:rFonts w:ascii="Arial" w:hAnsi="Arial" w:cs="Arial"/>
                <w:szCs w:val="24"/>
              </w:rPr>
            </w:pPr>
            <w:r w:rsidRPr="00AC598B">
              <w:rPr>
                <w:rFonts w:ascii="Arial" w:hAnsi="Arial" w:cs="Arial"/>
                <w:szCs w:val="24"/>
              </w:rPr>
              <w:t xml:space="preserve">Dividends </w:t>
            </w:r>
            <w:r>
              <w:rPr>
                <w:rFonts w:ascii="Arial" w:hAnsi="Arial" w:cs="Arial"/>
                <w:szCs w:val="24"/>
              </w:rPr>
              <w:t>-</w:t>
            </w:r>
            <w:r w:rsidRPr="00AC598B">
              <w:rPr>
                <w:rFonts w:ascii="Arial" w:hAnsi="Arial" w:cs="Arial"/>
                <w:szCs w:val="24"/>
              </w:rPr>
              <w:t xml:space="preserve"> </w:t>
            </w:r>
            <w:r>
              <w:rPr>
                <w:rFonts w:ascii="Arial" w:hAnsi="Arial" w:cs="Arial"/>
                <w:szCs w:val="24"/>
              </w:rPr>
              <w:t>half year o</w:t>
            </w:r>
            <w:r w:rsidRPr="00AC598B">
              <w:rPr>
                <w:rFonts w:ascii="Arial" w:hAnsi="Arial" w:cs="Arial"/>
                <w:szCs w:val="24"/>
              </w:rPr>
              <w:t>rdinary</w:t>
            </w:r>
          </w:p>
        </w:tc>
        <w:tc>
          <w:tcPr>
            <w:tcW w:w="786" w:type="pct"/>
            <w:shd w:val="clear" w:color="auto" w:fill="auto"/>
          </w:tcPr>
          <w:p w14:paraId="07DFA0C2" w14:textId="4FED2734" w:rsidR="00B81DAF" w:rsidRPr="00361E13" w:rsidRDefault="00B81DAF" w:rsidP="00B81DAF">
            <w:pPr>
              <w:jc w:val="right"/>
              <w:rPr>
                <w:rFonts w:ascii="Arial" w:hAnsi="Arial" w:cs="Arial"/>
                <w:b/>
                <w:szCs w:val="24"/>
              </w:rPr>
            </w:pPr>
            <w:r w:rsidRPr="00361E13">
              <w:rPr>
                <w:rFonts w:ascii="Arial" w:hAnsi="Arial" w:cs="Arial"/>
                <w:b/>
                <w:szCs w:val="24"/>
              </w:rPr>
              <w:t>3.33p</w:t>
            </w:r>
          </w:p>
        </w:tc>
        <w:tc>
          <w:tcPr>
            <w:tcW w:w="714" w:type="pct"/>
            <w:shd w:val="clear" w:color="auto" w:fill="auto"/>
          </w:tcPr>
          <w:p w14:paraId="2926F431" w14:textId="30B7A8AA" w:rsidR="00B81DAF" w:rsidRPr="00361E13" w:rsidRDefault="00B81DAF" w:rsidP="00B81DAF">
            <w:pPr>
              <w:jc w:val="right"/>
              <w:rPr>
                <w:rFonts w:ascii="Arial" w:hAnsi="Arial" w:cs="Arial"/>
                <w:bCs/>
                <w:szCs w:val="24"/>
              </w:rPr>
            </w:pPr>
            <w:r w:rsidRPr="00361E13">
              <w:rPr>
                <w:rFonts w:ascii="Arial" w:hAnsi="Arial" w:cs="Arial"/>
                <w:bCs/>
                <w:szCs w:val="24"/>
              </w:rPr>
              <w:t>3.33p</w:t>
            </w:r>
          </w:p>
        </w:tc>
        <w:tc>
          <w:tcPr>
            <w:tcW w:w="701" w:type="pct"/>
          </w:tcPr>
          <w:p w14:paraId="5672BABD" w14:textId="60627371" w:rsidR="00B81DAF" w:rsidRPr="00361E13" w:rsidDel="00713ADA" w:rsidRDefault="00B81DAF" w:rsidP="00B81DAF">
            <w:pPr>
              <w:jc w:val="right"/>
              <w:rPr>
                <w:rFonts w:ascii="Arial" w:hAnsi="Arial" w:cs="Arial"/>
                <w:szCs w:val="24"/>
              </w:rPr>
            </w:pPr>
            <w:r w:rsidRPr="00361E13">
              <w:rPr>
                <w:rFonts w:ascii="Arial" w:hAnsi="Arial" w:cs="Arial"/>
              </w:rPr>
              <w:t>-</w:t>
            </w:r>
            <w:r w:rsidRPr="00361E13" w:rsidDel="00265815">
              <w:rPr>
                <w:rFonts w:ascii="Arial" w:hAnsi="Arial" w:cs="Arial"/>
                <w:szCs w:val="24"/>
              </w:rPr>
              <w:t xml:space="preserve"> </w:t>
            </w:r>
          </w:p>
        </w:tc>
        <w:tc>
          <w:tcPr>
            <w:tcW w:w="728" w:type="pct"/>
            <w:shd w:val="clear" w:color="auto" w:fill="auto"/>
          </w:tcPr>
          <w:p w14:paraId="0A72D4AE" w14:textId="77777777" w:rsidR="00B81DAF" w:rsidRPr="00AC598B" w:rsidRDefault="00B81DAF" w:rsidP="00B81DAF">
            <w:pPr>
              <w:jc w:val="right"/>
              <w:rPr>
                <w:rFonts w:ascii="Arial" w:hAnsi="Arial" w:cs="Arial"/>
                <w:szCs w:val="24"/>
                <w:highlight w:val="yellow"/>
              </w:rPr>
            </w:pPr>
          </w:p>
        </w:tc>
      </w:tr>
      <w:tr w:rsidR="00B81DAF" w:rsidRPr="00667C8E" w14:paraId="139F2BE9" w14:textId="77777777" w:rsidTr="00D26751">
        <w:tc>
          <w:tcPr>
            <w:tcW w:w="2071" w:type="pct"/>
            <w:tcBorders>
              <w:bottom w:val="single" w:sz="4" w:space="0" w:color="auto"/>
            </w:tcBorders>
            <w:shd w:val="clear" w:color="auto" w:fill="auto"/>
          </w:tcPr>
          <w:p w14:paraId="2FEA851B" w14:textId="7662C96D" w:rsidR="00B81DAF" w:rsidRPr="009F71DB" w:rsidRDefault="00B81DAF" w:rsidP="00B81DAF">
            <w:pPr>
              <w:rPr>
                <w:rFonts w:ascii="Arial" w:hAnsi="Arial"/>
              </w:rPr>
            </w:pPr>
            <w:r w:rsidRPr="009F71DB">
              <w:rPr>
                <w:rFonts w:ascii="Arial" w:hAnsi="Arial"/>
              </w:rPr>
              <w:t xml:space="preserve">Net </w:t>
            </w:r>
            <w:r w:rsidR="00592D19" w:rsidRPr="009F71DB">
              <w:rPr>
                <w:rFonts w:ascii="Arial" w:hAnsi="Arial"/>
              </w:rPr>
              <w:t>debt</w:t>
            </w:r>
            <w:r w:rsidRPr="009F71DB">
              <w:rPr>
                <w:rFonts w:ascii="Arial" w:hAnsi="Arial"/>
              </w:rPr>
              <w:t xml:space="preserve"> </w:t>
            </w:r>
          </w:p>
        </w:tc>
        <w:tc>
          <w:tcPr>
            <w:tcW w:w="786" w:type="pct"/>
            <w:tcBorders>
              <w:bottom w:val="single" w:sz="4" w:space="0" w:color="auto"/>
            </w:tcBorders>
            <w:shd w:val="clear" w:color="auto" w:fill="auto"/>
          </w:tcPr>
          <w:p w14:paraId="53012C75" w14:textId="607A74EB" w:rsidR="00B81DAF" w:rsidRPr="009F71DB" w:rsidRDefault="00B81DAF" w:rsidP="00B81DAF">
            <w:pPr>
              <w:jc w:val="right"/>
              <w:rPr>
                <w:rFonts w:ascii="Arial" w:hAnsi="Arial"/>
                <w:b/>
              </w:rPr>
            </w:pPr>
            <w:r w:rsidRPr="009F71DB">
              <w:rPr>
                <w:rFonts w:ascii="Arial" w:hAnsi="Arial"/>
                <w:b/>
              </w:rPr>
              <w:t>£</w:t>
            </w:r>
            <w:r w:rsidR="00361E13" w:rsidRPr="009F71DB">
              <w:rPr>
                <w:rFonts w:ascii="Arial" w:hAnsi="Arial"/>
                <w:b/>
              </w:rPr>
              <w:t>2</w:t>
            </w:r>
            <w:r w:rsidR="00592D19" w:rsidRPr="009F71DB">
              <w:rPr>
                <w:rFonts w:ascii="Arial" w:hAnsi="Arial"/>
                <w:b/>
              </w:rPr>
              <w:t>,</w:t>
            </w:r>
            <w:r w:rsidR="00AA1538" w:rsidRPr="00AA1538">
              <w:rPr>
                <w:rFonts w:ascii="Arial" w:hAnsi="Arial" w:cs="Arial"/>
                <w:b/>
                <w:szCs w:val="24"/>
              </w:rPr>
              <w:t>3</w:t>
            </w:r>
            <w:r w:rsidR="00AA1538" w:rsidRPr="007655ED">
              <w:rPr>
                <w:rFonts w:ascii="Arial" w:hAnsi="Arial" w:cs="Arial"/>
                <w:b/>
                <w:szCs w:val="24"/>
              </w:rPr>
              <w:t>84</w:t>
            </w:r>
            <w:r w:rsidR="00AA1538" w:rsidRPr="00AA1538">
              <w:rPr>
                <w:rFonts w:ascii="Arial" w:hAnsi="Arial" w:cs="Arial"/>
                <w:b/>
                <w:szCs w:val="24"/>
              </w:rPr>
              <w:t>m</w:t>
            </w:r>
          </w:p>
        </w:tc>
        <w:tc>
          <w:tcPr>
            <w:tcW w:w="714" w:type="pct"/>
            <w:tcBorders>
              <w:bottom w:val="single" w:sz="4" w:space="0" w:color="auto"/>
            </w:tcBorders>
            <w:shd w:val="clear" w:color="auto" w:fill="auto"/>
          </w:tcPr>
          <w:p w14:paraId="6F136190" w14:textId="54808BC4" w:rsidR="00B81DAF" w:rsidRPr="00AA1538" w:rsidRDefault="00B81DAF" w:rsidP="00B81DAF">
            <w:pPr>
              <w:jc w:val="right"/>
              <w:rPr>
                <w:rFonts w:ascii="Arial" w:hAnsi="Arial" w:cs="Arial"/>
                <w:bCs/>
                <w:szCs w:val="24"/>
              </w:rPr>
            </w:pPr>
            <w:r w:rsidRPr="009F71DB">
              <w:rPr>
                <w:rFonts w:ascii="Arial" w:hAnsi="Arial"/>
              </w:rPr>
              <w:t>£</w:t>
            </w:r>
            <w:r w:rsidR="00361E13" w:rsidRPr="009F71DB">
              <w:rPr>
                <w:rFonts w:ascii="Arial" w:hAnsi="Arial"/>
              </w:rPr>
              <w:t>2,</w:t>
            </w:r>
            <w:r w:rsidR="00AA1538" w:rsidRPr="00AA1538">
              <w:rPr>
                <w:rFonts w:ascii="Arial" w:hAnsi="Arial" w:cs="Arial"/>
                <w:bCs/>
                <w:szCs w:val="24"/>
              </w:rPr>
              <w:t>6</w:t>
            </w:r>
            <w:r w:rsidR="00AA1538">
              <w:rPr>
                <w:rFonts w:ascii="Arial" w:hAnsi="Arial" w:cs="Arial"/>
                <w:bCs/>
                <w:szCs w:val="24"/>
              </w:rPr>
              <w:t>61</w:t>
            </w:r>
            <w:r w:rsidR="00AA1538" w:rsidRPr="00AA1538">
              <w:rPr>
                <w:rFonts w:ascii="Arial" w:hAnsi="Arial" w:cs="Arial"/>
                <w:bCs/>
                <w:szCs w:val="24"/>
              </w:rPr>
              <w:t>m</w:t>
            </w:r>
          </w:p>
        </w:tc>
        <w:tc>
          <w:tcPr>
            <w:tcW w:w="701" w:type="pct"/>
            <w:tcBorders>
              <w:bottom w:val="single" w:sz="4" w:space="0" w:color="auto"/>
            </w:tcBorders>
          </w:tcPr>
          <w:p w14:paraId="5592C214" w14:textId="77777777" w:rsidR="00B81DAF" w:rsidRPr="00361E13" w:rsidRDefault="00B81DAF" w:rsidP="00B81DAF">
            <w:pPr>
              <w:jc w:val="right"/>
              <w:rPr>
                <w:rFonts w:ascii="Arial" w:hAnsi="Arial" w:cs="Arial"/>
                <w:szCs w:val="24"/>
              </w:rPr>
            </w:pPr>
          </w:p>
        </w:tc>
        <w:tc>
          <w:tcPr>
            <w:tcW w:w="728" w:type="pct"/>
            <w:tcBorders>
              <w:bottom w:val="single" w:sz="4" w:space="0" w:color="auto"/>
            </w:tcBorders>
            <w:shd w:val="clear" w:color="auto" w:fill="auto"/>
          </w:tcPr>
          <w:p w14:paraId="7A2C6156" w14:textId="77777777" w:rsidR="00B81DAF" w:rsidRPr="00AC598B" w:rsidRDefault="00B81DAF" w:rsidP="00B81DAF">
            <w:pPr>
              <w:jc w:val="right"/>
              <w:rPr>
                <w:rFonts w:ascii="Arial" w:hAnsi="Arial" w:cs="Arial"/>
                <w:szCs w:val="24"/>
              </w:rPr>
            </w:pPr>
          </w:p>
        </w:tc>
      </w:tr>
    </w:tbl>
    <w:p w14:paraId="2E6879D1" w14:textId="77777777" w:rsidR="006538EA" w:rsidRDefault="006538EA" w:rsidP="001003E6">
      <w:pPr>
        <w:pStyle w:val="ListParagraph"/>
        <w:numPr>
          <w:ilvl w:val="0"/>
          <w:numId w:val="34"/>
        </w:numPr>
        <w:ind w:left="426" w:hanging="426"/>
        <w:jc w:val="left"/>
        <w:rPr>
          <w:rFonts w:ascii="Arial" w:hAnsi="Arial" w:cs="Arial"/>
          <w:sz w:val="18"/>
        </w:rPr>
      </w:pPr>
      <w:r w:rsidRPr="001003E6">
        <w:rPr>
          <w:rFonts w:ascii="Arial" w:hAnsi="Arial" w:cs="Arial"/>
          <w:sz w:val="18"/>
        </w:rPr>
        <w:t>2018/19 comparatives have been restated for IFRS 16 ‘Leases’. Refer to note 18 of the half year condensed financial statements (in part 2 of this announcement) for detailed restatement tables and associated commentary</w:t>
      </w:r>
    </w:p>
    <w:p w14:paraId="326855C3" w14:textId="1B3F8CF8" w:rsidR="00773A54" w:rsidRPr="001003E6" w:rsidRDefault="00863C40" w:rsidP="001003E6">
      <w:pPr>
        <w:pStyle w:val="ListParagraph"/>
        <w:numPr>
          <w:ilvl w:val="0"/>
          <w:numId w:val="34"/>
        </w:numPr>
        <w:ind w:left="426" w:hanging="426"/>
        <w:jc w:val="left"/>
        <w:rPr>
          <w:rFonts w:ascii="Arial" w:hAnsi="Arial" w:cs="Arial"/>
          <w:sz w:val="18"/>
        </w:rPr>
      </w:pPr>
      <w:r w:rsidRPr="001003E6">
        <w:rPr>
          <w:rFonts w:ascii="Arial" w:hAnsi="Arial" w:cs="Arial"/>
          <w:sz w:val="18"/>
        </w:rPr>
        <w:t xml:space="preserve">Kingfisher separately reports exceptional items and transformation </w:t>
      </w:r>
      <w:r w:rsidR="005B7D08" w:rsidRPr="001003E6">
        <w:rPr>
          <w:rFonts w:ascii="Arial" w:hAnsi="Arial" w:cs="Arial"/>
          <w:sz w:val="18"/>
        </w:rPr>
        <w:t xml:space="preserve">P&amp;L </w:t>
      </w:r>
      <w:r w:rsidRPr="001003E6">
        <w:rPr>
          <w:rFonts w:ascii="Arial" w:hAnsi="Arial" w:cs="Arial"/>
          <w:sz w:val="18"/>
        </w:rPr>
        <w:t>costs in order to calculate adjusted and</w:t>
      </w:r>
      <w:r w:rsidRPr="001003E6">
        <w:rPr>
          <w:rFonts w:ascii="Arial" w:hAnsi="Arial" w:cs="Arial"/>
          <w:sz w:val="18"/>
          <w:szCs w:val="24"/>
        </w:rPr>
        <w:t xml:space="preserve"> underlying results, as it believes these measures provide additional useful information on underlying performance and trends</w:t>
      </w:r>
    </w:p>
    <w:p w14:paraId="0C9C1980" w14:textId="77777777" w:rsidR="00D26751" w:rsidRDefault="00D26751" w:rsidP="00E54E9D">
      <w:pPr>
        <w:ind w:right="-368"/>
        <w:jc w:val="left"/>
        <w:rPr>
          <w:rFonts w:ascii="Arial" w:hAnsi="Arial" w:cs="Arial"/>
          <w:szCs w:val="24"/>
        </w:rPr>
      </w:pPr>
    </w:p>
    <w:p w14:paraId="74EC91C3" w14:textId="2890ADB8" w:rsidR="00E54E9D" w:rsidRDefault="00E54E9D" w:rsidP="00E54E9D">
      <w:pPr>
        <w:ind w:right="-368"/>
        <w:jc w:val="left"/>
        <w:rPr>
          <w:rFonts w:ascii="Arial" w:hAnsi="Arial" w:cs="Arial"/>
          <w:szCs w:val="24"/>
        </w:rPr>
      </w:pPr>
      <w:r w:rsidRPr="00AC598B">
        <w:rPr>
          <w:rFonts w:ascii="Arial" w:hAnsi="Arial" w:cs="Arial"/>
          <w:szCs w:val="24"/>
        </w:rPr>
        <w:t xml:space="preserve">Total </w:t>
      </w:r>
      <w:r w:rsidRPr="00BE4312">
        <w:rPr>
          <w:rFonts w:ascii="Arial" w:hAnsi="Arial" w:cs="Arial"/>
          <w:b/>
          <w:szCs w:val="24"/>
        </w:rPr>
        <w:t>sales</w:t>
      </w:r>
      <w:r w:rsidRPr="00AC598B">
        <w:rPr>
          <w:rFonts w:ascii="Arial" w:hAnsi="Arial" w:cs="Arial"/>
          <w:szCs w:val="24"/>
        </w:rPr>
        <w:t xml:space="preserve"> </w:t>
      </w:r>
      <w:r w:rsidR="00592D19">
        <w:rPr>
          <w:rFonts w:ascii="Arial" w:hAnsi="Arial" w:cs="Arial"/>
          <w:szCs w:val="24"/>
        </w:rPr>
        <w:t>decreased</w:t>
      </w:r>
      <w:r w:rsidR="00FE229E">
        <w:rPr>
          <w:rFonts w:ascii="Arial" w:hAnsi="Arial" w:cs="Arial"/>
          <w:szCs w:val="24"/>
        </w:rPr>
        <w:t xml:space="preserve"> by 0.</w:t>
      </w:r>
      <w:r w:rsidR="00361E13">
        <w:rPr>
          <w:rFonts w:ascii="Arial" w:hAnsi="Arial" w:cs="Arial"/>
          <w:szCs w:val="24"/>
        </w:rPr>
        <w:t>9</w:t>
      </w:r>
      <w:r w:rsidRPr="00AC598B">
        <w:rPr>
          <w:rFonts w:ascii="Arial" w:hAnsi="Arial" w:cs="Arial"/>
          <w:szCs w:val="24"/>
        </w:rPr>
        <w:t>%, on a constant currency basis, to £</w:t>
      </w:r>
      <w:r w:rsidR="00FE229E">
        <w:rPr>
          <w:rFonts w:ascii="Arial" w:hAnsi="Arial" w:cs="Arial"/>
          <w:szCs w:val="24"/>
        </w:rPr>
        <w:t>6</w:t>
      </w:r>
      <w:r w:rsidR="00D8336B">
        <w:rPr>
          <w:rFonts w:ascii="Arial" w:hAnsi="Arial" w:cs="Arial"/>
          <w:szCs w:val="24"/>
        </w:rPr>
        <w:t>.</w:t>
      </w:r>
      <w:r w:rsidR="0080255D">
        <w:rPr>
          <w:rFonts w:ascii="Arial" w:hAnsi="Arial" w:cs="Arial"/>
          <w:szCs w:val="24"/>
        </w:rPr>
        <w:t>0</w:t>
      </w:r>
      <w:r w:rsidR="00687F8D" w:rsidRPr="00AC598B">
        <w:rPr>
          <w:rFonts w:ascii="Arial" w:hAnsi="Arial" w:cs="Arial"/>
          <w:szCs w:val="24"/>
        </w:rPr>
        <w:t xml:space="preserve"> </w:t>
      </w:r>
      <w:r w:rsidRPr="00AC598B">
        <w:rPr>
          <w:rFonts w:ascii="Arial" w:hAnsi="Arial" w:cs="Arial"/>
          <w:szCs w:val="24"/>
        </w:rPr>
        <w:t>billion, with LFL sales down</w:t>
      </w:r>
      <w:r>
        <w:rPr>
          <w:rFonts w:ascii="Arial" w:hAnsi="Arial" w:cs="Arial"/>
          <w:szCs w:val="24"/>
        </w:rPr>
        <w:t xml:space="preserve"> </w:t>
      </w:r>
      <w:r w:rsidR="00FE229E">
        <w:rPr>
          <w:rFonts w:ascii="Arial" w:hAnsi="Arial" w:cs="Arial"/>
          <w:szCs w:val="24"/>
        </w:rPr>
        <w:t>1.</w:t>
      </w:r>
      <w:r w:rsidR="0080255D">
        <w:rPr>
          <w:rFonts w:ascii="Arial" w:hAnsi="Arial" w:cs="Arial"/>
          <w:szCs w:val="24"/>
        </w:rPr>
        <w:t>8</w:t>
      </w:r>
      <w:r w:rsidRPr="00AC598B">
        <w:rPr>
          <w:rFonts w:ascii="Arial" w:hAnsi="Arial" w:cs="Arial"/>
          <w:szCs w:val="24"/>
        </w:rPr>
        <w:t xml:space="preserve">%. On a reported rate basis, which includes the impact of exchange rates, sales </w:t>
      </w:r>
      <w:r w:rsidR="0080255D">
        <w:rPr>
          <w:rFonts w:ascii="Arial" w:hAnsi="Arial" w:cs="Arial"/>
          <w:szCs w:val="24"/>
        </w:rPr>
        <w:t>decreased</w:t>
      </w:r>
      <w:r w:rsidRPr="00AC598B">
        <w:rPr>
          <w:rFonts w:ascii="Arial" w:hAnsi="Arial" w:cs="Arial"/>
          <w:szCs w:val="24"/>
        </w:rPr>
        <w:t xml:space="preserve"> by </w:t>
      </w:r>
      <w:r w:rsidR="0080255D">
        <w:rPr>
          <w:rFonts w:ascii="Arial" w:hAnsi="Arial" w:cs="Arial"/>
          <w:szCs w:val="24"/>
        </w:rPr>
        <w:t>1.4</w:t>
      </w:r>
      <w:r w:rsidRPr="00AC598B">
        <w:rPr>
          <w:rFonts w:ascii="Arial" w:hAnsi="Arial" w:cs="Arial"/>
          <w:szCs w:val="24"/>
        </w:rPr>
        <w:t>%.</w:t>
      </w:r>
      <w:bookmarkStart w:id="39" w:name="_Hlk524531975"/>
      <w:r w:rsidRPr="00AC598B">
        <w:rPr>
          <w:rFonts w:ascii="Arial" w:hAnsi="Arial" w:cs="Arial"/>
          <w:szCs w:val="24"/>
        </w:rPr>
        <w:t xml:space="preserve"> During H1 </w:t>
      </w:r>
      <w:r w:rsidR="00F80454">
        <w:rPr>
          <w:rFonts w:ascii="Arial" w:hAnsi="Arial" w:cs="Arial"/>
          <w:szCs w:val="24"/>
        </w:rPr>
        <w:t>five</w:t>
      </w:r>
      <w:r w:rsidR="00F3093B" w:rsidRPr="00AC598B">
        <w:rPr>
          <w:rFonts w:ascii="Arial" w:hAnsi="Arial" w:cs="Arial"/>
          <w:szCs w:val="24"/>
        </w:rPr>
        <w:t xml:space="preserve"> </w:t>
      </w:r>
      <w:r w:rsidRPr="00AC598B">
        <w:rPr>
          <w:rFonts w:ascii="Arial" w:hAnsi="Arial" w:cs="Arial"/>
          <w:szCs w:val="24"/>
        </w:rPr>
        <w:t>net stores</w:t>
      </w:r>
      <w:r w:rsidR="0080255D">
        <w:rPr>
          <w:rFonts w:ascii="Arial" w:hAnsi="Arial" w:cs="Arial"/>
          <w:szCs w:val="24"/>
        </w:rPr>
        <w:t xml:space="preserve"> were </w:t>
      </w:r>
      <w:r w:rsidR="008801B0">
        <w:rPr>
          <w:rFonts w:ascii="Arial" w:hAnsi="Arial" w:cs="Arial"/>
          <w:szCs w:val="24"/>
        </w:rPr>
        <w:t>closed</w:t>
      </w:r>
      <w:r w:rsidR="00241F25">
        <w:rPr>
          <w:rFonts w:ascii="Arial" w:hAnsi="Arial" w:cs="Arial"/>
          <w:szCs w:val="24"/>
        </w:rPr>
        <w:t xml:space="preserve"> </w:t>
      </w:r>
      <w:r w:rsidR="00AF6299">
        <w:rPr>
          <w:rFonts w:ascii="Arial" w:hAnsi="Arial" w:cs="Arial"/>
          <w:szCs w:val="24"/>
        </w:rPr>
        <w:t xml:space="preserve">including </w:t>
      </w:r>
      <w:r w:rsidR="000B3A9C" w:rsidRPr="008801B0">
        <w:rPr>
          <w:rFonts w:ascii="Arial" w:hAnsi="Arial" w:cs="Arial"/>
          <w:szCs w:val="24"/>
        </w:rPr>
        <w:t>16</w:t>
      </w:r>
      <w:r w:rsidR="000B3A9C">
        <w:rPr>
          <w:rFonts w:ascii="Arial" w:hAnsi="Arial" w:cs="Arial"/>
          <w:szCs w:val="24"/>
        </w:rPr>
        <w:t xml:space="preserve"> </w:t>
      </w:r>
      <w:r w:rsidR="000B3A9C" w:rsidRPr="00AC598B">
        <w:rPr>
          <w:rFonts w:ascii="Arial" w:hAnsi="Arial" w:cs="Arial"/>
          <w:szCs w:val="24"/>
        </w:rPr>
        <w:t>Screwfix outlet openings in the UK</w:t>
      </w:r>
      <w:r w:rsidR="000B3A9C">
        <w:rPr>
          <w:rFonts w:ascii="Arial" w:hAnsi="Arial" w:cs="Arial"/>
          <w:szCs w:val="24"/>
        </w:rPr>
        <w:t xml:space="preserve"> and two new store openings in Poland</w:t>
      </w:r>
      <w:r w:rsidR="00241F25">
        <w:rPr>
          <w:rFonts w:ascii="Arial" w:hAnsi="Arial" w:cs="Arial"/>
          <w:szCs w:val="24"/>
        </w:rPr>
        <w:t>,</w:t>
      </w:r>
      <w:r w:rsidR="000B3A9C">
        <w:rPr>
          <w:rFonts w:ascii="Arial" w:hAnsi="Arial" w:cs="Arial"/>
          <w:szCs w:val="24"/>
        </w:rPr>
        <w:t xml:space="preserve"> </w:t>
      </w:r>
      <w:r w:rsidR="008801B0">
        <w:rPr>
          <w:rFonts w:ascii="Arial" w:hAnsi="Arial" w:cs="Arial"/>
          <w:szCs w:val="24"/>
        </w:rPr>
        <w:t xml:space="preserve">19 Screwfix Germany outlet closures, </w:t>
      </w:r>
      <w:r w:rsidR="00782E82">
        <w:rPr>
          <w:rFonts w:ascii="Arial" w:hAnsi="Arial" w:cs="Arial"/>
          <w:szCs w:val="24"/>
        </w:rPr>
        <w:t>three</w:t>
      </w:r>
      <w:r w:rsidR="0044147C" w:rsidRPr="001D0E4C">
        <w:rPr>
          <w:rFonts w:ascii="Arial" w:hAnsi="Arial" w:cs="Arial"/>
          <w:szCs w:val="24"/>
        </w:rPr>
        <w:t xml:space="preserve"> Romania store closures</w:t>
      </w:r>
      <w:r w:rsidR="0044147C">
        <w:rPr>
          <w:rFonts w:ascii="Arial" w:hAnsi="Arial" w:cs="Arial"/>
          <w:szCs w:val="24"/>
        </w:rPr>
        <w:t xml:space="preserve"> and one Russia store closure</w:t>
      </w:r>
      <w:r w:rsidR="000B3A9C">
        <w:rPr>
          <w:rFonts w:ascii="Arial" w:hAnsi="Arial" w:cs="Arial"/>
          <w:szCs w:val="24"/>
        </w:rPr>
        <w:t>.</w:t>
      </w:r>
      <w:r w:rsidR="00A739AF">
        <w:rPr>
          <w:rFonts w:ascii="Arial" w:hAnsi="Arial" w:cs="Arial"/>
          <w:szCs w:val="24"/>
        </w:rPr>
        <w:t xml:space="preserve"> </w:t>
      </w:r>
      <w:bookmarkEnd w:id="39"/>
    </w:p>
    <w:p w14:paraId="2DB603E2" w14:textId="77777777" w:rsidR="00E54E9D" w:rsidRPr="00AC598B" w:rsidRDefault="00E54E9D" w:rsidP="00E54E9D">
      <w:pPr>
        <w:ind w:right="-368"/>
        <w:jc w:val="left"/>
        <w:rPr>
          <w:rFonts w:ascii="Arial" w:hAnsi="Arial" w:cs="Arial"/>
          <w:szCs w:val="24"/>
        </w:rPr>
      </w:pPr>
    </w:p>
    <w:p w14:paraId="2663E25E" w14:textId="5763D972" w:rsidR="00E4052A" w:rsidRDefault="00E4052A" w:rsidP="00E10AF6">
      <w:pPr>
        <w:jc w:val="left"/>
        <w:rPr>
          <w:rFonts w:ascii="Arial" w:hAnsi="Arial" w:cs="Arial"/>
        </w:rPr>
      </w:pPr>
      <w:r w:rsidRPr="00BA1E26">
        <w:rPr>
          <w:rFonts w:ascii="Arial" w:hAnsi="Arial" w:cs="Arial"/>
          <w:b/>
        </w:rPr>
        <w:t>Gross margin</w:t>
      </w:r>
      <w:r w:rsidRPr="00BA1E26">
        <w:rPr>
          <w:rFonts w:ascii="Arial" w:hAnsi="Arial" w:cs="Arial"/>
        </w:rPr>
        <w:t xml:space="preserve"> </w:t>
      </w:r>
      <w:r w:rsidR="004531D8" w:rsidRPr="00BA1E26">
        <w:rPr>
          <w:rFonts w:ascii="Arial" w:hAnsi="Arial" w:cs="Arial"/>
        </w:rPr>
        <w:t>increased</w:t>
      </w:r>
      <w:r w:rsidR="006F073B" w:rsidRPr="00BA1E26">
        <w:rPr>
          <w:rFonts w:ascii="Arial" w:hAnsi="Arial" w:cs="Arial"/>
        </w:rPr>
        <w:t xml:space="preserve"> by </w:t>
      </w:r>
      <w:r w:rsidR="003B39B8">
        <w:rPr>
          <w:rFonts w:ascii="Arial" w:hAnsi="Arial" w:cs="Arial"/>
        </w:rPr>
        <w:t>6</w:t>
      </w:r>
      <w:r w:rsidR="004531D8" w:rsidRPr="00BA1E26">
        <w:rPr>
          <w:rFonts w:ascii="Arial" w:hAnsi="Arial" w:cs="Arial"/>
        </w:rPr>
        <w:t>0</w:t>
      </w:r>
      <w:r w:rsidR="00CA6BAE" w:rsidRPr="00BA1E26">
        <w:rPr>
          <w:rFonts w:ascii="Arial" w:hAnsi="Arial" w:cs="Arial"/>
        </w:rPr>
        <w:t xml:space="preserve"> </w:t>
      </w:r>
      <w:r w:rsidR="006F073B" w:rsidRPr="00BA1E26">
        <w:rPr>
          <w:rFonts w:ascii="Arial" w:hAnsi="Arial" w:cs="Arial"/>
        </w:rPr>
        <w:t>b</w:t>
      </w:r>
      <w:r w:rsidR="00CA6BAE" w:rsidRPr="00BA1E26">
        <w:rPr>
          <w:rFonts w:ascii="Arial" w:hAnsi="Arial" w:cs="Arial"/>
        </w:rPr>
        <w:t>asis points</w:t>
      </w:r>
      <w:r w:rsidR="006F073B" w:rsidRPr="00BA1E26">
        <w:rPr>
          <w:rFonts w:ascii="Arial" w:hAnsi="Arial" w:cs="Arial"/>
        </w:rPr>
        <w:t xml:space="preserve"> </w:t>
      </w:r>
      <w:r w:rsidRPr="00BA1E26">
        <w:rPr>
          <w:rFonts w:ascii="Arial" w:hAnsi="Arial" w:cs="Arial"/>
        </w:rPr>
        <w:t xml:space="preserve">as the </w:t>
      </w:r>
      <w:r w:rsidR="00BA1E26">
        <w:rPr>
          <w:rFonts w:ascii="Arial" w:hAnsi="Arial" w:cs="Arial"/>
        </w:rPr>
        <w:t xml:space="preserve">sourcing </w:t>
      </w:r>
      <w:r w:rsidRPr="00BA1E26">
        <w:rPr>
          <w:rFonts w:ascii="Arial" w:hAnsi="Arial" w:cs="Arial"/>
        </w:rPr>
        <w:t>benefits</w:t>
      </w:r>
      <w:r w:rsidR="00F01C34" w:rsidRPr="00BA1E26">
        <w:rPr>
          <w:rFonts w:ascii="Arial" w:hAnsi="Arial" w:cs="Arial"/>
        </w:rPr>
        <w:t xml:space="preserve"> from</w:t>
      </w:r>
      <w:r w:rsidRPr="00BA1E26">
        <w:rPr>
          <w:rFonts w:ascii="Arial" w:hAnsi="Arial" w:cs="Arial"/>
        </w:rPr>
        <w:t xml:space="preserve"> unified </w:t>
      </w:r>
      <w:r w:rsidR="000D19B0">
        <w:rPr>
          <w:rFonts w:ascii="Arial" w:hAnsi="Arial" w:cs="Arial"/>
        </w:rPr>
        <w:t>&amp;</w:t>
      </w:r>
      <w:r w:rsidR="000D19B0" w:rsidRPr="00BA1E26">
        <w:rPr>
          <w:rFonts w:ascii="Arial" w:hAnsi="Arial" w:cs="Arial"/>
        </w:rPr>
        <w:t xml:space="preserve"> </w:t>
      </w:r>
      <w:r w:rsidRPr="00BA1E26">
        <w:rPr>
          <w:rFonts w:ascii="Arial" w:hAnsi="Arial" w:cs="Arial"/>
        </w:rPr>
        <w:t xml:space="preserve">unique product </w:t>
      </w:r>
      <w:r w:rsidR="00BA1E26" w:rsidRPr="00BA1E26">
        <w:rPr>
          <w:rFonts w:ascii="Arial" w:hAnsi="Arial" w:cs="Arial"/>
        </w:rPr>
        <w:t xml:space="preserve">and the </w:t>
      </w:r>
      <w:r w:rsidR="00BA1E26" w:rsidRPr="007655ED">
        <w:rPr>
          <w:rFonts w:ascii="Arial" w:hAnsi="Arial" w:cs="Arial"/>
        </w:rPr>
        <w:t>move to everyday low prices</w:t>
      </w:r>
      <w:r w:rsidR="00BA1E26" w:rsidRPr="00BA1E26">
        <w:rPr>
          <w:rFonts w:ascii="Arial" w:hAnsi="Arial" w:cs="Arial"/>
        </w:rPr>
        <w:t xml:space="preserve"> </w:t>
      </w:r>
      <w:r w:rsidR="00E438C9">
        <w:rPr>
          <w:rFonts w:ascii="Arial" w:hAnsi="Arial" w:cs="Arial"/>
        </w:rPr>
        <w:t xml:space="preserve">(EDLP) </w:t>
      </w:r>
      <w:r w:rsidR="00BA1E26" w:rsidRPr="00BA1E26">
        <w:rPr>
          <w:rFonts w:ascii="Arial" w:hAnsi="Arial" w:cs="Arial"/>
        </w:rPr>
        <w:t xml:space="preserve">were partly </w:t>
      </w:r>
      <w:r w:rsidRPr="00BA1E26">
        <w:rPr>
          <w:rFonts w:ascii="Arial" w:hAnsi="Arial" w:cs="Arial"/>
        </w:rPr>
        <w:t>offset by</w:t>
      </w:r>
      <w:r w:rsidR="00BA1E26" w:rsidRPr="00BA1E26">
        <w:rPr>
          <w:rFonts w:ascii="Arial" w:hAnsi="Arial" w:cs="Arial"/>
        </w:rPr>
        <w:t xml:space="preserve"> incremental clearance activity</w:t>
      </w:r>
      <w:r w:rsidR="007D2F1A" w:rsidRPr="00BA1E26">
        <w:rPr>
          <w:rFonts w:ascii="Arial" w:hAnsi="Arial" w:cs="Arial"/>
        </w:rPr>
        <w:t xml:space="preserve"> </w:t>
      </w:r>
      <w:r w:rsidR="00BA1E26" w:rsidRPr="00BA1E26">
        <w:rPr>
          <w:rFonts w:ascii="Arial" w:hAnsi="Arial" w:cs="Arial"/>
        </w:rPr>
        <w:t xml:space="preserve">and </w:t>
      </w:r>
      <w:r w:rsidR="002A5FCA">
        <w:rPr>
          <w:rFonts w:ascii="Arial" w:hAnsi="Arial" w:cs="Arial"/>
        </w:rPr>
        <w:t xml:space="preserve">logistics </w:t>
      </w:r>
      <w:r w:rsidR="00927EA2">
        <w:rPr>
          <w:rFonts w:ascii="Arial" w:hAnsi="Arial" w:cs="Arial"/>
        </w:rPr>
        <w:t xml:space="preserve">&amp; </w:t>
      </w:r>
      <w:r w:rsidR="002A5FCA">
        <w:rPr>
          <w:rFonts w:ascii="Arial" w:hAnsi="Arial" w:cs="Arial"/>
        </w:rPr>
        <w:t>stock</w:t>
      </w:r>
      <w:r w:rsidR="00A739AF" w:rsidRPr="00BA1E26">
        <w:rPr>
          <w:rFonts w:ascii="Arial" w:hAnsi="Arial" w:cs="Arial"/>
        </w:rPr>
        <w:t xml:space="preserve"> </w:t>
      </w:r>
      <w:r w:rsidR="00FE229E" w:rsidRPr="00BA1E26">
        <w:rPr>
          <w:rFonts w:ascii="Arial" w:hAnsi="Arial" w:cs="Arial"/>
        </w:rPr>
        <w:t>inefficiencies</w:t>
      </w:r>
      <w:r w:rsidR="00F3093B" w:rsidRPr="00BA1E26">
        <w:rPr>
          <w:rFonts w:ascii="Arial" w:hAnsi="Arial" w:cs="Arial"/>
        </w:rPr>
        <w:t>.</w:t>
      </w:r>
    </w:p>
    <w:p w14:paraId="529AE557" w14:textId="77777777" w:rsidR="00E4052A" w:rsidRDefault="00E4052A" w:rsidP="00E10AF6">
      <w:pPr>
        <w:jc w:val="left"/>
        <w:rPr>
          <w:rFonts w:ascii="Arial" w:hAnsi="Arial" w:cs="Arial"/>
          <w:szCs w:val="24"/>
        </w:rPr>
      </w:pPr>
    </w:p>
    <w:p w14:paraId="36E5CDCF" w14:textId="53C09B5E" w:rsidR="00E56A1D" w:rsidRPr="00342365" w:rsidRDefault="00773A54" w:rsidP="00E56A1D">
      <w:pPr>
        <w:jc w:val="left"/>
        <w:rPr>
          <w:rFonts w:ascii="Arial" w:hAnsi="Arial" w:cs="Arial"/>
        </w:rPr>
      </w:pPr>
      <w:bookmarkStart w:id="40" w:name="_Hlk524980821"/>
      <w:r w:rsidRPr="00263F48">
        <w:rPr>
          <w:rFonts w:ascii="Arial" w:hAnsi="Arial" w:cs="Arial"/>
          <w:szCs w:val="24"/>
        </w:rPr>
        <w:t xml:space="preserve">Reported </w:t>
      </w:r>
      <w:r w:rsidRPr="00263F48">
        <w:rPr>
          <w:rFonts w:ascii="Arial" w:hAnsi="Arial" w:cs="Arial"/>
          <w:b/>
          <w:szCs w:val="24"/>
        </w:rPr>
        <w:t xml:space="preserve">retail </w:t>
      </w:r>
      <w:r w:rsidR="000238EB" w:rsidRPr="00263F48">
        <w:rPr>
          <w:rFonts w:ascii="Arial" w:hAnsi="Arial" w:cs="Arial"/>
          <w:b/>
          <w:szCs w:val="24"/>
        </w:rPr>
        <w:t>profit</w:t>
      </w:r>
      <w:r w:rsidR="000238EB" w:rsidRPr="00263F48">
        <w:rPr>
          <w:rFonts w:ascii="Arial" w:hAnsi="Arial" w:cs="Arial"/>
          <w:szCs w:val="24"/>
        </w:rPr>
        <w:t xml:space="preserve"> </w:t>
      </w:r>
      <w:r w:rsidR="006F073B" w:rsidRPr="00263F48">
        <w:rPr>
          <w:rFonts w:ascii="Arial" w:hAnsi="Arial" w:cs="Arial"/>
          <w:szCs w:val="24"/>
        </w:rPr>
        <w:t>de</w:t>
      </w:r>
      <w:r w:rsidR="00863C40" w:rsidRPr="00263F48">
        <w:rPr>
          <w:rFonts w:ascii="Arial" w:hAnsi="Arial" w:cs="Arial"/>
          <w:szCs w:val="24"/>
        </w:rPr>
        <w:t>creased</w:t>
      </w:r>
      <w:r w:rsidR="005A3E3B" w:rsidRPr="00263F48">
        <w:rPr>
          <w:rFonts w:ascii="Arial" w:hAnsi="Arial" w:cs="Arial"/>
          <w:szCs w:val="24"/>
        </w:rPr>
        <w:t xml:space="preserve"> </w:t>
      </w:r>
      <w:r w:rsidRPr="00263F48">
        <w:rPr>
          <w:rFonts w:ascii="Arial" w:hAnsi="Arial" w:cs="Arial"/>
          <w:szCs w:val="24"/>
        </w:rPr>
        <w:t xml:space="preserve">by </w:t>
      </w:r>
      <w:r w:rsidR="0080255D">
        <w:rPr>
          <w:rFonts w:ascii="Arial" w:hAnsi="Arial" w:cs="Arial"/>
          <w:szCs w:val="24"/>
        </w:rPr>
        <w:t>4.</w:t>
      </w:r>
      <w:r w:rsidR="003B39B8">
        <w:rPr>
          <w:rFonts w:ascii="Arial" w:hAnsi="Arial" w:cs="Arial"/>
          <w:szCs w:val="24"/>
        </w:rPr>
        <w:t>8</w:t>
      </w:r>
      <w:r w:rsidRPr="00263F48">
        <w:rPr>
          <w:rFonts w:ascii="Arial" w:hAnsi="Arial" w:cs="Arial"/>
          <w:szCs w:val="24"/>
        </w:rPr>
        <w:t xml:space="preserve">% </w:t>
      </w:r>
      <w:r w:rsidRPr="00632520">
        <w:rPr>
          <w:rFonts w:ascii="Arial" w:hAnsi="Arial" w:cs="Arial"/>
          <w:szCs w:val="24"/>
        </w:rPr>
        <w:t xml:space="preserve">including </w:t>
      </w:r>
      <w:r w:rsidRPr="00D34056">
        <w:rPr>
          <w:rFonts w:ascii="Arial" w:hAnsi="Arial" w:cs="Arial"/>
          <w:szCs w:val="24"/>
        </w:rPr>
        <w:t>£</w:t>
      </w:r>
      <w:r w:rsidR="0080255D" w:rsidRPr="00D34056">
        <w:rPr>
          <w:rFonts w:ascii="Arial" w:hAnsi="Arial" w:cs="Arial"/>
          <w:szCs w:val="24"/>
        </w:rPr>
        <w:t>2</w:t>
      </w:r>
      <w:r w:rsidR="005A3E3B" w:rsidRPr="00263F48">
        <w:rPr>
          <w:rFonts w:ascii="Arial" w:hAnsi="Arial" w:cs="Arial"/>
          <w:szCs w:val="24"/>
        </w:rPr>
        <w:t xml:space="preserve"> </w:t>
      </w:r>
      <w:r w:rsidRPr="00263F48">
        <w:rPr>
          <w:rFonts w:ascii="Arial" w:hAnsi="Arial" w:cs="Arial"/>
          <w:szCs w:val="24"/>
        </w:rPr>
        <w:t xml:space="preserve">million </w:t>
      </w:r>
      <w:r w:rsidR="005709B5" w:rsidRPr="00263F48">
        <w:rPr>
          <w:rFonts w:ascii="Arial" w:hAnsi="Arial" w:cs="Arial"/>
          <w:szCs w:val="24"/>
        </w:rPr>
        <w:t xml:space="preserve">of </w:t>
      </w:r>
      <w:r w:rsidR="0080255D">
        <w:rPr>
          <w:rFonts w:ascii="Arial" w:hAnsi="Arial" w:cs="Arial"/>
          <w:szCs w:val="24"/>
        </w:rPr>
        <w:t>adverse</w:t>
      </w:r>
      <w:r w:rsidRPr="00263F48">
        <w:rPr>
          <w:rFonts w:ascii="Arial" w:hAnsi="Arial" w:cs="Arial"/>
          <w:szCs w:val="24"/>
        </w:rPr>
        <w:t xml:space="preserve"> foreign exchange </w:t>
      </w:r>
      <w:r w:rsidRPr="00AC598B">
        <w:rPr>
          <w:rFonts w:ascii="Arial" w:hAnsi="Arial" w:cs="Arial"/>
          <w:szCs w:val="24"/>
        </w:rPr>
        <w:t xml:space="preserve">movement on translating foreign currency results into sterling. </w:t>
      </w:r>
      <w:r w:rsidR="00241697" w:rsidRPr="00AC598B">
        <w:rPr>
          <w:rFonts w:ascii="Arial" w:hAnsi="Arial" w:cs="Arial"/>
          <w:szCs w:val="24"/>
        </w:rPr>
        <w:t>In constant currencies</w:t>
      </w:r>
      <w:r w:rsidR="00292592">
        <w:rPr>
          <w:rFonts w:ascii="Arial" w:hAnsi="Arial" w:cs="Arial"/>
          <w:szCs w:val="24"/>
        </w:rPr>
        <w:t>,</w:t>
      </w:r>
      <w:r w:rsidRPr="00AC598B">
        <w:rPr>
          <w:rFonts w:ascii="Arial" w:hAnsi="Arial" w:cs="Arial"/>
          <w:szCs w:val="24"/>
        </w:rPr>
        <w:t xml:space="preserve"> retail profit </w:t>
      </w:r>
      <w:r w:rsidR="005A3E3B" w:rsidRPr="003D4DBB">
        <w:rPr>
          <w:rFonts w:ascii="Arial" w:hAnsi="Arial" w:cs="Arial"/>
          <w:szCs w:val="24"/>
        </w:rPr>
        <w:t>dec</w:t>
      </w:r>
      <w:r w:rsidR="006F073B" w:rsidRPr="003D4DBB">
        <w:rPr>
          <w:rFonts w:ascii="Arial" w:hAnsi="Arial" w:cs="Arial"/>
          <w:szCs w:val="24"/>
        </w:rPr>
        <w:t>reased</w:t>
      </w:r>
      <w:r w:rsidR="005A3E3B" w:rsidRPr="003D4DBB">
        <w:rPr>
          <w:rFonts w:ascii="Arial" w:hAnsi="Arial" w:cs="Arial"/>
          <w:szCs w:val="24"/>
        </w:rPr>
        <w:t xml:space="preserve"> </w:t>
      </w:r>
      <w:r w:rsidRPr="003D4DBB">
        <w:rPr>
          <w:rFonts w:ascii="Arial" w:hAnsi="Arial" w:cs="Arial"/>
          <w:szCs w:val="24"/>
        </w:rPr>
        <w:t xml:space="preserve">by </w:t>
      </w:r>
      <w:r w:rsidR="007753E9" w:rsidRPr="003D4DBB">
        <w:rPr>
          <w:rFonts w:ascii="Arial" w:hAnsi="Arial" w:cs="Arial"/>
          <w:szCs w:val="24"/>
        </w:rPr>
        <w:t>4</w:t>
      </w:r>
      <w:r w:rsidR="00E87C79" w:rsidRPr="003D4DBB">
        <w:rPr>
          <w:rFonts w:ascii="Arial" w:hAnsi="Arial" w:cs="Arial"/>
          <w:szCs w:val="24"/>
        </w:rPr>
        <w:t>.</w:t>
      </w:r>
      <w:r w:rsidR="00365C0E">
        <w:rPr>
          <w:rFonts w:ascii="Arial" w:hAnsi="Arial" w:cs="Arial"/>
          <w:szCs w:val="24"/>
        </w:rPr>
        <w:t>4</w:t>
      </w:r>
      <w:r w:rsidRPr="003D4DBB">
        <w:rPr>
          <w:rFonts w:ascii="Arial" w:hAnsi="Arial" w:cs="Arial"/>
          <w:szCs w:val="24"/>
        </w:rPr>
        <w:t xml:space="preserve">%, </w:t>
      </w:r>
      <w:r w:rsidR="00782E82">
        <w:rPr>
          <w:rFonts w:ascii="Arial" w:hAnsi="Arial" w:cs="Arial"/>
          <w:szCs w:val="24"/>
        </w:rPr>
        <w:t xml:space="preserve">driven largely by a decline </w:t>
      </w:r>
      <w:r w:rsidR="00E10AF6" w:rsidRPr="003D4DBB">
        <w:rPr>
          <w:rFonts w:ascii="Arial" w:hAnsi="Arial" w:cs="Arial"/>
          <w:szCs w:val="24"/>
        </w:rPr>
        <w:t>in France.</w:t>
      </w:r>
      <w:r w:rsidR="00412110" w:rsidRPr="003D4DBB">
        <w:rPr>
          <w:rFonts w:ascii="Arial" w:hAnsi="Arial" w:cs="Arial"/>
          <w:szCs w:val="24"/>
        </w:rPr>
        <w:t xml:space="preserve"> </w:t>
      </w:r>
    </w:p>
    <w:bookmarkEnd w:id="40"/>
    <w:p w14:paraId="2A2C6E75" w14:textId="77777777" w:rsidR="00773A54" w:rsidRPr="00AC598B" w:rsidRDefault="00773A54" w:rsidP="00773A54">
      <w:pPr>
        <w:jc w:val="left"/>
        <w:rPr>
          <w:rFonts w:ascii="Arial" w:hAnsi="Arial" w:cs="Arial"/>
          <w:bCs/>
          <w:szCs w:val="24"/>
          <w:highlight w:val="yellow"/>
        </w:rPr>
      </w:pPr>
    </w:p>
    <w:p w14:paraId="42AA9CA9" w14:textId="15A00991" w:rsidR="00F94190" w:rsidRPr="00AC598B" w:rsidRDefault="00773A54" w:rsidP="00773A54">
      <w:pPr>
        <w:ind w:right="-368"/>
        <w:jc w:val="left"/>
        <w:rPr>
          <w:rFonts w:ascii="Arial" w:hAnsi="Arial" w:cs="Arial"/>
          <w:szCs w:val="24"/>
        </w:rPr>
      </w:pPr>
      <w:r w:rsidRPr="00AC598B">
        <w:rPr>
          <w:rFonts w:ascii="Arial" w:hAnsi="Arial" w:cs="Arial"/>
          <w:b/>
          <w:szCs w:val="24"/>
        </w:rPr>
        <w:t>Underlying pre-tax profit</w:t>
      </w:r>
      <w:r w:rsidRPr="00AC598B">
        <w:rPr>
          <w:rFonts w:ascii="Arial" w:hAnsi="Arial" w:cs="Arial"/>
          <w:szCs w:val="24"/>
        </w:rPr>
        <w:t xml:space="preserve">, which excludes the impact of transformation </w:t>
      </w:r>
      <w:r w:rsidR="0065238B" w:rsidRPr="00AC598B">
        <w:rPr>
          <w:rFonts w:ascii="Arial" w:hAnsi="Arial" w:cs="Arial"/>
          <w:szCs w:val="24"/>
        </w:rPr>
        <w:t xml:space="preserve">P&amp;L </w:t>
      </w:r>
      <w:r w:rsidRPr="00AC598B">
        <w:rPr>
          <w:rFonts w:ascii="Arial" w:hAnsi="Arial" w:cs="Arial"/>
          <w:szCs w:val="24"/>
        </w:rPr>
        <w:t xml:space="preserve">costs and exceptional items, </w:t>
      </w:r>
      <w:r w:rsidR="006F073B">
        <w:rPr>
          <w:rFonts w:ascii="Arial" w:hAnsi="Arial" w:cs="Arial"/>
          <w:szCs w:val="24"/>
        </w:rPr>
        <w:t>declined</w:t>
      </w:r>
      <w:r w:rsidR="000A466B">
        <w:rPr>
          <w:rFonts w:ascii="Arial" w:hAnsi="Arial" w:cs="Arial"/>
          <w:szCs w:val="24"/>
        </w:rPr>
        <w:t xml:space="preserve"> by </w:t>
      </w:r>
      <w:r w:rsidR="001F425B">
        <w:rPr>
          <w:rFonts w:ascii="Arial" w:hAnsi="Arial" w:cs="Arial"/>
          <w:szCs w:val="24"/>
        </w:rPr>
        <w:t>6.</w:t>
      </w:r>
      <w:r w:rsidR="00365C0E">
        <w:rPr>
          <w:rFonts w:ascii="Arial" w:hAnsi="Arial" w:cs="Arial"/>
          <w:szCs w:val="24"/>
        </w:rPr>
        <w:t>4</w:t>
      </w:r>
      <w:r w:rsidR="00FC104E" w:rsidRPr="00AC598B">
        <w:rPr>
          <w:rFonts w:ascii="Arial" w:hAnsi="Arial" w:cs="Arial"/>
          <w:szCs w:val="24"/>
        </w:rPr>
        <w:t>%, to £</w:t>
      </w:r>
      <w:r w:rsidR="001F425B">
        <w:rPr>
          <w:rFonts w:ascii="Arial" w:hAnsi="Arial" w:cs="Arial"/>
          <w:szCs w:val="24"/>
        </w:rPr>
        <w:t>35</w:t>
      </w:r>
      <w:r w:rsidR="00365C0E">
        <w:rPr>
          <w:rFonts w:ascii="Arial" w:hAnsi="Arial" w:cs="Arial"/>
          <w:szCs w:val="24"/>
        </w:rPr>
        <w:t>3</w:t>
      </w:r>
      <w:r w:rsidR="00687F8D" w:rsidRPr="00687F8D">
        <w:rPr>
          <w:rFonts w:ascii="Arial" w:hAnsi="Arial" w:cs="Arial"/>
          <w:b/>
          <w:color w:val="C00000"/>
          <w:szCs w:val="24"/>
        </w:rPr>
        <w:t xml:space="preserve"> </w:t>
      </w:r>
      <w:r w:rsidR="00FC104E" w:rsidRPr="00AC598B">
        <w:rPr>
          <w:rFonts w:ascii="Arial" w:hAnsi="Arial" w:cs="Arial"/>
          <w:szCs w:val="24"/>
        </w:rPr>
        <w:t>million</w:t>
      </w:r>
      <w:r w:rsidR="000A466B">
        <w:rPr>
          <w:rFonts w:ascii="Arial" w:hAnsi="Arial" w:cs="Arial"/>
          <w:szCs w:val="24"/>
        </w:rPr>
        <w:t>.</w:t>
      </w:r>
      <w:r w:rsidR="00FC104E" w:rsidRPr="00AC598B">
        <w:rPr>
          <w:rFonts w:ascii="Arial" w:hAnsi="Arial" w:cs="Arial"/>
          <w:szCs w:val="24"/>
        </w:rPr>
        <w:t xml:space="preserve"> </w:t>
      </w:r>
      <w:r w:rsidRPr="00AC598B">
        <w:rPr>
          <w:rFonts w:ascii="Arial" w:hAnsi="Arial" w:cs="Arial"/>
          <w:szCs w:val="24"/>
        </w:rPr>
        <w:t xml:space="preserve"> </w:t>
      </w:r>
    </w:p>
    <w:p w14:paraId="522D56B4" w14:textId="77777777" w:rsidR="00F94190" w:rsidRPr="00AC598B" w:rsidRDefault="00F94190" w:rsidP="00773A54">
      <w:pPr>
        <w:ind w:right="-368"/>
        <w:jc w:val="left"/>
        <w:rPr>
          <w:rFonts w:ascii="Arial" w:hAnsi="Arial" w:cs="Arial"/>
          <w:szCs w:val="24"/>
        </w:rPr>
      </w:pPr>
    </w:p>
    <w:p w14:paraId="3EE22EDC" w14:textId="379BCCC7" w:rsidR="00773A54" w:rsidRPr="00AC598B" w:rsidRDefault="00773A54" w:rsidP="00773A54">
      <w:pPr>
        <w:ind w:right="-368"/>
        <w:jc w:val="left"/>
        <w:rPr>
          <w:rFonts w:ascii="Arial" w:hAnsi="Arial" w:cs="Arial"/>
          <w:szCs w:val="24"/>
        </w:rPr>
      </w:pPr>
      <w:r w:rsidRPr="00AC598B">
        <w:rPr>
          <w:rFonts w:ascii="Arial" w:hAnsi="Arial" w:cs="Arial"/>
          <w:b/>
          <w:szCs w:val="24"/>
        </w:rPr>
        <w:t>Adjusted pre-tax profit</w:t>
      </w:r>
      <w:r w:rsidRPr="00AC598B">
        <w:rPr>
          <w:rFonts w:ascii="Arial" w:hAnsi="Arial" w:cs="Arial"/>
          <w:szCs w:val="24"/>
        </w:rPr>
        <w:t xml:space="preserve">, which excludes the impact of exceptional items, </w:t>
      </w:r>
      <w:r w:rsidR="001F425B">
        <w:rPr>
          <w:rFonts w:ascii="Arial" w:hAnsi="Arial" w:cs="Arial"/>
          <w:szCs w:val="24"/>
        </w:rPr>
        <w:t>increase</w:t>
      </w:r>
      <w:r w:rsidR="00274C29" w:rsidRPr="00AC598B">
        <w:rPr>
          <w:rFonts w:ascii="Arial" w:hAnsi="Arial" w:cs="Arial"/>
          <w:szCs w:val="24"/>
        </w:rPr>
        <w:t xml:space="preserve">d </w:t>
      </w:r>
      <w:r w:rsidRPr="00AC598B">
        <w:rPr>
          <w:rFonts w:ascii="Arial" w:hAnsi="Arial" w:cs="Arial"/>
          <w:szCs w:val="24"/>
        </w:rPr>
        <w:t xml:space="preserve">by </w:t>
      </w:r>
      <w:r w:rsidR="006A1671">
        <w:rPr>
          <w:rFonts w:ascii="Arial" w:hAnsi="Arial" w:cs="Arial"/>
          <w:szCs w:val="24"/>
        </w:rPr>
        <w:t>3.7</w:t>
      </w:r>
      <w:r w:rsidRPr="00AC598B">
        <w:rPr>
          <w:rFonts w:ascii="Arial" w:hAnsi="Arial" w:cs="Arial"/>
          <w:szCs w:val="24"/>
        </w:rPr>
        <w:t>% to £</w:t>
      </w:r>
      <w:r w:rsidR="007753E9">
        <w:rPr>
          <w:rFonts w:ascii="Arial" w:hAnsi="Arial" w:cs="Arial"/>
          <w:szCs w:val="24"/>
        </w:rPr>
        <w:t>3</w:t>
      </w:r>
      <w:r w:rsidR="001F425B">
        <w:rPr>
          <w:rFonts w:ascii="Arial" w:hAnsi="Arial" w:cs="Arial"/>
          <w:szCs w:val="24"/>
        </w:rPr>
        <w:t>3</w:t>
      </w:r>
      <w:r w:rsidR="006A1671">
        <w:rPr>
          <w:rFonts w:ascii="Arial" w:hAnsi="Arial" w:cs="Arial"/>
          <w:szCs w:val="24"/>
        </w:rPr>
        <w:t>7</w:t>
      </w:r>
      <w:r w:rsidR="00687F8D" w:rsidRPr="00687F8D">
        <w:rPr>
          <w:rFonts w:ascii="Arial" w:hAnsi="Arial" w:cs="Arial"/>
          <w:b/>
          <w:color w:val="C00000"/>
          <w:szCs w:val="24"/>
        </w:rPr>
        <w:t xml:space="preserve"> </w:t>
      </w:r>
      <w:r w:rsidRPr="00AC598B">
        <w:rPr>
          <w:rFonts w:ascii="Arial" w:hAnsi="Arial" w:cs="Arial"/>
          <w:szCs w:val="24"/>
        </w:rPr>
        <w:t>million, reflecting £</w:t>
      </w:r>
      <w:r w:rsidR="001F425B">
        <w:rPr>
          <w:rFonts w:ascii="Arial" w:hAnsi="Arial" w:cs="Arial"/>
          <w:szCs w:val="24"/>
        </w:rPr>
        <w:t>16</w:t>
      </w:r>
      <w:r w:rsidR="00687F8D" w:rsidRPr="00687F8D">
        <w:rPr>
          <w:rFonts w:ascii="Arial" w:hAnsi="Arial" w:cs="Arial"/>
          <w:b/>
          <w:color w:val="C00000"/>
          <w:szCs w:val="24"/>
        </w:rPr>
        <w:t xml:space="preserve"> </w:t>
      </w:r>
      <w:r w:rsidRPr="00AC598B">
        <w:rPr>
          <w:rFonts w:ascii="Arial" w:hAnsi="Arial" w:cs="Arial"/>
          <w:szCs w:val="24"/>
        </w:rPr>
        <w:t>m</w:t>
      </w:r>
      <w:r w:rsidR="00FC104E" w:rsidRPr="00AC598B">
        <w:rPr>
          <w:rFonts w:ascii="Arial" w:hAnsi="Arial" w:cs="Arial"/>
          <w:szCs w:val="24"/>
        </w:rPr>
        <w:t>illion</w:t>
      </w:r>
      <w:r w:rsidRPr="00AC598B">
        <w:rPr>
          <w:rFonts w:ascii="Arial" w:hAnsi="Arial" w:cs="Arial"/>
          <w:szCs w:val="24"/>
        </w:rPr>
        <w:t xml:space="preserve"> </w:t>
      </w:r>
      <w:r w:rsidR="00353B5A" w:rsidRPr="00AC598B">
        <w:rPr>
          <w:rFonts w:ascii="Arial" w:hAnsi="Arial" w:cs="Arial"/>
          <w:szCs w:val="24"/>
        </w:rPr>
        <w:t xml:space="preserve">of </w:t>
      </w:r>
      <w:r w:rsidRPr="00AC598B">
        <w:rPr>
          <w:rFonts w:ascii="Arial" w:hAnsi="Arial" w:cs="Arial"/>
          <w:szCs w:val="24"/>
        </w:rPr>
        <w:t xml:space="preserve">transformation </w:t>
      </w:r>
      <w:r w:rsidR="00197094" w:rsidRPr="00AC598B">
        <w:rPr>
          <w:rFonts w:ascii="Arial" w:hAnsi="Arial" w:cs="Arial"/>
          <w:szCs w:val="24"/>
        </w:rPr>
        <w:t xml:space="preserve">P&amp;L </w:t>
      </w:r>
      <w:r w:rsidRPr="00AC598B">
        <w:rPr>
          <w:rFonts w:ascii="Arial" w:hAnsi="Arial" w:cs="Arial"/>
          <w:szCs w:val="24"/>
        </w:rPr>
        <w:t>costs</w:t>
      </w:r>
      <w:r w:rsidR="00241F25">
        <w:rPr>
          <w:rFonts w:ascii="Arial" w:hAnsi="Arial" w:cs="Arial"/>
          <w:szCs w:val="24"/>
        </w:rPr>
        <w:t>, £36 million lower than H1 18/19</w:t>
      </w:r>
      <w:r w:rsidR="00F94190" w:rsidRPr="00AC598B">
        <w:rPr>
          <w:rFonts w:ascii="Arial" w:hAnsi="Arial" w:cs="Arial"/>
          <w:szCs w:val="24"/>
        </w:rPr>
        <w:t xml:space="preserve">. </w:t>
      </w:r>
    </w:p>
    <w:p w14:paraId="062C8990" w14:textId="77777777" w:rsidR="00773A54" w:rsidRPr="00AC598B" w:rsidRDefault="00773A54" w:rsidP="00773A54">
      <w:pPr>
        <w:ind w:right="-368"/>
        <w:jc w:val="left"/>
        <w:rPr>
          <w:rFonts w:ascii="Arial" w:hAnsi="Arial" w:cs="Arial"/>
          <w:szCs w:val="24"/>
          <w:highlight w:val="yellow"/>
        </w:rPr>
      </w:pPr>
      <w:r w:rsidRPr="00AC598B">
        <w:rPr>
          <w:rFonts w:ascii="Arial" w:hAnsi="Arial" w:cs="Arial"/>
          <w:szCs w:val="24"/>
          <w:highlight w:val="yellow"/>
        </w:rPr>
        <w:t xml:space="preserve"> </w:t>
      </w:r>
    </w:p>
    <w:p w14:paraId="3F34B5F1" w14:textId="647BD89A" w:rsidR="00263F48" w:rsidRDefault="00773A54" w:rsidP="00773A54">
      <w:pPr>
        <w:jc w:val="left"/>
        <w:rPr>
          <w:rFonts w:ascii="Arial" w:hAnsi="Arial" w:cs="Arial"/>
          <w:szCs w:val="24"/>
        </w:rPr>
      </w:pPr>
      <w:r w:rsidRPr="00AC598B">
        <w:rPr>
          <w:rFonts w:ascii="Arial" w:hAnsi="Arial" w:cs="Arial"/>
          <w:b/>
          <w:szCs w:val="24"/>
        </w:rPr>
        <w:t>Statutory pre-tax profit</w:t>
      </w:r>
      <w:r w:rsidRPr="00AC598B">
        <w:rPr>
          <w:rFonts w:ascii="Arial" w:hAnsi="Arial" w:cs="Arial"/>
          <w:szCs w:val="24"/>
        </w:rPr>
        <w:t xml:space="preserve">, which includes the impact of </w:t>
      </w:r>
      <w:r w:rsidR="003C58D7" w:rsidRPr="00AC598B">
        <w:rPr>
          <w:rFonts w:ascii="Arial" w:hAnsi="Arial" w:cs="Arial"/>
          <w:szCs w:val="24"/>
        </w:rPr>
        <w:t xml:space="preserve">transformation </w:t>
      </w:r>
      <w:r w:rsidR="00AA1225">
        <w:rPr>
          <w:rFonts w:ascii="Arial" w:hAnsi="Arial" w:cs="Arial"/>
          <w:szCs w:val="24"/>
        </w:rPr>
        <w:t xml:space="preserve">P&amp;L </w:t>
      </w:r>
      <w:r w:rsidR="003C58D7" w:rsidRPr="00AC598B">
        <w:rPr>
          <w:rFonts w:ascii="Arial" w:hAnsi="Arial" w:cs="Arial"/>
          <w:szCs w:val="24"/>
        </w:rPr>
        <w:t>costs</w:t>
      </w:r>
      <w:r w:rsidR="002841D8">
        <w:rPr>
          <w:rFonts w:ascii="Arial" w:hAnsi="Arial" w:cs="Arial"/>
          <w:szCs w:val="24"/>
        </w:rPr>
        <w:t xml:space="preserve"> and </w:t>
      </w:r>
      <w:r w:rsidRPr="00AC598B">
        <w:rPr>
          <w:rFonts w:ascii="Arial" w:hAnsi="Arial" w:cs="Arial"/>
          <w:szCs w:val="24"/>
        </w:rPr>
        <w:t>exceptional items</w:t>
      </w:r>
      <w:r w:rsidR="0016009C" w:rsidRPr="00AC598B">
        <w:rPr>
          <w:rFonts w:ascii="Arial" w:hAnsi="Arial" w:cs="Arial"/>
          <w:szCs w:val="24"/>
        </w:rPr>
        <w:t>,</w:t>
      </w:r>
      <w:r w:rsidRPr="00AC598B">
        <w:rPr>
          <w:rFonts w:ascii="Arial" w:hAnsi="Arial" w:cs="Arial"/>
          <w:szCs w:val="24"/>
        </w:rPr>
        <w:t xml:space="preserve"> </w:t>
      </w:r>
      <w:r w:rsidR="000A466B">
        <w:rPr>
          <w:rFonts w:ascii="Arial" w:hAnsi="Arial" w:cs="Arial"/>
          <w:szCs w:val="24"/>
        </w:rPr>
        <w:t xml:space="preserve">decreased by </w:t>
      </w:r>
      <w:r w:rsidR="001D0E4C">
        <w:rPr>
          <w:rFonts w:ascii="Arial" w:hAnsi="Arial" w:cs="Arial"/>
          <w:szCs w:val="24"/>
        </w:rPr>
        <w:t>12</w:t>
      </w:r>
      <w:r w:rsidR="007753E9">
        <w:rPr>
          <w:rFonts w:ascii="Arial" w:hAnsi="Arial" w:cs="Arial"/>
          <w:szCs w:val="24"/>
        </w:rPr>
        <w:t>.</w:t>
      </w:r>
      <w:r w:rsidR="006A1671">
        <w:rPr>
          <w:rFonts w:ascii="Arial" w:hAnsi="Arial" w:cs="Arial"/>
          <w:szCs w:val="24"/>
        </w:rPr>
        <w:t>5</w:t>
      </w:r>
      <w:r w:rsidRPr="00AC598B">
        <w:rPr>
          <w:rFonts w:ascii="Arial" w:hAnsi="Arial" w:cs="Arial"/>
          <w:szCs w:val="24"/>
        </w:rPr>
        <w:t>% to £</w:t>
      </w:r>
      <w:r w:rsidR="007753E9">
        <w:rPr>
          <w:rFonts w:ascii="Arial" w:hAnsi="Arial" w:cs="Arial"/>
          <w:szCs w:val="24"/>
        </w:rPr>
        <w:t>2</w:t>
      </w:r>
      <w:r w:rsidR="001D0E4C">
        <w:rPr>
          <w:rFonts w:ascii="Arial" w:hAnsi="Arial" w:cs="Arial"/>
          <w:szCs w:val="24"/>
        </w:rPr>
        <w:t>4</w:t>
      </w:r>
      <w:r w:rsidR="006A1671">
        <w:rPr>
          <w:rFonts w:ascii="Arial" w:hAnsi="Arial" w:cs="Arial"/>
          <w:szCs w:val="24"/>
        </w:rPr>
        <w:t>5</w:t>
      </w:r>
      <w:r w:rsidR="00687F8D" w:rsidRPr="00687F8D">
        <w:rPr>
          <w:rFonts w:ascii="Arial" w:hAnsi="Arial" w:cs="Arial"/>
          <w:b/>
          <w:color w:val="C00000"/>
          <w:szCs w:val="24"/>
        </w:rPr>
        <w:t xml:space="preserve"> </w:t>
      </w:r>
      <w:r w:rsidRPr="00AC598B">
        <w:rPr>
          <w:rFonts w:ascii="Arial" w:hAnsi="Arial" w:cs="Arial"/>
          <w:szCs w:val="24"/>
        </w:rPr>
        <w:t xml:space="preserve">million. </w:t>
      </w:r>
    </w:p>
    <w:p w14:paraId="462BA04D" w14:textId="77777777" w:rsidR="00263F48" w:rsidRDefault="00263F48" w:rsidP="00773A54">
      <w:pPr>
        <w:jc w:val="left"/>
        <w:rPr>
          <w:rFonts w:ascii="Arial" w:hAnsi="Arial" w:cs="Arial"/>
        </w:rPr>
      </w:pPr>
    </w:p>
    <w:p w14:paraId="6F1FC725" w14:textId="3AB2A882" w:rsidR="00263F48" w:rsidRDefault="00263F48" w:rsidP="00773A54">
      <w:pPr>
        <w:jc w:val="left"/>
        <w:rPr>
          <w:rFonts w:ascii="Arial" w:hAnsi="Arial" w:cs="Arial"/>
          <w:szCs w:val="24"/>
        </w:rPr>
      </w:pPr>
      <w:bookmarkStart w:id="41" w:name="_Hlk524947172"/>
      <w:r w:rsidRPr="00342365">
        <w:rPr>
          <w:rFonts w:ascii="Arial" w:hAnsi="Arial" w:cs="Arial"/>
        </w:rPr>
        <w:t>We continued to invest in the business and the transformation</w:t>
      </w:r>
      <w:r>
        <w:rPr>
          <w:rFonts w:ascii="Arial" w:hAnsi="Arial" w:cs="Arial"/>
        </w:rPr>
        <w:t xml:space="preserve">, </w:t>
      </w:r>
      <w:r w:rsidRPr="00342365">
        <w:rPr>
          <w:rFonts w:ascii="ArialMT" w:hAnsi="ArialMT" w:cs="ArialMT"/>
        </w:rPr>
        <w:t>paid £</w:t>
      </w:r>
      <w:r w:rsidR="00D34056">
        <w:rPr>
          <w:rFonts w:ascii="ArialMT" w:hAnsi="ArialMT" w:cs="ArialMT"/>
        </w:rPr>
        <w:t>157</w:t>
      </w:r>
      <w:r w:rsidRPr="00342365">
        <w:rPr>
          <w:rFonts w:ascii="ArialMT" w:hAnsi="ArialMT" w:cs="ArialMT"/>
        </w:rPr>
        <w:t xml:space="preserve"> million in cash dividends while maintaining a strong balance sheet.</w:t>
      </w:r>
    </w:p>
    <w:bookmarkEnd w:id="41"/>
    <w:p w14:paraId="1B556658" w14:textId="77777777" w:rsidR="00A8244E" w:rsidRDefault="00A8244E" w:rsidP="007655ED">
      <w:pPr>
        <w:rPr>
          <w:rFonts w:ascii="Arial" w:hAnsi="Arial" w:cs="Arial"/>
          <w:szCs w:val="24"/>
        </w:rPr>
      </w:pPr>
    </w:p>
    <w:p w14:paraId="792D0FCC" w14:textId="77777777" w:rsidR="00263F48" w:rsidRDefault="00263F48" w:rsidP="001003E6">
      <w:pPr>
        <w:rPr>
          <w:rFonts w:ascii="Arial" w:hAnsi="Arial" w:cs="Arial"/>
          <w:szCs w:val="24"/>
        </w:rPr>
      </w:pPr>
    </w:p>
    <w:p w14:paraId="4D7F20BF" w14:textId="77777777" w:rsidR="00263F48" w:rsidRDefault="00263F48" w:rsidP="00773A54">
      <w:pPr>
        <w:jc w:val="left"/>
        <w:rPr>
          <w:rFonts w:ascii="Arial" w:hAnsi="Arial" w:cs="Arial"/>
          <w:szCs w:val="24"/>
        </w:rPr>
      </w:pPr>
    </w:p>
    <w:p w14:paraId="58659372" w14:textId="77777777" w:rsidR="00263F48" w:rsidRDefault="00263F48" w:rsidP="00773A54">
      <w:pPr>
        <w:jc w:val="left"/>
        <w:rPr>
          <w:rFonts w:ascii="Arial" w:hAnsi="Arial" w:cs="Arial"/>
          <w:szCs w:val="24"/>
        </w:rPr>
      </w:pPr>
    </w:p>
    <w:p w14:paraId="70F139EE" w14:textId="77777777" w:rsidR="00263F48" w:rsidRDefault="00263F48" w:rsidP="00773A54">
      <w:pPr>
        <w:jc w:val="left"/>
        <w:rPr>
          <w:rFonts w:ascii="Arial" w:hAnsi="Arial" w:cs="Arial"/>
          <w:szCs w:val="24"/>
        </w:rPr>
      </w:pPr>
    </w:p>
    <w:p w14:paraId="7F1D095A" w14:textId="4C74A7F9" w:rsidR="00F01C34" w:rsidRPr="00473282" w:rsidRDefault="00773A54" w:rsidP="00773A54">
      <w:pPr>
        <w:jc w:val="left"/>
        <w:rPr>
          <w:rFonts w:ascii="Arial" w:hAnsi="Arial" w:cs="Arial"/>
          <w:szCs w:val="24"/>
        </w:rPr>
      </w:pPr>
      <w:r w:rsidRPr="00473282">
        <w:rPr>
          <w:rFonts w:ascii="Arial" w:hAnsi="Arial" w:cs="Arial"/>
          <w:szCs w:val="24"/>
        </w:rPr>
        <w:lastRenderedPageBreak/>
        <w:t xml:space="preserve">A reconciliation from the </w:t>
      </w:r>
      <w:r w:rsidR="00F94190" w:rsidRPr="00473282">
        <w:rPr>
          <w:rFonts w:ascii="Arial" w:hAnsi="Arial" w:cs="Arial"/>
          <w:szCs w:val="24"/>
        </w:rPr>
        <w:t xml:space="preserve">underlying </w:t>
      </w:r>
      <w:r w:rsidRPr="00473282">
        <w:rPr>
          <w:rFonts w:ascii="Arial" w:hAnsi="Arial" w:cs="Arial"/>
          <w:szCs w:val="24"/>
        </w:rPr>
        <w:t>basis to the statutory basis for pre-tax profit is set out below</w:t>
      </w:r>
      <w:r w:rsidR="00936EA5" w:rsidRPr="00473282">
        <w:rPr>
          <w:rFonts w:ascii="Arial" w:hAnsi="Arial" w:cs="Arial"/>
          <w:szCs w:val="24"/>
        </w:rPr>
        <w:t>:</w:t>
      </w:r>
    </w:p>
    <w:p w14:paraId="6CAA0292" w14:textId="77777777" w:rsidR="00773A54" w:rsidRPr="00473282" w:rsidRDefault="00773A54" w:rsidP="00773A54">
      <w:pPr>
        <w:jc w:val="left"/>
        <w:rPr>
          <w:rFonts w:ascii="Arial" w:hAnsi="Arial" w:cs="Arial"/>
          <w:szCs w:val="24"/>
        </w:rPr>
      </w:pPr>
    </w:p>
    <w:tbl>
      <w:tblPr>
        <w:tblStyle w:val="TableGrid"/>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78"/>
        <w:gridCol w:w="1259"/>
        <w:gridCol w:w="1241"/>
        <w:gridCol w:w="1532"/>
      </w:tblGrid>
      <w:tr w:rsidR="00773A54" w:rsidRPr="00473282" w14:paraId="1D81D80B" w14:textId="77777777" w:rsidTr="00907EA8">
        <w:tc>
          <w:tcPr>
            <w:tcW w:w="2966" w:type="pct"/>
            <w:tcBorders>
              <w:bottom w:val="single" w:sz="4" w:space="0" w:color="auto"/>
            </w:tcBorders>
          </w:tcPr>
          <w:p w14:paraId="17FCBF5A" w14:textId="77777777" w:rsidR="00773A54" w:rsidRPr="00473282" w:rsidRDefault="00773A54" w:rsidP="00907EA8">
            <w:pPr>
              <w:jc w:val="right"/>
              <w:rPr>
                <w:rFonts w:ascii="Arial" w:hAnsi="Arial" w:cs="Arial"/>
                <w:sz w:val="22"/>
                <w:szCs w:val="24"/>
              </w:rPr>
            </w:pPr>
          </w:p>
        </w:tc>
        <w:tc>
          <w:tcPr>
            <w:tcW w:w="635" w:type="pct"/>
            <w:tcBorders>
              <w:bottom w:val="single" w:sz="4" w:space="0" w:color="auto"/>
            </w:tcBorders>
          </w:tcPr>
          <w:p w14:paraId="5645AAB3" w14:textId="54C00F71" w:rsidR="00773A54" w:rsidRPr="00473282" w:rsidRDefault="00773A54" w:rsidP="00907EA8">
            <w:pPr>
              <w:jc w:val="right"/>
              <w:rPr>
                <w:rFonts w:ascii="Arial" w:hAnsi="Arial" w:cs="Arial"/>
                <w:b/>
                <w:sz w:val="22"/>
                <w:szCs w:val="24"/>
              </w:rPr>
            </w:pPr>
            <w:r w:rsidRPr="00473282">
              <w:rPr>
                <w:rFonts w:ascii="Arial" w:hAnsi="Arial" w:cs="Arial"/>
                <w:b/>
                <w:sz w:val="22"/>
                <w:szCs w:val="24"/>
              </w:rPr>
              <w:t>201</w:t>
            </w:r>
            <w:r w:rsidR="00B81DAF" w:rsidRPr="00473282">
              <w:rPr>
                <w:rFonts w:ascii="Arial" w:hAnsi="Arial" w:cs="Arial"/>
                <w:b/>
                <w:sz w:val="22"/>
                <w:szCs w:val="24"/>
              </w:rPr>
              <w:t>9</w:t>
            </w:r>
            <w:r w:rsidRPr="00473282">
              <w:rPr>
                <w:rFonts w:ascii="Arial" w:hAnsi="Arial" w:cs="Arial"/>
                <w:b/>
                <w:sz w:val="22"/>
                <w:szCs w:val="24"/>
              </w:rPr>
              <w:t>/</w:t>
            </w:r>
            <w:r w:rsidR="00B81DAF" w:rsidRPr="00473282">
              <w:rPr>
                <w:rFonts w:ascii="Arial" w:hAnsi="Arial" w:cs="Arial"/>
                <w:b/>
                <w:sz w:val="22"/>
                <w:szCs w:val="24"/>
              </w:rPr>
              <w:t>20</w:t>
            </w:r>
          </w:p>
          <w:p w14:paraId="49B2680C" w14:textId="77777777" w:rsidR="00773A54" w:rsidRPr="00473282" w:rsidRDefault="00773A54" w:rsidP="00907EA8">
            <w:pPr>
              <w:jc w:val="right"/>
              <w:rPr>
                <w:rFonts w:ascii="Arial" w:hAnsi="Arial" w:cs="Arial"/>
                <w:b/>
                <w:sz w:val="22"/>
                <w:szCs w:val="24"/>
              </w:rPr>
            </w:pPr>
            <w:r w:rsidRPr="00473282">
              <w:rPr>
                <w:rFonts w:ascii="Arial" w:hAnsi="Arial" w:cs="Arial"/>
                <w:b/>
                <w:sz w:val="22"/>
                <w:szCs w:val="24"/>
              </w:rPr>
              <w:t>£m</w:t>
            </w:r>
          </w:p>
        </w:tc>
        <w:tc>
          <w:tcPr>
            <w:tcW w:w="626" w:type="pct"/>
            <w:tcBorders>
              <w:bottom w:val="single" w:sz="4" w:space="0" w:color="auto"/>
            </w:tcBorders>
          </w:tcPr>
          <w:p w14:paraId="5C4E7816" w14:textId="611CC160" w:rsidR="00773A54" w:rsidRPr="00473282" w:rsidRDefault="00773A54" w:rsidP="00907EA8">
            <w:pPr>
              <w:jc w:val="right"/>
              <w:rPr>
                <w:rFonts w:ascii="Arial" w:hAnsi="Arial" w:cs="Arial"/>
                <w:sz w:val="22"/>
                <w:szCs w:val="24"/>
              </w:rPr>
            </w:pPr>
            <w:r w:rsidRPr="00473282">
              <w:rPr>
                <w:rFonts w:ascii="Arial" w:hAnsi="Arial" w:cs="Arial"/>
                <w:sz w:val="22"/>
                <w:szCs w:val="24"/>
              </w:rPr>
              <w:t>201</w:t>
            </w:r>
            <w:r w:rsidR="00B81DAF" w:rsidRPr="00473282">
              <w:rPr>
                <w:rFonts w:ascii="Arial" w:hAnsi="Arial" w:cs="Arial"/>
                <w:sz w:val="22"/>
                <w:szCs w:val="24"/>
              </w:rPr>
              <w:t>8</w:t>
            </w:r>
            <w:r w:rsidRPr="00473282">
              <w:rPr>
                <w:rFonts w:ascii="Arial" w:hAnsi="Arial" w:cs="Arial"/>
                <w:sz w:val="22"/>
                <w:szCs w:val="24"/>
              </w:rPr>
              <w:t>/1</w:t>
            </w:r>
            <w:r w:rsidR="00B81DAF" w:rsidRPr="00473282">
              <w:rPr>
                <w:rFonts w:ascii="Arial" w:hAnsi="Arial" w:cs="Arial"/>
                <w:sz w:val="22"/>
                <w:szCs w:val="24"/>
              </w:rPr>
              <w:t>9</w:t>
            </w:r>
          </w:p>
          <w:p w14:paraId="4961DB21" w14:textId="77777777" w:rsidR="00773A54" w:rsidRPr="00473282" w:rsidRDefault="00773A54" w:rsidP="00907EA8">
            <w:pPr>
              <w:jc w:val="right"/>
              <w:rPr>
                <w:rFonts w:ascii="Arial" w:hAnsi="Arial" w:cs="Arial"/>
                <w:sz w:val="22"/>
                <w:szCs w:val="24"/>
              </w:rPr>
            </w:pPr>
            <w:r w:rsidRPr="00473282">
              <w:rPr>
                <w:rFonts w:ascii="Arial" w:hAnsi="Arial" w:cs="Arial"/>
                <w:sz w:val="22"/>
                <w:szCs w:val="24"/>
              </w:rPr>
              <w:t>£m</w:t>
            </w:r>
          </w:p>
        </w:tc>
        <w:tc>
          <w:tcPr>
            <w:tcW w:w="773" w:type="pct"/>
            <w:tcBorders>
              <w:bottom w:val="single" w:sz="4" w:space="0" w:color="auto"/>
            </w:tcBorders>
          </w:tcPr>
          <w:p w14:paraId="0EDAC9DD" w14:textId="77777777" w:rsidR="00421A9F" w:rsidRPr="00473282" w:rsidRDefault="00421A9F">
            <w:pPr>
              <w:jc w:val="right"/>
              <w:rPr>
                <w:rFonts w:ascii="Arial" w:hAnsi="Arial" w:cs="Arial"/>
                <w:sz w:val="22"/>
                <w:szCs w:val="24"/>
              </w:rPr>
            </w:pPr>
          </w:p>
          <w:p w14:paraId="552F955C" w14:textId="0A54438F" w:rsidR="00773A54" w:rsidRPr="00473282" w:rsidRDefault="00BD3A93">
            <w:pPr>
              <w:jc w:val="right"/>
              <w:rPr>
                <w:rFonts w:ascii="Arial" w:hAnsi="Arial" w:cs="Arial"/>
                <w:sz w:val="22"/>
                <w:szCs w:val="24"/>
              </w:rPr>
            </w:pPr>
            <w:r w:rsidRPr="00473282">
              <w:rPr>
                <w:rFonts w:ascii="Arial" w:hAnsi="Arial" w:cs="Arial"/>
                <w:sz w:val="22"/>
                <w:szCs w:val="24"/>
              </w:rPr>
              <w:t>C</w:t>
            </w:r>
            <w:r w:rsidR="004D0E9F" w:rsidRPr="00473282">
              <w:rPr>
                <w:rFonts w:ascii="Arial" w:hAnsi="Arial" w:cs="Arial"/>
                <w:sz w:val="22"/>
                <w:szCs w:val="24"/>
              </w:rPr>
              <w:t>hange</w:t>
            </w:r>
            <w:r w:rsidR="00773A54" w:rsidRPr="00473282">
              <w:rPr>
                <w:rFonts w:ascii="Arial" w:hAnsi="Arial" w:cs="Arial"/>
                <w:sz w:val="22"/>
                <w:szCs w:val="24"/>
              </w:rPr>
              <w:t xml:space="preserve"> </w:t>
            </w:r>
          </w:p>
        </w:tc>
      </w:tr>
      <w:tr w:rsidR="00B81DAF" w:rsidRPr="00473282" w14:paraId="2E909892" w14:textId="77777777" w:rsidTr="0020209B">
        <w:tc>
          <w:tcPr>
            <w:tcW w:w="2966" w:type="pct"/>
            <w:tcBorders>
              <w:top w:val="single" w:sz="4" w:space="0" w:color="auto"/>
            </w:tcBorders>
          </w:tcPr>
          <w:p w14:paraId="151C6C59" w14:textId="7C39F01A" w:rsidR="00B81DAF" w:rsidRPr="00473282" w:rsidRDefault="00B81DAF" w:rsidP="00B81DAF">
            <w:pPr>
              <w:jc w:val="left"/>
              <w:rPr>
                <w:rFonts w:ascii="Arial" w:hAnsi="Arial" w:cs="Arial"/>
                <w:b/>
                <w:sz w:val="22"/>
                <w:szCs w:val="24"/>
              </w:rPr>
            </w:pPr>
            <w:r w:rsidRPr="00473282">
              <w:rPr>
                <w:rFonts w:ascii="Arial" w:hAnsi="Arial" w:cs="Arial"/>
                <w:b/>
                <w:sz w:val="22"/>
                <w:szCs w:val="24"/>
              </w:rPr>
              <w:t>Retail profit</w:t>
            </w:r>
          </w:p>
        </w:tc>
        <w:tc>
          <w:tcPr>
            <w:tcW w:w="635" w:type="pct"/>
            <w:tcBorders>
              <w:top w:val="single" w:sz="4" w:space="0" w:color="auto"/>
            </w:tcBorders>
          </w:tcPr>
          <w:p w14:paraId="7E7548CD" w14:textId="3182781A" w:rsidR="00B81DAF" w:rsidRPr="00473282" w:rsidRDefault="00B81DAF" w:rsidP="00B81DAF">
            <w:pPr>
              <w:jc w:val="right"/>
              <w:rPr>
                <w:rFonts w:ascii="Arial" w:hAnsi="Arial" w:cs="Arial"/>
                <w:b/>
                <w:sz w:val="22"/>
                <w:szCs w:val="22"/>
              </w:rPr>
            </w:pPr>
            <w:r w:rsidRPr="00473282">
              <w:rPr>
                <w:rFonts w:ascii="Arial" w:hAnsi="Arial" w:cs="Arial"/>
                <w:b/>
                <w:sz w:val="22"/>
                <w:szCs w:val="22"/>
              </w:rPr>
              <w:t>4</w:t>
            </w:r>
            <w:r w:rsidR="00473282" w:rsidRPr="00473282">
              <w:rPr>
                <w:rFonts w:ascii="Arial" w:hAnsi="Arial" w:cs="Arial"/>
                <w:b/>
                <w:sz w:val="22"/>
                <w:szCs w:val="22"/>
              </w:rPr>
              <w:t>6</w:t>
            </w:r>
            <w:r w:rsidR="00365C0E">
              <w:rPr>
                <w:rFonts w:ascii="Arial" w:hAnsi="Arial" w:cs="Arial"/>
                <w:b/>
                <w:sz w:val="22"/>
                <w:szCs w:val="22"/>
              </w:rPr>
              <w:t>6</w:t>
            </w:r>
          </w:p>
        </w:tc>
        <w:tc>
          <w:tcPr>
            <w:tcW w:w="626" w:type="pct"/>
            <w:tcBorders>
              <w:top w:val="single" w:sz="4" w:space="0" w:color="auto"/>
            </w:tcBorders>
          </w:tcPr>
          <w:p w14:paraId="7476E2B2" w14:textId="5C9BF1DA" w:rsidR="00B81DAF" w:rsidRPr="00473282" w:rsidRDefault="00B81DAF" w:rsidP="00B81DAF">
            <w:pPr>
              <w:jc w:val="right"/>
              <w:rPr>
                <w:rFonts w:ascii="Arial" w:hAnsi="Arial" w:cs="Arial"/>
                <w:bCs/>
                <w:sz w:val="22"/>
                <w:szCs w:val="22"/>
              </w:rPr>
            </w:pPr>
            <w:r w:rsidRPr="00473282">
              <w:rPr>
                <w:rFonts w:ascii="Arial" w:hAnsi="Arial" w:cs="Arial"/>
                <w:bCs/>
                <w:sz w:val="22"/>
                <w:szCs w:val="22"/>
              </w:rPr>
              <w:t>4</w:t>
            </w:r>
            <w:r w:rsidR="00473282" w:rsidRPr="00473282">
              <w:rPr>
                <w:rFonts w:ascii="Arial" w:hAnsi="Arial" w:cs="Arial"/>
                <w:bCs/>
                <w:sz w:val="22"/>
                <w:szCs w:val="22"/>
              </w:rPr>
              <w:t>9</w:t>
            </w:r>
            <w:r w:rsidR="00473282">
              <w:rPr>
                <w:rFonts w:ascii="Arial" w:hAnsi="Arial" w:cs="Arial"/>
                <w:bCs/>
                <w:sz w:val="22"/>
                <w:szCs w:val="22"/>
              </w:rPr>
              <w:t>0</w:t>
            </w:r>
          </w:p>
        </w:tc>
        <w:tc>
          <w:tcPr>
            <w:tcW w:w="773" w:type="pct"/>
            <w:tcBorders>
              <w:top w:val="single" w:sz="4" w:space="0" w:color="auto"/>
            </w:tcBorders>
            <w:vAlign w:val="bottom"/>
          </w:tcPr>
          <w:p w14:paraId="0FE3BB2E" w14:textId="754658C8" w:rsidR="00B81DAF" w:rsidRPr="00473282" w:rsidRDefault="00B81DAF" w:rsidP="00B81DAF">
            <w:pPr>
              <w:jc w:val="right"/>
              <w:rPr>
                <w:rFonts w:ascii="Arial" w:hAnsi="Arial" w:cs="Arial"/>
                <w:sz w:val="22"/>
                <w:szCs w:val="22"/>
              </w:rPr>
            </w:pPr>
            <w:r w:rsidRPr="00473282">
              <w:rPr>
                <w:rFonts w:ascii="Arial" w:hAnsi="Arial" w:cs="Arial"/>
                <w:sz w:val="22"/>
                <w:szCs w:val="22"/>
              </w:rPr>
              <w:t>(</w:t>
            </w:r>
            <w:r w:rsidR="00473282" w:rsidRPr="00473282">
              <w:rPr>
                <w:rFonts w:ascii="Arial" w:hAnsi="Arial" w:cs="Arial"/>
                <w:sz w:val="22"/>
                <w:szCs w:val="22"/>
              </w:rPr>
              <w:t>4</w:t>
            </w:r>
            <w:r w:rsidRPr="00473282">
              <w:rPr>
                <w:rFonts w:ascii="Arial" w:hAnsi="Arial" w:cs="Arial"/>
                <w:sz w:val="22"/>
                <w:szCs w:val="22"/>
              </w:rPr>
              <w:t>.</w:t>
            </w:r>
            <w:r w:rsidR="00365C0E">
              <w:rPr>
                <w:rFonts w:ascii="Arial" w:hAnsi="Arial" w:cs="Arial"/>
                <w:sz w:val="22"/>
                <w:szCs w:val="22"/>
              </w:rPr>
              <w:t>8</w:t>
            </w:r>
            <w:r w:rsidRPr="00473282">
              <w:rPr>
                <w:rFonts w:ascii="Arial" w:hAnsi="Arial" w:cs="Arial"/>
                <w:sz w:val="22"/>
                <w:szCs w:val="22"/>
              </w:rPr>
              <w:t>)%</w:t>
            </w:r>
          </w:p>
        </w:tc>
      </w:tr>
      <w:tr w:rsidR="00B81DAF" w:rsidRPr="00473282" w14:paraId="7ABED8CB" w14:textId="77777777" w:rsidTr="00CC0C89">
        <w:tc>
          <w:tcPr>
            <w:tcW w:w="2966" w:type="pct"/>
          </w:tcPr>
          <w:p w14:paraId="0BE5E6B7" w14:textId="3A0368A1" w:rsidR="00B81DAF" w:rsidRPr="00473282" w:rsidRDefault="00B81DAF" w:rsidP="00B81DAF">
            <w:pPr>
              <w:jc w:val="left"/>
              <w:rPr>
                <w:rFonts w:ascii="Arial" w:hAnsi="Arial" w:cs="Arial"/>
                <w:sz w:val="22"/>
                <w:szCs w:val="24"/>
              </w:rPr>
            </w:pPr>
            <w:r w:rsidRPr="00473282">
              <w:rPr>
                <w:rFonts w:ascii="Arial" w:hAnsi="Arial" w:cs="Arial"/>
                <w:sz w:val="22"/>
                <w:szCs w:val="24"/>
              </w:rPr>
              <w:t>Central costs</w:t>
            </w:r>
          </w:p>
        </w:tc>
        <w:tc>
          <w:tcPr>
            <w:tcW w:w="635" w:type="pct"/>
          </w:tcPr>
          <w:p w14:paraId="0DD0B3A7" w14:textId="18405A4D" w:rsidR="00B81DAF" w:rsidRPr="00473282" w:rsidRDefault="00B81DAF" w:rsidP="00B81DAF">
            <w:pPr>
              <w:jc w:val="right"/>
              <w:rPr>
                <w:rFonts w:ascii="Arial" w:hAnsi="Arial" w:cs="Arial"/>
                <w:b/>
                <w:sz w:val="22"/>
                <w:szCs w:val="22"/>
              </w:rPr>
            </w:pPr>
            <w:r w:rsidRPr="00473282">
              <w:rPr>
                <w:rFonts w:ascii="Arial" w:hAnsi="Arial" w:cs="Arial"/>
                <w:b/>
                <w:sz w:val="22"/>
                <w:szCs w:val="22"/>
              </w:rPr>
              <w:t>(2</w:t>
            </w:r>
            <w:r w:rsidR="00473282">
              <w:rPr>
                <w:rFonts w:ascii="Arial" w:hAnsi="Arial" w:cs="Arial"/>
                <w:b/>
                <w:sz w:val="22"/>
                <w:szCs w:val="22"/>
              </w:rPr>
              <w:t>5</w:t>
            </w:r>
            <w:r w:rsidRPr="00473282">
              <w:rPr>
                <w:rFonts w:ascii="Arial" w:hAnsi="Arial" w:cs="Arial"/>
                <w:b/>
                <w:sz w:val="22"/>
                <w:szCs w:val="22"/>
              </w:rPr>
              <w:t>)</w:t>
            </w:r>
          </w:p>
        </w:tc>
        <w:tc>
          <w:tcPr>
            <w:tcW w:w="626" w:type="pct"/>
          </w:tcPr>
          <w:p w14:paraId="1A88D7D9" w14:textId="0EC6855F" w:rsidR="00B81DAF" w:rsidRPr="00473282" w:rsidRDefault="00B81DAF" w:rsidP="00B81DAF">
            <w:pPr>
              <w:jc w:val="right"/>
              <w:rPr>
                <w:rFonts w:ascii="Arial" w:hAnsi="Arial" w:cs="Arial"/>
                <w:bCs/>
                <w:sz w:val="22"/>
                <w:szCs w:val="22"/>
              </w:rPr>
            </w:pPr>
            <w:r w:rsidRPr="00473282">
              <w:rPr>
                <w:rFonts w:ascii="Arial" w:hAnsi="Arial" w:cs="Arial"/>
                <w:bCs/>
                <w:sz w:val="22"/>
                <w:szCs w:val="22"/>
              </w:rPr>
              <w:t>(2</w:t>
            </w:r>
            <w:r w:rsidR="001D0E4C">
              <w:rPr>
                <w:rFonts w:ascii="Arial" w:hAnsi="Arial" w:cs="Arial"/>
                <w:bCs/>
                <w:sz w:val="22"/>
                <w:szCs w:val="22"/>
              </w:rPr>
              <w:t>3</w:t>
            </w:r>
            <w:r w:rsidRPr="00473282">
              <w:rPr>
                <w:rFonts w:ascii="Arial" w:hAnsi="Arial" w:cs="Arial"/>
                <w:bCs/>
                <w:sz w:val="22"/>
                <w:szCs w:val="22"/>
              </w:rPr>
              <w:t>)</w:t>
            </w:r>
          </w:p>
        </w:tc>
        <w:tc>
          <w:tcPr>
            <w:tcW w:w="773" w:type="pct"/>
          </w:tcPr>
          <w:p w14:paraId="0ECD72EE" w14:textId="27759D5E" w:rsidR="00B81DAF" w:rsidRPr="00473282" w:rsidRDefault="00B81DAF" w:rsidP="00B81DAF">
            <w:pPr>
              <w:jc w:val="right"/>
              <w:rPr>
                <w:rFonts w:ascii="Arial" w:hAnsi="Arial" w:cs="Arial"/>
                <w:sz w:val="22"/>
                <w:szCs w:val="22"/>
              </w:rPr>
            </w:pPr>
          </w:p>
        </w:tc>
      </w:tr>
      <w:tr w:rsidR="00B81DAF" w:rsidRPr="00473282" w14:paraId="4CC739E1" w14:textId="77777777" w:rsidTr="00CC0C89">
        <w:tc>
          <w:tcPr>
            <w:tcW w:w="2966" w:type="pct"/>
          </w:tcPr>
          <w:p w14:paraId="7F0BE4BB" w14:textId="78131115" w:rsidR="00B81DAF" w:rsidRPr="00473282" w:rsidRDefault="00B81DAF" w:rsidP="00B81DAF">
            <w:pPr>
              <w:jc w:val="left"/>
              <w:rPr>
                <w:rFonts w:ascii="Arial" w:hAnsi="Arial" w:cs="Arial"/>
                <w:sz w:val="22"/>
                <w:szCs w:val="24"/>
              </w:rPr>
            </w:pPr>
            <w:r w:rsidRPr="00473282">
              <w:rPr>
                <w:rFonts w:ascii="Arial" w:hAnsi="Arial" w:cs="Arial"/>
                <w:sz w:val="22"/>
                <w:szCs w:val="24"/>
              </w:rPr>
              <w:t>Share of interest and tax of joint ventures &amp; associates</w:t>
            </w:r>
            <w:r w:rsidR="00AF141B" w:rsidRPr="00AF141B">
              <w:rPr>
                <w:rFonts w:ascii="Arial" w:hAnsi="Arial" w:cs="Arial"/>
                <w:sz w:val="22"/>
                <w:szCs w:val="24"/>
                <w:vertAlign w:val="superscript"/>
              </w:rPr>
              <w:t>(1)</w:t>
            </w:r>
          </w:p>
        </w:tc>
        <w:tc>
          <w:tcPr>
            <w:tcW w:w="635" w:type="pct"/>
          </w:tcPr>
          <w:p w14:paraId="0652C9BB" w14:textId="5232DA4F" w:rsidR="00B81DAF" w:rsidRPr="00473282" w:rsidRDefault="00B81DAF" w:rsidP="00B81DAF">
            <w:pPr>
              <w:jc w:val="right"/>
              <w:rPr>
                <w:rFonts w:ascii="Arial" w:hAnsi="Arial" w:cs="Arial"/>
                <w:b/>
                <w:sz w:val="22"/>
                <w:szCs w:val="22"/>
              </w:rPr>
            </w:pPr>
            <w:r w:rsidRPr="00473282">
              <w:rPr>
                <w:rFonts w:ascii="Arial" w:hAnsi="Arial" w:cs="Arial"/>
                <w:b/>
                <w:sz w:val="22"/>
                <w:szCs w:val="22"/>
              </w:rPr>
              <w:t>(</w:t>
            </w:r>
            <w:r w:rsidR="001D0E4C">
              <w:rPr>
                <w:rFonts w:ascii="Arial" w:hAnsi="Arial" w:cs="Arial"/>
                <w:b/>
                <w:sz w:val="22"/>
                <w:szCs w:val="22"/>
              </w:rPr>
              <w:t>5</w:t>
            </w:r>
            <w:r w:rsidRPr="00473282">
              <w:rPr>
                <w:rFonts w:ascii="Arial" w:hAnsi="Arial" w:cs="Arial"/>
                <w:b/>
                <w:sz w:val="22"/>
                <w:szCs w:val="22"/>
              </w:rPr>
              <w:t>)</w:t>
            </w:r>
          </w:p>
        </w:tc>
        <w:tc>
          <w:tcPr>
            <w:tcW w:w="626" w:type="pct"/>
          </w:tcPr>
          <w:p w14:paraId="3111BEB6" w14:textId="5C2B318D" w:rsidR="00B81DAF" w:rsidRPr="00473282" w:rsidRDefault="00B81DAF" w:rsidP="00B81DAF">
            <w:pPr>
              <w:jc w:val="right"/>
              <w:rPr>
                <w:rFonts w:ascii="Arial" w:hAnsi="Arial" w:cs="Arial"/>
                <w:bCs/>
                <w:sz w:val="22"/>
                <w:szCs w:val="22"/>
              </w:rPr>
            </w:pPr>
            <w:r w:rsidRPr="00473282">
              <w:rPr>
                <w:rFonts w:ascii="Arial" w:hAnsi="Arial" w:cs="Arial"/>
                <w:bCs/>
                <w:sz w:val="22"/>
                <w:szCs w:val="22"/>
              </w:rPr>
              <w:t>(</w:t>
            </w:r>
            <w:r w:rsidR="001D0E4C">
              <w:rPr>
                <w:rFonts w:ascii="Arial" w:hAnsi="Arial" w:cs="Arial"/>
                <w:bCs/>
                <w:sz w:val="22"/>
                <w:szCs w:val="22"/>
              </w:rPr>
              <w:t>3</w:t>
            </w:r>
            <w:r w:rsidRPr="00473282">
              <w:rPr>
                <w:rFonts w:ascii="Arial" w:hAnsi="Arial" w:cs="Arial"/>
                <w:bCs/>
                <w:sz w:val="22"/>
                <w:szCs w:val="22"/>
              </w:rPr>
              <w:t>)</w:t>
            </w:r>
          </w:p>
        </w:tc>
        <w:tc>
          <w:tcPr>
            <w:tcW w:w="773" w:type="pct"/>
          </w:tcPr>
          <w:p w14:paraId="10CE134D" w14:textId="18B77F73" w:rsidR="00B81DAF" w:rsidRPr="00473282" w:rsidRDefault="00B81DAF" w:rsidP="00B81DAF">
            <w:pPr>
              <w:jc w:val="right"/>
              <w:rPr>
                <w:rFonts w:ascii="Arial" w:hAnsi="Arial" w:cs="Arial"/>
                <w:sz w:val="22"/>
                <w:szCs w:val="22"/>
              </w:rPr>
            </w:pPr>
          </w:p>
        </w:tc>
      </w:tr>
      <w:tr w:rsidR="00B81DAF" w:rsidRPr="00473282" w14:paraId="099870DD" w14:textId="77777777" w:rsidTr="00CC0C89">
        <w:tc>
          <w:tcPr>
            <w:tcW w:w="2966" w:type="pct"/>
            <w:tcBorders>
              <w:bottom w:val="single" w:sz="4" w:space="0" w:color="auto"/>
            </w:tcBorders>
          </w:tcPr>
          <w:p w14:paraId="4A4A61AD" w14:textId="02774028" w:rsidR="00B81DAF" w:rsidRPr="00473282" w:rsidRDefault="00B81DAF" w:rsidP="00B81DAF">
            <w:pPr>
              <w:jc w:val="left"/>
              <w:rPr>
                <w:rFonts w:ascii="Arial" w:hAnsi="Arial" w:cs="Arial"/>
                <w:sz w:val="22"/>
                <w:szCs w:val="24"/>
              </w:rPr>
            </w:pPr>
            <w:r w:rsidRPr="00473282">
              <w:rPr>
                <w:rFonts w:ascii="Arial" w:hAnsi="Arial" w:cs="Arial"/>
                <w:sz w:val="22"/>
                <w:szCs w:val="24"/>
              </w:rPr>
              <w:t>Net finance costs</w:t>
            </w:r>
            <w:r w:rsidR="001D0E4C" w:rsidRPr="001D0E4C">
              <w:rPr>
                <w:rFonts w:ascii="Arial" w:hAnsi="Arial" w:cs="Arial"/>
                <w:sz w:val="22"/>
                <w:szCs w:val="24"/>
                <w:vertAlign w:val="superscript"/>
              </w:rPr>
              <w:t>(1)</w:t>
            </w:r>
            <w:r w:rsidRPr="00473282">
              <w:rPr>
                <w:rFonts w:ascii="Arial" w:hAnsi="Arial" w:cs="Arial"/>
                <w:sz w:val="22"/>
                <w:szCs w:val="24"/>
              </w:rPr>
              <w:t xml:space="preserve"> </w:t>
            </w:r>
          </w:p>
        </w:tc>
        <w:tc>
          <w:tcPr>
            <w:tcW w:w="635" w:type="pct"/>
            <w:tcBorders>
              <w:bottom w:val="single" w:sz="4" w:space="0" w:color="auto"/>
            </w:tcBorders>
          </w:tcPr>
          <w:p w14:paraId="2291FED2" w14:textId="5C1239A9" w:rsidR="00B81DAF" w:rsidRPr="00473282" w:rsidRDefault="00B81DAF" w:rsidP="00B81DAF">
            <w:pPr>
              <w:jc w:val="right"/>
              <w:rPr>
                <w:rFonts w:ascii="Arial" w:hAnsi="Arial" w:cs="Arial"/>
                <w:b/>
                <w:sz w:val="22"/>
                <w:szCs w:val="22"/>
              </w:rPr>
            </w:pPr>
            <w:r w:rsidRPr="00473282">
              <w:rPr>
                <w:rFonts w:ascii="Arial" w:hAnsi="Arial" w:cs="Arial"/>
                <w:b/>
                <w:sz w:val="22"/>
                <w:szCs w:val="22"/>
              </w:rPr>
              <w:t>(</w:t>
            </w:r>
            <w:r w:rsidR="00473282">
              <w:rPr>
                <w:rFonts w:ascii="Arial" w:hAnsi="Arial" w:cs="Arial"/>
                <w:b/>
                <w:sz w:val="22"/>
                <w:szCs w:val="22"/>
              </w:rPr>
              <w:t>8</w:t>
            </w:r>
            <w:r w:rsidR="001D0E4C">
              <w:rPr>
                <w:rFonts w:ascii="Arial" w:hAnsi="Arial" w:cs="Arial"/>
                <w:b/>
                <w:sz w:val="22"/>
                <w:szCs w:val="22"/>
              </w:rPr>
              <w:t>3</w:t>
            </w:r>
            <w:r w:rsidRPr="00473282">
              <w:rPr>
                <w:rFonts w:ascii="Arial" w:hAnsi="Arial" w:cs="Arial"/>
                <w:b/>
                <w:sz w:val="22"/>
                <w:szCs w:val="22"/>
              </w:rPr>
              <w:t>)</w:t>
            </w:r>
            <w:r w:rsidRPr="00473282" w:rsidDel="00F01C34">
              <w:rPr>
                <w:rFonts w:ascii="Arial" w:hAnsi="Arial" w:cs="Arial"/>
                <w:b/>
                <w:sz w:val="22"/>
                <w:szCs w:val="22"/>
              </w:rPr>
              <w:t xml:space="preserve"> </w:t>
            </w:r>
          </w:p>
        </w:tc>
        <w:tc>
          <w:tcPr>
            <w:tcW w:w="626" w:type="pct"/>
            <w:tcBorders>
              <w:bottom w:val="single" w:sz="4" w:space="0" w:color="auto"/>
            </w:tcBorders>
          </w:tcPr>
          <w:p w14:paraId="55E97104" w14:textId="497150C9" w:rsidR="00B81DAF" w:rsidRPr="00473282" w:rsidRDefault="00B81DAF" w:rsidP="00B81DAF">
            <w:pPr>
              <w:jc w:val="right"/>
              <w:rPr>
                <w:rFonts w:ascii="Arial" w:hAnsi="Arial" w:cs="Arial"/>
                <w:bCs/>
                <w:sz w:val="22"/>
                <w:szCs w:val="22"/>
              </w:rPr>
            </w:pPr>
            <w:r w:rsidRPr="00473282">
              <w:rPr>
                <w:rFonts w:ascii="Arial" w:hAnsi="Arial" w:cs="Arial"/>
                <w:bCs/>
                <w:sz w:val="22"/>
                <w:szCs w:val="22"/>
              </w:rPr>
              <w:t>(</w:t>
            </w:r>
            <w:r w:rsidR="00473282">
              <w:rPr>
                <w:rFonts w:ascii="Arial" w:hAnsi="Arial" w:cs="Arial"/>
                <w:bCs/>
                <w:sz w:val="22"/>
                <w:szCs w:val="22"/>
              </w:rPr>
              <w:t>87</w:t>
            </w:r>
            <w:r w:rsidRPr="00473282">
              <w:rPr>
                <w:rFonts w:ascii="Arial" w:hAnsi="Arial" w:cs="Arial"/>
                <w:bCs/>
                <w:sz w:val="22"/>
                <w:szCs w:val="22"/>
              </w:rPr>
              <w:t>)</w:t>
            </w:r>
            <w:r w:rsidRPr="00473282" w:rsidDel="00F01C34">
              <w:rPr>
                <w:rFonts w:ascii="Arial" w:hAnsi="Arial" w:cs="Arial"/>
                <w:bCs/>
                <w:sz w:val="22"/>
                <w:szCs w:val="22"/>
              </w:rPr>
              <w:t xml:space="preserve"> </w:t>
            </w:r>
          </w:p>
        </w:tc>
        <w:tc>
          <w:tcPr>
            <w:tcW w:w="773" w:type="pct"/>
            <w:tcBorders>
              <w:bottom w:val="single" w:sz="4" w:space="0" w:color="auto"/>
            </w:tcBorders>
          </w:tcPr>
          <w:p w14:paraId="77A17F2A" w14:textId="5C3F766D" w:rsidR="00B81DAF" w:rsidRPr="00473282" w:rsidRDefault="00B81DAF" w:rsidP="00B81DAF">
            <w:pPr>
              <w:jc w:val="right"/>
              <w:rPr>
                <w:rFonts w:ascii="Arial" w:hAnsi="Arial" w:cs="Arial"/>
                <w:sz w:val="22"/>
                <w:szCs w:val="22"/>
              </w:rPr>
            </w:pPr>
          </w:p>
        </w:tc>
      </w:tr>
      <w:tr w:rsidR="00B81DAF" w:rsidRPr="00473282" w14:paraId="0C9EDA56" w14:textId="77777777" w:rsidTr="00CC0C89">
        <w:tc>
          <w:tcPr>
            <w:tcW w:w="2966" w:type="pct"/>
            <w:tcBorders>
              <w:top w:val="single" w:sz="4" w:space="0" w:color="auto"/>
            </w:tcBorders>
          </w:tcPr>
          <w:p w14:paraId="1949EDDF" w14:textId="77777777" w:rsidR="00B81DAF" w:rsidRPr="00473282" w:rsidRDefault="00B81DAF" w:rsidP="00B81DAF">
            <w:pPr>
              <w:jc w:val="left"/>
              <w:rPr>
                <w:rFonts w:ascii="Arial" w:hAnsi="Arial" w:cs="Arial"/>
                <w:b/>
                <w:sz w:val="22"/>
                <w:szCs w:val="24"/>
              </w:rPr>
            </w:pPr>
            <w:r w:rsidRPr="00473282">
              <w:rPr>
                <w:rFonts w:ascii="Arial" w:hAnsi="Arial" w:cs="Arial"/>
                <w:b/>
                <w:sz w:val="22"/>
                <w:szCs w:val="24"/>
              </w:rPr>
              <w:t>Underlying pre-tax profit</w:t>
            </w:r>
          </w:p>
        </w:tc>
        <w:tc>
          <w:tcPr>
            <w:tcW w:w="635" w:type="pct"/>
            <w:tcBorders>
              <w:top w:val="single" w:sz="4" w:space="0" w:color="auto"/>
            </w:tcBorders>
          </w:tcPr>
          <w:p w14:paraId="44374F9D" w14:textId="729D9775" w:rsidR="00B81DAF" w:rsidRPr="00473282" w:rsidRDefault="00B81DAF" w:rsidP="00B81DAF">
            <w:pPr>
              <w:jc w:val="right"/>
              <w:rPr>
                <w:rFonts w:ascii="Arial" w:hAnsi="Arial" w:cs="Arial"/>
                <w:b/>
                <w:sz w:val="22"/>
                <w:szCs w:val="22"/>
              </w:rPr>
            </w:pPr>
            <w:r w:rsidRPr="00473282">
              <w:rPr>
                <w:rFonts w:ascii="Arial" w:hAnsi="Arial" w:cs="Arial"/>
                <w:b/>
                <w:sz w:val="22"/>
                <w:szCs w:val="22"/>
              </w:rPr>
              <w:t>3</w:t>
            </w:r>
            <w:r w:rsidR="00473282">
              <w:rPr>
                <w:rFonts w:ascii="Arial" w:hAnsi="Arial" w:cs="Arial"/>
                <w:b/>
                <w:sz w:val="22"/>
                <w:szCs w:val="22"/>
              </w:rPr>
              <w:t>5</w:t>
            </w:r>
            <w:r w:rsidR="00365C0E">
              <w:rPr>
                <w:rFonts w:ascii="Arial" w:hAnsi="Arial" w:cs="Arial"/>
                <w:b/>
                <w:sz w:val="22"/>
                <w:szCs w:val="22"/>
              </w:rPr>
              <w:t>3</w:t>
            </w:r>
          </w:p>
        </w:tc>
        <w:tc>
          <w:tcPr>
            <w:tcW w:w="626" w:type="pct"/>
            <w:tcBorders>
              <w:top w:val="single" w:sz="4" w:space="0" w:color="auto"/>
            </w:tcBorders>
          </w:tcPr>
          <w:p w14:paraId="18F61E71" w14:textId="582BA6A0" w:rsidR="00B81DAF" w:rsidRPr="00473282" w:rsidRDefault="00B81DAF" w:rsidP="00B81DAF">
            <w:pPr>
              <w:jc w:val="right"/>
              <w:rPr>
                <w:rFonts w:ascii="Arial" w:hAnsi="Arial" w:cs="Arial"/>
                <w:bCs/>
                <w:sz w:val="22"/>
                <w:szCs w:val="22"/>
              </w:rPr>
            </w:pPr>
            <w:r w:rsidRPr="00473282">
              <w:rPr>
                <w:rFonts w:ascii="Arial" w:hAnsi="Arial" w:cs="Arial"/>
                <w:bCs/>
                <w:sz w:val="22"/>
                <w:szCs w:val="22"/>
              </w:rPr>
              <w:t>37</w:t>
            </w:r>
            <w:r w:rsidR="00473282">
              <w:rPr>
                <w:rFonts w:ascii="Arial" w:hAnsi="Arial" w:cs="Arial"/>
                <w:bCs/>
                <w:sz w:val="22"/>
                <w:szCs w:val="22"/>
              </w:rPr>
              <w:t>7</w:t>
            </w:r>
          </w:p>
        </w:tc>
        <w:tc>
          <w:tcPr>
            <w:tcW w:w="773" w:type="pct"/>
            <w:tcBorders>
              <w:top w:val="single" w:sz="4" w:space="0" w:color="auto"/>
            </w:tcBorders>
          </w:tcPr>
          <w:p w14:paraId="34FA97D0" w14:textId="22C85120" w:rsidR="00B81DAF" w:rsidRPr="00473282" w:rsidRDefault="00B81DAF" w:rsidP="00B81DAF">
            <w:pPr>
              <w:jc w:val="right"/>
              <w:rPr>
                <w:rFonts w:ascii="Arial" w:hAnsi="Arial" w:cs="Arial"/>
                <w:sz w:val="22"/>
                <w:szCs w:val="22"/>
              </w:rPr>
            </w:pPr>
            <w:r w:rsidRPr="00473282">
              <w:rPr>
                <w:rFonts w:ascii="Arial" w:hAnsi="Arial" w:cs="Arial"/>
                <w:sz w:val="22"/>
                <w:szCs w:val="22"/>
              </w:rPr>
              <w:t>(</w:t>
            </w:r>
            <w:r w:rsidR="00473282">
              <w:rPr>
                <w:rFonts w:ascii="Arial" w:hAnsi="Arial" w:cs="Arial"/>
                <w:sz w:val="22"/>
                <w:szCs w:val="22"/>
              </w:rPr>
              <w:t>6</w:t>
            </w:r>
            <w:r w:rsidRPr="00473282">
              <w:rPr>
                <w:rFonts w:ascii="Arial" w:hAnsi="Arial" w:cs="Arial"/>
                <w:sz w:val="22"/>
                <w:szCs w:val="22"/>
              </w:rPr>
              <w:t>.</w:t>
            </w:r>
            <w:r w:rsidR="00365C0E">
              <w:rPr>
                <w:rFonts w:ascii="Arial" w:hAnsi="Arial" w:cs="Arial"/>
                <w:sz w:val="22"/>
                <w:szCs w:val="22"/>
              </w:rPr>
              <w:t>4</w:t>
            </w:r>
            <w:r w:rsidRPr="00473282">
              <w:rPr>
                <w:rFonts w:ascii="Arial" w:hAnsi="Arial" w:cs="Arial"/>
                <w:sz w:val="22"/>
                <w:szCs w:val="22"/>
              </w:rPr>
              <w:t>)%</w:t>
            </w:r>
            <w:r w:rsidRPr="00473282" w:rsidDel="00265815">
              <w:rPr>
                <w:rFonts w:ascii="Arial" w:hAnsi="Arial" w:cs="Arial"/>
                <w:sz w:val="22"/>
                <w:szCs w:val="22"/>
              </w:rPr>
              <w:t xml:space="preserve"> </w:t>
            </w:r>
          </w:p>
        </w:tc>
      </w:tr>
      <w:tr w:rsidR="00B81DAF" w:rsidRPr="00473282" w14:paraId="7DE42D16" w14:textId="77777777" w:rsidTr="00CC0C89">
        <w:tc>
          <w:tcPr>
            <w:tcW w:w="2966" w:type="pct"/>
          </w:tcPr>
          <w:p w14:paraId="452ACB91" w14:textId="24D6D3C3" w:rsidR="00B81DAF" w:rsidRPr="00473282" w:rsidRDefault="00B81DAF" w:rsidP="00B81DAF">
            <w:pPr>
              <w:jc w:val="left"/>
              <w:rPr>
                <w:rFonts w:ascii="Arial" w:hAnsi="Arial" w:cs="Arial"/>
                <w:sz w:val="22"/>
                <w:szCs w:val="24"/>
              </w:rPr>
            </w:pPr>
            <w:r w:rsidRPr="00473282">
              <w:rPr>
                <w:rFonts w:ascii="Arial" w:hAnsi="Arial" w:cs="Arial"/>
                <w:sz w:val="22"/>
                <w:szCs w:val="24"/>
              </w:rPr>
              <w:t>Transformation P&amp;L costs</w:t>
            </w:r>
          </w:p>
        </w:tc>
        <w:tc>
          <w:tcPr>
            <w:tcW w:w="635" w:type="pct"/>
          </w:tcPr>
          <w:p w14:paraId="15D0479B" w14:textId="7FCA99E0" w:rsidR="00B81DAF" w:rsidRPr="00473282" w:rsidRDefault="00B81DAF" w:rsidP="00B81DAF">
            <w:pPr>
              <w:jc w:val="right"/>
              <w:rPr>
                <w:rFonts w:ascii="Arial" w:hAnsi="Arial" w:cs="Arial"/>
                <w:b/>
                <w:sz w:val="22"/>
                <w:szCs w:val="22"/>
              </w:rPr>
            </w:pPr>
            <w:r w:rsidRPr="00473282">
              <w:rPr>
                <w:rFonts w:ascii="Arial" w:hAnsi="Arial" w:cs="Arial"/>
                <w:b/>
                <w:sz w:val="22"/>
                <w:szCs w:val="22"/>
              </w:rPr>
              <w:t>(</w:t>
            </w:r>
            <w:r w:rsidR="00834778" w:rsidRPr="00473282">
              <w:rPr>
                <w:rFonts w:ascii="Arial" w:hAnsi="Arial" w:cs="Arial"/>
                <w:b/>
                <w:sz w:val="22"/>
                <w:szCs w:val="22"/>
              </w:rPr>
              <w:t>16</w:t>
            </w:r>
            <w:r w:rsidRPr="00473282">
              <w:rPr>
                <w:rFonts w:ascii="Arial" w:hAnsi="Arial" w:cs="Arial"/>
                <w:b/>
                <w:sz w:val="22"/>
                <w:szCs w:val="22"/>
              </w:rPr>
              <w:t>)</w:t>
            </w:r>
          </w:p>
        </w:tc>
        <w:tc>
          <w:tcPr>
            <w:tcW w:w="626" w:type="pct"/>
          </w:tcPr>
          <w:p w14:paraId="7257B52F" w14:textId="22F4C5F5" w:rsidR="00B81DAF" w:rsidRPr="00473282" w:rsidRDefault="00B81DAF" w:rsidP="00B81DAF">
            <w:pPr>
              <w:jc w:val="right"/>
              <w:rPr>
                <w:rFonts w:ascii="Arial" w:hAnsi="Arial" w:cs="Arial"/>
                <w:bCs/>
                <w:sz w:val="22"/>
                <w:szCs w:val="22"/>
              </w:rPr>
            </w:pPr>
            <w:r w:rsidRPr="00473282">
              <w:rPr>
                <w:rFonts w:ascii="Arial" w:hAnsi="Arial" w:cs="Arial"/>
                <w:bCs/>
                <w:sz w:val="22"/>
                <w:szCs w:val="22"/>
              </w:rPr>
              <w:t>(52)</w:t>
            </w:r>
          </w:p>
        </w:tc>
        <w:tc>
          <w:tcPr>
            <w:tcW w:w="773" w:type="pct"/>
          </w:tcPr>
          <w:p w14:paraId="29CECEE7" w14:textId="25228376" w:rsidR="00B81DAF" w:rsidRPr="00473282" w:rsidRDefault="00B81DAF" w:rsidP="00B81DAF">
            <w:pPr>
              <w:jc w:val="right"/>
              <w:rPr>
                <w:rFonts w:ascii="Arial" w:hAnsi="Arial" w:cs="Arial"/>
                <w:sz w:val="22"/>
                <w:szCs w:val="22"/>
              </w:rPr>
            </w:pPr>
            <w:r w:rsidRPr="00473282" w:rsidDel="00265815">
              <w:rPr>
                <w:rFonts w:ascii="Arial" w:hAnsi="Arial" w:cs="Arial"/>
                <w:sz w:val="22"/>
                <w:szCs w:val="22"/>
              </w:rPr>
              <w:t xml:space="preserve"> </w:t>
            </w:r>
          </w:p>
        </w:tc>
      </w:tr>
      <w:tr w:rsidR="00B81DAF" w:rsidRPr="00473282" w14:paraId="671D16CD" w14:textId="77777777" w:rsidTr="001D0E4C">
        <w:tc>
          <w:tcPr>
            <w:tcW w:w="2966" w:type="pct"/>
            <w:tcBorders>
              <w:top w:val="single" w:sz="4" w:space="0" w:color="auto"/>
            </w:tcBorders>
          </w:tcPr>
          <w:p w14:paraId="35A29589" w14:textId="77777777" w:rsidR="00B81DAF" w:rsidRPr="00473282" w:rsidRDefault="00B81DAF" w:rsidP="00B81DAF">
            <w:pPr>
              <w:jc w:val="left"/>
              <w:rPr>
                <w:rFonts w:ascii="Arial" w:hAnsi="Arial" w:cs="Arial"/>
                <w:b/>
                <w:sz w:val="22"/>
                <w:szCs w:val="24"/>
              </w:rPr>
            </w:pPr>
            <w:r w:rsidRPr="00473282">
              <w:rPr>
                <w:rFonts w:ascii="Arial" w:hAnsi="Arial" w:cs="Arial"/>
                <w:b/>
                <w:sz w:val="22"/>
                <w:szCs w:val="24"/>
              </w:rPr>
              <w:t>Adjusted pre-tax profit</w:t>
            </w:r>
          </w:p>
        </w:tc>
        <w:tc>
          <w:tcPr>
            <w:tcW w:w="635" w:type="pct"/>
            <w:tcBorders>
              <w:top w:val="single" w:sz="4" w:space="0" w:color="auto"/>
            </w:tcBorders>
          </w:tcPr>
          <w:p w14:paraId="394F7C04" w14:textId="2F9EC1FA" w:rsidR="00B81DAF" w:rsidRPr="00473282" w:rsidRDefault="00B81DAF" w:rsidP="00B81DAF">
            <w:pPr>
              <w:jc w:val="right"/>
              <w:rPr>
                <w:rFonts w:ascii="Arial" w:hAnsi="Arial" w:cs="Arial"/>
                <w:b/>
                <w:sz w:val="22"/>
                <w:szCs w:val="22"/>
              </w:rPr>
            </w:pPr>
            <w:r w:rsidRPr="00473282">
              <w:rPr>
                <w:rFonts w:ascii="Arial" w:hAnsi="Arial" w:cs="Arial"/>
                <w:b/>
                <w:sz w:val="22"/>
                <w:szCs w:val="22"/>
              </w:rPr>
              <w:t>3</w:t>
            </w:r>
            <w:r w:rsidR="00473282">
              <w:rPr>
                <w:rFonts w:ascii="Arial" w:hAnsi="Arial" w:cs="Arial"/>
                <w:b/>
                <w:sz w:val="22"/>
                <w:szCs w:val="22"/>
              </w:rPr>
              <w:t>3</w:t>
            </w:r>
            <w:r w:rsidR="00365C0E">
              <w:rPr>
                <w:rFonts w:ascii="Arial" w:hAnsi="Arial" w:cs="Arial"/>
                <w:b/>
                <w:sz w:val="22"/>
                <w:szCs w:val="22"/>
              </w:rPr>
              <w:t>7</w:t>
            </w:r>
          </w:p>
        </w:tc>
        <w:tc>
          <w:tcPr>
            <w:tcW w:w="626" w:type="pct"/>
            <w:tcBorders>
              <w:top w:val="single" w:sz="4" w:space="0" w:color="auto"/>
            </w:tcBorders>
          </w:tcPr>
          <w:p w14:paraId="395577BA" w14:textId="23439723" w:rsidR="00B81DAF" w:rsidRPr="00473282" w:rsidRDefault="00B81DAF" w:rsidP="00B81DAF">
            <w:pPr>
              <w:jc w:val="right"/>
              <w:rPr>
                <w:rFonts w:ascii="Arial" w:hAnsi="Arial" w:cs="Arial"/>
                <w:bCs/>
                <w:sz w:val="22"/>
                <w:szCs w:val="22"/>
              </w:rPr>
            </w:pPr>
            <w:r w:rsidRPr="00473282">
              <w:rPr>
                <w:rFonts w:ascii="Arial" w:hAnsi="Arial" w:cs="Arial"/>
                <w:bCs/>
                <w:sz w:val="22"/>
                <w:szCs w:val="22"/>
              </w:rPr>
              <w:t>32</w:t>
            </w:r>
            <w:r w:rsidR="00473282">
              <w:rPr>
                <w:rFonts w:ascii="Arial" w:hAnsi="Arial" w:cs="Arial"/>
                <w:bCs/>
                <w:sz w:val="22"/>
                <w:szCs w:val="22"/>
              </w:rPr>
              <w:t>5</w:t>
            </w:r>
          </w:p>
        </w:tc>
        <w:tc>
          <w:tcPr>
            <w:tcW w:w="773" w:type="pct"/>
            <w:tcBorders>
              <w:top w:val="single" w:sz="4" w:space="0" w:color="auto"/>
            </w:tcBorders>
          </w:tcPr>
          <w:p w14:paraId="1EDEDEFB" w14:textId="343C0A13" w:rsidR="00B81DAF" w:rsidRPr="00473282" w:rsidRDefault="00B7253B" w:rsidP="00B81DAF">
            <w:pPr>
              <w:jc w:val="right"/>
              <w:rPr>
                <w:rFonts w:ascii="Arial" w:hAnsi="Arial" w:cs="Arial"/>
                <w:sz w:val="22"/>
                <w:szCs w:val="22"/>
              </w:rPr>
            </w:pPr>
            <w:r>
              <w:rPr>
                <w:rFonts w:ascii="Arial" w:hAnsi="Arial" w:cs="Arial"/>
                <w:sz w:val="22"/>
                <w:szCs w:val="22"/>
              </w:rPr>
              <w:t>+</w:t>
            </w:r>
            <w:r w:rsidR="00365C0E">
              <w:rPr>
                <w:rFonts w:ascii="Arial" w:hAnsi="Arial" w:cs="Arial"/>
                <w:sz w:val="22"/>
                <w:szCs w:val="22"/>
              </w:rPr>
              <w:t>3.7</w:t>
            </w:r>
            <w:r w:rsidR="00B81DAF" w:rsidRPr="00473282">
              <w:rPr>
                <w:rFonts w:ascii="Arial" w:hAnsi="Arial" w:cs="Arial"/>
                <w:sz w:val="22"/>
                <w:szCs w:val="22"/>
              </w:rPr>
              <w:t>%</w:t>
            </w:r>
            <w:r w:rsidR="00B81DAF" w:rsidRPr="00473282" w:rsidDel="00265815">
              <w:rPr>
                <w:rFonts w:ascii="Arial" w:hAnsi="Arial" w:cs="Arial"/>
                <w:sz w:val="22"/>
                <w:szCs w:val="22"/>
              </w:rPr>
              <w:t xml:space="preserve"> </w:t>
            </w:r>
          </w:p>
        </w:tc>
      </w:tr>
      <w:tr w:rsidR="001D0E4C" w:rsidRPr="00473282" w14:paraId="2272A624" w14:textId="77777777" w:rsidTr="001D0E4C">
        <w:tc>
          <w:tcPr>
            <w:tcW w:w="2966" w:type="pct"/>
          </w:tcPr>
          <w:p w14:paraId="2B358F60" w14:textId="709BDAA9" w:rsidR="001D0E4C" w:rsidRPr="00473282" w:rsidRDefault="001D0E4C" w:rsidP="001D0E4C">
            <w:pPr>
              <w:jc w:val="left"/>
              <w:rPr>
                <w:rFonts w:ascii="Arial" w:hAnsi="Arial" w:cs="Arial"/>
                <w:szCs w:val="24"/>
              </w:rPr>
            </w:pPr>
            <w:r w:rsidRPr="00473282">
              <w:rPr>
                <w:rFonts w:ascii="Arial" w:hAnsi="Arial" w:cs="Arial"/>
                <w:sz w:val="22"/>
                <w:szCs w:val="24"/>
              </w:rPr>
              <w:t>Exceptional items before tax</w:t>
            </w:r>
          </w:p>
        </w:tc>
        <w:tc>
          <w:tcPr>
            <w:tcW w:w="635" w:type="pct"/>
          </w:tcPr>
          <w:p w14:paraId="40CA139E" w14:textId="5FBB2BD8" w:rsidR="001D0E4C" w:rsidRPr="001D0E4C" w:rsidRDefault="001D0E4C" w:rsidP="001D0E4C">
            <w:pPr>
              <w:jc w:val="right"/>
              <w:rPr>
                <w:rFonts w:ascii="Arial" w:hAnsi="Arial" w:cs="Arial"/>
                <w:b/>
              </w:rPr>
            </w:pPr>
            <w:r w:rsidRPr="001D0E4C">
              <w:rPr>
                <w:rFonts w:ascii="Arial" w:hAnsi="Arial" w:cs="Arial"/>
                <w:b/>
                <w:sz w:val="22"/>
                <w:szCs w:val="22"/>
              </w:rPr>
              <w:t>(93)</w:t>
            </w:r>
          </w:p>
        </w:tc>
        <w:tc>
          <w:tcPr>
            <w:tcW w:w="626" w:type="pct"/>
          </w:tcPr>
          <w:p w14:paraId="235F61A7" w14:textId="21FF1B8A" w:rsidR="001D0E4C" w:rsidRPr="001D0E4C" w:rsidRDefault="001D0E4C" w:rsidP="001D0E4C">
            <w:pPr>
              <w:jc w:val="right"/>
              <w:rPr>
                <w:rFonts w:ascii="Arial" w:hAnsi="Arial" w:cs="Arial"/>
                <w:bCs/>
              </w:rPr>
            </w:pPr>
            <w:r w:rsidRPr="001D0E4C">
              <w:rPr>
                <w:rFonts w:ascii="Arial" w:hAnsi="Arial" w:cs="Arial"/>
                <w:bCs/>
                <w:sz w:val="22"/>
                <w:szCs w:val="22"/>
              </w:rPr>
              <w:t>(42)</w:t>
            </w:r>
          </w:p>
        </w:tc>
        <w:tc>
          <w:tcPr>
            <w:tcW w:w="773" w:type="pct"/>
          </w:tcPr>
          <w:p w14:paraId="1D320190" w14:textId="77777777" w:rsidR="001D0E4C" w:rsidRPr="00473282" w:rsidRDefault="001D0E4C" w:rsidP="001D0E4C">
            <w:pPr>
              <w:jc w:val="right"/>
              <w:rPr>
                <w:rFonts w:ascii="Arial" w:hAnsi="Arial" w:cs="Arial"/>
              </w:rPr>
            </w:pPr>
          </w:p>
        </w:tc>
      </w:tr>
      <w:tr w:rsidR="001D0E4C" w:rsidRPr="00473282" w14:paraId="42A29D60" w14:textId="77777777" w:rsidTr="00CC0C89">
        <w:tc>
          <w:tcPr>
            <w:tcW w:w="2966" w:type="pct"/>
            <w:tcBorders>
              <w:bottom w:val="single" w:sz="4" w:space="0" w:color="auto"/>
            </w:tcBorders>
          </w:tcPr>
          <w:p w14:paraId="1149ADF8" w14:textId="2B484995" w:rsidR="001D0E4C" w:rsidRPr="00473282" w:rsidRDefault="001D0E4C" w:rsidP="001D0E4C">
            <w:pPr>
              <w:jc w:val="left"/>
              <w:rPr>
                <w:rFonts w:ascii="Arial" w:hAnsi="Arial" w:cs="Arial"/>
                <w:sz w:val="22"/>
                <w:szCs w:val="24"/>
              </w:rPr>
            </w:pPr>
            <w:r w:rsidRPr="001D0E4C">
              <w:rPr>
                <w:rFonts w:ascii="Arial" w:hAnsi="Arial" w:cs="Arial"/>
                <w:sz w:val="22"/>
                <w:szCs w:val="24"/>
              </w:rPr>
              <w:t>Exchange gains/(losses) on lease liabilities</w:t>
            </w:r>
            <w:r w:rsidR="00B7253B">
              <w:rPr>
                <w:rFonts w:ascii="Arial" w:hAnsi="Arial" w:cs="Arial"/>
                <w:sz w:val="22"/>
                <w:szCs w:val="24"/>
              </w:rPr>
              <w:t xml:space="preserve"> (lease FX)</w:t>
            </w:r>
          </w:p>
        </w:tc>
        <w:tc>
          <w:tcPr>
            <w:tcW w:w="635" w:type="pct"/>
            <w:tcBorders>
              <w:bottom w:val="single" w:sz="4" w:space="0" w:color="auto"/>
            </w:tcBorders>
          </w:tcPr>
          <w:p w14:paraId="52A3C2B5" w14:textId="0C995246" w:rsidR="001D0E4C" w:rsidRPr="001D0E4C" w:rsidRDefault="001D0E4C" w:rsidP="001D0E4C">
            <w:pPr>
              <w:jc w:val="right"/>
              <w:rPr>
                <w:rFonts w:ascii="Arial" w:hAnsi="Arial" w:cs="Arial"/>
                <w:b/>
                <w:sz w:val="22"/>
                <w:szCs w:val="22"/>
              </w:rPr>
            </w:pPr>
            <w:r w:rsidRPr="001D0E4C">
              <w:rPr>
                <w:rFonts w:ascii="Arial" w:hAnsi="Arial" w:cs="Arial"/>
                <w:b/>
                <w:sz w:val="22"/>
                <w:szCs w:val="22"/>
              </w:rPr>
              <w:t>1</w:t>
            </w:r>
          </w:p>
        </w:tc>
        <w:tc>
          <w:tcPr>
            <w:tcW w:w="626" w:type="pct"/>
            <w:tcBorders>
              <w:bottom w:val="single" w:sz="4" w:space="0" w:color="auto"/>
            </w:tcBorders>
          </w:tcPr>
          <w:p w14:paraId="6F717BC2" w14:textId="50C35F9D" w:rsidR="001D0E4C" w:rsidRPr="001D0E4C" w:rsidRDefault="001D0E4C" w:rsidP="001D0E4C">
            <w:pPr>
              <w:jc w:val="right"/>
              <w:rPr>
                <w:rFonts w:ascii="Arial" w:hAnsi="Arial" w:cs="Arial"/>
                <w:bCs/>
                <w:sz w:val="22"/>
                <w:szCs w:val="22"/>
              </w:rPr>
            </w:pPr>
            <w:r w:rsidRPr="001D0E4C">
              <w:rPr>
                <w:rFonts w:ascii="Arial" w:hAnsi="Arial" w:cs="Arial"/>
                <w:bCs/>
                <w:sz w:val="22"/>
                <w:szCs w:val="22"/>
              </w:rPr>
              <w:t>(3)</w:t>
            </w:r>
          </w:p>
        </w:tc>
        <w:tc>
          <w:tcPr>
            <w:tcW w:w="773" w:type="pct"/>
            <w:tcBorders>
              <w:bottom w:val="single" w:sz="4" w:space="0" w:color="auto"/>
            </w:tcBorders>
          </w:tcPr>
          <w:p w14:paraId="6FA5B1CB" w14:textId="1DBDB62D" w:rsidR="001D0E4C" w:rsidRPr="00473282" w:rsidRDefault="001D0E4C" w:rsidP="001D0E4C">
            <w:pPr>
              <w:jc w:val="right"/>
              <w:rPr>
                <w:rFonts w:ascii="Arial" w:hAnsi="Arial" w:cs="Arial"/>
                <w:sz w:val="22"/>
                <w:szCs w:val="22"/>
              </w:rPr>
            </w:pPr>
          </w:p>
        </w:tc>
      </w:tr>
      <w:tr w:rsidR="001D0E4C" w:rsidRPr="00473282" w14:paraId="462B2B03" w14:textId="77777777" w:rsidTr="001003E6">
        <w:trPr>
          <w:trHeight w:val="306"/>
        </w:trPr>
        <w:tc>
          <w:tcPr>
            <w:tcW w:w="2966" w:type="pct"/>
            <w:tcBorders>
              <w:top w:val="single" w:sz="4" w:space="0" w:color="auto"/>
              <w:bottom w:val="single" w:sz="4" w:space="0" w:color="auto"/>
            </w:tcBorders>
          </w:tcPr>
          <w:p w14:paraId="737C439D" w14:textId="77777777" w:rsidR="001D0E4C" w:rsidRPr="00473282" w:rsidRDefault="001D0E4C" w:rsidP="001D0E4C">
            <w:pPr>
              <w:jc w:val="left"/>
              <w:rPr>
                <w:rFonts w:ascii="Arial" w:hAnsi="Arial" w:cs="Arial"/>
                <w:b/>
                <w:sz w:val="22"/>
                <w:szCs w:val="24"/>
              </w:rPr>
            </w:pPr>
            <w:r w:rsidRPr="00473282">
              <w:rPr>
                <w:rFonts w:ascii="Arial" w:hAnsi="Arial" w:cs="Arial"/>
                <w:b/>
                <w:sz w:val="22"/>
                <w:szCs w:val="24"/>
              </w:rPr>
              <w:t>Statutory pre-tax profit</w:t>
            </w:r>
          </w:p>
        </w:tc>
        <w:tc>
          <w:tcPr>
            <w:tcW w:w="635" w:type="pct"/>
            <w:tcBorders>
              <w:top w:val="single" w:sz="4" w:space="0" w:color="auto"/>
              <w:bottom w:val="single" w:sz="4" w:space="0" w:color="auto"/>
            </w:tcBorders>
          </w:tcPr>
          <w:p w14:paraId="013AD2C7" w14:textId="7E5B51AA" w:rsidR="001D0E4C" w:rsidRPr="001D0E4C" w:rsidRDefault="001D0E4C" w:rsidP="001D0E4C">
            <w:pPr>
              <w:jc w:val="right"/>
              <w:rPr>
                <w:rFonts w:ascii="Arial" w:hAnsi="Arial" w:cs="Arial"/>
                <w:b/>
                <w:sz w:val="22"/>
                <w:szCs w:val="22"/>
              </w:rPr>
            </w:pPr>
            <w:r w:rsidRPr="001D0E4C">
              <w:rPr>
                <w:rFonts w:ascii="Arial" w:hAnsi="Arial" w:cs="Arial"/>
                <w:b/>
                <w:sz w:val="22"/>
                <w:szCs w:val="22"/>
              </w:rPr>
              <w:t>24</w:t>
            </w:r>
            <w:r w:rsidR="00365C0E">
              <w:rPr>
                <w:rFonts w:ascii="Arial" w:hAnsi="Arial" w:cs="Arial"/>
                <w:b/>
                <w:sz w:val="22"/>
                <w:szCs w:val="22"/>
              </w:rPr>
              <w:t>5</w:t>
            </w:r>
          </w:p>
        </w:tc>
        <w:tc>
          <w:tcPr>
            <w:tcW w:w="626" w:type="pct"/>
            <w:tcBorders>
              <w:top w:val="single" w:sz="4" w:space="0" w:color="auto"/>
              <w:bottom w:val="single" w:sz="4" w:space="0" w:color="auto"/>
            </w:tcBorders>
          </w:tcPr>
          <w:p w14:paraId="48B4CFC5" w14:textId="4E94957A" w:rsidR="001D0E4C" w:rsidRPr="001D0E4C" w:rsidRDefault="001D0E4C" w:rsidP="001D0E4C">
            <w:pPr>
              <w:jc w:val="right"/>
              <w:rPr>
                <w:rFonts w:ascii="Arial" w:hAnsi="Arial" w:cs="Arial"/>
                <w:bCs/>
                <w:sz w:val="22"/>
                <w:szCs w:val="22"/>
              </w:rPr>
            </w:pPr>
            <w:r w:rsidRPr="001D0E4C">
              <w:rPr>
                <w:rFonts w:ascii="Arial" w:hAnsi="Arial" w:cs="Arial"/>
                <w:bCs/>
                <w:sz w:val="22"/>
                <w:szCs w:val="22"/>
              </w:rPr>
              <w:t>280</w:t>
            </w:r>
          </w:p>
        </w:tc>
        <w:tc>
          <w:tcPr>
            <w:tcW w:w="773" w:type="pct"/>
            <w:tcBorders>
              <w:top w:val="single" w:sz="4" w:space="0" w:color="auto"/>
              <w:bottom w:val="single" w:sz="4" w:space="0" w:color="auto"/>
            </w:tcBorders>
          </w:tcPr>
          <w:p w14:paraId="5B938A3D" w14:textId="1058F400" w:rsidR="001D0E4C" w:rsidRPr="00473282" w:rsidRDefault="001D0E4C" w:rsidP="001D0E4C">
            <w:pPr>
              <w:jc w:val="right"/>
              <w:rPr>
                <w:rFonts w:ascii="Arial" w:hAnsi="Arial" w:cs="Arial"/>
                <w:sz w:val="22"/>
                <w:szCs w:val="22"/>
              </w:rPr>
            </w:pPr>
            <w:r w:rsidRPr="00473282">
              <w:rPr>
                <w:rFonts w:ascii="Arial" w:hAnsi="Arial" w:cs="Arial"/>
                <w:sz w:val="22"/>
                <w:szCs w:val="22"/>
              </w:rPr>
              <w:t>(</w:t>
            </w:r>
            <w:r>
              <w:rPr>
                <w:rFonts w:ascii="Arial" w:hAnsi="Arial" w:cs="Arial"/>
                <w:sz w:val="22"/>
                <w:szCs w:val="22"/>
              </w:rPr>
              <w:t>12</w:t>
            </w:r>
            <w:r w:rsidRPr="00473282">
              <w:rPr>
                <w:rFonts w:ascii="Arial" w:hAnsi="Arial" w:cs="Arial"/>
                <w:sz w:val="22"/>
                <w:szCs w:val="22"/>
              </w:rPr>
              <w:t>.</w:t>
            </w:r>
            <w:r w:rsidR="00365C0E">
              <w:rPr>
                <w:rFonts w:ascii="Arial" w:hAnsi="Arial" w:cs="Arial"/>
                <w:sz w:val="22"/>
                <w:szCs w:val="22"/>
              </w:rPr>
              <w:t>5</w:t>
            </w:r>
            <w:r w:rsidRPr="00473282">
              <w:rPr>
                <w:rFonts w:ascii="Arial" w:hAnsi="Arial" w:cs="Arial"/>
                <w:sz w:val="22"/>
                <w:szCs w:val="22"/>
              </w:rPr>
              <w:t>)%</w:t>
            </w:r>
            <w:r w:rsidRPr="00473282" w:rsidDel="00265815">
              <w:rPr>
                <w:rFonts w:ascii="Arial" w:hAnsi="Arial" w:cs="Arial"/>
                <w:sz w:val="22"/>
                <w:szCs w:val="22"/>
              </w:rPr>
              <w:t xml:space="preserve"> </w:t>
            </w:r>
          </w:p>
        </w:tc>
      </w:tr>
    </w:tbl>
    <w:p w14:paraId="1AC74C81" w14:textId="41C46DF6" w:rsidR="001D0E4C" w:rsidRPr="000A7229" w:rsidRDefault="001D0E4C" w:rsidP="001D0E4C">
      <w:pPr>
        <w:jc w:val="left"/>
        <w:rPr>
          <w:rFonts w:ascii="Arial" w:hAnsi="Arial" w:cs="Arial"/>
          <w:sz w:val="18"/>
          <w:szCs w:val="20"/>
        </w:rPr>
      </w:pPr>
      <w:r w:rsidRPr="009F71DB">
        <w:rPr>
          <w:rFonts w:ascii="Arial" w:hAnsi="Arial"/>
          <w:sz w:val="18"/>
        </w:rPr>
        <w:t xml:space="preserve">(1) </w:t>
      </w:r>
      <w:r w:rsidRPr="001F6BC5">
        <w:rPr>
          <w:rFonts w:ascii="Arial" w:hAnsi="Arial" w:cs="Arial"/>
          <w:sz w:val="18"/>
        </w:rPr>
        <w:t>Excludes exchange differences relating to translation of leases denominated in non-functional currencies (e.g. USD</w:t>
      </w:r>
      <w:r>
        <w:rPr>
          <w:rFonts w:ascii="Arial" w:hAnsi="Arial" w:cs="Arial"/>
          <w:sz w:val="18"/>
          <w:szCs w:val="20"/>
        </w:rPr>
        <w:t xml:space="preserve"> </w:t>
      </w:r>
      <w:r w:rsidRPr="000A7229">
        <w:rPr>
          <w:rFonts w:ascii="Arial" w:hAnsi="Arial" w:cs="Arial"/>
          <w:sz w:val="18"/>
          <w:szCs w:val="20"/>
        </w:rPr>
        <w:t>leases in Russia)</w:t>
      </w:r>
    </w:p>
    <w:p w14:paraId="613DCBFB" w14:textId="42EEFE62" w:rsidR="001D0E4C" w:rsidRDefault="001D0E4C" w:rsidP="00D40749">
      <w:pPr>
        <w:jc w:val="left"/>
        <w:rPr>
          <w:rFonts w:ascii="Arial" w:hAnsi="Arial" w:cs="Arial"/>
          <w:szCs w:val="24"/>
        </w:rPr>
      </w:pPr>
    </w:p>
    <w:p w14:paraId="65A1CCF7" w14:textId="4C630E4F" w:rsidR="00E423C3" w:rsidRPr="002110D5" w:rsidRDefault="00E423C3" w:rsidP="00D40749">
      <w:pPr>
        <w:jc w:val="left"/>
        <w:rPr>
          <w:rFonts w:ascii="Arial" w:hAnsi="Arial" w:cs="Arial"/>
          <w:b/>
          <w:bCs/>
          <w:szCs w:val="24"/>
        </w:rPr>
      </w:pPr>
      <w:r w:rsidRPr="002110D5">
        <w:rPr>
          <w:rFonts w:ascii="Arial" w:hAnsi="Arial" w:cs="Arial"/>
          <w:b/>
          <w:bCs/>
          <w:szCs w:val="24"/>
        </w:rPr>
        <w:t xml:space="preserve">Net finance costs </w:t>
      </w:r>
      <w:r w:rsidRPr="002110D5">
        <w:rPr>
          <w:rFonts w:ascii="Arial" w:hAnsi="Arial" w:cs="Arial"/>
          <w:szCs w:val="24"/>
        </w:rPr>
        <w:t>of £83 million (</w:t>
      </w:r>
      <w:r>
        <w:rPr>
          <w:rFonts w:ascii="Arial" w:hAnsi="Arial" w:cs="Arial"/>
          <w:szCs w:val="24"/>
        </w:rPr>
        <w:t>2018/19: £87 million) principally includes interest on IFRS 16 lease liabilities.</w:t>
      </w:r>
    </w:p>
    <w:p w14:paraId="5B423334" w14:textId="77777777" w:rsidR="00E423C3" w:rsidRPr="00473282" w:rsidRDefault="00E423C3" w:rsidP="00D40749">
      <w:pPr>
        <w:jc w:val="left"/>
        <w:rPr>
          <w:rFonts w:ascii="Arial" w:hAnsi="Arial" w:cs="Arial"/>
          <w:szCs w:val="24"/>
        </w:rPr>
      </w:pPr>
    </w:p>
    <w:p w14:paraId="182BC80E" w14:textId="21019B50" w:rsidR="005B7D1A" w:rsidRPr="00473282" w:rsidRDefault="005B7D1A" w:rsidP="005B7D1A">
      <w:pPr>
        <w:jc w:val="left"/>
        <w:rPr>
          <w:rFonts w:ascii="Arial" w:hAnsi="Arial" w:cs="Arial"/>
        </w:rPr>
      </w:pPr>
      <w:bookmarkStart w:id="42" w:name="_Hlk19275789"/>
      <w:r w:rsidRPr="009F71DB">
        <w:rPr>
          <w:rFonts w:ascii="Arial" w:hAnsi="Arial"/>
          <w:b/>
        </w:rPr>
        <w:t>Transformation P&amp;L costs</w:t>
      </w:r>
      <w:r w:rsidR="000D19B0">
        <w:rPr>
          <w:rFonts w:ascii="Arial" w:hAnsi="Arial" w:cs="Arial"/>
        </w:rPr>
        <w:t>, which</w:t>
      </w:r>
      <w:r w:rsidRPr="00473282">
        <w:rPr>
          <w:rFonts w:ascii="Arial" w:hAnsi="Arial" w:cs="Arial"/>
        </w:rPr>
        <w:t xml:space="preserve"> </w:t>
      </w:r>
      <w:r w:rsidR="00CF18B9">
        <w:rPr>
          <w:rFonts w:ascii="Arial" w:hAnsi="Arial" w:cs="Arial"/>
        </w:rPr>
        <w:t xml:space="preserve">includes </w:t>
      </w:r>
      <w:r w:rsidR="00CF18B9" w:rsidRPr="00473282">
        <w:rPr>
          <w:rFonts w:ascii="Arial" w:hAnsi="Arial" w:cs="Arial"/>
        </w:rPr>
        <w:t xml:space="preserve">digital </w:t>
      </w:r>
      <w:r w:rsidR="00CF18B9">
        <w:rPr>
          <w:rFonts w:ascii="Arial" w:hAnsi="Arial" w:cs="Arial"/>
        </w:rPr>
        <w:t>transformation initiatives</w:t>
      </w:r>
      <w:r w:rsidR="00CF18B9" w:rsidRPr="00473282">
        <w:rPr>
          <w:rFonts w:ascii="Arial" w:hAnsi="Arial" w:cs="Arial"/>
        </w:rPr>
        <w:t xml:space="preserve"> </w:t>
      </w:r>
      <w:r w:rsidR="00CF18B9">
        <w:rPr>
          <w:rFonts w:ascii="Arial" w:hAnsi="Arial" w:cs="Arial"/>
        </w:rPr>
        <w:t xml:space="preserve">and </w:t>
      </w:r>
      <w:r w:rsidRPr="00473282">
        <w:rPr>
          <w:rFonts w:ascii="Arial" w:hAnsi="Arial" w:cs="Arial"/>
        </w:rPr>
        <w:t xml:space="preserve">unified </w:t>
      </w:r>
      <w:r w:rsidR="000D19B0">
        <w:rPr>
          <w:rFonts w:ascii="Arial" w:hAnsi="Arial" w:cs="Arial"/>
        </w:rPr>
        <w:t xml:space="preserve">&amp; </w:t>
      </w:r>
      <w:r w:rsidRPr="00473282">
        <w:rPr>
          <w:rFonts w:ascii="Arial" w:hAnsi="Arial" w:cs="Arial"/>
        </w:rPr>
        <w:t>unique offer range implementation</w:t>
      </w:r>
      <w:r w:rsidR="000D19B0">
        <w:rPr>
          <w:rFonts w:ascii="Arial" w:hAnsi="Arial" w:cs="Arial"/>
        </w:rPr>
        <w:t xml:space="preserve">, </w:t>
      </w:r>
      <w:r w:rsidR="004F3958">
        <w:rPr>
          <w:rFonts w:ascii="Arial" w:hAnsi="Arial" w:cs="Arial"/>
        </w:rPr>
        <w:t>were</w:t>
      </w:r>
      <w:r w:rsidR="000D19B0">
        <w:rPr>
          <w:rFonts w:ascii="Arial" w:hAnsi="Arial" w:cs="Arial"/>
        </w:rPr>
        <w:t xml:space="preserve"> £16</w:t>
      </w:r>
      <w:r w:rsidR="000D19B0" w:rsidRPr="009F71DB">
        <w:rPr>
          <w:rFonts w:ascii="Arial" w:hAnsi="Arial"/>
        </w:rPr>
        <w:t xml:space="preserve"> million </w:t>
      </w:r>
      <w:r w:rsidR="000D19B0">
        <w:rPr>
          <w:rFonts w:ascii="Arial" w:hAnsi="Arial" w:cs="Arial"/>
        </w:rPr>
        <w:t>in the period</w:t>
      </w:r>
      <w:r w:rsidR="004F3958">
        <w:rPr>
          <w:rFonts w:ascii="Arial" w:hAnsi="Arial" w:cs="Arial"/>
        </w:rPr>
        <w:t xml:space="preserve">. </w:t>
      </w:r>
      <w:r w:rsidR="00164C17" w:rsidRPr="00164C17">
        <w:rPr>
          <w:rFonts w:ascii="Arial" w:hAnsi="Arial" w:cs="Arial"/>
        </w:rPr>
        <w:t>The reduction is as anticipated, and reflects change processes for unified ranges now being largely embedded into the business.</w:t>
      </w:r>
      <w:r w:rsidR="00927EA2">
        <w:rPr>
          <w:rFonts w:ascii="Arial" w:hAnsi="Arial" w:cs="Arial"/>
        </w:rPr>
        <w:t xml:space="preserve"> </w:t>
      </w:r>
      <w:r w:rsidRPr="00473282">
        <w:rPr>
          <w:rFonts w:ascii="Arial" w:hAnsi="Arial" w:cs="Arial"/>
        </w:rPr>
        <w:t xml:space="preserve">Range implementation activities principally comprise remerchandising work associated with introducing the unified </w:t>
      </w:r>
      <w:r w:rsidR="00AF6299">
        <w:rPr>
          <w:rFonts w:ascii="Arial" w:hAnsi="Arial" w:cs="Arial"/>
        </w:rPr>
        <w:t xml:space="preserve">&amp; </w:t>
      </w:r>
      <w:r w:rsidRPr="00473282">
        <w:rPr>
          <w:rFonts w:ascii="Arial" w:hAnsi="Arial" w:cs="Arial"/>
        </w:rPr>
        <w:t>unique offer</w:t>
      </w:r>
      <w:r w:rsidR="005B7D08" w:rsidRPr="00473282">
        <w:rPr>
          <w:rFonts w:ascii="Arial" w:hAnsi="Arial" w:cs="Arial"/>
        </w:rPr>
        <w:t xml:space="preserve">, </w:t>
      </w:r>
      <w:r w:rsidRPr="00473282">
        <w:rPr>
          <w:rFonts w:ascii="Arial" w:hAnsi="Arial" w:cs="Arial"/>
        </w:rPr>
        <w:t xml:space="preserve">incremental in-store labour costs and point of sale change. Digital transformation </w:t>
      </w:r>
      <w:r w:rsidR="00E65458" w:rsidRPr="00473282">
        <w:rPr>
          <w:rFonts w:ascii="Arial" w:hAnsi="Arial" w:cs="Arial"/>
        </w:rPr>
        <w:t xml:space="preserve">P&amp;L </w:t>
      </w:r>
      <w:r w:rsidRPr="00473282">
        <w:rPr>
          <w:rFonts w:ascii="Arial" w:hAnsi="Arial" w:cs="Arial"/>
        </w:rPr>
        <w:t>costs represent the initial revenue expenditure of investing in developing wider digital services to support customers’ home improvement projects.</w:t>
      </w:r>
    </w:p>
    <w:bookmarkEnd w:id="42"/>
    <w:p w14:paraId="275EE811" w14:textId="77777777" w:rsidR="00F90A06" w:rsidRPr="00C16392" w:rsidRDefault="00F90A06" w:rsidP="00773A54">
      <w:pPr>
        <w:rPr>
          <w:rFonts w:ascii="Arial" w:hAnsi="Arial" w:cs="Arial"/>
          <w:szCs w:val="24"/>
          <w:highlight w:val="yellow"/>
        </w:rPr>
      </w:pPr>
    </w:p>
    <w:p w14:paraId="2AD6E969" w14:textId="48FAA1EB" w:rsidR="00773A54" w:rsidRPr="002B4883" w:rsidRDefault="00773A54" w:rsidP="00773A54">
      <w:pPr>
        <w:jc w:val="left"/>
        <w:rPr>
          <w:rFonts w:ascii="Arial" w:hAnsi="Arial" w:cs="Arial"/>
          <w:szCs w:val="24"/>
        </w:rPr>
      </w:pPr>
      <w:r w:rsidRPr="002B4883">
        <w:rPr>
          <w:rFonts w:ascii="Arial" w:hAnsi="Arial" w:cs="Arial"/>
          <w:b/>
          <w:szCs w:val="24"/>
        </w:rPr>
        <w:t>Exceptional items</w:t>
      </w:r>
      <w:r w:rsidRPr="002B4883">
        <w:rPr>
          <w:rFonts w:ascii="Arial" w:hAnsi="Arial" w:cs="Arial"/>
          <w:szCs w:val="24"/>
        </w:rPr>
        <w:t xml:space="preserve"> (post</w:t>
      </w:r>
      <w:r w:rsidR="00E65458" w:rsidRPr="002B4883">
        <w:rPr>
          <w:rFonts w:ascii="Arial" w:hAnsi="Arial" w:cs="Arial"/>
          <w:szCs w:val="24"/>
        </w:rPr>
        <w:t>-</w:t>
      </w:r>
      <w:r w:rsidRPr="002B4883">
        <w:rPr>
          <w:rFonts w:ascii="Arial" w:hAnsi="Arial" w:cs="Arial"/>
          <w:szCs w:val="24"/>
        </w:rPr>
        <w:t>tax) were a</w:t>
      </w:r>
      <w:r w:rsidR="004D0E9F" w:rsidRPr="002B4883">
        <w:rPr>
          <w:rFonts w:ascii="Arial" w:hAnsi="Arial" w:cs="Arial"/>
          <w:szCs w:val="24"/>
        </w:rPr>
        <w:t xml:space="preserve"> net</w:t>
      </w:r>
      <w:r w:rsidRPr="002B4883">
        <w:rPr>
          <w:rFonts w:ascii="Arial" w:hAnsi="Arial" w:cs="Arial"/>
          <w:szCs w:val="24"/>
        </w:rPr>
        <w:t xml:space="preserve"> </w:t>
      </w:r>
      <w:r w:rsidR="005B7D1A" w:rsidRPr="002B4883">
        <w:rPr>
          <w:rFonts w:ascii="Arial" w:hAnsi="Arial" w:cs="Arial"/>
          <w:szCs w:val="24"/>
        </w:rPr>
        <w:t>charge</w:t>
      </w:r>
      <w:r w:rsidRPr="002B4883">
        <w:rPr>
          <w:rFonts w:ascii="Arial" w:hAnsi="Arial" w:cs="Arial"/>
          <w:szCs w:val="24"/>
        </w:rPr>
        <w:t xml:space="preserve"> of £</w:t>
      </w:r>
      <w:r w:rsidR="00AF141B">
        <w:rPr>
          <w:rFonts w:ascii="Arial" w:hAnsi="Arial" w:cs="Arial"/>
          <w:szCs w:val="24"/>
        </w:rPr>
        <w:t>74</w:t>
      </w:r>
      <w:r w:rsidR="0072765C" w:rsidRPr="002B4883">
        <w:rPr>
          <w:rFonts w:ascii="Arial" w:hAnsi="Arial" w:cs="Arial"/>
          <w:szCs w:val="24"/>
        </w:rPr>
        <w:t xml:space="preserve"> </w:t>
      </w:r>
      <w:r w:rsidRPr="002B4883">
        <w:rPr>
          <w:rFonts w:ascii="Arial" w:hAnsi="Arial" w:cs="Arial"/>
          <w:szCs w:val="24"/>
        </w:rPr>
        <w:t>million (201</w:t>
      </w:r>
      <w:r w:rsidR="00834778" w:rsidRPr="002B4883">
        <w:rPr>
          <w:rFonts w:ascii="Arial" w:hAnsi="Arial" w:cs="Arial"/>
          <w:szCs w:val="24"/>
        </w:rPr>
        <w:t>8</w:t>
      </w:r>
      <w:r w:rsidRPr="002B4883">
        <w:rPr>
          <w:rFonts w:ascii="Arial" w:hAnsi="Arial" w:cs="Arial"/>
          <w:szCs w:val="24"/>
        </w:rPr>
        <w:t>/1</w:t>
      </w:r>
      <w:r w:rsidR="00834778" w:rsidRPr="002B4883">
        <w:rPr>
          <w:rFonts w:ascii="Arial" w:hAnsi="Arial" w:cs="Arial"/>
          <w:szCs w:val="24"/>
        </w:rPr>
        <w:t>9</w:t>
      </w:r>
      <w:r w:rsidRPr="002B4883">
        <w:rPr>
          <w:rFonts w:ascii="Arial" w:hAnsi="Arial" w:cs="Arial"/>
          <w:szCs w:val="24"/>
        </w:rPr>
        <w:t>: £</w:t>
      </w:r>
      <w:r w:rsidR="00834778" w:rsidRPr="002B4883">
        <w:rPr>
          <w:rFonts w:ascii="Arial" w:hAnsi="Arial" w:cs="Arial"/>
          <w:szCs w:val="24"/>
        </w:rPr>
        <w:t>29</w:t>
      </w:r>
      <w:r w:rsidRPr="002B4883">
        <w:rPr>
          <w:rFonts w:ascii="Arial" w:hAnsi="Arial" w:cs="Arial"/>
          <w:szCs w:val="24"/>
        </w:rPr>
        <w:t xml:space="preserve"> million </w:t>
      </w:r>
      <w:r w:rsidR="00834778" w:rsidRPr="002B4883">
        <w:rPr>
          <w:rFonts w:ascii="Arial" w:hAnsi="Arial" w:cs="Arial"/>
          <w:szCs w:val="24"/>
        </w:rPr>
        <w:t>charge</w:t>
      </w:r>
      <w:r w:rsidRPr="002B4883">
        <w:rPr>
          <w:rFonts w:ascii="Arial" w:hAnsi="Arial" w:cs="Arial"/>
          <w:szCs w:val="24"/>
        </w:rPr>
        <w:t>) as detailed below:</w:t>
      </w:r>
    </w:p>
    <w:tbl>
      <w:tblPr>
        <w:tblW w:w="5001" w:type="pct"/>
        <w:tblLook w:val="04A0" w:firstRow="1" w:lastRow="0" w:firstColumn="1" w:lastColumn="0" w:noHBand="0" w:noVBand="1"/>
      </w:tblPr>
      <w:tblGrid>
        <w:gridCol w:w="6101"/>
        <w:gridCol w:w="1926"/>
        <w:gridCol w:w="1842"/>
      </w:tblGrid>
      <w:tr w:rsidR="00773A54" w:rsidRPr="002B4883" w14:paraId="2ACE9812" w14:textId="77777777" w:rsidTr="00DB3649">
        <w:trPr>
          <w:trHeight w:val="525"/>
        </w:trPr>
        <w:tc>
          <w:tcPr>
            <w:tcW w:w="3091" w:type="pct"/>
            <w:tcBorders>
              <w:top w:val="nil"/>
              <w:left w:val="nil"/>
              <w:bottom w:val="single" w:sz="4" w:space="0" w:color="auto"/>
              <w:right w:val="nil"/>
            </w:tcBorders>
            <w:vAlign w:val="bottom"/>
          </w:tcPr>
          <w:p w14:paraId="11C5258F" w14:textId="77777777" w:rsidR="00773A54" w:rsidRPr="002B4883" w:rsidRDefault="00773A54" w:rsidP="00907EA8">
            <w:pPr>
              <w:jc w:val="left"/>
              <w:rPr>
                <w:rFonts w:ascii="Arial" w:hAnsi="Arial" w:cs="Arial"/>
                <w:bCs/>
                <w:szCs w:val="24"/>
              </w:rPr>
            </w:pPr>
          </w:p>
        </w:tc>
        <w:tc>
          <w:tcPr>
            <w:tcW w:w="976" w:type="pct"/>
            <w:tcBorders>
              <w:top w:val="nil"/>
              <w:left w:val="nil"/>
              <w:bottom w:val="single" w:sz="4" w:space="0" w:color="auto"/>
              <w:right w:val="nil"/>
            </w:tcBorders>
            <w:vAlign w:val="bottom"/>
            <w:hideMark/>
          </w:tcPr>
          <w:p w14:paraId="533E8C34" w14:textId="5ECD8A7D" w:rsidR="00773A54" w:rsidRPr="002B4883" w:rsidRDefault="00773A54" w:rsidP="00907EA8">
            <w:pPr>
              <w:jc w:val="right"/>
              <w:rPr>
                <w:rFonts w:ascii="Arial" w:hAnsi="Arial" w:cs="Arial"/>
                <w:b/>
                <w:bCs/>
                <w:szCs w:val="24"/>
              </w:rPr>
            </w:pPr>
            <w:r w:rsidRPr="002B4883">
              <w:rPr>
                <w:rFonts w:ascii="Arial" w:hAnsi="Arial" w:cs="Arial"/>
                <w:b/>
                <w:bCs/>
                <w:szCs w:val="24"/>
              </w:rPr>
              <w:t>201</w:t>
            </w:r>
            <w:r w:rsidR="00B81DAF" w:rsidRPr="002B4883">
              <w:rPr>
                <w:rFonts w:ascii="Arial" w:hAnsi="Arial" w:cs="Arial"/>
                <w:b/>
                <w:bCs/>
                <w:szCs w:val="24"/>
              </w:rPr>
              <w:t>9</w:t>
            </w:r>
            <w:r w:rsidRPr="002B4883">
              <w:rPr>
                <w:rFonts w:ascii="Arial" w:hAnsi="Arial" w:cs="Arial"/>
                <w:b/>
                <w:bCs/>
                <w:szCs w:val="24"/>
              </w:rPr>
              <w:t>/</w:t>
            </w:r>
            <w:r w:rsidR="00B81DAF" w:rsidRPr="002B4883">
              <w:rPr>
                <w:rFonts w:ascii="Arial" w:hAnsi="Arial" w:cs="Arial"/>
                <w:b/>
                <w:bCs/>
                <w:szCs w:val="24"/>
              </w:rPr>
              <w:t>20</w:t>
            </w:r>
          </w:p>
          <w:p w14:paraId="038EA889" w14:textId="409AD9D7" w:rsidR="00773A54" w:rsidRPr="002B4883" w:rsidRDefault="00773A54">
            <w:pPr>
              <w:jc w:val="right"/>
              <w:rPr>
                <w:rFonts w:ascii="Arial" w:hAnsi="Arial" w:cs="Arial"/>
                <w:b/>
                <w:bCs/>
                <w:szCs w:val="24"/>
              </w:rPr>
            </w:pPr>
            <w:r w:rsidRPr="002B4883">
              <w:rPr>
                <w:rFonts w:ascii="Arial" w:hAnsi="Arial" w:cs="Arial"/>
                <w:b/>
                <w:bCs/>
                <w:szCs w:val="24"/>
              </w:rPr>
              <w:t>£m</w:t>
            </w:r>
          </w:p>
        </w:tc>
        <w:tc>
          <w:tcPr>
            <w:tcW w:w="933" w:type="pct"/>
            <w:tcBorders>
              <w:top w:val="nil"/>
              <w:left w:val="nil"/>
              <w:bottom w:val="single" w:sz="4" w:space="0" w:color="auto"/>
              <w:right w:val="nil"/>
            </w:tcBorders>
            <w:vAlign w:val="bottom"/>
            <w:hideMark/>
          </w:tcPr>
          <w:p w14:paraId="12E43EE7" w14:textId="33693BAB" w:rsidR="00773A54" w:rsidRPr="002B4883" w:rsidRDefault="00773A54" w:rsidP="00907EA8">
            <w:pPr>
              <w:jc w:val="right"/>
              <w:rPr>
                <w:rFonts w:ascii="Arial" w:hAnsi="Arial" w:cs="Arial"/>
                <w:bCs/>
                <w:szCs w:val="24"/>
              </w:rPr>
            </w:pPr>
            <w:r w:rsidRPr="002B4883">
              <w:rPr>
                <w:rFonts w:ascii="Arial" w:hAnsi="Arial" w:cs="Arial"/>
                <w:bCs/>
                <w:szCs w:val="24"/>
              </w:rPr>
              <w:t>201</w:t>
            </w:r>
            <w:r w:rsidR="00B81DAF" w:rsidRPr="002B4883">
              <w:rPr>
                <w:rFonts w:ascii="Arial" w:hAnsi="Arial" w:cs="Arial"/>
                <w:bCs/>
                <w:szCs w:val="24"/>
              </w:rPr>
              <w:t>8</w:t>
            </w:r>
            <w:r w:rsidRPr="002B4883">
              <w:rPr>
                <w:rFonts w:ascii="Arial" w:hAnsi="Arial" w:cs="Arial"/>
                <w:bCs/>
                <w:szCs w:val="24"/>
              </w:rPr>
              <w:t>/1</w:t>
            </w:r>
            <w:r w:rsidR="00B81DAF" w:rsidRPr="002B4883">
              <w:rPr>
                <w:rFonts w:ascii="Arial" w:hAnsi="Arial" w:cs="Arial"/>
                <w:bCs/>
                <w:szCs w:val="24"/>
              </w:rPr>
              <w:t>9</w:t>
            </w:r>
          </w:p>
          <w:p w14:paraId="1BBFDEAF" w14:textId="1ADD463F" w:rsidR="00773A54" w:rsidRPr="002B4883" w:rsidRDefault="00773A54">
            <w:pPr>
              <w:jc w:val="right"/>
              <w:rPr>
                <w:rFonts w:ascii="Arial" w:hAnsi="Arial" w:cs="Arial"/>
                <w:bCs/>
                <w:szCs w:val="24"/>
              </w:rPr>
            </w:pPr>
            <w:r w:rsidRPr="002B4883">
              <w:rPr>
                <w:rFonts w:ascii="Arial" w:hAnsi="Arial" w:cs="Arial"/>
                <w:bCs/>
                <w:szCs w:val="24"/>
              </w:rPr>
              <w:t>£m</w:t>
            </w:r>
          </w:p>
        </w:tc>
      </w:tr>
      <w:tr w:rsidR="00B81DAF" w:rsidRPr="00F5686A" w14:paraId="38DD5C0E" w14:textId="77777777" w:rsidTr="00DB3649">
        <w:trPr>
          <w:trHeight w:val="254"/>
        </w:trPr>
        <w:tc>
          <w:tcPr>
            <w:tcW w:w="3091" w:type="pct"/>
            <w:vAlign w:val="bottom"/>
          </w:tcPr>
          <w:p w14:paraId="653126C5" w14:textId="58587106" w:rsidR="00B81DAF" w:rsidRPr="00F5686A" w:rsidRDefault="00B81DAF" w:rsidP="00B81DAF">
            <w:pPr>
              <w:rPr>
                <w:rFonts w:ascii="Arial" w:hAnsi="Arial" w:cs="Arial"/>
                <w:szCs w:val="24"/>
              </w:rPr>
            </w:pPr>
            <w:r w:rsidRPr="00F5686A">
              <w:rPr>
                <w:rFonts w:ascii="Arial" w:hAnsi="Arial" w:cs="Arial"/>
                <w:szCs w:val="24"/>
              </w:rPr>
              <w:t>Transformation exceptional costs</w:t>
            </w:r>
          </w:p>
        </w:tc>
        <w:tc>
          <w:tcPr>
            <w:tcW w:w="976" w:type="pct"/>
            <w:vAlign w:val="bottom"/>
          </w:tcPr>
          <w:p w14:paraId="29A93EDE" w14:textId="0A74E9C9" w:rsidR="00B81DAF" w:rsidRPr="00F5686A" w:rsidRDefault="002D7FD6" w:rsidP="00B81DAF">
            <w:pPr>
              <w:jc w:val="right"/>
              <w:rPr>
                <w:rFonts w:ascii="Arial" w:hAnsi="Arial" w:cs="Arial"/>
                <w:b/>
                <w:szCs w:val="24"/>
              </w:rPr>
            </w:pPr>
            <w:r w:rsidRPr="00F5686A">
              <w:rPr>
                <w:rFonts w:ascii="Arial" w:hAnsi="Arial" w:cs="Arial"/>
                <w:b/>
                <w:szCs w:val="24"/>
              </w:rPr>
              <w:t>-</w:t>
            </w:r>
          </w:p>
        </w:tc>
        <w:tc>
          <w:tcPr>
            <w:tcW w:w="933" w:type="pct"/>
            <w:vAlign w:val="bottom"/>
          </w:tcPr>
          <w:p w14:paraId="5CDD8252" w14:textId="43B1DEB9" w:rsidR="00B81DAF" w:rsidRPr="00F5686A" w:rsidRDefault="00B81DAF" w:rsidP="00B81DAF">
            <w:pPr>
              <w:jc w:val="right"/>
              <w:rPr>
                <w:rFonts w:ascii="Arial" w:hAnsi="Arial" w:cs="Arial"/>
                <w:bCs/>
                <w:szCs w:val="24"/>
              </w:rPr>
            </w:pPr>
            <w:r w:rsidRPr="00F5686A">
              <w:rPr>
                <w:rFonts w:ascii="Arial" w:hAnsi="Arial" w:cs="Arial"/>
                <w:bCs/>
                <w:szCs w:val="24"/>
              </w:rPr>
              <w:t>(46)</w:t>
            </w:r>
          </w:p>
        </w:tc>
      </w:tr>
      <w:tr w:rsidR="00B81DAF" w:rsidRPr="00F5686A" w14:paraId="2F27DB64" w14:textId="77777777" w:rsidTr="00DB3649">
        <w:trPr>
          <w:trHeight w:val="254"/>
        </w:trPr>
        <w:tc>
          <w:tcPr>
            <w:tcW w:w="3091" w:type="pct"/>
            <w:vAlign w:val="bottom"/>
            <w:hideMark/>
          </w:tcPr>
          <w:p w14:paraId="1F215DE1" w14:textId="4B9A5598" w:rsidR="00B81DAF" w:rsidRPr="00F5686A" w:rsidRDefault="000D19B0" w:rsidP="00B81DAF">
            <w:pPr>
              <w:rPr>
                <w:rFonts w:ascii="Arial" w:hAnsi="Arial" w:cs="Arial"/>
                <w:szCs w:val="24"/>
              </w:rPr>
            </w:pPr>
            <w:r>
              <w:rPr>
                <w:rFonts w:ascii="Arial" w:hAnsi="Arial" w:cs="Arial"/>
                <w:szCs w:val="24"/>
              </w:rPr>
              <w:t>S</w:t>
            </w:r>
            <w:r w:rsidR="002D7FD6" w:rsidRPr="00F5686A">
              <w:rPr>
                <w:rFonts w:ascii="Arial" w:hAnsi="Arial" w:cs="Arial"/>
                <w:szCs w:val="24"/>
              </w:rPr>
              <w:t>tore closures</w:t>
            </w:r>
          </w:p>
        </w:tc>
        <w:tc>
          <w:tcPr>
            <w:tcW w:w="976" w:type="pct"/>
            <w:vAlign w:val="bottom"/>
            <w:hideMark/>
          </w:tcPr>
          <w:p w14:paraId="5E1B3D94" w14:textId="04713846" w:rsidR="00B81DAF" w:rsidRPr="00F5686A" w:rsidRDefault="002D7FD6" w:rsidP="00B81DAF">
            <w:pPr>
              <w:jc w:val="right"/>
              <w:rPr>
                <w:rFonts w:ascii="Arial" w:hAnsi="Arial" w:cs="Arial"/>
                <w:b/>
                <w:szCs w:val="24"/>
              </w:rPr>
            </w:pPr>
            <w:r w:rsidRPr="00F5686A">
              <w:rPr>
                <w:rFonts w:ascii="Arial" w:hAnsi="Arial" w:cs="Arial"/>
                <w:b/>
                <w:szCs w:val="24"/>
              </w:rPr>
              <w:t>(68)</w:t>
            </w:r>
          </w:p>
        </w:tc>
        <w:tc>
          <w:tcPr>
            <w:tcW w:w="933" w:type="pct"/>
            <w:vAlign w:val="bottom"/>
            <w:hideMark/>
          </w:tcPr>
          <w:p w14:paraId="5616437C" w14:textId="1878EF8B" w:rsidR="00B81DAF" w:rsidRPr="00F5686A" w:rsidRDefault="00B81DAF" w:rsidP="00B81DAF">
            <w:pPr>
              <w:jc w:val="right"/>
              <w:rPr>
                <w:rFonts w:ascii="Arial" w:hAnsi="Arial" w:cs="Arial"/>
                <w:bCs/>
                <w:szCs w:val="24"/>
              </w:rPr>
            </w:pPr>
            <w:r w:rsidRPr="00F5686A">
              <w:rPr>
                <w:rFonts w:ascii="Arial" w:hAnsi="Arial" w:cs="Arial"/>
                <w:bCs/>
                <w:szCs w:val="24"/>
              </w:rPr>
              <w:t>4</w:t>
            </w:r>
          </w:p>
        </w:tc>
      </w:tr>
      <w:tr w:rsidR="00F5686A" w:rsidRPr="00F5686A" w14:paraId="5741A754" w14:textId="77777777" w:rsidTr="00DB3649">
        <w:trPr>
          <w:trHeight w:val="254"/>
        </w:trPr>
        <w:tc>
          <w:tcPr>
            <w:tcW w:w="3091" w:type="pct"/>
            <w:vAlign w:val="bottom"/>
          </w:tcPr>
          <w:p w14:paraId="19A5E7D5" w14:textId="2707500F" w:rsidR="00F5686A" w:rsidRPr="000D19B0" w:rsidRDefault="00F5686A" w:rsidP="00B81DAF">
            <w:pPr>
              <w:rPr>
                <w:rFonts w:ascii="Arial" w:hAnsi="Arial" w:cs="Arial"/>
                <w:szCs w:val="24"/>
              </w:rPr>
            </w:pPr>
            <w:r w:rsidRPr="009F71DB">
              <w:rPr>
                <w:rFonts w:ascii="Arial" w:hAnsi="Arial"/>
              </w:rPr>
              <w:t>Russia &amp; Iberia</w:t>
            </w:r>
            <w:r w:rsidRPr="000D19B0">
              <w:rPr>
                <w:rFonts w:ascii="Arial" w:hAnsi="Arial" w:cs="Arial"/>
                <w:szCs w:val="24"/>
              </w:rPr>
              <w:t xml:space="preserve"> </w:t>
            </w:r>
          </w:p>
        </w:tc>
        <w:tc>
          <w:tcPr>
            <w:tcW w:w="976" w:type="pct"/>
            <w:vAlign w:val="bottom"/>
          </w:tcPr>
          <w:p w14:paraId="0CBB95D9" w14:textId="45EE3869" w:rsidR="00F5686A" w:rsidRPr="00A21DE5" w:rsidRDefault="00F5686A" w:rsidP="00B81DAF">
            <w:pPr>
              <w:jc w:val="right"/>
              <w:rPr>
                <w:rFonts w:ascii="Arial" w:hAnsi="Arial" w:cs="Arial"/>
                <w:b/>
                <w:szCs w:val="24"/>
              </w:rPr>
            </w:pPr>
            <w:r w:rsidRPr="00A21DE5">
              <w:rPr>
                <w:rFonts w:ascii="Arial" w:hAnsi="Arial" w:cs="Arial"/>
                <w:b/>
                <w:szCs w:val="24"/>
              </w:rPr>
              <w:t>(26)</w:t>
            </w:r>
          </w:p>
        </w:tc>
        <w:tc>
          <w:tcPr>
            <w:tcW w:w="933" w:type="pct"/>
            <w:vAlign w:val="bottom"/>
          </w:tcPr>
          <w:p w14:paraId="1370538B" w14:textId="6386D424" w:rsidR="00F5686A" w:rsidRPr="00F5686A" w:rsidRDefault="00F02D73" w:rsidP="00B81DAF">
            <w:pPr>
              <w:jc w:val="right"/>
              <w:rPr>
                <w:rFonts w:ascii="Arial" w:hAnsi="Arial" w:cs="Arial"/>
                <w:bCs/>
                <w:szCs w:val="24"/>
              </w:rPr>
            </w:pPr>
            <w:r w:rsidRPr="007D269D">
              <w:rPr>
                <w:rFonts w:ascii="Arial" w:hAnsi="Arial" w:cs="Arial"/>
                <w:bCs/>
                <w:szCs w:val="24"/>
              </w:rPr>
              <w:t>-</w:t>
            </w:r>
          </w:p>
        </w:tc>
      </w:tr>
      <w:tr w:rsidR="00F5686A" w:rsidRPr="00F5686A" w14:paraId="4807640D" w14:textId="77777777" w:rsidTr="00DB3649">
        <w:trPr>
          <w:trHeight w:val="254"/>
        </w:trPr>
        <w:tc>
          <w:tcPr>
            <w:tcW w:w="3091" w:type="pct"/>
            <w:vAlign w:val="bottom"/>
          </w:tcPr>
          <w:p w14:paraId="14C1D910" w14:textId="7AD278FD" w:rsidR="00F5686A" w:rsidRDefault="000D19B0" w:rsidP="00B81DAF">
            <w:pPr>
              <w:rPr>
                <w:rFonts w:ascii="Arial" w:hAnsi="Arial" w:cs="Arial"/>
                <w:szCs w:val="24"/>
              </w:rPr>
            </w:pPr>
            <w:r>
              <w:rPr>
                <w:rFonts w:ascii="Arial" w:hAnsi="Arial" w:cs="Arial"/>
                <w:szCs w:val="24"/>
              </w:rPr>
              <w:t xml:space="preserve">Gain </w:t>
            </w:r>
            <w:r w:rsidR="00AF141B">
              <w:rPr>
                <w:rFonts w:ascii="Arial" w:hAnsi="Arial" w:cs="Arial"/>
                <w:szCs w:val="24"/>
              </w:rPr>
              <w:t>on disposal of properties</w:t>
            </w:r>
          </w:p>
        </w:tc>
        <w:tc>
          <w:tcPr>
            <w:tcW w:w="976" w:type="pct"/>
            <w:vAlign w:val="bottom"/>
          </w:tcPr>
          <w:p w14:paraId="6BB10A62" w14:textId="0069951D" w:rsidR="00F5686A" w:rsidRDefault="00AF141B" w:rsidP="00B81DAF">
            <w:pPr>
              <w:jc w:val="right"/>
              <w:rPr>
                <w:rFonts w:ascii="Arial" w:hAnsi="Arial" w:cs="Arial"/>
                <w:b/>
                <w:szCs w:val="24"/>
              </w:rPr>
            </w:pPr>
            <w:r>
              <w:rPr>
                <w:rFonts w:ascii="Arial" w:hAnsi="Arial" w:cs="Arial"/>
                <w:b/>
                <w:szCs w:val="24"/>
              </w:rPr>
              <w:t>1</w:t>
            </w:r>
          </w:p>
        </w:tc>
        <w:tc>
          <w:tcPr>
            <w:tcW w:w="933" w:type="pct"/>
            <w:vAlign w:val="bottom"/>
          </w:tcPr>
          <w:p w14:paraId="01E84E10" w14:textId="4685549A" w:rsidR="00F5686A" w:rsidRPr="00F5686A" w:rsidRDefault="00F02D73" w:rsidP="00B81DAF">
            <w:pPr>
              <w:jc w:val="right"/>
              <w:rPr>
                <w:rFonts w:ascii="Arial" w:hAnsi="Arial" w:cs="Arial"/>
                <w:bCs/>
                <w:szCs w:val="24"/>
              </w:rPr>
            </w:pPr>
            <w:r>
              <w:rPr>
                <w:rFonts w:ascii="Arial" w:hAnsi="Arial" w:cs="Arial"/>
                <w:bCs/>
                <w:szCs w:val="24"/>
              </w:rPr>
              <w:t>-</w:t>
            </w:r>
          </w:p>
        </w:tc>
      </w:tr>
      <w:tr w:rsidR="00B81DAF" w:rsidRPr="00F5686A" w14:paraId="4866523E" w14:textId="77777777" w:rsidTr="00DB3649">
        <w:trPr>
          <w:trHeight w:val="254"/>
        </w:trPr>
        <w:tc>
          <w:tcPr>
            <w:tcW w:w="3091" w:type="pct"/>
            <w:tcBorders>
              <w:top w:val="single" w:sz="4" w:space="0" w:color="auto"/>
              <w:left w:val="nil"/>
              <w:bottom w:val="nil"/>
              <w:right w:val="nil"/>
            </w:tcBorders>
            <w:vAlign w:val="bottom"/>
            <w:hideMark/>
          </w:tcPr>
          <w:p w14:paraId="43DA3BF1" w14:textId="77777777" w:rsidR="00B81DAF" w:rsidRPr="00F5686A" w:rsidRDefault="00B81DAF" w:rsidP="00B81DAF">
            <w:pPr>
              <w:rPr>
                <w:rFonts w:ascii="Arial" w:hAnsi="Arial" w:cs="Arial"/>
                <w:szCs w:val="24"/>
              </w:rPr>
            </w:pPr>
            <w:r w:rsidRPr="00F5686A">
              <w:rPr>
                <w:rFonts w:ascii="Arial" w:hAnsi="Arial" w:cs="Arial"/>
                <w:b/>
                <w:szCs w:val="24"/>
              </w:rPr>
              <w:t>Exceptional items before tax</w:t>
            </w:r>
          </w:p>
        </w:tc>
        <w:tc>
          <w:tcPr>
            <w:tcW w:w="976" w:type="pct"/>
            <w:tcBorders>
              <w:top w:val="single" w:sz="4" w:space="0" w:color="auto"/>
              <w:left w:val="nil"/>
              <w:bottom w:val="nil"/>
              <w:right w:val="nil"/>
            </w:tcBorders>
            <w:vAlign w:val="bottom"/>
            <w:hideMark/>
          </w:tcPr>
          <w:p w14:paraId="263A56BB" w14:textId="667DD9D3" w:rsidR="00B81DAF" w:rsidRPr="00F5686A" w:rsidRDefault="002D7FD6" w:rsidP="00B81DAF">
            <w:pPr>
              <w:jc w:val="right"/>
              <w:rPr>
                <w:rFonts w:ascii="Arial" w:hAnsi="Arial" w:cs="Arial"/>
                <w:b/>
                <w:szCs w:val="24"/>
              </w:rPr>
            </w:pPr>
            <w:r w:rsidRPr="00F5686A">
              <w:rPr>
                <w:rFonts w:ascii="Arial" w:hAnsi="Arial" w:cs="Arial"/>
                <w:b/>
                <w:szCs w:val="24"/>
              </w:rPr>
              <w:t>(</w:t>
            </w:r>
            <w:r w:rsidR="00F5686A">
              <w:rPr>
                <w:rFonts w:ascii="Arial" w:hAnsi="Arial" w:cs="Arial"/>
                <w:b/>
                <w:szCs w:val="24"/>
              </w:rPr>
              <w:t>9</w:t>
            </w:r>
            <w:r w:rsidR="00AF141B">
              <w:rPr>
                <w:rFonts w:ascii="Arial" w:hAnsi="Arial" w:cs="Arial"/>
                <w:b/>
                <w:szCs w:val="24"/>
              </w:rPr>
              <w:t>3</w:t>
            </w:r>
            <w:r w:rsidRPr="00F5686A">
              <w:rPr>
                <w:rFonts w:ascii="Arial" w:hAnsi="Arial" w:cs="Arial"/>
                <w:b/>
                <w:szCs w:val="24"/>
              </w:rPr>
              <w:t>)</w:t>
            </w:r>
          </w:p>
        </w:tc>
        <w:tc>
          <w:tcPr>
            <w:tcW w:w="933" w:type="pct"/>
            <w:tcBorders>
              <w:top w:val="single" w:sz="4" w:space="0" w:color="auto"/>
              <w:left w:val="nil"/>
              <w:bottom w:val="nil"/>
              <w:right w:val="nil"/>
            </w:tcBorders>
            <w:vAlign w:val="bottom"/>
            <w:hideMark/>
          </w:tcPr>
          <w:p w14:paraId="271E1708" w14:textId="41522E4F" w:rsidR="00B81DAF" w:rsidRPr="00F5686A" w:rsidRDefault="00B81DAF" w:rsidP="00B81DAF">
            <w:pPr>
              <w:jc w:val="right"/>
              <w:rPr>
                <w:rFonts w:ascii="Arial" w:hAnsi="Arial" w:cs="Arial"/>
                <w:bCs/>
                <w:szCs w:val="24"/>
              </w:rPr>
            </w:pPr>
            <w:r w:rsidRPr="00F5686A">
              <w:rPr>
                <w:rFonts w:ascii="Arial" w:hAnsi="Arial" w:cs="Arial"/>
                <w:bCs/>
                <w:szCs w:val="24"/>
              </w:rPr>
              <w:t>(42)</w:t>
            </w:r>
          </w:p>
        </w:tc>
      </w:tr>
      <w:tr w:rsidR="00B81DAF" w:rsidRPr="00F5686A" w14:paraId="40BB67BB" w14:textId="77777777" w:rsidTr="00DB3649">
        <w:trPr>
          <w:trHeight w:val="308"/>
        </w:trPr>
        <w:tc>
          <w:tcPr>
            <w:tcW w:w="3091" w:type="pct"/>
            <w:vAlign w:val="bottom"/>
            <w:hideMark/>
          </w:tcPr>
          <w:p w14:paraId="186DE12E" w14:textId="77777777" w:rsidR="00B81DAF" w:rsidRPr="00F5686A" w:rsidRDefault="00B81DAF" w:rsidP="00B81DAF">
            <w:pPr>
              <w:jc w:val="left"/>
              <w:rPr>
                <w:rFonts w:ascii="Arial" w:hAnsi="Arial" w:cs="Arial"/>
                <w:b/>
                <w:szCs w:val="24"/>
              </w:rPr>
            </w:pPr>
            <w:r w:rsidRPr="00F5686A">
              <w:rPr>
                <w:rFonts w:ascii="Arial" w:hAnsi="Arial" w:cs="Arial"/>
                <w:szCs w:val="24"/>
              </w:rPr>
              <w:t xml:space="preserve">Exceptional tax items </w:t>
            </w:r>
          </w:p>
        </w:tc>
        <w:tc>
          <w:tcPr>
            <w:tcW w:w="976" w:type="pct"/>
            <w:vAlign w:val="bottom"/>
            <w:hideMark/>
          </w:tcPr>
          <w:p w14:paraId="4A644E38" w14:textId="38399538" w:rsidR="00B81DAF" w:rsidRPr="00F5686A" w:rsidRDefault="00AF141B" w:rsidP="00B81DAF">
            <w:pPr>
              <w:jc w:val="right"/>
              <w:rPr>
                <w:rFonts w:ascii="Arial" w:hAnsi="Arial" w:cs="Arial"/>
                <w:b/>
                <w:szCs w:val="24"/>
              </w:rPr>
            </w:pPr>
            <w:r>
              <w:rPr>
                <w:rFonts w:ascii="Arial" w:hAnsi="Arial" w:cs="Arial"/>
                <w:b/>
                <w:szCs w:val="24"/>
              </w:rPr>
              <w:t>19</w:t>
            </w:r>
          </w:p>
        </w:tc>
        <w:tc>
          <w:tcPr>
            <w:tcW w:w="933" w:type="pct"/>
            <w:vAlign w:val="bottom"/>
            <w:hideMark/>
          </w:tcPr>
          <w:p w14:paraId="05199024" w14:textId="659B8375" w:rsidR="00B81DAF" w:rsidRPr="00F5686A" w:rsidRDefault="00B81DAF" w:rsidP="00B81DAF">
            <w:pPr>
              <w:jc w:val="right"/>
              <w:rPr>
                <w:rFonts w:ascii="Arial" w:hAnsi="Arial" w:cs="Arial"/>
                <w:bCs/>
                <w:szCs w:val="24"/>
              </w:rPr>
            </w:pPr>
            <w:r w:rsidRPr="00F5686A">
              <w:rPr>
                <w:rFonts w:ascii="Arial" w:hAnsi="Arial" w:cs="Arial"/>
                <w:bCs/>
                <w:szCs w:val="24"/>
              </w:rPr>
              <w:t>13</w:t>
            </w:r>
          </w:p>
        </w:tc>
      </w:tr>
      <w:tr w:rsidR="00B81DAF" w:rsidRPr="002B4883" w14:paraId="40424B4F" w14:textId="77777777" w:rsidTr="00DB3649">
        <w:trPr>
          <w:trHeight w:val="308"/>
        </w:trPr>
        <w:tc>
          <w:tcPr>
            <w:tcW w:w="3091" w:type="pct"/>
            <w:tcBorders>
              <w:top w:val="single" w:sz="4" w:space="0" w:color="auto"/>
              <w:left w:val="nil"/>
              <w:bottom w:val="single" w:sz="4" w:space="0" w:color="auto"/>
              <w:right w:val="nil"/>
            </w:tcBorders>
            <w:vAlign w:val="bottom"/>
            <w:hideMark/>
          </w:tcPr>
          <w:p w14:paraId="708742AD" w14:textId="77777777" w:rsidR="00B81DAF" w:rsidRPr="00F5686A" w:rsidRDefault="00B81DAF" w:rsidP="00B81DAF">
            <w:pPr>
              <w:jc w:val="left"/>
              <w:rPr>
                <w:rFonts w:ascii="Arial" w:hAnsi="Arial" w:cs="Arial"/>
                <w:szCs w:val="24"/>
              </w:rPr>
            </w:pPr>
            <w:r w:rsidRPr="00F5686A">
              <w:rPr>
                <w:rFonts w:ascii="Arial" w:hAnsi="Arial" w:cs="Arial"/>
                <w:b/>
                <w:szCs w:val="24"/>
              </w:rPr>
              <w:t>Net exceptional items</w:t>
            </w:r>
          </w:p>
        </w:tc>
        <w:tc>
          <w:tcPr>
            <w:tcW w:w="976" w:type="pct"/>
            <w:tcBorders>
              <w:top w:val="single" w:sz="4" w:space="0" w:color="auto"/>
              <w:left w:val="nil"/>
              <w:bottom w:val="single" w:sz="4" w:space="0" w:color="auto"/>
              <w:right w:val="nil"/>
            </w:tcBorders>
            <w:vAlign w:val="bottom"/>
            <w:hideMark/>
          </w:tcPr>
          <w:p w14:paraId="1015ED92" w14:textId="43322236" w:rsidR="00B81DAF" w:rsidRPr="00F5686A" w:rsidRDefault="00B81DAF" w:rsidP="00B81DAF">
            <w:pPr>
              <w:jc w:val="right"/>
              <w:rPr>
                <w:rFonts w:ascii="Arial" w:hAnsi="Arial" w:cs="Arial"/>
                <w:b/>
                <w:szCs w:val="24"/>
              </w:rPr>
            </w:pPr>
            <w:r w:rsidRPr="00F5686A">
              <w:rPr>
                <w:rFonts w:ascii="Arial" w:hAnsi="Arial" w:cs="Arial"/>
                <w:b/>
                <w:szCs w:val="24"/>
              </w:rPr>
              <w:t>(</w:t>
            </w:r>
            <w:r w:rsidR="00AF141B">
              <w:rPr>
                <w:rFonts w:ascii="Arial" w:hAnsi="Arial" w:cs="Arial"/>
                <w:b/>
                <w:szCs w:val="24"/>
              </w:rPr>
              <w:t>74</w:t>
            </w:r>
            <w:r w:rsidRPr="00F5686A">
              <w:rPr>
                <w:rFonts w:ascii="Arial" w:hAnsi="Arial" w:cs="Arial"/>
                <w:b/>
                <w:szCs w:val="24"/>
              </w:rPr>
              <w:t>)</w:t>
            </w:r>
          </w:p>
        </w:tc>
        <w:tc>
          <w:tcPr>
            <w:tcW w:w="933" w:type="pct"/>
            <w:tcBorders>
              <w:top w:val="single" w:sz="4" w:space="0" w:color="auto"/>
              <w:left w:val="nil"/>
              <w:bottom w:val="single" w:sz="4" w:space="0" w:color="auto"/>
              <w:right w:val="nil"/>
            </w:tcBorders>
            <w:vAlign w:val="bottom"/>
            <w:hideMark/>
          </w:tcPr>
          <w:p w14:paraId="3447C44B" w14:textId="4DC51C84" w:rsidR="00B81DAF" w:rsidRPr="00F5686A" w:rsidRDefault="00B81DAF" w:rsidP="00B81DAF">
            <w:pPr>
              <w:jc w:val="right"/>
              <w:rPr>
                <w:rFonts w:ascii="Arial" w:hAnsi="Arial" w:cs="Arial"/>
                <w:bCs/>
                <w:szCs w:val="24"/>
              </w:rPr>
            </w:pPr>
            <w:r w:rsidRPr="00F5686A">
              <w:rPr>
                <w:rFonts w:ascii="Arial" w:hAnsi="Arial" w:cs="Arial"/>
                <w:bCs/>
                <w:szCs w:val="24"/>
              </w:rPr>
              <w:t>(29)</w:t>
            </w:r>
          </w:p>
        </w:tc>
      </w:tr>
    </w:tbl>
    <w:p w14:paraId="3DB44472" w14:textId="3E46AF75" w:rsidR="00932D95" w:rsidRPr="002B4883" w:rsidRDefault="00932D95" w:rsidP="002C457F">
      <w:pPr>
        <w:spacing w:after="200"/>
        <w:contextualSpacing/>
        <w:jc w:val="left"/>
        <w:rPr>
          <w:rFonts w:ascii="Arial" w:hAnsi="Arial" w:cs="Arial"/>
        </w:rPr>
      </w:pPr>
    </w:p>
    <w:p w14:paraId="482462F7" w14:textId="11F49D62" w:rsidR="002D7FD6" w:rsidRPr="0092628F" w:rsidRDefault="003D0C87" w:rsidP="002D7FD6">
      <w:pPr>
        <w:spacing w:after="200"/>
        <w:contextualSpacing/>
        <w:jc w:val="left"/>
        <w:rPr>
          <w:rFonts w:ascii="Arial" w:hAnsi="Arial" w:cs="Arial"/>
        </w:rPr>
      </w:pPr>
      <w:bookmarkStart w:id="43" w:name="_Hlk492462276"/>
      <w:r w:rsidRPr="009F71DB">
        <w:rPr>
          <w:rFonts w:ascii="Arial" w:hAnsi="Arial"/>
        </w:rPr>
        <w:t>As announced</w:t>
      </w:r>
      <w:r w:rsidR="00960268" w:rsidRPr="009F71DB">
        <w:rPr>
          <w:rFonts w:ascii="Arial" w:hAnsi="Arial"/>
        </w:rPr>
        <w:t xml:space="preserve"> at FY 18/19 results </w:t>
      </w:r>
      <w:r w:rsidR="0092628F" w:rsidRPr="009F71DB">
        <w:rPr>
          <w:rFonts w:ascii="Arial" w:hAnsi="Arial"/>
        </w:rPr>
        <w:t xml:space="preserve">and </w:t>
      </w:r>
      <w:r w:rsidRPr="009F71DB">
        <w:rPr>
          <w:rFonts w:ascii="Arial" w:hAnsi="Arial"/>
        </w:rPr>
        <w:t xml:space="preserve">following the </w:t>
      </w:r>
      <w:r w:rsidR="000D19B0" w:rsidRPr="002110D5">
        <w:rPr>
          <w:rFonts w:ascii="Arial" w:hAnsi="Arial" w:cs="Arial"/>
        </w:rPr>
        <w:t xml:space="preserve">relevant </w:t>
      </w:r>
      <w:r w:rsidR="0092628F" w:rsidRPr="009F71DB">
        <w:rPr>
          <w:rFonts w:ascii="Arial" w:hAnsi="Arial"/>
        </w:rPr>
        <w:t>consultation processes conducted during the period</w:t>
      </w:r>
      <w:r w:rsidR="000D19B0">
        <w:rPr>
          <w:rFonts w:ascii="Arial" w:hAnsi="Arial" w:cs="Arial"/>
        </w:rPr>
        <w:t>,</w:t>
      </w:r>
      <w:r w:rsidR="0092628F" w:rsidRPr="009F71DB">
        <w:rPr>
          <w:rFonts w:ascii="Arial" w:hAnsi="Arial"/>
        </w:rPr>
        <w:t xml:space="preserve"> </w:t>
      </w:r>
      <w:r w:rsidR="00F25F17" w:rsidRPr="009F71DB">
        <w:rPr>
          <w:rFonts w:ascii="Arial" w:hAnsi="Arial"/>
        </w:rPr>
        <w:t xml:space="preserve">we will be </w:t>
      </w:r>
      <w:r w:rsidR="00960268" w:rsidRPr="009F71DB">
        <w:rPr>
          <w:rFonts w:ascii="Arial" w:hAnsi="Arial"/>
        </w:rPr>
        <w:t xml:space="preserve">closing </w:t>
      </w:r>
      <w:r w:rsidR="00F25F17" w:rsidRPr="009F71DB">
        <w:rPr>
          <w:rFonts w:ascii="Arial" w:hAnsi="Arial"/>
        </w:rPr>
        <w:t>15 stores across the business</w:t>
      </w:r>
      <w:r w:rsidRPr="009F71DB">
        <w:rPr>
          <w:rFonts w:ascii="Arial" w:hAnsi="Arial"/>
        </w:rPr>
        <w:t xml:space="preserve"> (including 11 in France)</w:t>
      </w:r>
      <w:r w:rsidR="00F25F17" w:rsidRPr="009F71DB">
        <w:rPr>
          <w:rFonts w:ascii="Arial" w:hAnsi="Arial"/>
        </w:rPr>
        <w:t xml:space="preserve"> </w:t>
      </w:r>
      <w:r w:rsidR="00960268" w:rsidRPr="009F71DB">
        <w:rPr>
          <w:rFonts w:ascii="Arial" w:hAnsi="Arial"/>
        </w:rPr>
        <w:t xml:space="preserve">over the </w:t>
      </w:r>
      <w:r w:rsidR="00F25F17" w:rsidRPr="009F71DB">
        <w:rPr>
          <w:rFonts w:ascii="Arial" w:hAnsi="Arial"/>
        </w:rPr>
        <w:t xml:space="preserve">next </w:t>
      </w:r>
      <w:r w:rsidR="00960268" w:rsidRPr="009F71DB">
        <w:rPr>
          <w:rFonts w:ascii="Arial" w:hAnsi="Arial"/>
        </w:rPr>
        <w:t>18 months.</w:t>
      </w:r>
      <w:r w:rsidR="00960268" w:rsidRPr="000D19B0">
        <w:rPr>
          <w:rFonts w:ascii="Arial" w:hAnsi="Arial" w:cs="Arial"/>
        </w:rPr>
        <w:t xml:space="preserve"> </w:t>
      </w:r>
      <w:r w:rsidR="00F25F17" w:rsidRPr="000D19B0">
        <w:rPr>
          <w:rFonts w:ascii="Arial" w:hAnsi="Arial" w:cs="Arial"/>
        </w:rPr>
        <w:t>The stores are a combination of owned and leased properties and we expect to</w:t>
      </w:r>
      <w:r w:rsidR="00F25F17" w:rsidRPr="00960268">
        <w:rPr>
          <w:rFonts w:ascii="Arial" w:hAnsi="Arial" w:cs="Arial"/>
        </w:rPr>
        <w:t xml:space="preserve"> cover the cash costs with sale proceeds.</w:t>
      </w:r>
      <w:r w:rsidR="0092628F">
        <w:rPr>
          <w:rFonts w:ascii="Arial" w:hAnsi="Arial" w:cs="Arial"/>
        </w:rPr>
        <w:t xml:space="preserve"> </w:t>
      </w:r>
      <w:r w:rsidR="00960268" w:rsidRPr="0092628F">
        <w:rPr>
          <w:rFonts w:ascii="Arial" w:hAnsi="Arial" w:cs="Arial"/>
        </w:rPr>
        <w:t>During H1 19/20 w</w:t>
      </w:r>
      <w:r w:rsidR="002D7FD6" w:rsidRPr="0092628F">
        <w:rPr>
          <w:rFonts w:ascii="Arial" w:hAnsi="Arial" w:cs="Arial"/>
        </w:rPr>
        <w:t>e have recognised a £</w:t>
      </w:r>
      <w:r w:rsidR="00F25F17" w:rsidRPr="0092628F">
        <w:rPr>
          <w:rFonts w:ascii="Arial" w:hAnsi="Arial" w:cs="Arial"/>
        </w:rPr>
        <w:t>68</w:t>
      </w:r>
      <w:r w:rsidR="002D7FD6" w:rsidRPr="0092628F">
        <w:rPr>
          <w:rFonts w:ascii="Arial" w:hAnsi="Arial" w:cs="Arial"/>
        </w:rPr>
        <w:t xml:space="preserve"> million charge </w:t>
      </w:r>
      <w:r w:rsidR="00F25F17" w:rsidRPr="0092628F">
        <w:rPr>
          <w:rFonts w:ascii="Arial" w:hAnsi="Arial" w:cs="Arial"/>
        </w:rPr>
        <w:t>mainly</w:t>
      </w:r>
      <w:r w:rsidR="002D7FD6" w:rsidRPr="0092628F">
        <w:rPr>
          <w:rFonts w:ascii="Arial" w:hAnsi="Arial" w:cs="Arial"/>
        </w:rPr>
        <w:t xml:space="preserve"> </w:t>
      </w:r>
      <w:r w:rsidR="00F25F17" w:rsidRPr="0092628F">
        <w:rPr>
          <w:rFonts w:ascii="Arial" w:hAnsi="Arial" w:cs="Arial"/>
        </w:rPr>
        <w:t>reflecting</w:t>
      </w:r>
      <w:r w:rsidR="002D7FD6" w:rsidRPr="0092628F">
        <w:rPr>
          <w:rFonts w:ascii="Arial" w:hAnsi="Arial" w:cs="Arial"/>
        </w:rPr>
        <w:t xml:space="preserve"> </w:t>
      </w:r>
      <w:r w:rsidR="00F25F17" w:rsidRPr="0092628F">
        <w:rPr>
          <w:rFonts w:ascii="Arial" w:hAnsi="Arial" w:cs="Arial"/>
        </w:rPr>
        <w:t>redundancy provisions related to stores closures in France and Germany</w:t>
      </w:r>
      <w:r w:rsidR="00960268" w:rsidRPr="0092628F">
        <w:rPr>
          <w:rFonts w:ascii="Arial" w:hAnsi="Arial" w:cs="Arial"/>
        </w:rPr>
        <w:t xml:space="preserve"> (all 19 Screwfix Germany outlets </w:t>
      </w:r>
      <w:r w:rsidR="002C7E17">
        <w:rPr>
          <w:rFonts w:ascii="Arial" w:hAnsi="Arial" w:cs="Arial"/>
        </w:rPr>
        <w:t xml:space="preserve">were </w:t>
      </w:r>
      <w:r w:rsidR="00960268" w:rsidRPr="0092628F">
        <w:rPr>
          <w:rFonts w:ascii="Arial" w:hAnsi="Arial" w:cs="Arial"/>
        </w:rPr>
        <w:t>closed</w:t>
      </w:r>
      <w:r w:rsidR="002C7E17">
        <w:rPr>
          <w:rFonts w:ascii="Arial" w:hAnsi="Arial" w:cs="Arial"/>
        </w:rPr>
        <w:t xml:space="preserve"> during the period</w:t>
      </w:r>
      <w:r w:rsidR="00960268" w:rsidRPr="0092628F">
        <w:rPr>
          <w:rFonts w:ascii="Arial" w:hAnsi="Arial" w:cs="Arial"/>
        </w:rPr>
        <w:t>)</w:t>
      </w:r>
      <w:r w:rsidR="00F25F17" w:rsidRPr="0092628F">
        <w:rPr>
          <w:rFonts w:ascii="Arial" w:hAnsi="Arial" w:cs="Arial"/>
        </w:rPr>
        <w:t>.</w:t>
      </w:r>
      <w:r w:rsidR="0092628F" w:rsidRPr="0092628F">
        <w:rPr>
          <w:rFonts w:ascii="Arial" w:hAnsi="Arial" w:cs="Arial"/>
        </w:rPr>
        <w:t xml:space="preserve"> During the period we </w:t>
      </w:r>
      <w:r w:rsidR="002D7FD6" w:rsidRPr="0092628F">
        <w:rPr>
          <w:rFonts w:ascii="Arial" w:hAnsi="Arial" w:cs="Arial"/>
        </w:rPr>
        <w:t xml:space="preserve">recognised </w:t>
      </w:r>
      <w:r w:rsidR="0092628F" w:rsidRPr="0092628F">
        <w:rPr>
          <w:rFonts w:ascii="Arial" w:hAnsi="Arial" w:cs="Arial"/>
        </w:rPr>
        <w:t xml:space="preserve">a </w:t>
      </w:r>
      <w:r w:rsidR="002D7FD6" w:rsidRPr="0092628F">
        <w:rPr>
          <w:rFonts w:ascii="Arial" w:hAnsi="Arial" w:cs="Arial"/>
        </w:rPr>
        <w:t>£</w:t>
      </w:r>
      <w:r w:rsidR="0092628F" w:rsidRPr="0092628F">
        <w:rPr>
          <w:rFonts w:ascii="Arial" w:hAnsi="Arial" w:cs="Arial"/>
        </w:rPr>
        <w:t>2</w:t>
      </w:r>
      <w:r w:rsidR="002D7FD6" w:rsidRPr="0092628F">
        <w:rPr>
          <w:rFonts w:ascii="Arial" w:hAnsi="Arial" w:cs="Arial"/>
        </w:rPr>
        <w:t>6 million</w:t>
      </w:r>
      <w:r w:rsidR="0092628F" w:rsidRPr="0092628F">
        <w:rPr>
          <w:rFonts w:ascii="Arial" w:hAnsi="Arial" w:cs="Arial"/>
        </w:rPr>
        <w:t xml:space="preserve"> charge</w:t>
      </w:r>
      <w:r w:rsidR="002D7FD6" w:rsidRPr="0092628F">
        <w:rPr>
          <w:rFonts w:ascii="Arial" w:hAnsi="Arial" w:cs="Arial"/>
        </w:rPr>
        <w:t xml:space="preserve"> </w:t>
      </w:r>
      <w:r w:rsidR="0092628F" w:rsidRPr="0092628F">
        <w:rPr>
          <w:rFonts w:ascii="Arial" w:hAnsi="Arial" w:cs="Arial"/>
        </w:rPr>
        <w:t xml:space="preserve">mainly relating to store </w:t>
      </w:r>
      <w:r w:rsidR="002D7FD6" w:rsidRPr="0092628F">
        <w:rPr>
          <w:rFonts w:ascii="Arial" w:hAnsi="Arial" w:cs="Arial"/>
        </w:rPr>
        <w:t>impairment</w:t>
      </w:r>
      <w:r w:rsidR="0092628F" w:rsidRPr="0092628F">
        <w:rPr>
          <w:rFonts w:ascii="Arial" w:hAnsi="Arial" w:cs="Arial"/>
        </w:rPr>
        <w:t>s</w:t>
      </w:r>
      <w:r w:rsidR="002D7FD6" w:rsidRPr="0092628F">
        <w:rPr>
          <w:rFonts w:ascii="Arial" w:hAnsi="Arial" w:cs="Arial"/>
        </w:rPr>
        <w:t xml:space="preserve"> </w:t>
      </w:r>
      <w:r w:rsidR="0092628F" w:rsidRPr="0092628F">
        <w:rPr>
          <w:rFonts w:ascii="Arial" w:hAnsi="Arial" w:cs="Arial"/>
        </w:rPr>
        <w:t>in Russia</w:t>
      </w:r>
      <w:r w:rsidR="002C7E17">
        <w:rPr>
          <w:rFonts w:ascii="Arial" w:hAnsi="Arial" w:cs="Arial"/>
        </w:rPr>
        <w:t xml:space="preserve">, </w:t>
      </w:r>
      <w:r w:rsidR="002C7E17" w:rsidRPr="002C7E17">
        <w:rPr>
          <w:rFonts w:ascii="Arial" w:hAnsi="Arial" w:cs="Arial"/>
        </w:rPr>
        <w:t>following a deterioration in trading. The Group announced the decision to exit Russia and Iberia in November 2018 and recorded impairments of £16</w:t>
      </w:r>
      <w:r w:rsidR="00660289">
        <w:rPr>
          <w:rFonts w:ascii="Arial" w:hAnsi="Arial" w:cs="Arial"/>
        </w:rPr>
        <w:t xml:space="preserve"> </w:t>
      </w:r>
      <w:r w:rsidR="002C7E17" w:rsidRPr="002C7E17">
        <w:rPr>
          <w:rFonts w:ascii="Arial" w:hAnsi="Arial" w:cs="Arial"/>
        </w:rPr>
        <w:t>m</w:t>
      </w:r>
      <w:r w:rsidR="00660289">
        <w:rPr>
          <w:rFonts w:ascii="Arial" w:hAnsi="Arial" w:cs="Arial"/>
        </w:rPr>
        <w:t>illion</w:t>
      </w:r>
      <w:r w:rsidR="002C7E17" w:rsidRPr="002C7E17">
        <w:rPr>
          <w:rFonts w:ascii="Arial" w:hAnsi="Arial" w:cs="Arial"/>
        </w:rPr>
        <w:t xml:space="preserve"> to store and non-operational assets in </w:t>
      </w:r>
      <w:r w:rsidR="00660289">
        <w:rPr>
          <w:rFonts w:ascii="Arial" w:hAnsi="Arial" w:cs="Arial"/>
        </w:rPr>
        <w:t>FY 18/19</w:t>
      </w:r>
      <w:r w:rsidR="002C7E17" w:rsidRPr="002C7E17">
        <w:rPr>
          <w:rFonts w:ascii="Arial" w:hAnsi="Arial" w:cs="Arial"/>
        </w:rPr>
        <w:t>.</w:t>
      </w:r>
    </w:p>
    <w:p w14:paraId="36F56F67" w14:textId="77777777" w:rsidR="002D7FD6" w:rsidRPr="002D7FD6" w:rsidRDefault="002D7FD6" w:rsidP="002D7FD6">
      <w:pPr>
        <w:spacing w:after="200"/>
        <w:contextualSpacing/>
        <w:jc w:val="left"/>
        <w:rPr>
          <w:rFonts w:ascii="Arial" w:hAnsi="Arial" w:cs="Arial"/>
          <w:highlight w:val="green"/>
        </w:rPr>
      </w:pPr>
    </w:p>
    <w:p w14:paraId="28F2B0AA" w14:textId="77777777" w:rsidR="002D7FD6" w:rsidRPr="002B4883" w:rsidRDefault="002D7FD6" w:rsidP="005B7D1A">
      <w:pPr>
        <w:spacing w:after="200"/>
        <w:contextualSpacing/>
        <w:jc w:val="left"/>
        <w:rPr>
          <w:rFonts w:ascii="Arial" w:hAnsi="Arial" w:cs="Arial"/>
        </w:rPr>
      </w:pPr>
    </w:p>
    <w:p w14:paraId="501D888C" w14:textId="433BA1EF" w:rsidR="00FA297E" w:rsidRPr="002B4883" w:rsidRDefault="00FA297E" w:rsidP="005B7D1A">
      <w:pPr>
        <w:spacing w:after="200"/>
        <w:contextualSpacing/>
        <w:jc w:val="left"/>
        <w:rPr>
          <w:rFonts w:ascii="Arial" w:hAnsi="Arial" w:cs="Arial"/>
          <w:color w:val="C00000"/>
        </w:rPr>
      </w:pPr>
    </w:p>
    <w:p w14:paraId="54F9DF2C" w14:textId="77777777" w:rsidR="00A52241" w:rsidRPr="00C16392" w:rsidRDefault="00A52241">
      <w:pPr>
        <w:jc w:val="left"/>
        <w:rPr>
          <w:rFonts w:ascii="Arial" w:hAnsi="Arial" w:cs="Arial"/>
          <w:b/>
          <w:szCs w:val="24"/>
          <w:highlight w:val="yellow"/>
        </w:rPr>
      </w:pPr>
      <w:bookmarkStart w:id="44" w:name="_Hlk491328024"/>
      <w:bookmarkStart w:id="45" w:name="_Hlk492457997"/>
      <w:bookmarkEnd w:id="43"/>
      <w:r w:rsidRPr="00C16392">
        <w:rPr>
          <w:rFonts w:ascii="Arial" w:hAnsi="Arial" w:cs="Arial"/>
          <w:b/>
          <w:szCs w:val="24"/>
          <w:highlight w:val="yellow"/>
        </w:rPr>
        <w:br w:type="page"/>
      </w:r>
    </w:p>
    <w:p w14:paraId="2D05CBEC" w14:textId="24A47A70" w:rsidR="005B7D1A" w:rsidRPr="00732D03" w:rsidRDefault="005B7D1A" w:rsidP="005B7D1A">
      <w:pPr>
        <w:ind w:right="-368"/>
        <w:jc w:val="left"/>
        <w:rPr>
          <w:rFonts w:ascii="Arial" w:hAnsi="Arial" w:cs="Arial"/>
          <w:b/>
          <w:szCs w:val="24"/>
        </w:rPr>
      </w:pPr>
      <w:bookmarkStart w:id="46" w:name="_Hlk524461049"/>
      <w:r w:rsidRPr="00732D03">
        <w:rPr>
          <w:rFonts w:ascii="Arial" w:hAnsi="Arial" w:cs="Arial"/>
          <w:b/>
          <w:szCs w:val="24"/>
        </w:rPr>
        <w:lastRenderedPageBreak/>
        <w:t>Taxation</w:t>
      </w:r>
    </w:p>
    <w:p w14:paraId="526CF06E" w14:textId="77777777" w:rsidR="005B7D1A" w:rsidRPr="00C16392" w:rsidRDefault="005B7D1A" w:rsidP="005B7D1A">
      <w:pPr>
        <w:ind w:right="-368"/>
        <w:jc w:val="left"/>
        <w:rPr>
          <w:rFonts w:ascii="Arial" w:hAnsi="Arial" w:cs="Arial"/>
          <w:b/>
          <w:szCs w:val="24"/>
          <w:highlight w:val="yellow"/>
        </w:rPr>
      </w:pPr>
    </w:p>
    <w:bookmarkEnd w:id="44"/>
    <w:bookmarkEnd w:id="46"/>
    <w:p w14:paraId="65912159" w14:textId="5CE6F307" w:rsidR="00732D03" w:rsidRPr="00240196" w:rsidRDefault="00732D03" w:rsidP="00732D03">
      <w:pPr>
        <w:jc w:val="left"/>
        <w:rPr>
          <w:rFonts w:ascii="Arial" w:hAnsi="Arial" w:cs="Arial"/>
          <w:szCs w:val="24"/>
        </w:rPr>
      </w:pPr>
      <w:r w:rsidRPr="00240196">
        <w:rPr>
          <w:rFonts w:ascii="Arial" w:hAnsi="Arial" w:cs="Arial"/>
          <w:szCs w:val="24"/>
        </w:rPr>
        <w:t>The adjusted effective tax rate, calculated on the best estimate of full year profit before exceptional items, prior year tax adjustments and the impact of future rate changes is 2</w:t>
      </w:r>
      <w:r>
        <w:rPr>
          <w:rFonts w:ascii="Arial" w:hAnsi="Arial" w:cs="Arial"/>
          <w:szCs w:val="24"/>
        </w:rPr>
        <w:t>6</w:t>
      </w:r>
      <w:r w:rsidRPr="00240196">
        <w:rPr>
          <w:rFonts w:ascii="Arial" w:hAnsi="Arial" w:cs="Arial"/>
          <w:szCs w:val="24"/>
        </w:rPr>
        <w:t>% (201</w:t>
      </w:r>
      <w:r w:rsidR="005F0113">
        <w:rPr>
          <w:rFonts w:ascii="Arial" w:hAnsi="Arial" w:cs="Arial"/>
          <w:szCs w:val="24"/>
        </w:rPr>
        <w:t>8</w:t>
      </w:r>
      <w:r w:rsidRPr="00240196">
        <w:rPr>
          <w:rFonts w:ascii="Arial" w:hAnsi="Arial" w:cs="Arial"/>
          <w:szCs w:val="24"/>
        </w:rPr>
        <w:t>/1</w:t>
      </w:r>
      <w:r w:rsidR="005F0113">
        <w:rPr>
          <w:rFonts w:ascii="Arial" w:hAnsi="Arial" w:cs="Arial"/>
          <w:szCs w:val="24"/>
        </w:rPr>
        <w:t>9</w:t>
      </w:r>
      <w:r w:rsidRPr="00240196">
        <w:rPr>
          <w:rFonts w:ascii="Arial" w:hAnsi="Arial" w:cs="Arial"/>
          <w:szCs w:val="24"/>
        </w:rPr>
        <w:t xml:space="preserve">: 27%). The overall tax rate includes the impact of exceptional items and prior year tax adjustments. </w:t>
      </w:r>
    </w:p>
    <w:p w14:paraId="0BB94DEB" w14:textId="77777777" w:rsidR="00732D03" w:rsidRPr="00240196" w:rsidRDefault="00732D03" w:rsidP="00732D03">
      <w:pPr>
        <w:jc w:val="left"/>
        <w:rPr>
          <w:rFonts w:ascii="Arial" w:hAnsi="Arial" w:cs="Arial"/>
          <w:szCs w:val="24"/>
        </w:rPr>
      </w:pPr>
    </w:p>
    <w:tbl>
      <w:tblPr>
        <w:tblW w:w="11779" w:type="dxa"/>
        <w:tblLayout w:type="fixed"/>
        <w:tblCellMar>
          <w:left w:w="0" w:type="dxa"/>
          <w:right w:w="0" w:type="dxa"/>
        </w:tblCellMar>
        <w:tblLook w:val="04A0" w:firstRow="1" w:lastRow="0" w:firstColumn="1" w:lastColumn="0" w:noHBand="0" w:noVBand="1"/>
      </w:tblPr>
      <w:tblGrid>
        <w:gridCol w:w="3261"/>
        <w:gridCol w:w="1295"/>
        <w:gridCol w:w="953"/>
        <w:gridCol w:w="1015"/>
        <w:gridCol w:w="969"/>
        <w:gridCol w:w="1012"/>
        <w:gridCol w:w="1162"/>
        <w:gridCol w:w="704"/>
        <w:gridCol w:w="704"/>
        <w:gridCol w:w="704"/>
      </w:tblGrid>
      <w:tr w:rsidR="00732D03" w:rsidRPr="00240196" w14:paraId="437FA123" w14:textId="77777777" w:rsidTr="00B172CC">
        <w:trPr>
          <w:trHeight w:val="595"/>
        </w:trPr>
        <w:tc>
          <w:tcPr>
            <w:tcW w:w="3261" w:type="dxa"/>
            <w:tcBorders>
              <w:top w:val="nil"/>
              <w:left w:val="nil"/>
              <w:bottom w:val="single" w:sz="8" w:space="0" w:color="auto"/>
              <w:right w:val="nil"/>
            </w:tcBorders>
            <w:tcMar>
              <w:top w:w="0" w:type="dxa"/>
              <w:left w:w="108" w:type="dxa"/>
              <w:bottom w:w="0" w:type="dxa"/>
              <w:right w:w="108" w:type="dxa"/>
            </w:tcMar>
          </w:tcPr>
          <w:p w14:paraId="5EEEF59A" w14:textId="77777777" w:rsidR="00732D03" w:rsidRPr="00240196" w:rsidRDefault="00732D03" w:rsidP="00B172CC">
            <w:pPr>
              <w:jc w:val="left"/>
              <w:rPr>
                <w:rFonts w:ascii="Arial" w:hAnsi="Arial" w:cs="Arial"/>
                <w:b/>
                <w:bCs/>
                <w:szCs w:val="24"/>
              </w:rPr>
            </w:pPr>
          </w:p>
        </w:tc>
        <w:tc>
          <w:tcPr>
            <w:tcW w:w="1295" w:type="dxa"/>
            <w:tcBorders>
              <w:top w:val="nil"/>
              <w:left w:val="nil"/>
              <w:bottom w:val="single" w:sz="8" w:space="0" w:color="auto"/>
              <w:right w:val="nil"/>
            </w:tcBorders>
            <w:tcMar>
              <w:top w:w="0" w:type="dxa"/>
              <w:left w:w="108" w:type="dxa"/>
              <w:bottom w:w="0" w:type="dxa"/>
              <w:right w:w="108" w:type="dxa"/>
            </w:tcMar>
            <w:hideMark/>
          </w:tcPr>
          <w:p w14:paraId="10510EDB" w14:textId="77777777" w:rsidR="00732D03" w:rsidRPr="00240196" w:rsidRDefault="00732D03" w:rsidP="00B172CC">
            <w:pPr>
              <w:jc w:val="right"/>
              <w:rPr>
                <w:rFonts w:ascii="Arial" w:hAnsi="Arial" w:cs="Arial"/>
                <w:b/>
                <w:bCs/>
                <w:szCs w:val="24"/>
              </w:rPr>
            </w:pPr>
            <w:r w:rsidRPr="00240196">
              <w:rPr>
                <w:rFonts w:ascii="Arial" w:hAnsi="Arial" w:cs="Arial"/>
                <w:b/>
                <w:bCs/>
                <w:szCs w:val="24"/>
              </w:rPr>
              <w:t>Pre-tax  profit</w:t>
            </w:r>
          </w:p>
          <w:p w14:paraId="10B3AF58" w14:textId="77777777" w:rsidR="00732D03" w:rsidRPr="00240196" w:rsidRDefault="00732D03" w:rsidP="00B172CC">
            <w:pPr>
              <w:jc w:val="right"/>
              <w:rPr>
                <w:rFonts w:ascii="Arial" w:hAnsi="Arial" w:cs="Arial"/>
                <w:b/>
                <w:bCs/>
                <w:szCs w:val="24"/>
              </w:rPr>
            </w:pPr>
            <w:r w:rsidRPr="00240196">
              <w:rPr>
                <w:rFonts w:ascii="Arial" w:hAnsi="Arial" w:cs="Arial"/>
                <w:b/>
                <w:bCs/>
                <w:szCs w:val="24"/>
              </w:rPr>
              <w:t>£m</w:t>
            </w:r>
          </w:p>
        </w:tc>
        <w:tc>
          <w:tcPr>
            <w:tcW w:w="953" w:type="dxa"/>
            <w:tcBorders>
              <w:top w:val="nil"/>
              <w:left w:val="nil"/>
              <w:bottom w:val="single" w:sz="8" w:space="0" w:color="auto"/>
              <w:right w:val="nil"/>
            </w:tcBorders>
            <w:tcMar>
              <w:top w:w="0" w:type="dxa"/>
              <w:left w:w="108" w:type="dxa"/>
              <w:bottom w:w="0" w:type="dxa"/>
              <w:right w:w="108" w:type="dxa"/>
            </w:tcMar>
            <w:hideMark/>
          </w:tcPr>
          <w:p w14:paraId="754D1DB4" w14:textId="77777777" w:rsidR="00660289" w:rsidRDefault="00660289" w:rsidP="00B172CC">
            <w:pPr>
              <w:jc w:val="right"/>
              <w:rPr>
                <w:rFonts w:ascii="Arial" w:hAnsi="Arial" w:cs="Arial"/>
                <w:b/>
                <w:bCs/>
                <w:szCs w:val="24"/>
              </w:rPr>
            </w:pPr>
          </w:p>
          <w:p w14:paraId="585A76E5" w14:textId="1BD5D4B0" w:rsidR="00732D03" w:rsidRPr="00240196" w:rsidRDefault="00732D03" w:rsidP="00B172CC">
            <w:pPr>
              <w:jc w:val="right"/>
              <w:rPr>
                <w:rFonts w:ascii="Arial" w:hAnsi="Arial" w:cs="Arial"/>
                <w:b/>
                <w:bCs/>
                <w:szCs w:val="24"/>
              </w:rPr>
            </w:pPr>
            <w:r w:rsidRPr="00240196">
              <w:rPr>
                <w:rFonts w:ascii="Arial" w:hAnsi="Arial" w:cs="Arial"/>
                <w:b/>
                <w:bCs/>
                <w:szCs w:val="24"/>
              </w:rPr>
              <w:t xml:space="preserve">Tax </w:t>
            </w:r>
          </w:p>
          <w:p w14:paraId="21900450" w14:textId="77777777" w:rsidR="00732D03" w:rsidRPr="00240196" w:rsidRDefault="00732D03" w:rsidP="00B172CC">
            <w:pPr>
              <w:jc w:val="right"/>
              <w:rPr>
                <w:rFonts w:ascii="Arial" w:hAnsi="Arial" w:cs="Arial"/>
                <w:b/>
                <w:bCs/>
                <w:szCs w:val="24"/>
              </w:rPr>
            </w:pPr>
            <w:r w:rsidRPr="00240196">
              <w:rPr>
                <w:rFonts w:ascii="Arial" w:hAnsi="Arial" w:cs="Arial"/>
                <w:b/>
                <w:bCs/>
                <w:szCs w:val="24"/>
              </w:rPr>
              <w:t>£m</w:t>
            </w:r>
          </w:p>
        </w:tc>
        <w:tc>
          <w:tcPr>
            <w:tcW w:w="1015" w:type="dxa"/>
            <w:tcBorders>
              <w:top w:val="nil"/>
              <w:left w:val="nil"/>
              <w:bottom w:val="single" w:sz="8" w:space="0" w:color="auto"/>
              <w:right w:val="nil"/>
            </w:tcBorders>
            <w:tcMar>
              <w:top w:w="0" w:type="dxa"/>
              <w:left w:w="108" w:type="dxa"/>
              <w:bottom w:w="0" w:type="dxa"/>
              <w:right w:w="108" w:type="dxa"/>
            </w:tcMar>
            <w:hideMark/>
          </w:tcPr>
          <w:p w14:paraId="12D5F012" w14:textId="77777777" w:rsidR="00660289" w:rsidRDefault="00660289" w:rsidP="00B172CC">
            <w:pPr>
              <w:jc w:val="right"/>
              <w:rPr>
                <w:rFonts w:ascii="Arial" w:hAnsi="Arial" w:cs="Arial"/>
                <w:b/>
                <w:bCs/>
                <w:szCs w:val="24"/>
              </w:rPr>
            </w:pPr>
          </w:p>
          <w:p w14:paraId="2D0231BA" w14:textId="2A798451" w:rsidR="00732D03" w:rsidRPr="00240196" w:rsidRDefault="00732D03" w:rsidP="00B172CC">
            <w:pPr>
              <w:jc w:val="right"/>
              <w:rPr>
                <w:rFonts w:ascii="Arial" w:hAnsi="Arial" w:cs="Arial"/>
                <w:b/>
                <w:bCs/>
                <w:szCs w:val="24"/>
              </w:rPr>
            </w:pPr>
            <w:r w:rsidRPr="00240196">
              <w:rPr>
                <w:rFonts w:ascii="Arial" w:hAnsi="Arial" w:cs="Arial"/>
                <w:b/>
                <w:bCs/>
                <w:szCs w:val="24"/>
              </w:rPr>
              <w:t>2019/20</w:t>
            </w:r>
          </w:p>
          <w:p w14:paraId="483A7D0B" w14:textId="77777777" w:rsidR="00732D03" w:rsidRPr="00240196" w:rsidRDefault="00732D03" w:rsidP="00B172CC">
            <w:pPr>
              <w:jc w:val="right"/>
              <w:rPr>
                <w:rFonts w:ascii="Arial" w:hAnsi="Arial" w:cs="Arial"/>
                <w:b/>
                <w:bCs/>
                <w:szCs w:val="24"/>
              </w:rPr>
            </w:pPr>
            <w:r w:rsidRPr="00240196">
              <w:rPr>
                <w:rFonts w:ascii="Arial" w:hAnsi="Arial" w:cs="Arial"/>
                <w:b/>
                <w:bCs/>
                <w:szCs w:val="24"/>
              </w:rPr>
              <w:t>%</w:t>
            </w:r>
          </w:p>
        </w:tc>
        <w:tc>
          <w:tcPr>
            <w:tcW w:w="969" w:type="dxa"/>
            <w:tcBorders>
              <w:top w:val="nil"/>
              <w:left w:val="nil"/>
              <w:bottom w:val="single" w:sz="8" w:space="0" w:color="auto"/>
              <w:right w:val="nil"/>
            </w:tcBorders>
          </w:tcPr>
          <w:p w14:paraId="06DBEBFC" w14:textId="77777777" w:rsidR="00732D03" w:rsidRPr="00240196" w:rsidRDefault="00732D03" w:rsidP="00B172CC">
            <w:pPr>
              <w:jc w:val="right"/>
              <w:rPr>
                <w:rFonts w:ascii="Arial" w:hAnsi="Arial" w:cs="Arial"/>
                <w:szCs w:val="24"/>
              </w:rPr>
            </w:pPr>
            <w:r w:rsidRPr="00240196">
              <w:rPr>
                <w:rFonts w:ascii="Arial" w:hAnsi="Arial" w:cs="Arial"/>
                <w:szCs w:val="24"/>
              </w:rPr>
              <w:t>Pre-tax profit</w:t>
            </w:r>
          </w:p>
          <w:p w14:paraId="3DF8E5FC" w14:textId="77777777" w:rsidR="00732D03" w:rsidRPr="00240196" w:rsidRDefault="00732D03" w:rsidP="00B172CC">
            <w:pPr>
              <w:jc w:val="right"/>
              <w:rPr>
                <w:rFonts w:ascii="Arial" w:hAnsi="Arial" w:cs="Arial"/>
                <w:szCs w:val="24"/>
              </w:rPr>
            </w:pPr>
            <w:r w:rsidRPr="00240196">
              <w:rPr>
                <w:rFonts w:ascii="Arial" w:hAnsi="Arial" w:cs="Arial"/>
                <w:szCs w:val="24"/>
              </w:rPr>
              <w:t>£m</w:t>
            </w:r>
          </w:p>
        </w:tc>
        <w:tc>
          <w:tcPr>
            <w:tcW w:w="1012" w:type="dxa"/>
            <w:tcBorders>
              <w:top w:val="nil"/>
              <w:left w:val="nil"/>
              <w:bottom w:val="single" w:sz="8" w:space="0" w:color="auto"/>
              <w:right w:val="nil"/>
            </w:tcBorders>
            <w:tcMar>
              <w:top w:w="0" w:type="dxa"/>
              <w:left w:w="108" w:type="dxa"/>
              <w:bottom w:w="0" w:type="dxa"/>
              <w:right w:w="108" w:type="dxa"/>
            </w:tcMar>
            <w:hideMark/>
          </w:tcPr>
          <w:p w14:paraId="3FF62537" w14:textId="77777777" w:rsidR="00660289" w:rsidRDefault="00660289" w:rsidP="00B172CC">
            <w:pPr>
              <w:jc w:val="right"/>
              <w:rPr>
                <w:rFonts w:ascii="Arial" w:hAnsi="Arial" w:cs="Arial"/>
                <w:szCs w:val="24"/>
              </w:rPr>
            </w:pPr>
          </w:p>
          <w:p w14:paraId="109BBA4F" w14:textId="2DC6D56B" w:rsidR="00732D03" w:rsidRPr="00240196" w:rsidRDefault="00732D03" w:rsidP="00B172CC">
            <w:pPr>
              <w:jc w:val="right"/>
              <w:rPr>
                <w:rFonts w:ascii="Arial" w:hAnsi="Arial" w:cs="Arial"/>
                <w:szCs w:val="24"/>
              </w:rPr>
            </w:pPr>
            <w:r w:rsidRPr="00240196">
              <w:rPr>
                <w:rFonts w:ascii="Arial" w:hAnsi="Arial" w:cs="Arial"/>
                <w:szCs w:val="24"/>
              </w:rPr>
              <w:t>Tax</w:t>
            </w:r>
          </w:p>
          <w:p w14:paraId="4147204C" w14:textId="77777777" w:rsidR="00732D03" w:rsidRPr="00240196" w:rsidRDefault="00732D03" w:rsidP="00B172CC">
            <w:pPr>
              <w:jc w:val="right"/>
              <w:rPr>
                <w:rFonts w:ascii="Arial" w:hAnsi="Arial" w:cs="Arial"/>
                <w:szCs w:val="24"/>
              </w:rPr>
            </w:pPr>
            <w:r w:rsidRPr="00240196">
              <w:rPr>
                <w:rFonts w:ascii="Arial" w:hAnsi="Arial" w:cs="Arial"/>
                <w:szCs w:val="24"/>
              </w:rPr>
              <w:t>£m</w:t>
            </w:r>
          </w:p>
        </w:tc>
        <w:tc>
          <w:tcPr>
            <w:tcW w:w="1162" w:type="dxa"/>
            <w:tcBorders>
              <w:top w:val="nil"/>
              <w:left w:val="nil"/>
              <w:bottom w:val="single" w:sz="8" w:space="0" w:color="auto"/>
              <w:right w:val="nil"/>
            </w:tcBorders>
          </w:tcPr>
          <w:p w14:paraId="1F04BB46" w14:textId="77777777" w:rsidR="00660289" w:rsidRDefault="00660289" w:rsidP="00B172CC">
            <w:pPr>
              <w:jc w:val="right"/>
              <w:rPr>
                <w:rFonts w:ascii="Arial" w:hAnsi="Arial" w:cs="Arial"/>
                <w:szCs w:val="24"/>
              </w:rPr>
            </w:pPr>
          </w:p>
          <w:p w14:paraId="60AED4E8" w14:textId="60FE836C" w:rsidR="00732D03" w:rsidRPr="00240196" w:rsidRDefault="00732D03" w:rsidP="00B172CC">
            <w:pPr>
              <w:jc w:val="right"/>
              <w:rPr>
                <w:rFonts w:ascii="Arial" w:hAnsi="Arial" w:cs="Arial"/>
                <w:szCs w:val="24"/>
              </w:rPr>
            </w:pPr>
            <w:r w:rsidRPr="00240196">
              <w:rPr>
                <w:rFonts w:ascii="Arial" w:hAnsi="Arial" w:cs="Arial"/>
                <w:szCs w:val="24"/>
              </w:rPr>
              <w:t>2018/19</w:t>
            </w:r>
          </w:p>
          <w:p w14:paraId="2E2AA532" w14:textId="77777777" w:rsidR="00732D03" w:rsidRPr="00240196" w:rsidRDefault="00732D03" w:rsidP="00B172CC">
            <w:pPr>
              <w:jc w:val="right"/>
              <w:rPr>
                <w:rFonts w:ascii="Arial" w:hAnsi="Arial" w:cs="Arial"/>
                <w:szCs w:val="24"/>
              </w:rPr>
            </w:pPr>
            <w:r w:rsidRPr="00240196">
              <w:rPr>
                <w:rFonts w:ascii="Arial" w:hAnsi="Arial" w:cs="Arial"/>
                <w:szCs w:val="24"/>
              </w:rPr>
              <w:t>%</w:t>
            </w:r>
          </w:p>
        </w:tc>
        <w:tc>
          <w:tcPr>
            <w:tcW w:w="704" w:type="dxa"/>
            <w:tcBorders>
              <w:top w:val="nil"/>
              <w:left w:val="nil"/>
              <w:right w:val="nil"/>
            </w:tcBorders>
          </w:tcPr>
          <w:p w14:paraId="35102BA2" w14:textId="77777777" w:rsidR="00732D03" w:rsidRPr="00240196" w:rsidRDefault="00732D03" w:rsidP="00B172CC">
            <w:pPr>
              <w:jc w:val="right"/>
              <w:rPr>
                <w:rFonts w:ascii="Arial" w:hAnsi="Arial" w:cs="Arial"/>
                <w:szCs w:val="24"/>
              </w:rPr>
            </w:pPr>
          </w:p>
        </w:tc>
        <w:tc>
          <w:tcPr>
            <w:tcW w:w="704" w:type="dxa"/>
            <w:tcBorders>
              <w:top w:val="nil"/>
              <w:left w:val="nil"/>
              <w:right w:val="nil"/>
            </w:tcBorders>
          </w:tcPr>
          <w:p w14:paraId="4866AFBB" w14:textId="77777777" w:rsidR="00732D03" w:rsidRPr="00240196" w:rsidRDefault="00732D03" w:rsidP="00B172CC">
            <w:pPr>
              <w:jc w:val="right"/>
              <w:rPr>
                <w:rFonts w:ascii="Arial" w:hAnsi="Arial" w:cs="Arial"/>
                <w:szCs w:val="24"/>
              </w:rPr>
            </w:pPr>
          </w:p>
        </w:tc>
        <w:tc>
          <w:tcPr>
            <w:tcW w:w="704" w:type="dxa"/>
            <w:tcBorders>
              <w:top w:val="nil"/>
              <w:left w:val="nil"/>
              <w:bottom w:val="single" w:sz="8" w:space="0" w:color="auto"/>
              <w:right w:val="nil"/>
            </w:tcBorders>
          </w:tcPr>
          <w:p w14:paraId="26707685" w14:textId="77777777" w:rsidR="00732D03" w:rsidRPr="00240196" w:rsidRDefault="00732D03" w:rsidP="00B172CC">
            <w:pPr>
              <w:jc w:val="right"/>
              <w:rPr>
                <w:rFonts w:ascii="Arial" w:hAnsi="Arial" w:cs="Arial"/>
                <w:szCs w:val="24"/>
              </w:rPr>
            </w:pPr>
          </w:p>
        </w:tc>
      </w:tr>
      <w:tr w:rsidR="00732D03" w:rsidRPr="00240196" w14:paraId="34C2F3E0" w14:textId="77777777" w:rsidTr="00B172CC">
        <w:trPr>
          <w:trHeight w:val="176"/>
        </w:trPr>
        <w:tc>
          <w:tcPr>
            <w:tcW w:w="3261" w:type="dxa"/>
            <w:tcMar>
              <w:top w:w="0" w:type="dxa"/>
              <w:left w:w="108" w:type="dxa"/>
              <w:bottom w:w="0" w:type="dxa"/>
              <w:right w:w="108" w:type="dxa"/>
            </w:tcMar>
            <w:hideMark/>
          </w:tcPr>
          <w:p w14:paraId="125586DF" w14:textId="77777777" w:rsidR="00732D03" w:rsidRPr="00240196" w:rsidRDefault="00732D03" w:rsidP="00B172CC">
            <w:pPr>
              <w:jc w:val="left"/>
              <w:rPr>
                <w:rFonts w:ascii="Arial" w:hAnsi="Arial" w:cs="Arial"/>
                <w:szCs w:val="24"/>
              </w:rPr>
            </w:pPr>
            <w:r w:rsidRPr="00240196">
              <w:rPr>
                <w:rFonts w:ascii="Arial" w:hAnsi="Arial" w:cs="Arial"/>
                <w:szCs w:val="24"/>
              </w:rPr>
              <w:t>Adjusted effective tax rate</w:t>
            </w:r>
          </w:p>
        </w:tc>
        <w:tc>
          <w:tcPr>
            <w:tcW w:w="1295" w:type="dxa"/>
            <w:tcMar>
              <w:top w:w="0" w:type="dxa"/>
              <w:left w:w="108" w:type="dxa"/>
              <w:bottom w:w="0" w:type="dxa"/>
              <w:right w:w="108" w:type="dxa"/>
            </w:tcMar>
            <w:hideMark/>
          </w:tcPr>
          <w:p w14:paraId="7623D39A" w14:textId="5C7E60F7" w:rsidR="00732D03" w:rsidRPr="00240196" w:rsidRDefault="00732D03" w:rsidP="00B172CC">
            <w:pPr>
              <w:jc w:val="right"/>
              <w:rPr>
                <w:rFonts w:ascii="Arial" w:hAnsi="Arial" w:cs="Arial"/>
                <w:b/>
                <w:szCs w:val="24"/>
              </w:rPr>
            </w:pPr>
            <w:r w:rsidRPr="00240196">
              <w:rPr>
                <w:rFonts w:ascii="Arial" w:hAnsi="Arial" w:cs="Arial"/>
                <w:b/>
                <w:szCs w:val="24"/>
              </w:rPr>
              <w:t>3</w:t>
            </w:r>
            <w:r>
              <w:rPr>
                <w:rFonts w:ascii="Arial" w:hAnsi="Arial" w:cs="Arial"/>
                <w:b/>
                <w:szCs w:val="24"/>
              </w:rPr>
              <w:t>3</w:t>
            </w:r>
            <w:r w:rsidR="00365C0E">
              <w:rPr>
                <w:rFonts w:ascii="Arial" w:hAnsi="Arial" w:cs="Arial"/>
                <w:b/>
                <w:szCs w:val="24"/>
              </w:rPr>
              <w:t>8</w:t>
            </w:r>
          </w:p>
        </w:tc>
        <w:tc>
          <w:tcPr>
            <w:tcW w:w="953" w:type="dxa"/>
            <w:tcMar>
              <w:top w:w="0" w:type="dxa"/>
              <w:left w:w="108" w:type="dxa"/>
              <w:bottom w:w="0" w:type="dxa"/>
              <w:right w:w="108" w:type="dxa"/>
            </w:tcMar>
            <w:hideMark/>
          </w:tcPr>
          <w:p w14:paraId="5779BCCC" w14:textId="77777777" w:rsidR="00732D03" w:rsidRPr="00240196" w:rsidRDefault="00732D03" w:rsidP="00B172CC">
            <w:pPr>
              <w:jc w:val="right"/>
              <w:rPr>
                <w:rFonts w:ascii="Arial" w:hAnsi="Arial" w:cs="Arial"/>
                <w:b/>
                <w:szCs w:val="24"/>
              </w:rPr>
            </w:pPr>
            <w:r w:rsidRPr="00240196">
              <w:rPr>
                <w:rFonts w:ascii="Arial" w:hAnsi="Arial" w:cs="Arial"/>
                <w:b/>
                <w:szCs w:val="24"/>
              </w:rPr>
              <w:t>(8</w:t>
            </w:r>
            <w:r>
              <w:rPr>
                <w:rFonts w:ascii="Arial" w:hAnsi="Arial" w:cs="Arial"/>
                <w:b/>
                <w:szCs w:val="24"/>
              </w:rPr>
              <w:t>9</w:t>
            </w:r>
            <w:r w:rsidRPr="00240196">
              <w:rPr>
                <w:rFonts w:ascii="Arial" w:hAnsi="Arial" w:cs="Arial"/>
                <w:b/>
                <w:szCs w:val="24"/>
              </w:rPr>
              <w:t>)</w:t>
            </w:r>
          </w:p>
        </w:tc>
        <w:tc>
          <w:tcPr>
            <w:tcW w:w="1015" w:type="dxa"/>
            <w:tcMar>
              <w:top w:w="0" w:type="dxa"/>
              <w:left w:w="108" w:type="dxa"/>
              <w:bottom w:w="0" w:type="dxa"/>
              <w:right w:w="108" w:type="dxa"/>
            </w:tcMar>
            <w:hideMark/>
          </w:tcPr>
          <w:p w14:paraId="744CAFB4" w14:textId="77777777" w:rsidR="00732D03" w:rsidRPr="00240196" w:rsidRDefault="00732D03" w:rsidP="00B172CC">
            <w:pPr>
              <w:jc w:val="right"/>
              <w:rPr>
                <w:rFonts w:ascii="Arial" w:hAnsi="Arial" w:cs="Arial"/>
                <w:b/>
                <w:szCs w:val="24"/>
              </w:rPr>
            </w:pPr>
            <w:r w:rsidRPr="00240196">
              <w:rPr>
                <w:rFonts w:ascii="Arial" w:hAnsi="Arial" w:cs="Arial"/>
                <w:b/>
                <w:szCs w:val="24"/>
              </w:rPr>
              <w:t>2</w:t>
            </w:r>
            <w:r>
              <w:rPr>
                <w:rFonts w:ascii="Arial" w:hAnsi="Arial" w:cs="Arial"/>
                <w:b/>
                <w:szCs w:val="24"/>
              </w:rPr>
              <w:t>6</w:t>
            </w:r>
            <w:r w:rsidRPr="00240196">
              <w:rPr>
                <w:rFonts w:ascii="Arial" w:hAnsi="Arial" w:cs="Arial"/>
                <w:b/>
                <w:szCs w:val="24"/>
              </w:rPr>
              <w:t>%</w:t>
            </w:r>
          </w:p>
        </w:tc>
        <w:tc>
          <w:tcPr>
            <w:tcW w:w="969" w:type="dxa"/>
          </w:tcPr>
          <w:p w14:paraId="3CFD852D" w14:textId="77777777" w:rsidR="00732D03" w:rsidRPr="00240196" w:rsidRDefault="00732D03" w:rsidP="00B172CC">
            <w:pPr>
              <w:jc w:val="right"/>
              <w:rPr>
                <w:rFonts w:ascii="Arial" w:hAnsi="Arial" w:cs="Arial"/>
                <w:bCs/>
                <w:szCs w:val="24"/>
              </w:rPr>
            </w:pPr>
            <w:r w:rsidRPr="00240196">
              <w:rPr>
                <w:rFonts w:ascii="Arial" w:hAnsi="Arial" w:cs="Arial"/>
                <w:bCs/>
                <w:szCs w:val="24"/>
              </w:rPr>
              <w:t>32</w:t>
            </w:r>
            <w:r>
              <w:rPr>
                <w:rFonts w:ascii="Arial" w:hAnsi="Arial" w:cs="Arial"/>
                <w:bCs/>
                <w:szCs w:val="24"/>
              </w:rPr>
              <w:t>2</w:t>
            </w:r>
          </w:p>
        </w:tc>
        <w:tc>
          <w:tcPr>
            <w:tcW w:w="1012" w:type="dxa"/>
            <w:tcMar>
              <w:top w:w="0" w:type="dxa"/>
              <w:left w:w="108" w:type="dxa"/>
              <w:bottom w:w="0" w:type="dxa"/>
              <w:right w:w="108" w:type="dxa"/>
            </w:tcMar>
            <w:hideMark/>
          </w:tcPr>
          <w:p w14:paraId="64EAE1B1" w14:textId="77777777" w:rsidR="00732D03" w:rsidRPr="00240196" w:rsidRDefault="00732D03" w:rsidP="00B172CC">
            <w:pPr>
              <w:jc w:val="right"/>
              <w:rPr>
                <w:rFonts w:ascii="Arial" w:hAnsi="Arial" w:cs="Arial"/>
                <w:bCs/>
                <w:szCs w:val="24"/>
              </w:rPr>
            </w:pPr>
            <w:r w:rsidRPr="00240196">
              <w:rPr>
                <w:rFonts w:ascii="Arial" w:hAnsi="Arial" w:cs="Arial"/>
                <w:bCs/>
                <w:szCs w:val="24"/>
              </w:rPr>
              <w:t>(87)</w:t>
            </w:r>
          </w:p>
        </w:tc>
        <w:tc>
          <w:tcPr>
            <w:tcW w:w="1162" w:type="dxa"/>
          </w:tcPr>
          <w:p w14:paraId="21E1350B" w14:textId="77777777" w:rsidR="00732D03" w:rsidRPr="00240196" w:rsidRDefault="00732D03" w:rsidP="00B172CC">
            <w:pPr>
              <w:jc w:val="right"/>
              <w:rPr>
                <w:rFonts w:ascii="Arial" w:hAnsi="Arial" w:cs="Arial"/>
                <w:bCs/>
                <w:szCs w:val="24"/>
              </w:rPr>
            </w:pPr>
            <w:r w:rsidRPr="00240196">
              <w:rPr>
                <w:rFonts w:ascii="Arial" w:hAnsi="Arial" w:cs="Arial"/>
                <w:bCs/>
                <w:szCs w:val="24"/>
              </w:rPr>
              <w:t>27%</w:t>
            </w:r>
          </w:p>
        </w:tc>
        <w:tc>
          <w:tcPr>
            <w:tcW w:w="704" w:type="dxa"/>
          </w:tcPr>
          <w:p w14:paraId="57BCB67E" w14:textId="77777777" w:rsidR="00732D03" w:rsidRPr="00240196" w:rsidRDefault="00732D03" w:rsidP="00B172CC">
            <w:pPr>
              <w:jc w:val="right"/>
              <w:rPr>
                <w:rFonts w:ascii="Arial" w:hAnsi="Arial" w:cs="Arial"/>
                <w:szCs w:val="24"/>
              </w:rPr>
            </w:pPr>
          </w:p>
        </w:tc>
        <w:tc>
          <w:tcPr>
            <w:tcW w:w="704" w:type="dxa"/>
          </w:tcPr>
          <w:p w14:paraId="7DB1F542" w14:textId="77777777" w:rsidR="00732D03" w:rsidRPr="00240196" w:rsidRDefault="00732D03" w:rsidP="00B172CC">
            <w:pPr>
              <w:jc w:val="right"/>
              <w:rPr>
                <w:rFonts w:ascii="Arial" w:hAnsi="Arial" w:cs="Arial"/>
                <w:szCs w:val="24"/>
              </w:rPr>
            </w:pPr>
          </w:p>
        </w:tc>
        <w:tc>
          <w:tcPr>
            <w:tcW w:w="704" w:type="dxa"/>
          </w:tcPr>
          <w:p w14:paraId="2F1ADDFD" w14:textId="77777777" w:rsidR="00732D03" w:rsidRPr="00240196" w:rsidRDefault="00732D03" w:rsidP="00B172CC">
            <w:pPr>
              <w:jc w:val="right"/>
              <w:rPr>
                <w:rFonts w:ascii="Arial" w:hAnsi="Arial" w:cs="Arial"/>
                <w:szCs w:val="24"/>
              </w:rPr>
            </w:pPr>
          </w:p>
        </w:tc>
      </w:tr>
      <w:tr w:rsidR="00732D03" w:rsidRPr="00732D03" w14:paraId="70DBE52F" w14:textId="77777777" w:rsidTr="00B172CC">
        <w:trPr>
          <w:trHeight w:val="185"/>
        </w:trPr>
        <w:tc>
          <w:tcPr>
            <w:tcW w:w="3261" w:type="dxa"/>
            <w:tcMar>
              <w:top w:w="0" w:type="dxa"/>
              <w:left w:w="108" w:type="dxa"/>
              <w:bottom w:w="0" w:type="dxa"/>
              <w:right w:w="108" w:type="dxa"/>
            </w:tcMar>
            <w:hideMark/>
          </w:tcPr>
          <w:p w14:paraId="36129E5C" w14:textId="77777777" w:rsidR="00732D03" w:rsidRPr="00732D03" w:rsidRDefault="00732D03" w:rsidP="00B172CC">
            <w:pPr>
              <w:rPr>
                <w:rFonts w:ascii="Arial" w:hAnsi="Arial" w:cs="Arial"/>
                <w:szCs w:val="24"/>
              </w:rPr>
            </w:pPr>
            <w:r w:rsidRPr="00732D03">
              <w:rPr>
                <w:rFonts w:ascii="Arial" w:hAnsi="Arial" w:cs="Arial"/>
                <w:szCs w:val="24"/>
              </w:rPr>
              <w:t>Exceptional items</w:t>
            </w:r>
          </w:p>
        </w:tc>
        <w:tc>
          <w:tcPr>
            <w:tcW w:w="1295" w:type="dxa"/>
            <w:tcMar>
              <w:top w:w="0" w:type="dxa"/>
              <w:left w:w="108" w:type="dxa"/>
              <w:bottom w:w="0" w:type="dxa"/>
              <w:right w:w="108" w:type="dxa"/>
            </w:tcMar>
            <w:hideMark/>
          </w:tcPr>
          <w:p w14:paraId="0351FBED" w14:textId="77777777" w:rsidR="00732D03" w:rsidRPr="00732D03" w:rsidRDefault="00732D03" w:rsidP="00B172CC">
            <w:pPr>
              <w:jc w:val="right"/>
              <w:rPr>
                <w:rFonts w:ascii="Arial" w:hAnsi="Arial" w:cs="Arial"/>
                <w:b/>
                <w:szCs w:val="24"/>
              </w:rPr>
            </w:pPr>
            <w:r w:rsidRPr="00732D03">
              <w:rPr>
                <w:rFonts w:ascii="Arial" w:hAnsi="Arial" w:cs="Arial"/>
                <w:b/>
                <w:szCs w:val="24"/>
              </w:rPr>
              <w:t>(93)</w:t>
            </w:r>
          </w:p>
        </w:tc>
        <w:tc>
          <w:tcPr>
            <w:tcW w:w="953" w:type="dxa"/>
            <w:tcMar>
              <w:top w:w="0" w:type="dxa"/>
              <w:left w:w="108" w:type="dxa"/>
              <w:bottom w:w="0" w:type="dxa"/>
              <w:right w:w="108" w:type="dxa"/>
            </w:tcMar>
            <w:hideMark/>
          </w:tcPr>
          <w:p w14:paraId="7B3A7807" w14:textId="77777777" w:rsidR="00732D03" w:rsidRPr="00732D03" w:rsidRDefault="00732D03" w:rsidP="00B172CC">
            <w:pPr>
              <w:jc w:val="right"/>
              <w:rPr>
                <w:rFonts w:ascii="Arial" w:hAnsi="Arial" w:cs="Arial"/>
                <w:b/>
                <w:szCs w:val="24"/>
              </w:rPr>
            </w:pPr>
            <w:r w:rsidRPr="00732D03">
              <w:rPr>
                <w:rFonts w:ascii="Arial" w:hAnsi="Arial" w:cs="Arial"/>
                <w:b/>
                <w:szCs w:val="24"/>
              </w:rPr>
              <w:t>19</w:t>
            </w:r>
          </w:p>
        </w:tc>
        <w:tc>
          <w:tcPr>
            <w:tcW w:w="1015" w:type="dxa"/>
            <w:tcMar>
              <w:top w:w="0" w:type="dxa"/>
              <w:left w:w="108" w:type="dxa"/>
              <w:bottom w:w="0" w:type="dxa"/>
              <w:right w:w="108" w:type="dxa"/>
            </w:tcMar>
          </w:tcPr>
          <w:p w14:paraId="0D1BA8F2" w14:textId="77777777" w:rsidR="00732D03" w:rsidRPr="00732D03" w:rsidRDefault="00732D03" w:rsidP="00B172CC">
            <w:pPr>
              <w:jc w:val="right"/>
              <w:rPr>
                <w:rFonts w:ascii="Arial" w:hAnsi="Arial" w:cs="Arial"/>
                <w:b/>
                <w:bCs/>
                <w:szCs w:val="24"/>
              </w:rPr>
            </w:pPr>
          </w:p>
        </w:tc>
        <w:tc>
          <w:tcPr>
            <w:tcW w:w="969" w:type="dxa"/>
          </w:tcPr>
          <w:p w14:paraId="792D14D1" w14:textId="77777777" w:rsidR="00732D03" w:rsidRPr="00732D03" w:rsidRDefault="00732D03" w:rsidP="00B172CC">
            <w:pPr>
              <w:jc w:val="right"/>
              <w:rPr>
                <w:rFonts w:ascii="Arial" w:hAnsi="Arial" w:cs="Arial"/>
                <w:bCs/>
                <w:szCs w:val="24"/>
              </w:rPr>
            </w:pPr>
            <w:r w:rsidRPr="00732D03">
              <w:rPr>
                <w:rFonts w:ascii="Arial" w:hAnsi="Arial" w:cs="Arial"/>
                <w:bCs/>
                <w:szCs w:val="24"/>
              </w:rPr>
              <w:t>(42)</w:t>
            </w:r>
          </w:p>
        </w:tc>
        <w:tc>
          <w:tcPr>
            <w:tcW w:w="1012" w:type="dxa"/>
            <w:tcMar>
              <w:top w:w="0" w:type="dxa"/>
              <w:left w:w="108" w:type="dxa"/>
              <w:bottom w:w="0" w:type="dxa"/>
              <w:right w:w="108" w:type="dxa"/>
            </w:tcMar>
          </w:tcPr>
          <w:p w14:paraId="51848C03" w14:textId="77777777" w:rsidR="00732D03" w:rsidRPr="00732D03" w:rsidRDefault="00732D03" w:rsidP="00B172CC">
            <w:pPr>
              <w:jc w:val="right"/>
              <w:rPr>
                <w:rFonts w:ascii="Arial" w:hAnsi="Arial" w:cs="Arial"/>
                <w:bCs/>
                <w:szCs w:val="24"/>
              </w:rPr>
            </w:pPr>
            <w:r w:rsidRPr="00732D03">
              <w:rPr>
                <w:rFonts w:ascii="Arial" w:hAnsi="Arial" w:cs="Arial"/>
                <w:bCs/>
                <w:szCs w:val="24"/>
              </w:rPr>
              <w:t>13</w:t>
            </w:r>
          </w:p>
        </w:tc>
        <w:tc>
          <w:tcPr>
            <w:tcW w:w="1162" w:type="dxa"/>
          </w:tcPr>
          <w:p w14:paraId="64FC331E" w14:textId="77777777" w:rsidR="00732D03" w:rsidRPr="00732D03" w:rsidRDefault="00732D03" w:rsidP="00B172CC">
            <w:pPr>
              <w:jc w:val="right"/>
              <w:rPr>
                <w:rFonts w:ascii="Arial" w:hAnsi="Arial" w:cs="Arial"/>
                <w:bCs/>
                <w:szCs w:val="24"/>
              </w:rPr>
            </w:pPr>
          </w:p>
        </w:tc>
        <w:tc>
          <w:tcPr>
            <w:tcW w:w="704" w:type="dxa"/>
          </w:tcPr>
          <w:p w14:paraId="3A41F28C" w14:textId="77777777" w:rsidR="00732D03" w:rsidRPr="00732D03" w:rsidRDefault="00732D03" w:rsidP="00B172CC">
            <w:pPr>
              <w:jc w:val="right"/>
              <w:rPr>
                <w:rFonts w:ascii="Arial" w:hAnsi="Arial" w:cs="Arial"/>
                <w:szCs w:val="24"/>
              </w:rPr>
            </w:pPr>
          </w:p>
        </w:tc>
        <w:tc>
          <w:tcPr>
            <w:tcW w:w="704" w:type="dxa"/>
          </w:tcPr>
          <w:p w14:paraId="0F02A6E0" w14:textId="77777777" w:rsidR="00732D03" w:rsidRPr="00732D03" w:rsidRDefault="00732D03" w:rsidP="00B172CC">
            <w:pPr>
              <w:jc w:val="right"/>
              <w:rPr>
                <w:rFonts w:ascii="Arial" w:hAnsi="Arial" w:cs="Arial"/>
                <w:szCs w:val="24"/>
              </w:rPr>
            </w:pPr>
          </w:p>
        </w:tc>
        <w:tc>
          <w:tcPr>
            <w:tcW w:w="704" w:type="dxa"/>
          </w:tcPr>
          <w:p w14:paraId="73C893D2" w14:textId="77777777" w:rsidR="00732D03" w:rsidRPr="00732D03" w:rsidRDefault="00732D03" w:rsidP="00B172CC">
            <w:pPr>
              <w:jc w:val="right"/>
              <w:rPr>
                <w:rFonts w:ascii="Arial" w:hAnsi="Arial" w:cs="Arial"/>
                <w:szCs w:val="24"/>
              </w:rPr>
            </w:pPr>
          </w:p>
        </w:tc>
      </w:tr>
      <w:tr w:rsidR="00732D03" w:rsidRPr="00732D03" w14:paraId="47994E0C" w14:textId="77777777" w:rsidTr="00B172CC">
        <w:trPr>
          <w:trHeight w:val="311"/>
        </w:trPr>
        <w:tc>
          <w:tcPr>
            <w:tcW w:w="3261" w:type="dxa"/>
            <w:tcBorders>
              <w:top w:val="nil"/>
              <w:left w:val="nil"/>
              <w:bottom w:val="single" w:sz="8" w:space="0" w:color="auto"/>
              <w:right w:val="nil"/>
            </w:tcBorders>
            <w:tcMar>
              <w:top w:w="0" w:type="dxa"/>
              <w:left w:w="108" w:type="dxa"/>
              <w:bottom w:w="0" w:type="dxa"/>
              <w:right w:w="108" w:type="dxa"/>
            </w:tcMar>
            <w:hideMark/>
          </w:tcPr>
          <w:p w14:paraId="3EF42CB1" w14:textId="77777777" w:rsidR="00732D03" w:rsidRPr="00732D03" w:rsidRDefault="00732D03" w:rsidP="00B172CC">
            <w:pPr>
              <w:rPr>
                <w:rFonts w:ascii="Arial" w:hAnsi="Arial" w:cs="Arial"/>
                <w:szCs w:val="24"/>
              </w:rPr>
            </w:pPr>
            <w:r w:rsidRPr="00732D03">
              <w:rPr>
                <w:rFonts w:ascii="Arial" w:hAnsi="Arial" w:cs="Arial"/>
                <w:szCs w:val="24"/>
              </w:rPr>
              <w:t>Prior year tax adjustments</w:t>
            </w:r>
          </w:p>
        </w:tc>
        <w:tc>
          <w:tcPr>
            <w:tcW w:w="1295" w:type="dxa"/>
            <w:tcBorders>
              <w:top w:val="nil"/>
              <w:left w:val="nil"/>
              <w:bottom w:val="single" w:sz="8" w:space="0" w:color="auto"/>
              <w:right w:val="nil"/>
            </w:tcBorders>
            <w:tcMar>
              <w:top w:w="0" w:type="dxa"/>
              <w:left w:w="108" w:type="dxa"/>
              <w:bottom w:w="0" w:type="dxa"/>
              <w:right w:w="108" w:type="dxa"/>
            </w:tcMar>
          </w:tcPr>
          <w:p w14:paraId="38635C71" w14:textId="77777777" w:rsidR="00732D03" w:rsidRPr="00732D03" w:rsidRDefault="00732D03" w:rsidP="00B172CC">
            <w:pPr>
              <w:jc w:val="right"/>
              <w:rPr>
                <w:rFonts w:ascii="Arial" w:hAnsi="Arial" w:cs="Arial"/>
                <w:b/>
                <w:bCs/>
                <w:szCs w:val="24"/>
              </w:rPr>
            </w:pPr>
          </w:p>
        </w:tc>
        <w:tc>
          <w:tcPr>
            <w:tcW w:w="953" w:type="dxa"/>
            <w:tcBorders>
              <w:top w:val="nil"/>
              <w:left w:val="nil"/>
              <w:bottom w:val="single" w:sz="8" w:space="0" w:color="auto"/>
              <w:right w:val="nil"/>
            </w:tcBorders>
            <w:tcMar>
              <w:top w:w="0" w:type="dxa"/>
              <w:left w:w="108" w:type="dxa"/>
              <w:bottom w:w="0" w:type="dxa"/>
              <w:right w:w="108" w:type="dxa"/>
            </w:tcMar>
            <w:hideMark/>
          </w:tcPr>
          <w:p w14:paraId="56DE223B" w14:textId="77777777" w:rsidR="00732D03" w:rsidRPr="00732D03" w:rsidRDefault="00732D03" w:rsidP="00B172CC">
            <w:pPr>
              <w:jc w:val="right"/>
              <w:rPr>
                <w:rFonts w:ascii="Arial" w:hAnsi="Arial" w:cs="Arial"/>
                <w:b/>
                <w:szCs w:val="24"/>
              </w:rPr>
            </w:pPr>
            <w:r w:rsidRPr="00732D03">
              <w:rPr>
                <w:rFonts w:ascii="Arial" w:hAnsi="Arial" w:cs="Arial"/>
                <w:b/>
                <w:szCs w:val="24"/>
              </w:rPr>
              <w:t>(4)</w:t>
            </w:r>
          </w:p>
        </w:tc>
        <w:tc>
          <w:tcPr>
            <w:tcW w:w="1015" w:type="dxa"/>
            <w:tcBorders>
              <w:top w:val="nil"/>
              <w:left w:val="nil"/>
              <w:bottom w:val="single" w:sz="8" w:space="0" w:color="auto"/>
              <w:right w:val="nil"/>
            </w:tcBorders>
            <w:tcMar>
              <w:top w:w="0" w:type="dxa"/>
              <w:left w:w="108" w:type="dxa"/>
              <w:bottom w:w="0" w:type="dxa"/>
              <w:right w:w="108" w:type="dxa"/>
            </w:tcMar>
          </w:tcPr>
          <w:p w14:paraId="22D420B4" w14:textId="77777777" w:rsidR="00732D03" w:rsidRPr="00732D03" w:rsidRDefault="00732D03" w:rsidP="00B172CC">
            <w:pPr>
              <w:jc w:val="right"/>
              <w:rPr>
                <w:rFonts w:ascii="Arial" w:hAnsi="Arial" w:cs="Arial"/>
                <w:b/>
                <w:bCs/>
                <w:szCs w:val="24"/>
              </w:rPr>
            </w:pPr>
          </w:p>
        </w:tc>
        <w:tc>
          <w:tcPr>
            <w:tcW w:w="969" w:type="dxa"/>
            <w:tcBorders>
              <w:top w:val="nil"/>
              <w:left w:val="nil"/>
              <w:bottom w:val="single" w:sz="8" w:space="0" w:color="auto"/>
              <w:right w:val="nil"/>
            </w:tcBorders>
          </w:tcPr>
          <w:p w14:paraId="3EF7691D" w14:textId="77777777" w:rsidR="00732D03" w:rsidRPr="00732D03" w:rsidRDefault="00732D03" w:rsidP="00B172CC">
            <w:pPr>
              <w:jc w:val="right"/>
              <w:rPr>
                <w:rFonts w:ascii="Arial" w:hAnsi="Arial" w:cs="Arial"/>
                <w:bCs/>
                <w:szCs w:val="24"/>
              </w:rPr>
            </w:pPr>
          </w:p>
        </w:tc>
        <w:tc>
          <w:tcPr>
            <w:tcW w:w="1012" w:type="dxa"/>
            <w:tcBorders>
              <w:top w:val="nil"/>
              <w:left w:val="nil"/>
              <w:bottom w:val="single" w:sz="8" w:space="0" w:color="auto"/>
              <w:right w:val="nil"/>
            </w:tcBorders>
            <w:tcMar>
              <w:top w:w="0" w:type="dxa"/>
              <w:left w:w="108" w:type="dxa"/>
              <w:bottom w:w="0" w:type="dxa"/>
              <w:right w:w="108" w:type="dxa"/>
            </w:tcMar>
          </w:tcPr>
          <w:p w14:paraId="34886191" w14:textId="665DF863" w:rsidR="00732D03" w:rsidRPr="00732D03" w:rsidRDefault="00F02D73" w:rsidP="00B172CC">
            <w:pPr>
              <w:jc w:val="right"/>
              <w:rPr>
                <w:rFonts w:ascii="Arial" w:hAnsi="Arial" w:cs="Arial"/>
                <w:bCs/>
                <w:szCs w:val="24"/>
              </w:rPr>
            </w:pPr>
            <w:r>
              <w:rPr>
                <w:rFonts w:ascii="Arial" w:hAnsi="Arial" w:cs="Arial"/>
                <w:bCs/>
                <w:szCs w:val="24"/>
              </w:rPr>
              <w:t>-</w:t>
            </w:r>
          </w:p>
        </w:tc>
        <w:tc>
          <w:tcPr>
            <w:tcW w:w="1162" w:type="dxa"/>
            <w:tcBorders>
              <w:top w:val="nil"/>
              <w:left w:val="nil"/>
              <w:bottom w:val="single" w:sz="8" w:space="0" w:color="auto"/>
              <w:right w:val="nil"/>
            </w:tcBorders>
          </w:tcPr>
          <w:p w14:paraId="6F13BDF5" w14:textId="77777777" w:rsidR="00732D03" w:rsidRPr="00732D03" w:rsidRDefault="00732D03" w:rsidP="00B172CC">
            <w:pPr>
              <w:jc w:val="right"/>
              <w:rPr>
                <w:rFonts w:ascii="Arial" w:hAnsi="Arial" w:cs="Arial"/>
                <w:bCs/>
                <w:szCs w:val="24"/>
              </w:rPr>
            </w:pPr>
          </w:p>
        </w:tc>
        <w:tc>
          <w:tcPr>
            <w:tcW w:w="704" w:type="dxa"/>
            <w:tcBorders>
              <w:top w:val="nil"/>
              <w:left w:val="nil"/>
              <w:right w:val="nil"/>
            </w:tcBorders>
          </w:tcPr>
          <w:p w14:paraId="636B4861" w14:textId="77777777" w:rsidR="00732D03" w:rsidRPr="00732D03" w:rsidRDefault="00732D03" w:rsidP="00B172CC">
            <w:pPr>
              <w:jc w:val="right"/>
              <w:rPr>
                <w:rFonts w:ascii="Arial" w:hAnsi="Arial" w:cs="Arial"/>
                <w:szCs w:val="24"/>
              </w:rPr>
            </w:pPr>
          </w:p>
        </w:tc>
        <w:tc>
          <w:tcPr>
            <w:tcW w:w="704" w:type="dxa"/>
            <w:tcBorders>
              <w:top w:val="nil"/>
              <w:left w:val="nil"/>
              <w:right w:val="nil"/>
            </w:tcBorders>
          </w:tcPr>
          <w:p w14:paraId="25C48C21" w14:textId="77777777" w:rsidR="00732D03" w:rsidRPr="00732D03" w:rsidRDefault="00732D03" w:rsidP="00B172CC">
            <w:pPr>
              <w:jc w:val="right"/>
              <w:rPr>
                <w:rFonts w:ascii="Arial" w:hAnsi="Arial" w:cs="Arial"/>
                <w:szCs w:val="24"/>
              </w:rPr>
            </w:pPr>
          </w:p>
        </w:tc>
        <w:tc>
          <w:tcPr>
            <w:tcW w:w="704" w:type="dxa"/>
            <w:tcBorders>
              <w:top w:val="nil"/>
              <w:left w:val="nil"/>
              <w:bottom w:val="single" w:sz="8" w:space="0" w:color="auto"/>
              <w:right w:val="nil"/>
            </w:tcBorders>
          </w:tcPr>
          <w:p w14:paraId="00408E22" w14:textId="77777777" w:rsidR="00732D03" w:rsidRPr="00732D03" w:rsidRDefault="00732D03" w:rsidP="00B172CC">
            <w:pPr>
              <w:jc w:val="right"/>
              <w:rPr>
                <w:rFonts w:ascii="Arial" w:hAnsi="Arial" w:cs="Arial"/>
                <w:szCs w:val="24"/>
              </w:rPr>
            </w:pPr>
          </w:p>
        </w:tc>
      </w:tr>
      <w:tr w:rsidR="00732D03" w:rsidRPr="00240196" w14:paraId="492FC9E1" w14:textId="77777777" w:rsidTr="00B172CC">
        <w:trPr>
          <w:trHeight w:val="329"/>
        </w:trPr>
        <w:tc>
          <w:tcPr>
            <w:tcW w:w="3261" w:type="dxa"/>
            <w:tcBorders>
              <w:top w:val="nil"/>
              <w:left w:val="nil"/>
              <w:bottom w:val="single" w:sz="8" w:space="0" w:color="auto"/>
              <w:right w:val="nil"/>
            </w:tcBorders>
            <w:tcMar>
              <w:top w:w="0" w:type="dxa"/>
              <w:left w:w="108" w:type="dxa"/>
              <w:bottom w:w="0" w:type="dxa"/>
              <w:right w:w="108" w:type="dxa"/>
            </w:tcMar>
            <w:hideMark/>
          </w:tcPr>
          <w:p w14:paraId="5F53F5D4" w14:textId="77777777" w:rsidR="00732D03" w:rsidRPr="00732D03" w:rsidRDefault="00732D03" w:rsidP="00B172CC">
            <w:pPr>
              <w:rPr>
                <w:rFonts w:ascii="Arial" w:hAnsi="Arial" w:cs="Arial"/>
                <w:b/>
                <w:bCs/>
                <w:szCs w:val="24"/>
              </w:rPr>
            </w:pPr>
            <w:r w:rsidRPr="00732D03">
              <w:rPr>
                <w:rFonts w:ascii="Arial" w:hAnsi="Arial" w:cs="Arial"/>
                <w:b/>
                <w:bCs/>
                <w:szCs w:val="24"/>
              </w:rPr>
              <w:t>Overall tax rate</w:t>
            </w:r>
          </w:p>
        </w:tc>
        <w:tc>
          <w:tcPr>
            <w:tcW w:w="1295" w:type="dxa"/>
            <w:tcBorders>
              <w:top w:val="nil"/>
              <w:left w:val="nil"/>
              <w:bottom w:val="single" w:sz="8" w:space="0" w:color="auto"/>
              <w:right w:val="nil"/>
            </w:tcBorders>
            <w:tcMar>
              <w:top w:w="0" w:type="dxa"/>
              <w:left w:w="108" w:type="dxa"/>
              <w:bottom w:w="0" w:type="dxa"/>
              <w:right w:w="108" w:type="dxa"/>
            </w:tcMar>
            <w:hideMark/>
          </w:tcPr>
          <w:p w14:paraId="330ABB94" w14:textId="775ACF8D" w:rsidR="00732D03" w:rsidRPr="00732D03" w:rsidRDefault="00732D03" w:rsidP="00B172CC">
            <w:pPr>
              <w:jc w:val="right"/>
              <w:rPr>
                <w:rFonts w:ascii="Arial" w:hAnsi="Arial" w:cs="Arial"/>
                <w:b/>
                <w:bCs/>
                <w:szCs w:val="24"/>
              </w:rPr>
            </w:pPr>
            <w:r w:rsidRPr="00732D03">
              <w:rPr>
                <w:rFonts w:ascii="Arial" w:hAnsi="Arial" w:cs="Arial"/>
                <w:b/>
                <w:bCs/>
                <w:szCs w:val="24"/>
              </w:rPr>
              <w:t>24</w:t>
            </w:r>
            <w:r w:rsidR="00365C0E">
              <w:rPr>
                <w:rFonts w:ascii="Arial" w:hAnsi="Arial" w:cs="Arial"/>
                <w:b/>
                <w:bCs/>
                <w:szCs w:val="24"/>
              </w:rPr>
              <w:t>5</w:t>
            </w:r>
          </w:p>
        </w:tc>
        <w:tc>
          <w:tcPr>
            <w:tcW w:w="953" w:type="dxa"/>
            <w:tcBorders>
              <w:top w:val="nil"/>
              <w:left w:val="nil"/>
              <w:bottom w:val="single" w:sz="8" w:space="0" w:color="auto"/>
              <w:right w:val="nil"/>
            </w:tcBorders>
            <w:tcMar>
              <w:top w:w="0" w:type="dxa"/>
              <w:left w:w="108" w:type="dxa"/>
              <w:bottom w:w="0" w:type="dxa"/>
              <w:right w:w="108" w:type="dxa"/>
            </w:tcMar>
            <w:hideMark/>
          </w:tcPr>
          <w:p w14:paraId="3DCAF661" w14:textId="77777777" w:rsidR="00732D03" w:rsidRPr="00732D03" w:rsidRDefault="00732D03" w:rsidP="00B172CC">
            <w:pPr>
              <w:jc w:val="right"/>
              <w:rPr>
                <w:rFonts w:ascii="Arial" w:hAnsi="Arial" w:cs="Arial"/>
                <w:b/>
                <w:bCs/>
                <w:szCs w:val="24"/>
              </w:rPr>
            </w:pPr>
            <w:r w:rsidRPr="00732D03">
              <w:rPr>
                <w:rFonts w:ascii="Arial" w:hAnsi="Arial" w:cs="Arial"/>
                <w:b/>
                <w:bCs/>
                <w:szCs w:val="24"/>
              </w:rPr>
              <w:t>(74)</w:t>
            </w:r>
          </w:p>
        </w:tc>
        <w:tc>
          <w:tcPr>
            <w:tcW w:w="1015" w:type="dxa"/>
            <w:tcBorders>
              <w:top w:val="nil"/>
              <w:left w:val="nil"/>
              <w:bottom w:val="single" w:sz="8" w:space="0" w:color="auto"/>
              <w:right w:val="nil"/>
            </w:tcBorders>
            <w:tcMar>
              <w:top w:w="0" w:type="dxa"/>
              <w:left w:w="108" w:type="dxa"/>
              <w:bottom w:w="0" w:type="dxa"/>
              <w:right w:w="108" w:type="dxa"/>
            </w:tcMar>
            <w:hideMark/>
          </w:tcPr>
          <w:p w14:paraId="2E5ACA5F" w14:textId="77777777" w:rsidR="00732D03" w:rsidRPr="00732D03" w:rsidRDefault="00732D03" w:rsidP="00B172CC">
            <w:pPr>
              <w:jc w:val="right"/>
              <w:rPr>
                <w:rFonts w:ascii="Arial" w:hAnsi="Arial" w:cs="Arial"/>
                <w:b/>
                <w:bCs/>
                <w:szCs w:val="24"/>
              </w:rPr>
            </w:pPr>
            <w:r w:rsidRPr="00732D03">
              <w:rPr>
                <w:rFonts w:ascii="Arial" w:hAnsi="Arial" w:cs="Arial"/>
                <w:b/>
                <w:bCs/>
                <w:szCs w:val="24"/>
              </w:rPr>
              <w:t>30%</w:t>
            </w:r>
          </w:p>
        </w:tc>
        <w:tc>
          <w:tcPr>
            <w:tcW w:w="969" w:type="dxa"/>
            <w:tcBorders>
              <w:top w:val="nil"/>
              <w:left w:val="nil"/>
              <w:bottom w:val="single" w:sz="8" w:space="0" w:color="auto"/>
              <w:right w:val="nil"/>
            </w:tcBorders>
          </w:tcPr>
          <w:p w14:paraId="6C125DE6" w14:textId="5A97DE8A" w:rsidR="00732D03" w:rsidRPr="00732D03" w:rsidRDefault="00732D03" w:rsidP="00B172CC">
            <w:pPr>
              <w:jc w:val="right"/>
              <w:rPr>
                <w:rFonts w:ascii="Arial" w:hAnsi="Arial" w:cs="Arial"/>
                <w:bCs/>
                <w:szCs w:val="24"/>
              </w:rPr>
            </w:pPr>
            <w:r w:rsidRPr="00732D03">
              <w:rPr>
                <w:rFonts w:ascii="Arial" w:hAnsi="Arial" w:cs="Arial"/>
                <w:bCs/>
                <w:szCs w:val="24"/>
              </w:rPr>
              <w:t>28</w:t>
            </w:r>
            <w:r w:rsidR="00F02D73">
              <w:rPr>
                <w:rFonts w:ascii="Arial" w:hAnsi="Arial" w:cs="Arial"/>
                <w:bCs/>
                <w:szCs w:val="24"/>
              </w:rPr>
              <w:t>0</w:t>
            </w:r>
          </w:p>
        </w:tc>
        <w:tc>
          <w:tcPr>
            <w:tcW w:w="1012" w:type="dxa"/>
            <w:tcBorders>
              <w:top w:val="nil"/>
              <w:left w:val="nil"/>
              <w:bottom w:val="single" w:sz="8" w:space="0" w:color="auto"/>
              <w:right w:val="nil"/>
            </w:tcBorders>
            <w:tcMar>
              <w:top w:w="0" w:type="dxa"/>
              <w:left w:w="108" w:type="dxa"/>
              <w:bottom w:w="0" w:type="dxa"/>
              <w:right w:w="108" w:type="dxa"/>
            </w:tcMar>
            <w:hideMark/>
          </w:tcPr>
          <w:p w14:paraId="17A93406" w14:textId="77777777" w:rsidR="00732D03" w:rsidRPr="00732D03" w:rsidRDefault="00732D03" w:rsidP="00B172CC">
            <w:pPr>
              <w:jc w:val="right"/>
              <w:rPr>
                <w:rFonts w:ascii="Arial" w:hAnsi="Arial" w:cs="Arial"/>
                <w:bCs/>
                <w:szCs w:val="24"/>
              </w:rPr>
            </w:pPr>
            <w:r w:rsidRPr="00732D03">
              <w:rPr>
                <w:rFonts w:ascii="Arial" w:hAnsi="Arial" w:cs="Arial"/>
                <w:bCs/>
                <w:szCs w:val="24"/>
              </w:rPr>
              <w:t>(74)</w:t>
            </w:r>
          </w:p>
        </w:tc>
        <w:tc>
          <w:tcPr>
            <w:tcW w:w="1162" w:type="dxa"/>
            <w:tcBorders>
              <w:top w:val="nil"/>
              <w:left w:val="nil"/>
              <w:bottom w:val="single" w:sz="8" w:space="0" w:color="auto"/>
              <w:right w:val="nil"/>
            </w:tcBorders>
          </w:tcPr>
          <w:p w14:paraId="513D7A35" w14:textId="77777777" w:rsidR="00732D03" w:rsidRPr="00240196" w:rsidRDefault="00732D03" w:rsidP="00B172CC">
            <w:pPr>
              <w:jc w:val="right"/>
              <w:rPr>
                <w:rFonts w:ascii="Arial" w:hAnsi="Arial" w:cs="Arial"/>
                <w:bCs/>
                <w:szCs w:val="24"/>
              </w:rPr>
            </w:pPr>
            <w:r w:rsidRPr="00732D03">
              <w:rPr>
                <w:rFonts w:ascii="Arial" w:hAnsi="Arial" w:cs="Arial"/>
                <w:bCs/>
                <w:szCs w:val="24"/>
              </w:rPr>
              <w:t>26%</w:t>
            </w:r>
          </w:p>
        </w:tc>
        <w:tc>
          <w:tcPr>
            <w:tcW w:w="704" w:type="dxa"/>
            <w:tcBorders>
              <w:top w:val="nil"/>
              <w:left w:val="nil"/>
              <w:right w:val="nil"/>
            </w:tcBorders>
          </w:tcPr>
          <w:p w14:paraId="3E862DA7" w14:textId="77777777" w:rsidR="00732D03" w:rsidRPr="00240196" w:rsidRDefault="00732D03" w:rsidP="00B172CC">
            <w:pPr>
              <w:jc w:val="right"/>
              <w:rPr>
                <w:rFonts w:ascii="Arial" w:hAnsi="Arial" w:cs="Arial"/>
                <w:b/>
                <w:bCs/>
                <w:szCs w:val="24"/>
              </w:rPr>
            </w:pPr>
          </w:p>
        </w:tc>
        <w:tc>
          <w:tcPr>
            <w:tcW w:w="704" w:type="dxa"/>
            <w:tcBorders>
              <w:top w:val="nil"/>
              <w:left w:val="nil"/>
              <w:right w:val="nil"/>
            </w:tcBorders>
          </w:tcPr>
          <w:p w14:paraId="3C9236CF" w14:textId="77777777" w:rsidR="00732D03" w:rsidRPr="00240196" w:rsidRDefault="00732D03" w:rsidP="00B172CC">
            <w:pPr>
              <w:jc w:val="right"/>
              <w:rPr>
                <w:rFonts w:ascii="Arial" w:hAnsi="Arial" w:cs="Arial"/>
                <w:b/>
                <w:bCs/>
                <w:szCs w:val="24"/>
              </w:rPr>
            </w:pPr>
          </w:p>
        </w:tc>
        <w:tc>
          <w:tcPr>
            <w:tcW w:w="704" w:type="dxa"/>
            <w:tcBorders>
              <w:top w:val="nil"/>
              <w:left w:val="nil"/>
              <w:bottom w:val="single" w:sz="8" w:space="0" w:color="auto"/>
              <w:right w:val="nil"/>
            </w:tcBorders>
          </w:tcPr>
          <w:p w14:paraId="504D868E" w14:textId="77777777" w:rsidR="00732D03" w:rsidRPr="00240196" w:rsidRDefault="00732D03" w:rsidP="00B172CC">
            <w:pPr>
              <w:jc w:val="right"/>
              <w:rPr>
                <w:rFonts w:ascii="Arial" w:hAnsi="Arial" w:cs="Arial"/>
                <w:b/>
                <w:bCs/>
                <w:szCs w:val="24"/>
              </w:rPr>
            </w:pPr>
          </w:p>
        </w:tc>
      </w:tr>
    </w:tbl>
    <w:p w14:paraId="4960A3D7" w14:textId="77777777" w:rsidR="00732D03" w:rsidRPr="00240196" w:rsidRDefault="00732D03" w:rsidP="00732D03">
      <w:pPr>
        <w:rPr>
          <w:rFonts w:ascii="Arial" w:hAnsi="Arial" w:cs="Arial"/>
          <w:sz w:val="24"/>
          <w:szCs w:val="24"/>
        </w:rPr>
      </w:pPr>
    </w:p>
    <w:p w14:paraId="1B7A468D" w14:textId="77777777" w:rsidR="00732D03" w:rsidRPr="00240196" w:rsidRDefault="00732D03" w:rsidP="00732D03">
      <w:pPr>
        <w:jc w:val="left"/>
        <w:rPr>
          <w:rFonts w:ascii="Arial" w:hAnsi="Arial" w:cs="Arial"/>
          <w:szCs w:val="24"/>
        </w:rPr>
      </w:pPr>
      <w:r w:rsidRPr="00240196">
        <w:rPr>
          <w:rFonts w:ascii="Arial" w:hAnsi="Arial" w:cs="Arial"/>
          <w:szCs w:val="24"/>
        </w:rPr>
        <w:t>The statutory rates for the Group’s main operating companies during FY 2019/20 are:</w:t>
      </w:r>
    </w:p>
    <w:p w14:paraId="3CF141BA" w14:textId="77777777" w:rsidR="00732D03" w:rsidRPr="00240196" w:rsidRDefault="00732D03" w:rsidP="00732D03">
      <w:pPr>
        <w:pStyle w:val="ListParagraph"/>
        <w:numPr>
          <w:ilvl w:val="0"/>
          <w:numId w:val="6"/>
        </w:numPr>
        <w:contextualSpacing/>
        <w:jc w:val="left"/>
        <w:rPr>
          <w:rFonts w:ascii="Arial" w:hAnsi="Arial" w:cs="Arial"/>
          <w:szCs w:val="24"/>
        </w:rPr>
      </w:pPr>
      <w:r w:rsidRPr="00240196">
        <w:rPr>
          <w:rFonts w:ascii="Arial" w:hAnsi="Arial" w:cs="Arial"/>
          <w:szCs w:val="24"/>
        </w:rPr>
        <w:t>UK: 19%</w:t>
      </w:r>
    </w:p>
    <w:p w14:paraId="0E734062" w14:textId="77777777" w:rsidR="00732D03" w:rsidRPr="00240196" w:rsidRDefault="00732D03" w:rsidP="00732D03">
      <w:pPr>
        <w:pStyle w:val="ListParagraph"/>
        <w:numPr>
          <w:ilvl w:val="0"/>
          <w:numId w:val="6"/>
        </w:numPr>
        <w:contextualSpacing/>
        <w:jc w:val="left"/>
        <w:rPr>
          <w:rFonts w:ascii="Arial" w:hAnsi="Arial" w:cs="Arial"/>
          <w:szCs w:val="24"/>
        </w:rPr>
      </w:pPr>
      <w:r w:rsidRPr="00240196">
        <w:rPr>
          <w:rFonts w:ascii="Arial" w:hAnsi="Arial" w:cs="Arial"/>
          <w:szCs w:val="24"/>
        </w:rPr>
        <w:t>France: 34.43%</w:t>
      </w:r>
    </w:p>
    <w:p w14:paraId="7679B1D6" w14:textId="77777777" w:rsidR="00732D03" w:rsidRPr="00240196" w:rsidRDefault="00732D03" w:rsidP="00732D03">
      <w:pPr>
        <w:pStyle w:val="ListParagraph"/>
        <w:numPr>
          <w:ilvl w:val="0"/>
          <w:numId w:val="6"/>
        </w:numPr>
        <w:contextualSpacing/>
        <w:jc w:val="left"/>
        <w:rPr>
          <w:rFonts w:ascii="Arial" w:hAnsi="Arial" w:cs="Arial"/>
          <w:szCs w:val="24"/>
        </w:rPr>
      </w:pPr>
      <w:r w:rsidRPr="00240196">
        <w:rPr>
          <w:rFonts w:ascii="Arial" w:hAnsi="Arial" w:cs="Arial"/>
          <w:szCs w:val="24"/>
        </w:rPr>
        <w:t>Poland: 19%</w:t>
      </w:r>
    </w:p>
    <w:p w14:paraId="35A84E76" w14:textId="77777777" w:rsidR="00732D03" w:rsidRPr="00240196" w:rsidRDefault="00732D03" w:rsidP="00732D03">
      <w:pPr>
        <w:pStyle w:val="ListParagraph"/>
        <w:ind w:left="360"/>
        <w:contextualSpacing/>
        <w:jc w:val="left"/>
        <w:rPr>
          <w:rFonts w:ascii="Arial" w:hAnsi="Arial" w:cs="Arial"/>
          <w:szCs w:val="24"/>
        </w:rPr>
      </w:pPr>
    </w:p>
    <w:p w14:paraId="14D6D81E" w14:textId="77777777" w:rsidR="00732D03" w:rsidRPr="00240196" w:rsidRDefault="00732D03" w:rsidP="00732D03">
      <w:pPr>
        <w:jc w:val="left"/>
        <w:rPr>
          <w:rFonts w:ascii="Arial" w:hAnsi="Arial" w:cs="Arial"/>
          <w:szCs w:val="24"/>
        </w:rPr>
      </w:pPr>
      <w:r w:rsidRPr="00240196">
        <w:rPr>
          <w:rFonts w:ascii="Arial" w:hAnsi="Arial" w:cs="Arial"/>
          <w:szCs w:val="24"/>
        </w:rPr>
        <w:t>The Group’s adjusted effective tax rate is sensitive to the blend of tax rates and profits in the Group’s various jurisdictions. The adjusted effective tax rate is higher than the UK statutory rate because of the amount of Group profit that is earned in higher tax jurisdictions.</w:t>
      </w:r>
    </w:p>
    <w:p w14:paraId="112DA2CF" w14:textId="77777777" w:rsidR="00732D03" w:rsidRPr="00C16392" w:rsidRDefault="00732D03" w:rsidP="00732D03">
      <w:pPr>
        <w:jc w:val="left"/>
        <w:rPr>
          <w:rFonts w:ascii="Arial" w:hAnsi="Arial" w:cs="Arial"/>
          <w:szCs w:val="24"/>
          <w:highlight w:val="yellow"/>
        </w:rPr>
      </w:pPr>
    </w:p>
    <w:bookmarkEnd w:id="45"/>
    <w:p w14:paraId="4E4DBEF1" w14:textId="3DF3EFEF" w:rsidR="00421A9F" w:rsidRPr="00283413" w:rsidRDefault="00773A54" w:rsidP="001064D3">
      <w:pPr>
        <w:spacing w:after="200"/>
        <w:contextualSpacing/>
        <w:jc w:val="left"/>
        <w:rPr>
          <w:rFonts w:ascii="Arial" w:hAnsi="Arial" w:cs="Arial"/>
          <w:szCs w:val="24"/>
        </w:rPr>
      </w:pPr>
      <w:r w:rsidRPr="00283413">
        <w:rPr>
          <w:rFonts w:ascii="Arial" w:hAnsi="Arial" w:cs="Arial"/>
          <w:b/>
          <w:szCs w:val="24"/>
        </w:rPr>
        <w:t>Underlying basic earnings</w:t>
      </w:r>
      <w:r w:rsidRPr="00283413">
        <w:rPr>
          <w:rFonts w:ascii="Arial" w:hAnsi="Arial" w:cs="Arial"/>
          <w:szCs w:val="24"/>
        </w:rPr>
        <w:t xml:space="preserve"> </w:t>
      </w:r>
      <w:r w:rsidRPr="00283413">
        <w:rPr>
          <w:rFonts w:ascii="Arial" w:hAnsi="Arial" w:cs="Arial"/>
          <w:b/>
          <w:szCs w:val="24"/>
        </w:rPr>
        <w:t xml:space="preserve">per share </w:t>
      </w:r>
      <w:r w:rsidR="005B7D1A" w:rsidRPr="00283413">
        <w:rPr>
          <w:rFonts w:ascii="Arial" w:hAnsi="Arial" w:cs="Arial"/>
          <w:szCs w:val="24"/>
        </w:rPr>
        <w:t xml:space="preserve">decreased </w:t>
      </w:r>
      <w:r w:rsidR="00664BEF" w:rsidRPr="00283413">
        <w:rPr>
          <w:rFonts w:ascii="Arial" w:hAnsi="Arial" w:cs="Arial"/>
          <w:szCs w:val="24"/>
        </w:rPr>
        <w:t xml:space="preserve">by </w:t>
      </w:r>
      <w:r w:rsidR="00AF141B" w:rsidRPr="00AF141B">
        <w:rPr>
          <w:rFonts w:ascii="Arial" w:hAnsi="Arial" w:cs="Arial"/>
          <w:szCs w:val="24"/>
        </w:rPr>
        <w:t>3.</w:t>
      </w:r>
      <w:r w:rsidR="00365C0E">
        <w:rPr>
          <w:rFonts w:ascii="Arial" w:hAnsi="Arial" w:cs="Arial"/>
          <w:szCs w:val="24"/>
        </w:rPr>
        <w:t>9</w:t>
      </w:r>
      <w:r w:rsidR="00664BEF" w:rsidRPr="00AF141B">
        <w:rPr>
          <w:rFonts w:ascii="Arial" w:hAnsi="Arial" w:cs="Arial"/>
          <w:szCs w:val="24"/>
        </w:rPr>
        <w:t>% to</w:t>
      </w:r>
      <w:r w:rsidRPr="00AF141B">
        <w:rPr>
          <w:rFonts w:ascii="Arial" w:hAnsi="Arial" w:cs="Arial"/>
          <w:szCs w:val="24"/>
        </w:rPr>
        <w:t xml:space="preserve"> </w:t>
      </w:r>
      <w:r w:rsidR="00AF141B" w:rsidRPr="00AF141B">
        <w:rPr>
          <w:rFonts w:ascii="Arial" w:hAnsi="Arial" w:cs="Arial"/>
          <w:szCs w:val="24"/>
        </w:rPr>
        <w:t>12.</w:t>
      </w:r>
      <w:r w:rsidR="006A1671">
        <w:rPr>
          <w:rFonts w:ascii="Arial" w:hAnsi="Arial" w:cs="Arial"/>
          <w:szCs w:val="24"/>
        </w:rPr>
        <w:t>3</w:t>
      </w:r>
      <w:r w:rsidR="007D2F1A" w:rsidRPr="00AF141B">
        <w:rPr>
          <w:rFonts w:ascii="Arial" w:hAnsi="Arial" w:cs="Arial"/>
          <w:szCs w:val="24"/>
        </w:rPr>
        <w:t>p</w:t>
      </w:r>
      <w:r w:rsidR="00961B25" w:rsidRPr="00AF141B">
        <w:rPr>
          <w:rFonts w:ascii="Arial" w:hAnsi="Arial" w:cs="Arial"/>
          <w:szCs w:val="24"/>
        </w:rPr>
        <w:t xml:space="preserve"> </w:t>
      </w:r>
      <w:bookmarkStart w:id="47" w:name="_Hlk524974746"/>
      <w:r w:rsidR="00961B25" w:rsidRPr="00AF141B">
        <w:rPr>
          <w:rFonts w:ascii="Arial" w:hAnsi="Arial" w:cs="Arial"/>
          <w:szCs w:val="24"/>
        </w:rPr>
        <w:t>(201</w:t>
      </w:r>
      <w:r w:rsidR="00283413" w:rsidRPr="00AF141B">
        <w:rPr>
          <w:rFonts w:ascii="Arial" w:hAnsi="Arial" w:cs="Arial"/>
          <w:szCs w:val="24"/>
        </w:rPr>
        <w:t>8</w:t>
      </w:r>
      <w:r w:rsidR="00961B25" w:rsidRPr="00AF141B">
        <w:rPr>
          <w:rFonts w:ascii="Arial" w:hAnsi="Arial" w:cs="Arial"/>
          <w:szCs w:val="24"/>
        </w:rPr>
        <w:t>/1</w:t>
      </w:r>
      <w:r w:rsidR="00283413" w:rsidRPr="00AF141B">
        <w:rPr>
          <w:rFonts w:ascii="Arial" w:hAnsi="Arial" w:cs="Arial"/>
          <w:szCs w:val="24"/>
        </w:rPr>
        <w:t>9</w:t>
      </w:r>
      <w:r w:rsidR="002D0435" w:rsidRPr="00AF141B">
        <w:rPr>
          <w:rFonts w:ascii="Arial" w:hAnsi="Arial" w:cs="Arial"/>
          <w:szCs w:val="24"/>
        </w:rPr>
        <w:t>:</w:t>
      </w:r>
      <w:r w:rsidR="00961B25" w:rsidRPr="00AF141B">
        <w:rPr>
          <w:rFonts w:ascii="Arial" w:hAnsi="Arial" w:cs="Arial"/>
          <w:szCs w:val="24"/>
        </w:rPr>
        <w:t xml:space="preserve"> 1</w:t>
      </w:r>
      <w:r w:rsidR="00283413" w:rsidRPr="00AF141B">
        <w:rPr>
          <w:rFonts w:ascii="Arial" w:hAnsi="Arial" w:cs="Arial"/>
          <w:szCs w:val="24"/>
        </w:rPr>
        <w:t>2</w:t>
      </w:r>
      <w:r w:rsidR="00961B25" w:rsidRPr="00AF141B">
        <w:rPr>
          <w:rFonts w:ascii="Arial" w:hAnsi="Arial" w:cs="Arial"/>
          <w:szCs w:val="24"/>
        </w:rPr>
        <w:t>.</w:t>
      </w:r>
      <w:r w:rsidR="00283413" w:rsidRPr="00AF141B">
        <w:rPr>
          <w:rFonts w:ascii="Arial" w:hAnsi="Arial" w:cs="Arial"/>
          <w:szCs w:val="24"/>
        </w:rPr>
        <w:t>8</w:t>
      </w:r>
      <w:r w:rsidR="00961B25" w:rsidRPr="00AF141B">
        <w:rPr>
          <w:rFonts w:ascii="Arial" w:hAnsi="Arial" w:cs="Arial"/>
          <w:szCs w:val="24"/>
        </w:rPr>
        <w:t>p)</w:t>
      </w:r>
      <w:bookmarkEnd w:id="47"/>
      <w:r w:rsidRPr="00283413">
        <w:rPr>
          <w:rFonts w:ascii="Arial" w:hAnsi="Arial" w:cs="Arial"/>
          <w:szCs w:val="24"/>
        </w:rPr>
        <w:t xml:space="preserve">, which excludes the impact of transformation </w:t>
      </w:r>
      <w:r w:rsidR="00AA1225" w:rsidRPr="00283413">
        <w:rPr>
          <w:rFonts w:ascii="Arial" w:hAnsi="Arial" w:cs="Arial"/>
          <w:szCs w:val="24"/>
        </w:rPr>
        <w:t xml:space="preserve">P&amp;L </w:t>
      </w:r>
      <w:r w:rsidRPr="00283413">
        <w:rPr>
          <w:rFonts w:ascii="Arial" w:hAnsi="Arial" w:cs="Arial"/>
          <w:szCs w:val="24"/>
        </w:rPr>
        <w:t>costs</w:t>
      </w:r>
      <w:r w:rsidR="002841D8" w:rsidRPr="00283413">
        <w:rPr>
          <w:rFonts w:ascii="Arial" w:hAnsi="Arial" w:cs="Arial"/>
          <w:szCs w:val="24"/>
        </w:rPr>
        <w:t xml:space="preserve"> and </w:t>
      </w:r>
      <w:r w:rsidRPr="00283413">
        <w:rPr>
          <w:rFonts w:ascii="Arial" w:hAnsi="Arial" w:cs="Arial"/>
          <w:szCs w:val="24"/>
        </w:rPr>
        <w:t>exceptional items and the effect of prior year tax items.</w:t>
      </w:r>
      <w:r w:rsidRPr="00283413">
        <w:rPr>
          <w:rFonts w:ascii="Arial" w:hAnsi="Arial" w:cs="Arial"/>
          <w:b/>
          <w:szCs w:val="24"/>
        </w:rPr>
        <w:t xml:space="preserve"> </w:t>
      </w:r>
      <w:r w:rsidR="003C58D7" w:rsidRPr="00283413">
        <w:rPr>
          <w:rFonts w:ascii="Arial" w:hAnsi="Arial" w:cs="Arial"/>
          <w:b/>
          <w:szCs w:val="24"/>
        </w:rPr>
        <w:t>A</w:t>
      </w:r>
      <w:r w:rsidRPr="00283413">
        <w:rPr>
          <w:rFonts w:ascii="Arial" w:hAnsi="Arial" w:cs="Arial"/>
          <w:b/>
          <w:szCs w:val="24"/>
        </w:rPr>
        <w:t>djusted basic earnings per share</w:t>
      </w:r>
      <w:r w:rsidRPr="00283413">
        <w:rPr>
          <w:rFonts w:ascii="Arial" w:hAnsi="Arial" w:cs="Arial"/>
          <w:szCs w:val="24"/>
        </w:rPr>
        <w:t xml:space="preserve"> </w:t>
      </w:r>
      <w:r w:rsidR="00F02D73">
        <w:rPr>
          <w:rFonts w:ascii="Arial" w:hAnsi="Arial" w:cs="Arial"/>
          <w:szCs w:val="24"/>
        </w:rPr>
        <w:t>in</w:t>
      </w:r>
      <w:r w:rsidR="00224D71" w:rsidRPr="00283413">
        <w:rPr>
          <w:rFonts w:ascii="Arial" w:hAnsi="Arial" w:cs="Arial"/>
          <w:szCs w:val="24"/>
        </w:rPr>
        <w:t xml:space="preserve">creased </w:t>
      </w:r>
      <w:r w:rsidRPr="00283413">
        <w:rPr>
          <w:rFonts w:ascii="Arial" w:hAnsi="Arial" w:cs="Arial"/>
          <w:szCs w:val="24"/>
        </w:rPr>
        <w:t xml:space="preserve">by </w:t>
      </w:r>
      <w:r w:rsidR="006A1671">
        <w:rPr>
          <w:rFonts w:ascii="Arial" w:hAnsi="Arial" w:cs="Arial"/>
          <w:szCs w:val="24"/>
        </w:rPr>
        <w:t>7.3</w:t>
      </w:r>
      <w:r w:rsidR="00AF141B" w:rsidRPr="00507FA4">
        <w:rPr>
          <w:rFonts w:ascii="Arial" w:hAnsi="Arial" w:cs="Arial"/>
          <w:szCs w:val="24"/>
        </w:rPr>
        <w:t>% to 11.</w:t>
      </w:r>
      <w:r w:rsidR="006A1671">
        <w:rPr>
          <w:rFonts w:ascii="Arial" w:hAnsi="Arial" w:cs="Arial"/>
          <w:szCs w:val="24"/>
        </w:rPr>
        <w:t>8</w:t>
      </w:r>
      <w:r w:rsidR="006A1671" w:rsidRPr="00507FA4">
        <w:rPr>
          <w:rFonts w:ascii="Arial" w:hAnsi="Arial" w:cs="Arial"/>
          <w:szCs w:val="24"/>
        </w:rPr>
        <w:t xml:space="preserve">p </w:t>
      </w:r>
      <w:r w:rsidR="00AF141B" w:rsidRPr="00507FA4">
        <w:rPr>
          <w:rFonts w:ascii="Arial" w:hAnsi="Arial" w:cs="Arial"/>
          <w:szCs w:val="24"/>
        </w:rPr>
        <w:t>(201</w:t>
      </w:r>
      <w:r w:rsidR="00AF141B">
        <w:rPr>
          <w:rFonts w:ascii="Arial" w:hAnsi="Arial" w:cs="Arial"/>
          <w:szCs w:val="24"/>
        </w:rPr>
        <w:t>8</w:t>
      </w:r>
      <w:r w:rsidR="00AF141B" w:rsidRPr="00507FA4">
        <w:rPr>
          <w:rFonts w:ascii="Arial" w:hAnsi="Arial" w:cs="Arial"/>
          <w:szCs w:val="24"/>
        </w:rPr>
        <w:t>/1</w:t>
      </w:r>
      <w:r w:rsidR="00AF141B">
        <w:rPr>
          <w:rFonts w:ascii="Arial" w:hAnsi="Arial" w:cs="Arial"/>
          <w:szCs w:val="24"/>
        </w:rPr>
        <w:t>9</w:t>
      </w:r>
      <w:r w:rsidR="00AF141B" w:rsidRPr="00507FA4">
        <w:rPr>
          <w:rFonts w:ascii="Arial" w:hAnsi="Arial" w:cs="Arial"/>
          <w:szCs w:val="24"/>
        </w:rPr>
        <w:t>: 1</w:t>
      </w:r>
      <w:r w:rsidR="00AF141B">
        <w:rPr>
          <w:rFonts w:ascii="Arial" w:hAnsi="Arial" w:cs="Arial"/>
          <w:szCs w:val="24"/>
        </w:rPr>
        <w:t>1</w:t>
      </w:r>
      <w:r w:rsidR="00AF141B" w:rsidRPr="00507FA4">
        <w:rPr>
          <w:rFonts w:ascii="Arial" w:hAnsi="Arial" w:cs="Arial"/>
          <w:szCs w:val="24"/>
        </w:rPr>
        <w:t>.0p)</w:t>
      </w:r>
      <w:r w:rsidR="003C58D7" w:rsidRPr="00283413">
        <w:rPr>
          <w:rFonts w:ascii="Arial" w:hAnsi="Arial" w:cs="Arial"/>
          <w:szCs w:val="24"/>
        </w:rPr>
        <w:t xml:space="preserve">, which excludes </w:t>
      </w:r>
      <w:r w:rsidRPr="00283413">
        <w:rPr>
          <w:rFonts w:ascii="Arial" w:hAnsi="Arial" w:cs="Arial"/>
          <w:szCs w:val="24"/>
        </w:rPr>
        <w:t>the impact of exceptional items</w:t>
      </w:r>
      <w:r w:rsidR="003C58D7" w:rsidRPr="00283413">
        <w:rPr>
          <w:rFonts w:ascii="Arial" w:hAnsi="Arial" w:cs="Arial"/>
          <w:szCs w:val="24"/>
        </w:rPr>
        <w:t xml:space="preserve"> </w:t>
      </w:r>
      <w:r w:rsidRPr="00283413">
        <w:rPr>
          <w:rFonts w:ascii="Arial" w:hAnsi="Arial" w:cs="Arial"/>
          <w:szCs w:val="24"/>
        </w:rPr>
        <w:t>and prior year tax items</w:t>
      </w:r>
      <w:r w:rsidR="008372B5" w:rsidRPr="00283413">
        <w:rPr>
          <w:rFonts w:ascii="Arial" w:hAnsi="Arial" w:cs="Arial"/>
          <w:szCs w:val="24"/>
        </w:rPr>
        <w:t>.</w:t>
      </w:r>
      <w:r w:rsidRPr="00283413">
        <w:rPr>
          <w:rFonts w:ascii="Arial" w:hAnsi="Arial" w:cs="Arial"/>
          <w:szCs w:val="24"/>
        </w:rPr>
        <w:t xml:space="preserve"> </w:t>
      </w:r>
      <w:r w:rsidR="008372B5" w:rsidRPr="00283413">
        <w:rPr>
          <w:rFonts w:ascii="Arial" w:hAnsi="Arial" w:cs="Arial"/>
          <w:b/>
          <w:szCs w:val="24"/>
        </w:rPr>
        <w:t>B</w:t>
      </w:r>
      <w:r w:rsidRPr="00283413">
        <w:rPr>
          <w:rFonts w:ascii="Arial" w:hAnsi="Arial" w:cs="Arial"/>
          <w:b/>
          <w:szCs w:val="24"/>
        </w:rPr>
        <w:t>asic earnings per share</w:t>
      </w:r>
      <w:r w:rsidRPr="00283413">
        <w:rPr>
          <w:rFonts w:ascii="Arial" w:hAnsi="Arial" w:cs="Arial"/>
          <w:szCs w:val="24"/>
        </w:rPr>
        <w:t xml:space="preserve"> </w:t>
      </w:r>
      <w:r w:rsidR="00224D71" w:rsidRPr="00283413">
        <w:rPr>
          <w:rFonts w:ascii="Arial" w:hAnsi="Arial" w:cs="Arial"/>
          <w:szCs w:val="24"/>
        </w:rPr>
        <w:t xml:space="preserve">decreased </w:t>
      </w:r>
      <w:r w:rsidRPr="00283413">
        <w:rPr>
          <w:rFonts w:ascii="Arial" w:hAnsi="Arial" w:cs="Arial"/>
          <w:szCs w:val="24"/>
        </w:rPr>
        <w:t xml:space="preserve">by </w:t>
      </w:r>
      <w:r w:rsidR="006A1671">
        <w:rPr>
          <w:rFonts w:ascii="Arial" w:hAnsi="Arial" w:cs="Arial"/>
          <w:szCs w:val="24"/>
        </w:rPr>
        <w:t>15</w:t>
      </w:r>
      <w:r w:rsidR="00AF141B">
        <w:rPr>
          <w:rFonts w:ascii="Arial" w:hAnsi="Arial" w:cs="Arial"/>
          <w:szCs w:val="24"/>
        </w:rPr>
        <w:t>.6</w:t>
      </w:r>
      <w:r w:rsidR="00AF141B" w:rsidRPr="00507FA4">
        <w:rPr>
          <w:rFonts w:ascii="Arial" w:hAnsi="Arial" w:cs="Arial"/>
          <w:szCs w:val="24"/>
        </w:rPr>
        <w:t xml:space="preserve">% to </w:t>
      </w:r>
      <w:r w:rsidR="00AF141B">
        <w:rPr>
          <w:rFonts w:ascii="Arial" w:hAnsi="Arial" w:cs="Arial"/>
          <w:szCs w:val="24"/>
        </w:rPr>
        <w:t>8.</w:t>
      </w:r>
      <w:r w:rsidR="006A1671">
        <w:rPr>
          <w:rFonts w:ascii="Arial" w:hAnsi="Arial" w:cs="Arial"/>
          <w:szCs w:val="24"/>
        </w:rPr>
        <w:t>1</w:t>
      </w:r>
      <w:r w:rsidR="006A1671" w:rsidRPr="00507FA4">
        <w:rPr>
          <w:rFonts w:ascii="Arial" w:hAnsi="Arial" w:cs="Arial"/>
          <w:szCs w:val="24"/>
        </w:rPr>
        <w:t xml:space="preserve">p </w:t>
      </w:r>
      <w:r w:rsidR="00AF141B" w:rsidRPr="00507FA4">
        <w:rPr>
          <w:rFonts w:ascii="Arial" w:hAnsi="Arial" w:cs="Arial"/>
          <w:szCs w:val="24"/>
        </w:rPr>
        <w:t>(201</w:t>
      </w:r>
      <w:r w:rsidR="00AF141B">
        <w:rPr>
          <w:rFonts w:ascii="Arial" w:hAnsi="Arial" w:cs="Arial"/>
          <w:szCs w:val="24"/>
        </w:rPr>
        <w:t>8</w:t>
      </w:r>
      <w:r w:rsidR="00AF141B" w:rsidRPr="00507FA4">
        <w:rPr>
          <w:rFonts w:ascii="Arial" w:hAnsi="Arial" w:cs="Arial"/>
          <w:szCs w:val="24"/>
        </w:rPr>
        <w:t>/1</w:t>
      </w:r>
      <w:r w:rsidR="00AF141B">
        <w:rPr>
          <w:rFonts w:ascii="Arial" w:hAnsi="Arial" w:cs="Arial"/>
          <w:szCs w:val="24"/>
        </w:rPr>
        <w:t>9</w:t>
      </w:r>
      <w:r w:rsidR="00AF141B" w:rsidRPr="00507FA4">
        <w:rPr>
          <w:rFonts w:ascii="Arial" w:hAnsi="Arial" w:cs="Arial"/>
          <w:szCs w:val="24"/>
        </w:rPr>
        <w:t xml:space="preserve">: </w:t>
      </w:r>
      <w:r w:rsidR="00AF141B">
        <w:rPr>
          <w:rFonts w:ascii="Arial" w:hAnsi="Arial" w:cs="Arial"/>
          <w:szCs w:val="24"/>
        </w:rPr>
        <w:t>9.6</w:t>
      </w:r>
      <w:r w:rsidR="00AF141B" w:rsidRPr="00507FA4">
        <w:rPr>
          <w:rFonts w:ascii="Arial" w:hAnsi="Arial" w:cs="Arial"/>
          <w:szCs w:val="24"/>
        </w:rPr>
        <w:t xml:space="preserve">p) </w:t>
      </w:r>
      <w:r w:rsidRPr="00283413">
        <w:rPr>
          <w:rFonts w:ascii="Arial" w:hAnsi="Arial" w:cs="Arial"/>
          <w:szCs w:val="24"/>
        </w:rPr>
        <w:t>as set out below:</w:t>
      </w:r>
    </w:p>
    <w:tbl>
      <w:tblPr>
        <w:tblW w:w="5000" w:type="pct"/>
        <w:tblLook w:val="01E0" w:firstRow="1" w:lastRow="1" w:firstColumn="1" w:lastColumn="1" w:noHBand="0" w:noVBand="0"/>
      </w:tblPr>
      <w:tblGrid>
        <w:gridCol w:w="4498"/>
        <w:gridCol w:w="1368"/>
        <w:gridCol w:w="1383"/>
        <w:gridCol w:w="1237"/>
        <w:gridCol w:w="1381"/>
      </w:tblGrid>
      <w:tr w:rsidR="00773A54" w:rsidRPr="00C16392" w14:paraId="47F32905" w14:textId="77777777" w:rsidTr="009A2010">
        <w:tc>
          <w:tcPr>
            <w:tcW w:w="2279" w:type="pct"/>
            <w:tcBorders>
              <w:top w:val="nil"/>
              <w:left w:val="nil"/>
              <w:bottom w:val="single" w:sz="4" w:space="0" w:color="auto"/>
              <w:right w:val="nil"/>
            </w:tcBorders>
          </w:tcPr>
          <w:p w14:paraId="12F02F0D" w14:textId="77777777" w:rsidR="00773A54" w:rsidRPr="00C16392" w:rsidRDefault="00773A54" w:rsidP="00907EA8">
            <w:pPr>
              <w:rPr>
                <w:rFonts w:ascii="Arial" w:hAnsi="Arial" w:cs="Arial"/>
                <w:szCs w:val="24"/>
                <w:highlight w:val="yellow"/>
              </w:rPr>
            </w:pPr>
          </w:p>
        </w:tc>
        <w:tc>
          <w:tcPr>
            <w:tcW w:w="693" w:type="pct"/>
            <w:tcBorders>
              <w:top w:val="nil"/>
              <w:left w:val="nil"/>
              <w:bottom w:val="single" w:sz="4" w:space="0" w:color="auto"/>
              <w:right w:val="nil"/>
            </w:tcBorders>
          </w:tcPr>
          <w:p w14:paraId="2349C078" w14:textId="77777777" w:rsidR="00773A54" w:rsidRPr="00AF141B" w:rsidRDefault="00773A54" w:rsidP="00907EA8">
            <w:pPr>
              <w:jc w:val="right"/>
              <w:rPr>
                <w:rFonts w:ascii="Arial" w:hAnsi="Arial" w:cs="Arial"/>
                <w:b/>
                <w:szCs w:val="24"/>
              </w:rPr>
            </w:pPr>
          </w:p>
          <w:p w14:paraId="5F697EA7" w14:textId="77777777" w:rsidR="00773A54" w:rsidRPr="00AF141B" w:rsidRDefault="00773A54" w:rsidP="00907EA8">
            <w:pPr>
              <w:jc w:val="right"/>
              <w:rPr>
                <w:rFonts w:ascii="Arial" w:hAnsi="Arial" w:cs="Arial"/>
                <w:b/>
                <w:szCs w:val="24"/>
              </w:rPr>
            </w:pPr>
            <w:r w:rsidRPr="00AF141B">
              <w:rPr>
                <w:rFonts w:ascii="Arial" w:hAnsi="Arial" w:cs="Arial"/>
                <w:b/>
                <w:szCs w:val="24"/>
              </w:rPr>
              <w:t>Earnings</w:t>
            </w:r>
          </w:p>
          <w:p w14:paraId="6D2CBC4F" w14:textId="77777777" w:rsidR="00773A54" w:rsidRPr="00AF141B" w:rsidRDefault="00773A54" w:rsidP="00907EA8">
            <w:pPr>
              <w:jc w:val="right"/>
              <w:rPr>
                <w:rFonts w:ascii="Arial" w:hAnsi="Arial" w:cs="Arial"/>
                <w:b/>
                <w:szCs w:val="24"/>
              </w:rPr>
            </w:pPr>
            <w:r w:rsidRPr="00AF141B">
              <w:rPr>
                <w:rFonts w:ascii="Arial" w:hAnsi="Arial" w:cs="Arial"/>
                <w:b/>
                <w:szCs w:val="24"/>
              </w:rPr>
              <w:t>£m</w:t>
            </w:r>
          </w:p>
        </w:tc>
        <w:tc>
          <w:tcPr>
            <w:tcW w:w="701" w:type="pct"/>
            <w:tcBorders>
              <w:top w:val="nil"/>
              <w:left w:val="nil"/>
              <w:bottom w:val="single" w:sz="4" w:space="0" w:color="auto"/>
              <w:right w:val="nil"/>
            </w:tcBorders>
            <w:hideMark/>
          </w:tcPr>
          <w:p w14:paraId="68411543" w14:textId="700EB7FC" w:rsidR="00773A54" w:rsidRPr="00AF141B" w:rsidRDefault="00773A54" w:rsidP="00907EA8">
            <w:pPr>
              <w:jc w:val="right"/>
              <w:rPr>
                <w:rFonts w:ascii="Arial" w:hAnsi="Arial" w:cs="Arial"/>
                <w:b/>
                <w:szCs w:val="24"/>
              </w:rPr>
            </w:pPr>
            <w:r w:rsidRPr="00AF141B">
              <w:rPr>
                <w:rFonts w:ascii="Arial" w:hAnsi="Arial" w:cs="Arial"/>
                <w:b/>
                <w:szCs w:val="24"/>
              </w:rPr>
              <w:t>201</w:t>
            </w:r>
            <w:r w:rsidR="00220CD3" w:rsidRPr="00AF141B">
              <w:rPr>
                <w:rFonts w:ascii="Arial" w:hAnsi="Arial" w:cs="Arial"/>
                <w:b/>
                <w:szCs w:val="24"/>
              </w:rPr>
              <w:t>9</w:t>
            </w:r>
            <w:r w:rsidRPr="00AF141B">
              <w:rPr>
                <w:rFonts w:ascii="Arial" w:hAnsi="Arial" w:cs="Arial"/>
                <w:b/>
                <w:szCs w:val="24"/>
              </w:rPr>
              <w:t>/</w:t>
            </w:r>
            <w:r w:rsidR="00220CD3" w:rsidRPr="00AF141B">
              <w:rPr>
                <w:rFonts w:ascii="Arial" w:hAnsi="Arial" w:cs="Arial"/>
                <w:b/>
                <w:szCs w:val="24"/>
              </w:rPr>
              <w:t>20</w:t>
            </w:r>
          </w:p>
          <w:p w14:paraId="23D9A134" w14:textId="77777777" w:rsidR="00773A54" w:rsidRPr="00AF141B" w:rsidRDefault="00773A54" w:rsidP="00907EA8">
            <w:pPr>
              <w:jc w:val="right"/>
              <w:rPr>
                <w:rFonts w:ascii="Arial" w:hAnsi="Arial" w:cs="Arial"/>
                <w:b/>
                <w:szCs w:val="24"/>
              </w:rPr>
            </w:pPr>
            <w:r w:rsidRPr="00AF141B">
              <w:rPr>
                <w:rFonts w:ascii="Arial" w:hAnsi="Arial" w:cs="Arial"/>
                <w:b/>
                <w:szCs w:val="24"/>
              </w:rPr>
              <w:t>EPS</w:t>
            </w:r>
          </w:p>
          <w:p w14:paraId="6F0A1703" w14:textId="1C2160DB" w:rsidR="00773A54" w:rsidRPr="00AF141B" w:rsidRDefault="004F5E3C" w:rsidP="00907EA8">
            <w:pPr>
              <w:jc w:val="right"/>
              <w:rPr>
                <w:rFonts w:ascii="Arial" w:hAnsi="Arial" w:cs="Arial"/>
                <w:b/>
                <w:szCs w:val="24"/>
              </w:rPr>
            </w:pPr>
            <w:r w:rsidRPr="00AF141B">
              <w:rPr>
                <w:rFonts w:ascii="Arial" w:hAnsi="Arial" w:cs="Arial"/>
                <w:b/>
                <w:szCs w:val="24"/>
              </w:rPr>
              <w:t>P</w:t>
            </w:r>
            <w:r w:rsidR="00773A54" w:rsidRPr="00AF141B">
              <w:rPr>
                <w:rFonts w:ascii="Arial" w:hAnsi="Arial" w:cs="Arial"/>
                <w:b/>
                <w:szCs w:val="24"/>
              </w:rPr>
              <w:t>ence</w:t>
            </w:r>
          </w:p>
        </w:tc>
        <w:tc>
          <w:tcPr>
            <w:tcW w:w="627" w:type="pct"/>
            <w:tcBorders>
              <w:top w:val="nil"/>
              <w:left w:val="nil"/>
              <w:bottom w:val="single" w:sz="4" w:space="0" w:color="auto"/>
              <w:right w:val="nil"/>
            </w:tcBorders>
          </w:tcPr>
          <w:p w14:paraId="7121C719" w14:textId="77777777" w:rsidR="00773A54" w:rsidRPr="00AF141B" w:rsidRDefault="00773A54" w:rsidP="00907EA8">
            <w:pPr>
              <w:jc w:val="right"/>
              <w:rPr>
                <w:rFonts w:ascii="Arial" w:hAnsi="Arial" w:cs="Arial"/>
                <w:szCs w:val="24"/>
              </w:rPr>
            </w:pPr>
          </w:p>
          <w:p w14:paraId="37DFF169" w14:textId="77777777" w:rsidR="00773A54" w:rsidRPr="00AF141B" w:rsidRDefault="00773A54" w:rsidP="00907EA8">
            <w:pPr>
              <w:jc w:val="right"/>
              <w:rPr>
                <w:rFonts w:ascii="Arial" w:hAnsi="Arial" w:cs="Arial"/>
                <w:szCs w:val="24"/>
              </w:rPr>
            </w:pPr>
            <w:r w:rsidRPr="00AF141B">
              <w:rPr>
                <w:rFonts w:ascii="Arial" w:hAnsi="Arial" w:cs="Arial"/>
                <w:szCs w:val="24"/>
              </w:rPr>
              <w:t>Earnings</w:t>
            </w:r>
          </w:p>
          <w:p w14:paraId="253D0F34" w14:textId="77777777" w:rsidR="00773A54" w:rsidRPr="00AF141B" w:rsidRDefault="00773A54" w:rsidP="00907EA8">
            <w:pPr>
              <w:jc w:val="right"/>
              <w:rPr>
                <w:rFonts w:ascii="Arial" w:hAnsi="Arial" w:cs="Arial"/>
                <w:szCs w:val="24"/>
              </w:rPr>
            </w:pPr>
            <w:r w:rsidRPr="00AF141B">
              <w:rPr>
                <w:rFonts w:ascii="Arial" w:hAnsi="Arial" w:cs="Arial"/>
                <w:szCs w:val="24"/>
              </w:rPr>
              <w:t>£m</w:t>
            </w:r>
          </w:p>
        </w:tc>
        <w:tc>
          <w:tcPr>
            <w:tcW w:w="700" w:type="pct"/>
            <w:tcBorders>
              <w:top w:val="nil"/>
              <w:left w:val="nil"/>
              <w:bottom w:val="single" w:sz="4" w:space="0" w:color="auto"/>
              <w:right w:val="nil"/>
            </w:tcBorders>
            <w:hideMark/>
          </w:tcPr>
          <w:p w14:paraId="327D115D" w14:textId="3FC29EEF" w:rsidR="00773A54" w:rsidRPr="00AF141B" w:rsidRDefault="00773A54" w:rsidP="00907EA8">
            <w:pPr>
              <w:jc w:val="right"/>
              <w:rPr>
                <w:rFonts w:ascii="Arial" w:hAnsi="Arial" w:cs="Arial"/>
                <w:szCs w:val="24"/>
              </w:rPr>
            </w:pPr>
            <w:r w:rsidRPr="00AF141B">
              <w:rPr>
                <w:rFonts w:ascii="Arial" w:hAnsi="Arial" w:cs="Arial"/>
                <w:szCs w:val="24"/>
              </w:rPr>
              <w:t>201</w:t>
            </w:r>
            <w:r w:rsidR="00220CD3" w:rsidRPr="00AF141B">
              <w:rPr>
                <w:rFonts w:ascii="Arial" w:hAnsi="Arial" w:cs="Arial"/>
                <w:szCs w:val="24"/>
              </w:rPr>
              <w:t>8</w:t>
            </w:r>
            <w:r w:rsidRPr="00AF141B">
              <w:rPr>
                <w:rFonts w:ascii="Arial" w:hAnsi="Arial" w:cs="Arial"/>
                <w:szCs w:val="24"/>
              </w:rPr>
              <w:t>/1</w:t>
            </w:r>
            <w:r w:rsidR="00220CD3" w:rsidRPr="00AF141B">
              <w:rPr>
                <w:rFonts w:ascii="Arial" w:hAnsi="Arial" w:cs="Arial"/>
                <w:szCs w:val="24"/>
              </w:rPr>
              <w:t>9</w:t>
            </w:r>
          </w:p>
          <w:p w14:paraId="030FDD9A" w14:textId="77777777" w:rsidR="00773A54" w:rsidRPr="00AF141B" w:rsidRDefault="00773A54" w:rsidP="00907EA8">
            <w:pPr>
              <w:jc w:val="right"/>
              <w:rPr>
                <w:rFonts w:ascii="Arial" w:hAnsi="Arial" w:cs="Arial"/>
                <w:szCs w:val="24"/>
              </w:rPr>
            </w:pPr>
            <w:r w:rsidRPr="00AF141B">
              <w:rPr>
                <w:rFonts w:ascii="Arial" w:hAnsi="Arial" w:cs="Arial"/>
                <w:szCs w:val="24"/>
              </w:rPr>
              <w:t>EPS</w:t>
            </w:r>
          </w:p>
          <w:p w14:paraId="12B514FF" w14:textId="43FA1B37" w:rsidR="00773A54" w:rsidRPr="00AF141B" w:rsidRDefault="004D0E9F" w:rsidP="00907EA8">
            <w:pPr>
              <w:jc w:val="right"/>
              <w:rPr>
                <w:rFonts w:ascii="Arial" w:hAnsi="Arial" w:cs="Arial"/>
                <w:szCs w:val="24"/>
              </w:rPr>
            </w:pPr>
            <w:r w:rsidRPr="00AF141B">
              <w:rPr>
                <w:rFonts w:ascii="Arial" w:hAnsi="Arial" w:cs="Arial"/>
                <w:szCs w:val="24"/>
              </w:rPr>
              <w:t>P</w:t>
            </w:r>
            <w:r w:rsidR="00773A54" w:rsidRPr="00AF141B">
              <w:rPr>
                <w:rFonts w:ascii="Arial" w:hAnsi="Arial" w:cs="Arial"/>
                <w:szCs w:val="24"/>
              </w:rPr>
              <w:t>ence</w:t>
            </w:r>
          </w:p>
        </w:tc>
      </w:tr>
      <w:tr w:rsidR="00AF141B" w:rsidRPr="00C16392" w14:paraId="7A400AAA" w14:textId="77777777" w:rsidTr="001B494B">
        <w:tc>
          <w:tcPr>
            <w:tcW w:w="2279" w:type="pct"/>
            <w:tcBorders>
              <w:top w:val="single" w:sz="4" w:space="0" w:color="auto"/>
              <w:left w:val="nil"/>
              <w:right w:val="nil"/>
            </w:tcBorders>
          </w:tcPr>
          <w:p w14:paraId="56798001" w14:textId="0784A344" w:rsidR="00AF141B" w:rsidRPr="00C16392" w:rsidRDefault="00AF141B" w:rsidP="00AF141B">
            <w:pPr>
              <w:rPr>
                <w:rFonts w:ascii="Arial" w:hAnsi="Arial" w:cs="Arial"/>
                <w:b/>
                <w:szCs w:val="24"/>
                <w:highlight w:val="yellow"/>
              </w:rPr>
            </w:pPr>
            <w:r w:rsidRPr="00507FA4">
              <w:rPr>
                <w:rFonts w:ascii="Arial" w:hAnsi="Arial" w:cs="Arial"/>
                <w:b/>
                <w:szCs w:val="24"/>
              </w:rPr>
              <w:t>Underlying basic earnings per share</w:t>
            </w:r>
          </w:p>
        </w:tc>
        <w:tc>
          <w:tcPr>
            <w:tcW w:w="693" w:type="pct"/>
            <w:tcBorders>
              <w:top w:val="single" w:sz="4" w:space="0" w:color="auto"/>
              <w:left w:val="nil"/>
              <w:bottom w:val="nil"/>
              <w:right w:val="nil"/>
            </w:tcBorders>
            <w:shd w:val="clear" w:color="000000" w:fill="FFFFFF"/>
            <w:vAlign w:val="bottom"/>
          </w:tcPr>
          <w:p w14:paraId="0E308261" w14:textId="49F53B2C" w:rsidR="00AF141B" w:rsidRPr="00C16392" w:rsidRDefault="006A1671" w:rsidP="00AF141B">
            <w:pPr>
              <w:jc w:val="right"/>
              <w:rPr>
                <w:rFonts w:ascii="Arial" w:hAnsi="Arial" w:cs="Arial"/>
                <w:b/>
                <w:szCs w:val="24"/>
                <w:highlight w:val="yellow"/>
              </w:rPr>
            </w:pPr>
            <w:r>
              <w:rPr>
                <w:rFonts w:ascii="Arial" w:hAnsi="Arial" w:cs="Arial"/>
                <w:b/>
                <w:szCs w:val="24"/>
              </w:rPr>
              <w:t>260</w:t>
            </w:r>
          </w:p>
        </w:tc>
        <w:tc>
          <w:tcPr>
            <w:tcW w:w="701" w:type="pct"/>
            <w:tcBorders>
              <w:top w:val="single" w:sz="4" w:space="0" w:color="auto"/>
              <w:left w:val="nil"/>
              <w:bottom w:val="nil"/>
              <w:right w:val="nil"/>
            </w:tcBorders>
            <w:shd w:val="clear" w:color="auto" w:fill="auto"/>
            <w:vAlign w:val="bottom"/>
          </w:tcPr>
          <w:p w14:paraId="760678CF" w14:textId="5FEBF01B" w:rsidR="00AF141B" w:rsidRPr="00C16392" w:rsidRDefault="00AF141B" w:rsidP="00AF141B">
            <w:pPr>
              <w:jc w:val="right"/>
              <w:rPr>
                <w:rFonts w:ascii="Arial" w:hAnsi="Arial" w:cs="Arial"/>
                <w:b/>
                <w:szCs w:val="24"/>
                <w:highlight w:val="yellow"/>
              </w:rPr>
            </w:pPr>
            <w:r w:rsidRPr="00507FA4">
              <w:rPr>
                <w:rFonts w:ascii="Arial" w:hAnsi="Arial" w:cs="Arial"/>
                <w:b/>
                <w:bCs/>
              </w:rPr>
              <w:t>12.</w:t>
            </w:r>
            <w:r w:rsidR="006A1671">
              <w:rPr>
                <w:rFonts w:ascii="Arial" w:hAnsi="Arial" w:cs="Arial"/>
                <w:b/>
                <w:bCs/>
              </w:rPr>
              <w:t>3</w:t>
            </w:r>
          </w:p>
        </w:tc>
        <w:tc>
          <w:tcPr>
            <w:tcW w:w="627" w:type="pct"/>
            <w:tcBorders>
              <w:top w:val="single" w:sz="4" w:space="0" w:color="auto"/>
              <w:left w:val="nil"/>
              <w:right w:val="nil"/>
            </w:tcBorders>
            <w:vAlign w:val="bottom"/>
          </w:tcPr>
          <w:p w14:paraId="71559887" w14:textId="200DF773" w:rsidR="00AF141B" w:rsidRPr="00C16392" w:rsidRDefault="00AF141B" w:rsidP="00AF141B">
            <w:pPr>
              <w:jc w:val="right"/>
              <w:rPr>
                <w:rFonts w:ascii="Arial" w:hAnsi="Arial" w:cs="Arial"/>
                <w:szCs w:val="24"/>
                <w:highlight w:val="yellow"/>
              </w:rPr>
            </w:pPr>
            <w:r w:rsidRPr="00507FA4">
              <w:rPr>
                <w:rFonts w:ascii="Arial" w:hAnsi="Arial" w:cs="Arial"/>
              </w:rPr>
              <w:t>27</w:t>
            </w:r>
            <w:r>
              <w:rPr>
                <w:rFonts w:ascii="Arial" w:hAnsi="Arial" w:cs="Arial"/>
              </w:rPr>
              <w:t>5</w:t>
            </w:r>
          </w:p>
        </w:tc>
        <w:tc>
          <w:tcPr>
            <w:tcW w:w="700" w:type="pct"/>
            <w:tcBorders>
              <w:top w:val="single" w:sz="4" w:space="0" w:color="auto"/>
              <w:left w:val="nil"/>
              <w:right w:val="nil"/>
            </w:tcBorders>
            <w:vAlign w:val="bottom"/>
          </w:tcPr>
          <w:p w14:paraId="7BC972A4" w14:textId="2B0442CD" w:rsidR="00AF141B" w:rsidRPr="00C16392" w:rsidRDefault="00AF141B" w:rsidP="00AF141B">
            <w:pPr>
              <w:jc w:val="right"/>
              <w:rPr>
                <w:rFonts w:ascii="Arial" w:hAnsi="Arial" w:cs="Arial"/>
                <w:szCs w:val="24"/>
                <w:highlight w:val="yellow"/>
              </w:rPr>
            </w:pPr>
            <w:r w:rsidRPr="00507FA4">
              <w:rPr>
                <w:rFonts w:ascii="Arial" w:hAnsi="Arial" w:cs="Arial"/>
              </w:rPr>
              <w:t>12.8</w:t>
            </w:r>
          </w:p>
        </w:tc>
      </w:tr>
      <w:tr w:rsidR="00AF141B" w:rsidRPr="00C16392" w14:paraId="5425859E" w14:textId="77777777" w:rsidTr="001B494B">
        <w:tc>
          <w:tcPr>
            <w:tcW w:w="2279" w:type="pct"/>
            <w:tcBorders>
              <w:left w:val="nil"/>
              <w:bottom w:val="single" w:sz="4" w:space="0" w:color="auto"/>
              <w:right w:val="nil"/>
            </w:tcBorders>
          </w:tcPr>
          <w:p w14:paraId="05E61D2A" w14:textId="1A6B6D95" w:rsidR="00AF141B" w:rsidRPr="00C16392" w:rsidRDefault="00AF141B" w:rsidP="00AF141B">
            <w:pPr>
              <w:rPr>
                <w:rFonts w:ascii="Arial" w:hAnsi="Arial" w:cs="Arial"/>
                <w:szCs w:val="24"/>
                <w:highlight w:val="yellow"/>
              </w:rPr>
            </w:pPr>
            <w:r w:rsidRPr="00507FA4">
              <w:rPr>
                <w:rFonts w:ascii="Arial" w:hAnsi="Arial" w:cs="Arial"/>
                <w:szCs w:val="24"/>
              </w:rPr>
              <w:t>Transformation P&amp;L costs (net of tax)</w:t>
            </w:r>
          </w:p>
        </w:tc>
        <w:tc>
          <w:tcPr>
            <w:tcW w:w="693" w:type="pct"/>
            <w:tcBorders>
              <w:top w:val="nil"/>
              <w:left w:val="nil"/>
              <w:bottom w:val="single" w:sz="4" w:space="0" w:color="auto"/>
              <w:right w:val="nil"/>
            </w:tcBorders>
            <w:shd w:val="clear" w:color="000000" w:fill="FFFFFF"/>
            <w:vAlign w:val="bottom"/>
          </w:tcPr>
          <w:p w14:paraId="67F97C0B" w14:textId="0CBE94B5" w:rsidR="00AF141B" w:rsidRPr="00C16392" w:rsidRDefault="00AF141B" w:rsidP="00AF141B">
            <w:pPr>
              <w:jc w:val="right"/>
              <w:rPr>
                <w:rFonts w:ascii="Arial" w:hAnsi="Arial" w:cs="Arial"/>
                <w:szCs w:val="24"/>
                <w:highlight w:val="yellow"/>
              </w:rPr>
            </w:pPr>
            <w:r w:rsidRPr="00507FA4">
              <w:rPr>
                <w:rFonts w:ascii="Arial" w:hAnsi="Arial" w:cs="Arial"/>
                <w:b/>
                <w:bCs/>
              </w:rPr>
              <w:t>(</w:t>
            </w:r>
            <w:r>
              <w:rPr>
                <w:rFonts w:ascii="Arial" w:hAnsi="Arial" w:cs="Arial"/>
                <w:b/>
                <w:bCs/>
              </w:rPr>
              <w:t>12</w:t>
            </w:r>
            <w:r w:rsidRPr="00507FA4">
              <w:rPr>
                <w:rFonts w:ascii="Arial" w:hAnsi="Arial" w:cs="Arial"/>
                <w:b/>
                <w:bCs/>
              </w:rPr>
              <w:t>)</w:t>
            </w:r>
          </w:p>
        </w:tc>
        <w:tc>
          <w:tcPr>
            <w:tcW w:w="701" w:type="pct"/>
            <w:tcBorders>
              <w:top w:val="nil"/>
              <w:left w:val="nil"/>
              <w:bottom w:val="single" w:sz="4" w:space="0" w:color="auto"/>
              <w:right w:val="nil"/>
            </w:tcBorders>
            <w:shd w:val="clear" w:color="auto" w:fill="auto"/>
            <w:vAlign w:val="bottom"/>
          </w:tcPr>
          <w:p w14:paraId="69189D24" w14:textId="00C5DB21" w:rsidR="00AF141B" w:rsidRPr="00C16392" w:rsidRDefault="00AF141B" w:rsidP="00AF141B">
            <w:pPr>
              <w:jc w:val="right"/>
              <w:rPr>
                <w:rFonts w:ascii="Arial" w:hAnsi="Arial" w:cs="Arial"/>
                <w:b/>
                <w:szCs w:val="24"/>
                <w:highlight w:val="yellow"/>
              </w:rPr>
            </w:pPr>
            <w:r w:rsidRPr="00507FA4">
              <w:rPr>
                <w:rFonts w:ascii="Arial" w:hAnsi="Arial" w:cs="Arial"/>
                <w:b/>
                <w:bCs/>
              </w:rPr>
              <w:t>(</w:t>
            </w:r>
            <w:r>
              <w:rPr>
                <w:rFonts w:ascii="Arial" w:hAnsi="Arial" w:cs="Arial"/>
                <w:b/>
                <w:bCs/>
              </w:rPr>
              <w:t>0.5</w:t>
            </w:r>
            <w:r w:rsidRPr="00507FA4">
              <w:rPr>
                <w:rFonts w:ascii="Arial" w:hAnsi="Arial" w:cs="Arial"/>
                <w:b/>
                <w:bCs/>
              </w:rPr>
              <w:t>)</w:t>
            </w:r>
          </w:p>
        </w:tc>
        <w:tc>
          <w:tcPr>
            <w:tcW w:w="627" w:type="pct"/>
            <w:tcBorders>
              <w:left w:val="nil"/>
              <w:bottom w:val="single" w:sz="4" w:space="0" w:color="auto"/>
              <w:right w:val="nil"/>
            </w:tcBorders>
            <w:vAlign w:val="bottom"/>
          </w:tcPr>
          <w:p w14:paraId="7051648A" w14:textId="22AE83AA" w:rsidR="00AF141B" w:rsidRPr="00C16392" w:rsidRDefault="00AF141B" w:rsidP="00AF141B">
            <w:pPr>
              <w:jc w:val="right"/>
              <w:rPr>
                <w:rFonts w:ascii="Arial" w:hAnsi="Arial" w:cs="Arial"/>
                <w:szCs w:val="24"/>
                <w:highlight w:val="yellow"/>
              </w:rPr>
            </w:pPr>
            <w:r w:rsidRPr="00507FA4">
              <w:rPr>
                <w:rFonts w:ascii="Arial" w:hAnsi="Arial" w:cs="Arial"/>
              </w:rPr>
              <w:t>(38)</w:t>
            </w:r>
          </w:p>
        </w:tc>
        <w:tc>
          <w:tcPr>
            <w:tcW w:w="700" w:type="pct"/>
            <w:tcBorders>
              <w:left w:val="nil"/>
              <w:bottom w:val="single" w:sz="4" w:space="0" w:color="auto"/>
              <w:right w:val="nil"/>
            </w:tcBorders>
            <w:vAlign w:val="bottom"/>
          </w:tcPr>
          <w:p w14:paraId="7D8AE2A3" w14:textId="72ED917D" w:rsidR="00AF141B" w:rsidRPr="00C16392" w:rsidRDefault="00AF141B" w:rsidP="00AF141B">
            <w:pPr>
              <w:jc w:val="right"/>
              <w:rPr>
                <w:rFonts w:ascii="Arial" w:hAnsi="Arial" w:cs="Arial"/>
                <w:szCs w:val="24"/>
                <w:highlight w:val="yellow"/>
              </w:rPr>
            </w:pPr>
            <w:r w:rsidRPr="00507FA4">
              <w:rPr>
                <w:rFonts w:ascii="Arial" w:hAnsi="Arial" w:cs="Arial"/>
              </w:rPr>
              <w:t>(1.8)</w:t>
            </w:r>
          </w:p>
        </w:tc>
      </w:tr>
      <w:tr w:rsidR="00AF141B" w:rsidRPr="00C16392" w14:paraId="3E8F70F8" w14:textId="77777777" w:rsidTr="001B494B">
        <w:tc>
          <w:tcPr>
            <w:tcW w:w="2279" w:type="pct"/>
            <w:tcBorders>
              <w:top w:val="single" w:sz="4" w:space="0" w:color="auto"/>
              <w:left w:val="nil"/>
              <w:bottom w:val="nil"/>
              <w:right w:val="nil"/>
            </w:tcBorders>
            <w:hideMark/>
          </w:tcPr>
          <w:p w14:paraId="3E83E8B9" w14:textId="7B547CF4" w:rsidR="00AF141B" w:rsidRPr="00C16392" w:rsidRDefault="00AF141B" w:rsidP="00AF141B">
            <w:pPr>
              <w:rPr>
                <w:rFonts w:ascii="Arial" w:hAnsi="Arial" w:cs="Arial"/>
                <w:szCs w:val="24"/>
                <w:highlight w:val="yellow"/>
              </w:rPr>
            </w:pPr>
            <w:r w:rsidRPr="00507FA4">
              <w:rPr>
                <w:rFonts w:ascii="Arial" w:hAnsi="Arial" w:cs="Arial"/>
                <w:b/>
                <w:szCs w:val="24"/>
              </w:rPr>
              <w:t>Adjusted basic earnings per share</w:t>
            </w:r>
          </w:p>
        </w:tc>
        <w:tc>
          <w:tcPr>
            <w:tcW w:w="693" w:type="pct"/>
            <w:tcBorders>
              <w:top w:val="nil"/>
              <w:left w:val="nil"/>
              <w:bottom w:val="nil"/>
              <w:right w:val="nil"/>
            </w:tcBorders>
            <w:shd w:val="clear" w:color="000000" w:fill="FFFFFF"/>
            <w:vAlign w:val="bottom"/>
            <w:hideMark/>
          </w:tcPr>
          <w:p w14:paraId="6583D161" w14:textId="796735F0" w:rsidR="00AF141B" w:rsidRPr="00C16392" w:rsidRDefault="006A1671" w:rsidP="00AF141B">
            <w:pPr>
              <w:jc w:val="right"/>
              <w:rPr>
                <w:rFonts w:ascii="Arial" w:hAnsi="Arial" w:cs="Arial"/>
                <w:b/>
                <w:szCs w:val="24"/>
                <w:highlight w:val="yellow"/>
              </w:rPr>
            </w:pPr>
            <w:r>
              <w:rPr>
                <w:rFonts w:ascii="Arial" w:hAnsi="Arial" w:cs="Arial"/>
                <w:b/>
                <w:szCs w:val="24"/>
              </w:rPr>
              <w:t>248</w:t>
            </w:r>
          </w:p>
        </w:tc>
        <w:tc>
          <w:tcPr>
            <w:tcW w:w="701" w:type="pct"/>
            <w:tcBorders>
              <w:top w:val="nil"/>
              <w:left w:val="nil"/>
              <w:bottom w:val="nil"/>
              <w:right w:val="nil"/>
            </w:tcBorders>
            <w:shd w:val="clear" w:color="auto" w:fill="auto"/>
            <w:vAlign w:val="bottom"/>
            <w:hideMark/>
          </w:tcPr>
          <w:p w14:paraId="0D045DB8" w14:textId="078D3B3E" w:rsidR="00AF141B" w:rsidRPr="00C16392" w:rsidRDefault="00AF141B" w:rsidP="00AF141B">
            <w:pPr>
              <w:jc w:val="right"/>
              <w:rPr>
                <w:rFonts w:ascii="Arial" w:hAnsi="Arial" w:cs="Arial"/>
                <w:b/>
                <w:szCs w:val="24"/>
                <w:highlight w:val="yellow"/>
              </w:rPr>
            </w:pPr>
            <w:r w:rsidRPr="00507FA4">
              <w:rPr>
                <w:rFonts w:ascii="Arial" w:hAnsi="Arial" w:cs="Arial"/>
                <w:b/>
                <w:bCs/>
              </w:rPr>
              <w:t>11.</w:t>
            </w:r>
            <w:r w:rsidR="006A1671">
              <w:rPr>
                <w:rFonts w:ascii="Arial" w:hAnsi="Arial" w:cs="Arial"/>
                <w:b/>
                <w:bCs/>
              </w:rPr>
              <w:t>8</w:t>
            </w:r>
          </w:p>
        </w:tc>
        <w:tc>
          <w:tcPr>
            <w:tcW w:w="627" w:type="pct"/>
            <w:tcBorders>
              <w:top w:val="single" w:sz="4" w:space="0" w:color="auto"/>
              <w:left w:val="nil"/>
              <w:bottom w:val="nil"/>
              <w:right w:val="nil"/>
            </w:tcBorders>
            <w:vAlign w:val="bottom"/>
            <w:hideMark/>
          </w:tcPr>
          <w:p w14:paraId="7B8C0966" w14:textId="0604CB00" w:rsidR="00AF141B" w:rsidRPr="00C16392" w:rsidRDefault="00AF141B" w:rsidP="00AF141B">
            <w:pPr>
              <w:jc w:val="right"/>
              <w:rPr>
                <w:rFonts w:ascii="Arial" w:hAnsi="Arial" w:cs="Arial"/>
                <w:szCs w:val="24"/>
                <w:highlight w:val="yellow"/>
              </w:rPr>
            </w:pPr>
            <w:r w:rsidRPr="00507FA4">
              <w:rPr>
                <w:rFonts w:ascii="Arial" w:hAnsi="Arial" w:cs="Arial"/>
              </w:rPr>
              <w:t>23</w:t>
            </w:r>
            <w:r>
              <w:rPr>
                <w:rFonts w:ascii="Arial" w:hAnsi="Arial" w:cs="Arial"/>
              </w:rPr>
              <w:t>7</w:t>
            </w:r>
          </w:p>
        </w:tc>
        <w:tc>
          <w:tcPr>
            <w:tcW w:w="700" w:type="pct"/>
            <w:tcBorders>
              <w:top w:val="single" w:sz="4" w:space="0" w:color="auto"/>
              <w:left w:val="nil"/>
              <w:bottom w:val="nil"/>
              <w:right w:val="nil"/>
            </w:tcBorders>
            <w:vAlign w:val="bottom"/>
            <w:hideMark/>
          </w:tcPr>
          <w:p w14:paraId="465178AD" w14:textId="090A8E58" w:rsidR="00AF141B" w:rsidRPr="00C16392" w:rsidRDefault="00AF141B" w:rsidP="00AF141B">
            <w:pPr>
              <w:jc w:val="right"/>
              <w:rPr>
                <w:rFonts w:ascii="Arial" w:hAnsi="Arial" w:cs="Arial"/>
                <w:szCs w:val="24"/>
                <w:highlight w:val="yellow"/>
              </w:rPr>
            </w:pPr>
            <w:r w:rsidRPr="00507FA4">
              <w:rPr>
                <w:rFonts w:ascii="Arial" w:hAnsi="Arial" w:cs="Arial"/>
              </w:rPr>
              <w:t>11.0</w:t>
            </w:r>
          </w:p>
        </w:tc>
      </w:tr>
      <w:tr w:rsidR="00AF141B" w:rsidRPr="00C16392" w14:paraId="62B8D786" w14:textId="77777777" w:rsidTr="001B494B">
        <w:tc>
          <w:tcPr>
            <w:tcW w:w="2279" w:type="pct"/>
          </w:tcPr>
          <w:p w14:paraId="61676991" w14:textId="75036968" w:rsidR="00AF141B" w:rsidRPr="00C16392" w:rsidRDefault="00AF141B" w:rsidP="00AF141B">
            <w:pPr>
              <w:rPr>
                <w:rFonts w:ascii="Arial" w:hAnsi="Arial" w:cs="Arial"/>
                <w:szCs w:val="24"/>
                <w:highlight w:val="yellow"/>
              </w:rPr>
            </w:pPr>
            <w:r w:rsidRPr="00507FA4">
              <w:rPr>
                <w:rFonts w:ascii="Arial" w:hAnsi="Arial" w:cs="Arial"/>
                <w:szCs w:val="24"/>
              </w:rPr>
              <w:t>Net exceptional items</w:t>
            </w:r>
          </w:p>
        </w:tc>
        <w:tc>
          <w:tcPr>
            <w:tcW w:w="693" w:type="pct"/>
            <w:tcBorders>
              <w:top w:val="nil"/>
              <w:left w:val="nil"/>
              <w:bottom w:val="nil"/>
              <w:right w:val="nil"/>
            </w:tcBorders>
            <w:shd w:val="clear" w:color="auto" w:fill="auto"/>
            <w:vAlign w:val="bottom"/>
          </w:tcPr>
          <w:p w14:paraId="5749C98D" w14:textId="1EEFC344" w:rsidR="00AF141B" w:rsidRPr="00C16392" w:rsidRDefault="00AF141B" w:rsidP="00AF141B">
            <w:pPr>
              <w:jc w:val="right"/>
              <w:rPr>
                <w:rFonts w:ascii="Arial" w:hAnsi="Arial" w:cs="Arial"/>
                <w:b/>
                <w:bCs/>
                <w:highlight w:val="yellow"/>
              </w:rPr>
            </w:pPr>
            <w:r w:rsidRPr="00507FA4">
              <w:rPr>
                <w:rFonts w:ascii="Arial" w:hAnsi="Arial" w:cs="Arial"/>
                <w:b/>
                <w:bCs/>
              </w:rPr>
              <w:t>(</w:t>
            </w:r>
            <w:r>
              <w:rPr>
                <w:rFonts w:ascii="Arial" w:hAnsi="Arial" w:cs="Arial"/>
                <w:b/>
                <w:bCs/>
              </w:rPr>
              <w:t>74</w:t>
            </w:r>
            <w:r w:rsidRPr="00507FA4">
              <w:rPr>
                <w:rFonts w:ascii="Arial" w:hAnsi="Arial" w:cs="Arial"/>
                <w:b/>
                <w:bCs/>
              </w:rPr>
              <w:t>)</w:t>
            </w:r>
          </w:p>
        </w:tc>
        <w:tc>
          <w:tcPr>
            <w:tcW w:w="701" w:type="pct"/>
            <w:tcBorders>
              <w:top w:val="nil"/>
              <w:left w:val="nil"/>
              <w:bottom w:val="nil"/>
              <w:right w:val="nil"/>
            </w:tcBorders>
            <w:shd w:val="clear" w:color="auto" w:fill="auto"/>
            <w:vAlign w:val="bottom"/>
          </w:tcPr>
          <w:p w14:paraId="44C5FE6A" w14:textId="52486D1A" w:rsidR="00AF141B" w:rsidRPr="00C16392" w:rsidRDefault="00AF141B" w:rsidP="00AF141B">
            <w:pPr>
              <w:jc w:val="right"/>
              <w:rPr>
                <w:rFonts w:ascii="Arial" w:hAnsi="Arial" w:cs="Arial"/>
                <w:b/>
                <w:bCs/>
                <w:highlight w:val="yellow"/>
              </w:rPr>
            </w:pPr>
            <w:r w:rsidRPr="00507FA4">
              <w:rPr>
                <w:rFonts w:ascii="Arial" w:hAnsi="Arial" w:cs="Arial"/>
                <w:b/>
                <w:bCs/>
              </w:rPr>
              <w:t>(</w:t>
            </w:r>
            <w:r>
              <w:rPr>
                <w:rFonts w:ascii="Arial" w:hAnsi="Arial" w:cs="Arial"/>
                <w:b/>
                <w:bCs/>
              </w:rPr>
              <w:t>3.</w:t>
            </w:r>
            <w:r w:rsidR="00660289">
              <w:rPr>
                <w:rFonts w:ascii="Arial" w:hAnsi="Arial" w:cs="Arial"/>
                <w:b/>
                <w:bCs/>
              </w:rPr>
              <w:t>5</w:t>
            </w:r>
            <w:r w:rsidRPr="00507FA4">
              <w:rPr>
                <w:rFonts w:ascii="Arial" w:hAnsi="Arial" w:cs="Arial"/>
                <w:b/>
                <w:bCs/>
              </w:rPr>
              <w:t>)</w:t>
            </w:r>
          </w:p>
        </w:tc>
        <w:tc>
          <w:tcPr>
            <w:tcW w:w="627" w:type="pct"/>
            <w:shd w:val="clear" w:color="auto" w:fill="auto"/>
            <w:vAlign w:val="bottom"/>
          </w:tcPr>
          <w:p w14:paraId="7ABDFA54" w14:textId="24848D97" w:rsidR="00AF141B" w:rsidRPr="00C16392" w:rsidRDefault="00AF141B" w:rsidP="00AF141B">
            <w:pPr>
              <w:jc w:val="right"/>
              <w:rPr>
                <w:rFonts w:ascii="Arial" w:hAnsi="Arial" w:cs="Arial"/>
                <w:highlight w:val="yellow"/>
              </w:rPr>
            </w:pPr>
            <w:r w:rsidRPr="00507FA4">
              <w:rPr>
                <w:rFonts w:ascii="Arial" w:hAnsi="Arial" w:cs="Arial"/>
              </w:rPr>
              <w:t>(29)</w:t>
            </w:r>
          </w:p>
        </w:tc>
        <w:tc>
          <w:tcPr>
            <w:tcW w:w="700" w:type="pct"/>
            <w:shd w:val="clear" w:color="auto" w:fill="auto"/>
            <w:vAlign w:val="bottom"/>
          </w:tcPr>
          <w:p w14:paraId="65394FD7" w14:textId="0C389607" w:rsidR="00AF141B" w:rsidRPr="00C16392" w:rsidRDefault="00AF141B" w:rsidP="00AF141B">
            <w:pPr>
              <w:jc w:val="right"/>
              <w:rPr>
                <w:rFonts w:ascii="Arial" w:hAnsi="Arial" w:cs="Arial"/>
                <w:highlight w:val="yellow"/>
              </w:rPr>
            </w:pPr>
            <w:r w:rsidRPr="00507FA4">
              <w:rPr>
                <w:rFonts w:ascii="Arial" w:hAnsi="Arial" w:cs="Arial"/>
              </w:rPr>
              <w:t>(1.3)</w:t>
            </w:r>
          </w:p>
        </w:tc>
      </w:tr>
      <w:tr w:rsidR="00AF141B" w:rsidRPr="00C16392" w14:paraId="3F20B20D" w14:textId="77777777" w:rsidTr="002A5FCA">
        <w:tc>
          <w:tcPr>
            <w:tcW w:w="2279" w:type="pct"/>
            <w:vAlign w:val="bottom"/>
            <w:hideMark/>
          </w:tcPr>
          <w:p w14:paraId="4E93DF4B" w14:textId="41E640EE" w:rsidR="00AF141B" w:rsidRPr="00C16392" w:rsidRDefault="00AF141B" w:rsidP="00AF141B">
            <w:pPr>
              <w:rPr>
                <w:rFonts w:ascii="Arial" w:hAnsi="Arial" w:cs="Arial"/>
                <w:szCs w:val="24"/>
                <w:highlight w:val="yellow"/>
              </w:rPr>
            </w:pPr>
            <w:r w:rsidRPr="00507FA4">
              <w:rPr>
                <w:rFonts w:ascii="Arial" w:hAnsi="Arial" w:cs="Arial"/>
                <w:szCs w:val="24"/>
              </w:rPr>
              <w:t>Prior year tax items</w:t>
            </w:r>
          </w:p>
        </w:tc>
        <w:tc>
          <w:tcPr>
            <w:tcW w:w="693" w:type="pct"/>
            <w:tcBorders>
              <w:top w:val="nil"/>
              <w:left w:val="nil"/>
              <w:bottom w:val="nil"/>
              <w:right w:val="nil"/>
            </w:tcBorders>
            <w:shd w:val="clear" w:color="auto" w:fill="auto"/>
            <w:vAlign w:val="bottom"/>
            <w:hideMark/>
          </w:tcPr>
          <w:p w14:paraId="19EA210E" w14:textId="29615AC5" w:rsidR="00AF141B" w:rsidRPr="00C16392" w:rsidRDefault="00AF141B" w:rsidP="00AF141B">
            <w:pPr>
              <w:jc w:val="right"/>
              <w:rPr>
                <w:rFonts w:ascii="Arial" w:hAnsi="Arial" w:cs="Arial"/>
                <w:b/>
                <w:szCs w:val="24"/>
                <w:highlight w:val="yellow"/>
              </w:rPr>
            </w:pPr>
            <w:r>
              <w:rPr>
                <w:rFonts w:ascii="Arial" w:hAnsi="Arial" w:cs="Arial"/>
                <w:b/>
                <w:szCs w:val="24"/>
              </w:rPr>
              <w:t>(4)</w:t>
            </w:r>
          </w:p>
        </w:tc>
        <w:tc>
          <w:tcPr>
            <w:tcW w:w="701" w:type="pct"/>
            <w:tcBorders>
              <w:top w:val="nil"/>
              <w:left w:val="nil"/>
              <w:bottom w:val="nil"/>
              <w:right w:val="nil"/>
            </w:tcBorders>
            <w:shd w:val="clear" w:color="auto" w:fill="auto"/>
            <w:vAlign w:val="bottom"/>
            <w:hideMark/>
          </w:tcPr>
          <w:p w14:paraId="4602E3A3" w14:textId="3F8E7103" w:rsidR="00AF141B" w:rsidRPr="00C16392" w:rsidRDefault="00BE47AB" w:rsidP="00AF141B">
            <w:pPr>
              <w:jc w:val="right"/>
              <w:rPr>
                <w:rFonts w:ascii="Arial" w:hAnsi="Arial" w:cs="Arial"/>
                <w:b/>
                <w:szCs w:val="24"/>
                <w:highlight w:val="yellow"/>
              </w:rPr>
            </w:pPr>
            <w:r>
              <w:rPr>
                <w:rFonts w:ascii="Arial" w:hAnsi="Arial" w:cs="Arial"/>
                <w:b/>
                <w:bCs/>
              </w:rPr>
              <w:t>(0.2)</w:t>
            </w:r>
          </w:p>
        </w:tc>
        <w:tc>
          <w:tcPr>
            <w:tcW w:w="627" w:type="pct"/>
            <w:shd w:val="clear" w:color="auto" w:fill="auto"/>
            <w:vAlign w:val="bottom"/>
            <w:hideMark/>
          </w:tcPr>
          <w:p w14:paraId="77E3BDFA" w14:textId="14E6C257" w:rsidR="00AF141B" w:rsidRPr="00C16392" w:rsidRDefault="00AF141B" w:rsidP="00AF141B">
            <w:pPr>
              <w:jc w:val="right"/>
              <w:rPr>
                <w:rFonts w:ascii="Arial" w:hAnsi="Arial" w:cs="Arial"/>
                <w:szCs w:val="24"/>
                <w:highlight w:val="yellow"/>
              </w:rPr>
            </w:pPr>
            <w:r w:rsidRPr="0055610D">
              <w:rPr>
                <w:rFonts w:ascii="Arial" w:hAnsi="Arial" w:cs="Arial"/>
              </w:rPr>
              <w:t>-</w:t>
            </w:r>
          </w:p>
        </w:tc>
        <w:tc>
          <w:tcPr>
            <w:tcW w:w="700" w:type="pct"/>
            <w:shd w:val="clear" w:color="auto" w:fill="auto"/>
            <w:vAlign w:val="bottom"/>
            <w:hideMark/>
          </w:tcPr>
          <w:p w14:paraId="76FC10E2" w14:textId="49C8F356" w:rsidR="00AF141B" w:rsidRPr="00C16392" w:rsidRDefault="00AF141B" w:rsidP="00AF141B">
            <w:pPr>
              <w:jc w:val="right"/>
              <w:rPr>
                <w:rFonts w:ascii="Arial" w:hAnsi="Arial" w:cs="Arial"/>
                <w:szCs w:val="24"/>
                <w:highlight w:val="yellow"/>
              </w:rPr>
            </w:pPr>
            <w:r w:rsidRPr="00507FA4">
              <w:rPr>
                <w:rFonts w:ascii="Arial" w:hAnsi="Arial" w:cs="Arial"/>
              </w:rPr>
              <w:t>-</w:t>
            </w:r>
          </w:p>
        </w:tc>
      </w:tr>
      <w:tr w:rsidR="00AF141B" w:rsidRPr="00C16392" w14:paraId="6CA2F83B" w14:textId="77777777" w:rsidTr="001B494B">
        <w:tc>
          <w:tcPr>
            <w:tcW w:w="2279" w:type="pct"/>
            <w:vAlign w:val="bottom"/>
            <w:hideMark/>
          </w:tcPr>
          <w:p w14:paraId="645B719D" w14:textId="5BCAF521" w:rsidR="00AF141B" w:rsidRPr="00C16392" w:rsidRDefault="00AF141B" w:rsidP="00AF141B">
            <w:pPr>
              <w:jc w:val="left"/>
              <w:rPr>
                <w:rFonts w:ascii="Arial" w:hAnsi="Arial" w:cs="Arial"/>
                <w:szCs w:val="24"/>
                <w:highlight w:val="yellow"/>
              </w:rPr>
            </w:pPr>
            <w:r>
              <w:rPr>
                <w:rFonts w:ascii="Arial" w:hAnsi="Arial" w:cs="Arial"/>
                <w:szCs w:val="24"/>
              </w:rPr>
              <w:t>Net exchange differences on lease liabilities</w:t>
            </w:r>
          </w:p>
        </w:tc>
        <w:tc>
          <w:tcPr>
            <w:tcW w:w="693" w:type="pct"/>
            <w:tcBorders>
              <w:top w:val="nil"/>
              <w:left w:val="nil"/>
              <w:bottom w:val="nil"/>
              <w:right w:val="nil"/>
            </w:tcBorders>
            <w:shd w:val="clear" w:color="auto" w:fill="auto"/>
            <w:vAlign w:val="bottom"/>
            <w:hideMark/>
          </w:tcPr>
          <w:p w14:paraId="23228C86" w14:textId="49E0E89A" w:rsidR="00AF141B" w:rsidRPr="00C16392" w:rsidRDefault="00AF141B" w:rsidP="00AF141B">
            <w:pPr>
              <w:jc w:val="right"/>
              <w:rPr>
                <w:rFonts w:ascii="Arial" w:hAnsi="Arial" w:cs="Arial"/>
                <w:b/>
                <w:szCs w:val="24"/>
                <w:highlight w:val="yellow"/>
              </w:rPr>
            </w:pPr>
            <w:r>
              <w:rPr>
                <w:rFonts w:ascii="Arial" w:hAnsi="Arial" w:cs="Arial"/>
                <w:b/>
                <w:szCs w:val="24"/>
              </w:rPr>
              <w:t>1</w:t>
            </w:r>
          </w:p>
        </w:tc>
        <w:tc>
          <w:tcPr>
            <w:tcW w:w="701" w:type="pct"/>
            <w:tcBorders>
              <w:top w:val="nil"/>
              <w:left w:val="nil"/>
              <w:bottom w:val="nil"/>
              <w:right w:val="nil"/>
            </w:tcBorders>
            <w:shd w:val="clear" w:color="auto" w:fill="auto"/>
            <w:vAlign w:val="bottom"/>
            <w:hideMark/>
          </w:tcPr>
          <w:p w14:paraId="7F75A726" w14:textId="6F054B8E" w:rsidR="00AF141B" w:rsidRPr="00C16392" w:rsidRDefault="00AF141B" w:rsidP="00AF141B">
            <w:pPr>
              <w:jc w:val="right"/>
              <w:rPr>
                <w:rFonts w:ascii="Arial" w:hAnsi="Arial" w:cs="Arial"/>
                <w:b/>
                <w:szCs w:val="24"/>
                <w:highlight w:val="yellow"/>
              </w:rPr>
            </w:pPr>
            <w:r w:rsidRPr="00507FA4">
              <w:rPr>
                <w:rFonts w:ascii="Arial" w:hAnsi="Arial" w:cs="Arial"/>
                <w:b/>
                <w:bCs/>
              </w:rPr>
              <w:t>-</w:t>
            </w:r>
          </w:p>
        </w:tc>
        <w:tc>
          <w:tcPr>
            <w:tcW w:w="627" w:type="pct"/>
            <w:vAlign w:val="bottom"/>
            <w:hideMark/>
          </w:tcPr>
          <w:p w14:paraId="5F9A5F07" w14:textId="12A7A80D" w:rsidR="00AF141B" w:rsidRPr="00C16392" w:rsidRDefault="00AF141B" w:rsidP="00AF141B">
            <w:pPr>
              <w:jc w:val="right"/>
              <w:rPr>
                <w:rFonts w:ascii="Arial" w:hAnsi="Arial" w:cs="Arial"/>
                <w:szCs w:val="24"/>
                <w:highlight w:val="yellow"/>
              </w:rPr>
            </w:pPr>
            <w:r>
              <w:rPr>
                <w:rFonts w:ascii="Arial" w:hAnsi="Arial" w:cs="Arial"/>
              </w:rPr>
              <w:t>(2)</w:t>
            </w:r>
          </w:p>
        </w:tc>
        <w:tc>
          <w:tcPr>
            <w:tcW w:w="700" w:type="pct"/>
            <w:vAlign w:val="bottom"/>
            <w:hideMark/>
          </w:tcPr>
          <w:p w14:paraId="403C840F" w14:textId="61B580B0" w:rsidR="00AF141B" w:rsidRPr="00C16392" w:rsidRDefault="00AF141B" w:rsidP="00AF141B">
            <w:pPr>
              <w:jc w:val="right"/>
              <w:rPr>
                <w:rFonts w:ascii="Arial" w:hAnsi="Arial" w:cs="Arial"/>
                <w:szCs w:val="24"/>
                <w:highlight w:val="yellow"/>
              </w:rPr>
            </w:pPr>
            <w:r>
              <w:rPr>
                <w:rFonts w:ascii="Arial" w:hAnsi="Arial" w:cs="Arial"/>
              </w:rPr>
              <w:t>(0.1)</w:t>
            </w:r>
          </w:p>
        </w:tc>
      </w:tr>
      <w:tr w:rsidR="00AF141B" w:rsidRPr="00C16392" w14:paraId="1360FC9E" w14:textId="77777777" w:rsidTr="001B494B">
        <w:trPr>
          <w:trHeight w:val="70"/>
        </w:trPr>
        <w:tc>
          <w:tcPr>
            <w:tcW w:w="2279" w:type="pct"/>
            <w:tcBorders>
              <w:top w:val="single" w:sz="4" w:space="0" w:color="auto"/>
              <w:left w:val="nil"/>
              <w:bottom w:val="single" w:sz="4" w:space="0" w:color="auto"/>
              <w:right w:val="nil"/>
            </w:tcBorders>
            <w:hideMark/>
          </w:tcPr>
          <w:p w14:paraId="779B8DFD" w14:textId="04575CA5" w:rsidR="00AF141B" w:rsidRPr="00C16392" w:rsidRDefault="00AF141B" w:rsidP="00AF141B">
            <w:pPr>
              <w:rPr>
                <w:rFonts w:ascii="Arial" w:hAnsi="Arial" w:cs="Arial"/>
                <w:b/>
                <w:szCs w:val="24"/>
                <w:highlight w:val="yellow"/>
              </w:rPr>
            </w:pPr>
            <w:r w:rsidRPr="00507FA4">
              <w:rPr>
                <w:rFonts w:ascii="Arial" w:hAnsi="Arial" w:cs="Arial"/>
                <w:b/>
                <w:szCs w:val="24"/>
              </w:rPr>
              <w:t>Basic earnings per share</w:t>
            </w:r>
          </w:p>
        </w:tc>
        <w:tc>
          <w:tcPr>
            <w:tcW w:w="693" w:type="pct"/>
            <w:tcBorders>
              <w:top w:val="single" w:sz="4" w:space="0" w:color="auto"/>
              <w:left w:val="nil"/>
              <w:bottom w:val="single" w:sz="4" w:space="0" w:color="auto"/>
              <w:right w:val="nil"/>
            </w:tcBorders>
            <w:shd w:val="clear" w:color="000000" w:fill="FFFFFF"/>
            <w:vAlign w:val="bottom"/>
            <w:hideMark/>
          </w:tcPr>
          <w:p w14:paraId="25A312EE" w14:textId="50266129" w:rsidR="00AF141B" w:rsidRPr="00C16392" w:rsidRDefault="006A1671" w:rsidP="00AF141B">
            <w:pPr>
              <w:jc w:val="right"/>
              <w:rPr>
                <w:rFonts w:ascii="Arial" w:hAnsi="Arial" w:cs="Arial"/>
                <w:b/>
                <w:szCs w:val="24"/>
                <w:highlight w:val="yellow"/>
              </w:rPr>
            </w:pPr>
            <w:r>
              <w:rPr>
                <w:rFonts w:ascii="Arial" w:hAnsi="Arial" w:cs="Arial"/>
                <w:b/>
                <w:szCs w:val="24"/>
              </w:rPr>
              <w:t>171</w:t>
            </w:r>
          </w:p>
        </w:tc>
        <w:tc>
          <w:tcPr>
            <w:tcW w:w="701" w:type="pct"/>
            <w:tcBorders>
              <w:top w:val="single" w:sz="4" w:space="0" w:color="auto"/>
              <w:left w:val="nil"/>
              <w:bottom w:val="single" w:sz="4" w:space="0" w:color="auto"/>
              <w:right w:val="nil"/>
            </w:tcBorders>
            <w:shd w:val="clear" w:color="auto" w:fill="auto"/>
            <w:vAlign w:val="bottom"/>
            <w:hideMark/>
          </w:tcPr>
          <w:p w14:paraId="7C19FD37" w14:textId="6B6A3F1A" w:rsidR="00AF141B" w:rsidRPr="00C16392" w:rsidRDefault="00AF141B" w:rsidP="00AF141B">
            <w:pPr>
              <w:jc w:val="right"/>
              <w:rPr>
                <w:rFonts w:ascii="Arial" w:hAnsi="Arial" w:cs="Arial"/>
                <w:b/>
                <w:szCs w:val="24"/>
                <w:highlight w:val="yellow"/>
              </w:rPr>
            </w:pPr>
            <w:r>
              <w:rPr>
                <w:rFonts w:ascii="Arial" w:hAnsi="Arial" w:cs="Arial"/>
                <w:b/>
                <w:szCs w:val="24"/>
              </w:rPr>
              <w:t>8.</w:t>
            </w:r>
            <w:r w:rsidR="006A1671">
              <w:rPr>
                <w:rFonts w:ascii="Arial" w:hAnsi="Arial" w:cs="Arial"/>
                <w:b/>
                <w:szCs w:val="24"/>
              </w:rPr>
              <w:t>1</w:t>
            </w:r>
          </w:p>
        </w:tc>
        <w:tc>
          <w:tcPr>
            <w:tcW w:w="627" w:type="pct"/>
            <w:tcBorders>
              <w:top w:val="single" w:sz="4" w:space="0" w:color="auto"/>
              <w:left w:val="nil"/>
              <w:bottom w:val="single" w:sz="4" w:space="0" w:color="auto"/>
              <w:right w:val="nil"/>
            </w:tcBorders>
            <w:vAlign w:val="bottom"/>
            <w:hideMark/>
          </w:tcPr>
          <w:p w14:paraId="0C140F22" w14:textId="3F0AC1E4" w:rsidR="00AF141B" w:rsidRPr="00C16392" w:rsidRDefault="00AF141B" w:rsidP="00AF141B">
            <w:pPr>
              <w:jc w:val="right"/>
              <w:rPr>
                <w:rFonts w:ascii="Arial" w:hAnsi="Arial" w:cs="Arial"/>
                <w:szCs w:val="24"/>
                <w:highlight w:val="yellow"/>
              </w:rPr>
            </w:pPr>
            <w:r w:rsidRPr="00507FA4">
              <w:rPr>
                <w:rFonts w:ascii="Arial" w:hAnsi="Arial" w:cs="Arial"/>
              </w:rPr>
              <w:t>20</w:t>
            </w:r>
            <w:r>
              <w:rPr>
                <w:rFonts w:ascii="Arial" w:hAnsi="Arial" w:cs="Arial"/>
              </w:rPr>
              <w:t>6</w:t>
            </w:r>
          </w:p>
        </w:tc>
        <w:tc>
          <w:tcPr>
            <w:tcW w:w="700" w:type="pct"/>
            <w:tcBorders>
              <w:top w:val="single" w:sz="4" w:space="0" w:color="auto"/>
              <w:left w:val="nil"/>
              <w:bottom w:val="single" w:sz="4" w:space="0" w:color="auto"/>
              <w:right w:val="nil"/>
            </w:tcBorders>
            <w:vAlign w:val="bottom"/>
            <w:hideMark/>
          </w:tcPr>
          <w:p w14:paraId="78955168" w14:textId="635A1EF5" w:rsidR="00AF141B" w:rsidRPr="00C16392" w:rsidRDefault="00AF141B" w:rsidP="00AF141B">
            <w:pPr>
              <w:jc w:val="right"/>
              <w:rPr>
                <w:rFonts w:ascii="Arial" w:hAnsi="Arial" w:cs="Arial"/>
                <w:szCs w:val="24"/>
                <w:highlight w:val="yellow"/>
              </w:rPr>
            </w:pPr>
            <w:r w:rsidRPr="00507FA4">
              <w:rPr>
                <w:rFonts w:ascii="Arial" w:hAnsi="Arial" w:cs="Arial"/>
              </w:rPr>
              <w:t>9.</w:t>
            </w:r>
            <w:r>
              <w:rPr>
                <w:rFonts w:ascii="Arial" w:hAnsi="Arial" w:cs="Arial"/>
              </w:rPr>
              <w:t>6</w:t>
            </w:r>
          </w:p>
        </w:tc>
      </w:tr>
    </w:tbl>
    <w:p w14:paraId="0AC7FA5D" w14:textId="77777777" w:rsidR="00773A54" w:rsidRPr="00C16392" w:rsidRDefault="00773A54" w:rsidP="00773A54">
      <w:pPr>
        <w:jc w:val="left"/>
        <w:rPr>
          <w:rFonts w:ascii="Arial" w:hAnsi="Arial" w:cs="Arial"/>
          <w:b/>
          <w:bCs/>
          <w:sz w:val="20"/>
          <w:szCs w:val="24"/>
          <w:highlight w:val="yellow"/>
        </w:rPr>
      </w:pPr>
    </w:p>
    <w:p w14:paraId="001F2D54" w14:textId="086CCEEA" w:rsidR="005B7D1A" w:rsidRPr="001055CF" w:rsidRDefault="005B7D1A" w:rsidP="005B7D1A">
      <w:pPr>
        <w:jc w:val="left"/>
        <w:rPr>
          <w:rFonts w:ascii="Arial" w:hAnsi="Arial" w:cs="Arial"/>
          <w:b/>
          <w:bCs/>
          <w:szCs w:val="24"/>
        </w:rPr>
      </w:pPr>
      <w:bookmarkStart w:id="48" w:name="_Hlk524457879"/>
      <w:r w:rsidRPr="001055CF">
        <w:rPr>
          <w:rFonts w:ascii="Arial" w:hAnsi="Arial" w:cs="Arial"/>
          <w:b/>
          <w:bCs/>
          <w:szCs w:val="24"/>
        </w:rPr>
        <w:t xml:space="preserve">Dividends </w:t>
      </w:r>
    </w:p>
    <w:p w14:paraId="471A9DF9" w14:textId="77777777" w:rsidR="005B7D1A" w:rsidRPr="00C16392" w:rsidRDefault="005B7D1A" w:rsidP="005B7D1A">
      <w:pPr>
        <w:jc w:val="left"/>
        <w:rPr>
          <w:rFonts w:ascii="Arial" w:hAnsi="Arial" w:cs="Arial"/>
          <w:b/>
          <w:bCs/>
          <w:szCs w:val="24"/>
          <w:highlight w:val="yellow"/>
        </w:rPr>
      </w:pPr>
    </w:p>
    <w:p w14:paraId="632B249C" w14:textId="3BC5A6F3" w:rsidR="005B7D1A" w:rsidRPr="00283413" w:rsidRDefault="005B7D1A" w:rsidP="005B7D1A">
      <w:pPr>
        <w:jc w:val="left"/>
        <w:rPr>
          <w:rFonts w:ascii="Arial" w:hAnsi="Arial" w:cs="Arial"/>
          <w:szCs w:val="24"/>
        </w:rPr>
      </w:pPr>
      <w:bookmarkStart w:id="49" w:name="_Hlk493510373"/>
      <w:r w:rsidRPr="00283413">
        <w:rPr>
          <w:rFonts w:ascii="Arial" w:hAnsi="Arial" w:cs="Arial"/>
          <w:szCs w:val="24"/>
        </w:rPr>
        <w:t xml:space="preserve">The Board has declared an interim </w:t>
      </w:r>
      <w:r w:rsidRPr="00656017">
        <w:rPr>
          <w:rFonts w:ascii="Arial" w:hAnsi="Arial" w:cs="Arial"/>
          <w:szCs w:val="24"/>
        </w:rPr>
        <w:t xml:space="preserve">dividend of </w:t>
      </w:r>
      <w:r w:rsidR="00CF707E" w:rsidRPr="009F71DB">
        <w:rPr>
          <w:rFonts w:ascii="Arial" w:hAnsi="Arial"/>
        </w:rPr>
        <w:t>3.</w:t>
      </w:r>
      <w:r w:rsidR="004F5E3C" w:rsidRPr="009F71DB">
        <w:rPr>
          <w:rFonts w:ascii="Arial" w:hAnsi="Arial"/>
        </w:rPr>
        <w:t>33</w:t>
      </w:r>
      <w:r w:rsidRPr="00656017">
        <w:rPr>
          <w:rFonts w:ascii="Arial" w:hAnsi="Arial" w:cs="Arial"/>
          <w:szCs w:val="24"/>
        </w:rPr>
        <w:t xml:space="preserve">p, </w:t>
      </w:r>
      <w:r w:rsidR="004F5E3C" w:rsidRPr="00656017">
        <w:rPr>
          <w:rFonts w:ascii="Arial" w:hAnsi="Arial" w:cs="Arial"/>
          <w:szCs w:val="24"/>
        </w:rPr>
        <w:t>flat on</w:t>
      </w:r>
      <w:r w:rsidR="004F5E3C" w:rsidRPr="00283413">
        <w:rPr>
          <w:rFonts w:ascii="Arial" w:hAnsi="Arial" w:cs="Arial"/>
          <w:szCs w:val="24"/>
        </w:rPr>
        <w:t xml:space="preserve"> last year</w:t>
      </w:r>
      <w:r w:rsidRPr="00283413">
        <w:rPr>
          <w:rFonts w:ascii="Arial" w:hAnsi="Arial" w:cs="Arial"/>
          <w:szCs w:val="24"/>
        </w:rPr>
        <w:t xml:space="preserve"> (201</w:t>
      </w:r>
      <w:r w:rsidR="00283413" w:rsidRPr="00283413">
        <w:rPr>
          <w:rFonts w:ascii="Arial" w:hAnsi="Arial" w:cs="Arial"/>
          <w:szCs w:val="24"/>
        </w:rPr>
        <w:t>8</w:t>
      </w:r>
      <w:r w:rsidRPr="00283413">
        <w:rPr>
          <w:rFonts w:ascii="Arial" w:hAnsi="Arial" w:cs="Arial"/>
          <w:szCs w:val="24"/>
        </w:rPr>
        <w:t>/1</w:t>
      </w:r>
      <w:r w:rsidR="00283413" w:rsidRPr="00283413">
        <w:rPr>
          <w:rFonts w:ascii="Arial" w:hAnsi="Arial" w:cs="Arial"/>
          <w:szCs w:val="24"/>
        </w:rPr>
        <w:t>9</w:t>
      </w:r>
      <w:r w:rsidRPr="00283413">
        <w:rPr>
          <w:rFonts w:ascii="Arial" w:hAnsi="Arial" w:cs="Arial"/>
          <w:szCs w:val="24"/>
        </w:rPr>
        <w:t>: 3.33p). We continue to be comfortable with medium term dividend cover in the range of 2.0 to 2.5 times based on adjusted basic earnings per share, a level the Board believes is prudent and consistent with the capital needs of the business.</w:t>
      </w:r>
    </w:p>
    <w:p w14:paraId="09286405" w14:textId="77777777" w:rsidR="005B7D1A" w:rsidRPr="00283413" w:rsidRDefault="005B7D1A" w:rsidP="005B7D1A">
      <w:pPr>
        <w:jc w:val="left"/>
        <w:rPr>
          <w:rFonts w:ascii="Arial" w:hAnsi="Arial" w:cs="Arial"/>
          <w:szCs w:val="24"/>
        </w:rPr>
      </w:pPr>
    </w:p>
    <w:p w14:paraId="6D91C425" w14:textId="39785FF1" w:rsidR="005B7D1A" w:rsidRPr="00076217" w:rsidRDefault="005B7D1A" w:rsidP="005B7D1A">
      <w:pPr>
        <w:jc w:val="left"/>
        <w:rPr>
          <w:rFonts w:ascii="Arial" w:hAnsi="Arial" w:cs="Arial"/>
          <w:szCs w:val="24"/>
        </w:rPr>
      </w:pPr>
      <w:bookmarkStart w:id="50" w:name="_Hlk491350222"/>
      <w:r w:rsidRPr="00076217">
        <w:rPr>
          <w:rFonts w:ascii="Arial" w:hAnsi="Arial" w:cs="Arial"/>
          <w:szCs w:val="24"/>
        </w:rPr>
        <w:t xml:space="preserve">The interim dividend will be paid on </w:t>
      </w:r>
      <w:r w:rsidR="004F42A9" w:rsidRPr="00076217">
        <w:rPr>
          <w:rFonts w:ascii="Arial" w:hAnsi="Arial" w:cs="Arial"/>
          <w:szCs w:val="24"/>
        </w:rPr>
        <w:t>8</w:t>
      </w:r>
      <w:r w:rsidR="008C7169" w:rsidRPr="00076217">
        <w:rPr>
          <w:rFonts w:ascii="Arial" w:hAnsi="Arial" w:cs="Arial"/>
          <w:szCs w:val="24"/>
        </w:rPr>
        <w:t xml:space="preserve"> November 201</w:t>
      </w:r>
      <w:r w:rsidR="004F42A9" w:rsidRPr="00076217">
        <w:rPr>
          <w:rFonts w:ascii="Arial" w:hAnsi="Arial" w:cs="Arial"/>
          <w:szCs w:val="24"/>
        </w:rPr>
        <w:t>9</w:t>
      </w:r>
      <w:r w:rsidRPr="00076217">
        <w:rPr>
          <w:rFonts w:ascii="Arial" w:hAnsi="Arial" w:cs="Arial"/>
          <w:szCs w:val="24"/>
        </w:rPr>
        <w:t xml:space="preserve"> to shareholders on the register at close of business on </w:t>
      </w:r>
      <w:r w:rsidR="004F42A9" w:rsidRPr="00076217">
        <w:rPr>
          <w:rFonts w:ascii="Arial" w:hAnsi="Arial" w:cs="Arial"/>
          <w:szCs w:val="24"/>
        </w:rPr>
        <w:t>4</w:t>
      </w:r>
      <w:r w:rsidR="008C7169" w:rsidRPr="00076217">
        <w:rPr>
          <w:rFonts w:ascii="Arial" w:hAnsi="Arial" w:cs="Arial"/>
          <w:szCs w:val="24"/>
        </w:rPr>
        <w:t xml:space="preserve"> October 201</w:t>
      </w:r>
      <w:r w:rsidR="004F42A9" w:rsidRPr="00076217">
        <w:rPr>
          <w:rFonts w:ascii="Arial" w:hAnsi="Arial" w:cs="Arial"/>
          <w:szCs w:val="24"/>
        </w:rPr>
        <w:t>9</w:t>
      </w:r>
      <w:r w:rsidRPr="00076217">
        <w:rPr>
          <w:rFonts w:ascii="Arial" w:hAnsi="Arial" w:cs="Arial"/>
          <w:szCs w:val="24"/>
        </w:rPr>
        <w:t xml:space="preserve">. </w:t>
      </w:r>
      <w:bookmarkStart w:id="51" w:name="_Hlk524454400"/>
      <w:r w:rsidRPr="00076217">
        <w:rPr>
          <w:rFonts w:ascii="Arial" w:hAnsi="Arial" w:cs="Arial"/>
          <w:szCs w:val="24"/>
        </w:rPr>
        <w:t xml:space="preserve">A dividend reinvestment plan (DRIP) is available to shareholders who would prefer to invest their dividends in the shares of the Company. The shares will go ex-dividend on </w:t>
      </w:r>
      <w:r w:rsidR="004F42A9" w:rsidRPr="00076217">
        <w:rPr>
          <w:rFonts w:ascii="Arial" w:hAnsi="Arial" w:cs="Arial"/>
          <w:szCs w:val="24"/>
        </w:rPr>
        <w:t>3</w:t>
      </w:r>
      <w:r w:rsidR="008C7169" w:rsidRPr="00076217">
        <w:rPr>
          <w:rFonts w:ascii="Arial" w:hAnsi="Arial" w:cs="Arial"/>
          <w:szCs w:val="24"/>
        </w:rPr>
        <w:t xml:space="preserve"> October 201</w:t>
      </w:r>
      <w:r w:rsidR="004F42A9" w:rsidRPr="00076217">
        <w:rPr>
          <w:rFonts w:ascii="Arial" w:hAnsi="Arial" w:cs="Arial"/>
          <w:szCs w:val="24"/>
        </w:rPr>
        <w:t>9</w:t>
      </w:r>
      <w:r w:rsidRPr="00076217">
        <w:rPr>
          <w:rFonts w:ascii="Arial" w:hAnsi="Arial" w:cs="Arial"/>
          <w:szCs w:val="24"/>
        </w:rPr>
        <w:t xml:space="preserve">. For those shareholders electing to </w:t>
      </w:r>
      <w:r w:rsidR="00483CCC">
        <w:rPr>
          <w:rFonts w:ascii="Arial" w:hAnsi="Arial" w:cs="Arial"/>
          <w:szCs w:val="24"/>
        </w:rPr>
        <w:t xml:space="preserve">participate in </w:t>
      </w:r>
      <w:r w:rsidRPr="00076217">
        <w:rPr>
          <w:rFonts w:ascii="Arial" w:hAnsi="Arial" w:cs="Arial"/>
          <w:szCs w:val="24"/>
        </w:rPr>
        <w:t>the DRIP</w:t>
      </w:r>
      <w:r w:rsidR="00E438C9">
        <w:rPr>
          <w:rFonts w:ascii="Arial" w:hAnsi="Arial" w:cs="Arial"/>
          <w:szCs w:val="24"/>
        </w:rPr>
        <w:t>,</w:t>
      </w:r>
      <w:r w:rsidRPr="00076217">
        <w:rPr>
          <w:rFonts w:ascii="Arial" w:hAnsi="Arial" w:cs="Arial"/>
          <w:szCs w:val="24"/>
        </w:rPr>
        <w:t xml:space="preserve"> the last date for receipt of election</w:t>
      </w:r>
      <w:r w:rsidR="00483CCC">
        <w:rPr>
          <w:rFonts w:ascii="Arial" w:hAnsi="Arial" w:cs="Arial"/>
          <w:szCs w:val="24"/>
        </w:rPr>
        <w:t>s</w:t>
      </w:r>
      <w:r w:rsidRPr="00076217">
        <w:rPr>
          <w:rFonts w:ascii="Arial" w:hAnsi="Arial" w:cs="Arial"/>
          <w:szCs w:val="24"/>
        </w:rPr>
        <w:t xml:space="preserve"> </w:t>
      </w:r>
      <w:r w:rsidR="004C27D8" w:rsidRPr="00076217">
        <w:rPr>
          <w:rFonts w:ascii="Arial" w:hAnsi="Arial" w:cs="Arial"/>
          <w:szCs w:val="24"/>
        </w:rPr>
        <w:t xml:space="preserve">is </w:t>
      </w:r>
      <w:r w:rsidR="008C7169" w:rsidRPr="00076217">
        <w:rPr>
          <w:rFonts w:ascii="Arial" w:hAnsi="Arial" w:cs="Arial"/>
          <w:szCs w:val="24"/>
        </w:rPr>
        <w:t>1</w:t>
      </w:r>
      <w:r w:rsidR="00D60D3C">
        <w:rPr>
          <w:rFonts w:ascii="Arial" w:hAnsi="Arial" w:cs="Arial"/>
          <w:szCs w:val="24"/>
        </w:rPr>
        <w:t>8</w:t>
      </w:r>
      <w:r w:rsidR="008C7169" w:rsidRPr="00076217">
        <w:rPr>
          <w:rFonts w:ascii="Arial" w:hAnsi="Arial" w:cs="Arial"/>
          <w:szCs w:val="24"/>
        </w:rPr>
        <w:t xml:space="preserve"> October 201</w:t>
      </w:r>
      <w:r w:rsidR="004F42A9" w:rsidRPr="00076217">
        <w:rPr>
          <w:rFonts w:ascii="Arial" w:hAnsi="Arial" w:cs="Arial"/>
          <w:szCs w:val="24"/>
        </w:rPr>
        <w:t>9</w:t>
      </w:r>
      <w:r w:rsidRPr="00076217">
        <w:rPr>
          <w:rFonts w:ascii="Arial" w:hAnsi="Arial" w:cs="Arial"/>
          <w:szCs w:val="24"/>
        </w:rPr>
        <w:t>.</w:t>
      </w:r>
      <w:bookmarkEnd w:id="51"/>
    </w:p>
    <w:bookmarkEnd w:id="50"/>
    <w:p w14:paraId="0C1E9F5A" w14:textId="77777777" w:rsidR="005B7D1A" w:rsidRPr="00076217" w:rsidRDefault="005B7D1A" w:rsidP="005B7D1A">
      <w:pPr>
        <w:jc w:val="left"/>
        <w:rPr>
          <w:rFonts w:ascii="Arial" w:hAnsi="Arial" w:cs="Arial"/>
          <w:szCs w:val="24"/>
        </w:rPr>
      </w:pPr>
    </w:p>
    <w:bookmarkEnd w:id="48"/>
    <w:bookmarkEnd w:id="49"/>
    <w:p w14:paraId="4952FBF9" w14:textId="2F22EBA8" w:rsidR="005B7D1A" w:rsidRPr="00076217" w:rsidRDefault="005B7D1A" w:rsidP="00773A54">
      <w:pPr>
        <w:jc w:val="left"/>
        <w:rPr>
          <w:rFonts w:ascii="Arial" w:hAnsi="Arial" w:cs="Arial"/>
          <w:b/>
          <w:szCs w:val="24"/>
        </w:rPr>
      </w:pPr>
    </w:p>
    <w:p w14:paraId="7A37417E" w14:textId="6DAFFB87" w:rsidR="004F42A9" w:rsidRDefault="004F42A9" w:rsidP="00773A54">
      <w:pPr>
        <w:jc w:val="left"/>
        <w:rPr>
          <w:rFonts w:ascii="Arial" w:hAnsi="Arial" w:cs="Arial"/>
          <w:b/>
          <w:szCs w:val="24"/>
          <w:highlight w:val="yellow"/>
        </w:rPr>
      </w:pPr>
    </w:p>
    <w:p w14:paraId="13515D10" w14:textId="336BDB65" w:rsidR="004F42A9" w:rsidRDefault="004F42A9" w:rsidP="00773A54">
      <w:pPr>
        <w:jc w:val="left"/>
        <w:rPr>
          <w:rFonts w:ascii="Arial" w:hAnsi="Arial" w:cs="Arial"/>
          <w:b/>
          <w:szCs w:val="24"/>
          <w:highlight w:val="yellow"/>
        </w:rPr>
      </w:pPr>
    </w:p>
    <w:p w14:paraId="4BCC8E74" w14:textId="0181CD0A" w:rsidR="004F42A9" w:rsidRDefault="004F42A9" w:rsidP="00773A54">
      <w:pPr>
        <w:jc w:val="left"/>
        <w:rPr>
          <w:rFonts w:ascii="Arial" w:hAnsi="Arial" w:cs="Arial"/>
          <w:b/>
          <w:szCs w:val="24"/>
          <w:highlight w:val="yellow"/>
        </w:rPr>
      </w:pPr>
    </w:p>
    <w:p w14:paraId="6BA3A463" w14:textId="77777777" w:rsidR="004F42A9" w:rsidRPr="00C16392" w:rsidRDefault="004F42A9" w:rsidP="00773A54">
      <w:pPr>
        <w:jc w:val="left"/>
        <w:rPr>
          <w:rFonts w:ascii="Arial" w:hAnsi="Arial" w:cs="Arial"/>
          <w:b/>
          <w:szCs w:val="24"/>
          <w:highlight w:val="yellow"/>
        </w:rPr>
      </w:pPr>
    </w:p>
    <w:p w14:paraId="3AC9170E" w14:textId="2049CEB7" w:rsidR="002C29DB" w:rsidRPr="009C1A3C" w:rsidRDefault="00773A54" w:rsidP="00773A54">
      <w:pPr>
        <w:jc w:val="left"/>
        <w:rPr>
          <w:rFonts w:ascii="Arial" w:hAnsi="Arial" w:cs="Arial"/>
          <w:b/>
          <w:szCs w:val="24"/>
        </w:rPr>
      </w:pPr>
      <w:r w:rsidRPr="009C1A3C">
        <w:rPr>
          <w:rFonts w:ascii="Arial" w:hAnsi="Arial" w:cs="Arial"/>
          <w:b/>
          <w:szCs w:val="24"/>
        </w:rPr>
        <w:lastRenderedPageBreak/>
        <w:t xml:space="preserve">Free cash flow* </w:t>
      </w:r>
    </w:p>
    <w:p w14:paraId="7278E231" w14:textId="77777777" w:rsidR="00773A54" w:rsidRPr="009C1A3C" w:rsidRDefault="00773A54" w:rsidP="00773A54">
      <w:pPr>
        <w:jc w:val="left"/>
        <w:rPr>
          <w:rFonts w:ascii="Arial" w:hAnsi="Arial" w:cs="Arial"/>
          <w:b/>
          <w:szCs w:val="24"/>
        </w:rPr>
      </w:pPr>
    </w:p>
    <w:p w14:paraId="228A6F9C" w14:textId="263D1377" w:rsidR="00773A54" w:rsidRPr="009C1A3C" w:rsidRDefault="00773A54" w:rsidP="00773A54">
      <w:pPr>
        <w:jc w:val="left"/>
        <w:rPr>
          <w:rFonts w:ascii="Arial" w:hAnsi="Arial" w:cs="Arial"/>
          <w:szCs w:val="24"/>
        </w:rPr>
      </w:pPr>
      <w:r w:rsidRPr="009C1A3C">
        <w:rPr>
          <w:rFonts w:ascii="Arial" w:hAnsi="Arial" w:cs="Arial"/>
          <w:szCs w:val="24"/>
        </w:rPr>
        <w:t xml:space="preserve">A reconciliation of free cash flow </w:t>
      </w:r>
      <w:r w:rsidR="001D1D93">
        <w:rPr>
          <w:rFonts w:ascii="Arial" w:hAnsi="Arial" w:cs="Arial"/>
          <w:szCs w:val="24"/>
        </w:rPr>
        <w:t xml:space="preserve">and net debt </w:t>
      </w:r>
      <w:r w:rsidRPr="009C1A3C">
        <w:rPr>
          <w:rFonts w:ascii="Arial" w:hAnsi="Arial" w:cs="Arial"/>
          <w:szCs w:val="24"/>
        </w:rPr>
        <w:t>is set out below:</w:t>
      </w:r>
    </w:p>
    <w:tbl>
      <w:tblPr>
        <w:tblW w:w="9508" w:type="dxa"/>
        <w:tblInd w:w="98" w:type="dxa"/>
        <w:tblLayout w:type="fixed"/>
        <w:tblLook w:val="0000" w:firstRow="0" w:lastRow="0" w:firstColumn="0" w:lastColumn="0" w:noHBand="0" w:noVBand="0"/>
      </w:tblPr>
      <w:tblGrid>
        <w:gridCol w:w="6531"/>
        <w:gridCol w:w="317"/>
        <w:gridCol w:w="1242"/>
        <w:gridCol w:w="1418"/>
      </w:tblGrid>
      <w:tr w:rsidR="00B06F28" w:rsidRPr="00C16392" w14:paraId="6292A232" w14:textId="77777777" w:rsidTr="00C64D89">
        <w:trPr>
          <w:trHeight w:val="555"/>
        </w:trPr>
        <w:tc>
          <w:tcPr>
            <w:tcW w:w="6531" w:type="dxa"/>
            <w:tcBorders>
              <w:bottom w:val="single" w:sz="4" w:space="0" w:color="auto"/>
            </w:tcBorders>
            <w:shd w:val="clear" w:color="auto" w:fill="auto"/>
            <w:vAlign w:val="bottom"/>
          </w:tcPr>
          <w:p w14:paraId="33E86640" w14:textId="77777777" w:rsidR="00B06F28" w:rsidRPr="009C1A3C" w:rsidRDefault="00B06F28" w:rsidP="00C97687">
            <w:pPr>
              <w:jc w:val="left"/>
              <w:rPr>
                <w:rFonts w:ascii="Arial" w:hAnsi="Arial" w:cs="Arial"/>
                <w:bCs/>
                <w:szCs w:val="24"/>
              </w:rPr>
            </w:pPr>
          </w:p>
        </w:tc>
        <w:tc>
          <w:tcPr>
            <w:tcW w:w="1559" w:type="dxa"/>
            <w:gridSpan w:val="2"/>
            <w:tcBorders>
              <w:bottom w:val="single" w:sz="4" w:space="0" w:color="auto"/>
            </w:tcBorders>
          </w:tcPr>
          <w:p w14:paraId="75A77007" w14:textId="65008E5B" w:rsidR="00B06F28" w:rsidRPr="009C1A3C" w:rsidRDefault="00B06F28" w:rsidP="00C97687">
            <w:pPr>
              <w:jc w:val="right"/>
              <w:rPr>
                <w:rFonts w:ascii="Arial" w:hAnsi="Arial" w:cs="Arial"/>
                <w:b/>
                <w:bCs/>
                <w:szCs w:val="24"/>
              </w:rPr>
            </w:pPr>
            <w:r w:rsidRPr="009C1A3C">
              <w:rPr>
                <w:rFonts w:ascii="Arial" w:hAnsi="Arial" w:cs="Arial"/>
                <w:b/>
                <w:bCs/>
                <w:szCs w:val="24"/>
              </w:rPr>
              <w:t>201</w:t>
            </w:r>
            <w:r w:rsidR="00220CD3" w:rsidRPr="009C1A3C">
              <w:rPr>
                <w:rFonts w:ascii="Arial" w:hAnsi="Arial" w:cs="Arial"/>
                <w:b/>
                <w:bCs/>
                <w:szCs w:val="24"/>
              </w:rPr>
              <w:t>9</w:t>
            </w:r>
            <w:r w:rsidRPr="009C1A3C">
              <w:rPr>
                <w:rFonts w:ascii="Arial" w:hAnsi="Arial" w:cs="Arial"/>
                <w:b/>
                <w:bCs/>
                <w:szCs w:val="24"/>
              </w:rPr>
              <w:t>/</w:t>
            </w:r>
            <w:r w:rsidR="00220CD3" w:rsidRPr="009C1A3C">
              <w:rPr>
                <w:rFonts w:ascii="Arial" w:hAnsi="Arial" w:cs="Arial"/>
                <w:b/>
                <w:bCs/>
                <w:szCs w:val="24"/>
              </w:rPr>
              <w:t>20</w:t>
            </w:r>
          </w:p>
          <w:p w14:paraId="3381A106" w14:textId="77777777" w:rsidR="00B06F28" w:rsidRPr="009C1A3C" w:rsidRDefault="00B06F28" w:rsidP="00C97687">
            <w:pPr>
              <w:jc w:val="right"/>
              <w:rPr>
                <w:rFonts w:ascii="Arial" w:hAnsi="Arial" w:cs="Arial"/>
                <w:b/>
                <w:bCs/>
                <w:szCs w:val="24"/>
              </w:rPr>
            </w:pPr>
            <w:r w:rsidRPr="009C1A3C">
              <w:rPr>
                <w:rFonts w:ascii="Arial" w:hAnsi="Arial" w:cs="Arial"/>
                <w:b/>
                <w:bCs/>
                <w:szCs w:val="24"/>
              </w:rPr>
              <w:t>£m</w:t>
            </w:r>
          </w:p>
        </w:tc>
        <w:tc>
          <w:tcPr>
            <w:tcW w:w="1418" w:type="dxa"/>
            <w:tcBorders>
              <w:bottom w:val="single" w:sz="4" w:space="0" w:color="auto"/>
            </w:tcBorders>
          </w:tcPr>
          <w:p w14:paraId="44B5E488" w14:textId="55BC53D3" w:rsidR="00B06F28" w:rsidRPr="009C1A3C" w:rsidRDefault="00B06F28" w:rsidP="00C97687">
            <w:pPr>
              <w:jc w:val="right"/>
              <w:rPr>
                <w:rFonts w:ascii="Arial" w:hAnsi="Arial" w:cs="Arial"/>
                <w:bCs/>
                <w:szCs w:val="24"/>
              </w:rPr>
            </w:pPr>
            <w:r w:rsidRPr="009C1A3C">
              <w:rPr>
                <w:rFonts w:ascii="Arial" w:hAnsi="Arial" w:cs="Arial"/>
                <w:bCs/>
                <w:szCs w:val="24"/>
              </w:rPr>
              <w:t>201</w:t>
            </w:r>
            <w:r w:rsidR="00220CD3" w:rsidRPr="009C1A3C">
              <w:rPr>
                <w:rFonts w:ascii="Arial" w:hAnsi="Arial" w:cs="Arial"/>
                <w:bCs/>
                <w:szCs w:val="24"/>
              </w:rPr>
              <w:t>8</w:t>
            </w:r>
            <w:r w:rsidRPr="009C1A3C">
              <w:rPr>
                <w:rFonts w:ascii="Arial" w:hAnsi="Arial" w:cs="Arial"/>
                <w:bCs/>
                <w:szCs w:val="24"/>
              </w:rPr>
              <w:t>/1</w:t>
            </w:r>
            <w:r w:rsidR="00220CD3" w:rsidRPr="009C1A3C">
              <w:rPr>
                <w:rFonts w:ascii="Arial" w:hAnsi="Arial" w:cs="Arial"/>
                <w:bCs/>
                <w:szCs w:val="24"/>
              </w:rPr>
              <w:t>9</w:t>
            </w:r>
          </w:p>
          <w:p w14:paraId="23BB1D85" w14:textId="110D02F6" w:rsidR="00B06F28" w:rsidRPr="009C1A3C" w:rsidRDefault="00B06F28" w:rsidP="00C97687">
            <w:pPr>
              <w:jc w:val="right"/>
              <w:rPr>
                <w:rFonts w:ascii="Arial" w:hAnsi="Arial" w:cs="Arial"/>
                <w:bCs/>
                <w:szCs w:val="24"/>
              </w:rPr>
            </w:pPr>
            <w:r w:rsidRPr="009C1A3C">
              <w:rPr>
                <w:rFonts w:ascii="Arial" w:hAnsi="Arial" w:cs="Arial"/>
                <w:bCs/>
                <w:szCs w:val="24"/>
              </w:rPr>
              <w:t>£m</w:t>
            </w:r>
          </w:p>
        </w:tc>
      </w:tr>
      <w:tr w:rsidR="009C1A3C" w:rsidRPr="00C16392" w14:paraId="293A92FE" w14:textId="77777777" w:rsidTr="001B494B">
        <w:trPr>
          <w:trHeight w:val="255"/>
        </w:trPr>
        <w:tc>
          <w:tcPr>
            <w:tcW w:w="6848" w:type="dxa"/>
            <w:gridSpan w:val="2"/>
            <w:tcBorders>
              <w:top w:val="single" w:sz="4" w:space="0" w:color="auto"/>
            </w:tcBorders>
            <w:shd w:val="clear" w:color="auto" w:fill="auto"/>
            <w:vAlign w:val="bottom"/>
          </w:tcPr>
          <w:p w14:paraId="3C5560A1" w14:textId="0A14C7A7" w:rsidR="009C1A3C" w:rsidRPr="00C16392" w:rsidRDefault="009C1A3C" w:rsidP="009C1A3C">
            <w:pPr>
              <w:rPr>
                <w:rFonts w:ascii="Arial" w:hAnsi="Arial" w:cs="Arial"/>
                <w:b/>
                <w:szCs w:val="24"/>
                <w:highlight w:val="yellow"/>
              </w:rPr>
            </w:pPr>
            <w:r w:rsidRPr="00507FA4">
              <w:rPr>
                <w:rFonts w:ascii="Arial" w:hAnsi="Arial" w:cs="Arial"/>
                <w:b/>
                <w:szCs w:val="24"/>
              </w:rPr>
              <w:t>Operating profit</w:t>
            </w:r>
          </w:p>
        </w:tc>
        <w:tc>
          <w:tcPr>
            <w:tcW w:w="1242" w:type="dxa"/>
            <w:tcBorders>
              <w:top w:val="single" w:sz="4" w:space="0" w:color="auto"/>
            </w:tcBorders>
          </w:tcPr>
          <w:p w14:paraId="3268C9C5" w14:textId="6603C726" w:rsidR="009C1A3C" w:rsidRPr="00C16392" w:rsidRDefault="006A1671" w:rsidP="009C1A3C">
            <w:pPr>
              <w:jc w:val="right"/>
              <w:rPr>
                <w:rFonts w:ascii="Arial" w:hAnsi="Arial" w:cs="Arial"/>
                <w:b/>
                <w:szCs w:val="24"/>
                <w:highlight w:val="yellow"/>
              </w:rPr>
            </w:pPr>
            <w:r>
              <w:rPr>
                <w:rFonts w:ascii="Arial" w:hAnsi="Arial" w:cs="Arial"/>
                <w:b/>
                <w:szCs w:val="24"/>
              </w:rPr>
              <w:t>328</w:t>
            </w:r>
          </w:p>
        </w:tc>
        <w:tc>
          <w:tcPr>
            <w:tcW w:w="1418" w:type="dxa"/>
            <w:tcBorders>
              <w:top w:val="single" w:sz="4" w:space="0" w:color="auto"/>
            </w:tcBorders>
          </w:tcPr>
          <w:p w14:paraId="791156C4" w14:textId="4885A1D2" w:rsidR="009C1A3C" w:rsidRPr="00C16392" w:rsidRDefault="009C1A3C" w:rsidP="009C1A3C">
            <w:pPr>
              <w:jc w:val="right"/>
              <w:rPr>
                <w:rFonts w:ascii="Arial" w:hAnsi="Arial" w:cs="Arial"/>
                <w:bCs/>
                <w:szCs w:val="24"/>
                <w:highlight w:val="yellow"/>
              </w:rPr>
            </w:pPr>
            <w:r>
              <w:rPr>
                <w:rFonts w:ascii="Arial" w:hAnsi="Arial" w:cs="Arial"/>
                <w:bCs/>
                <w:szCs w:val="24"/>
              </w:rPr>
              <w:t>369</w:t>
            </w:r>
          </w:p>
        </w:tc>
      </w:tr>
      <w:tr w:rsidR="009C1A3C" w:rsidRPr="00C16392" w14:paraId="02F3600A" w14:textId="77777777" w:rsidTr="001B494B">
        <w:trPr>
          <w:trHeight w:val="255"/>
        </w:trPr>
        <w:tc>
          <w:tcPr>
            <w:tcW w:w="6848" w:type="dxa"/>
            <w:gridSpan w:val="2"/>
            <w:shd w:val="clear" w:color="auto" w:fill="auto"/>
            <w:vAlign w:val="bottom"/>
          </w:tcPr>
          <w:p w14:paraId="3CE35A0E" w14:textId="46C0EF6B" w:rsidR="009C1A3C" w:rsidRPr="00C16392" w:rsidRDefault="009C1A3C" w:rsidP="009C1A3C">
            <w:pPr>
              <w:rPr>
                <w:rFonts w:ascii="Arial" w:hAnsi="Arial" w:cs="Arial"/>
                <w:szCs w:val="24"/>
                <w:highlight w:val="yellow"/>
              </w:rPr>
            </w:pPr>
            <w:r w:rsidRPr="00507FA4">
              <w:rPr>
                <w:rFonts w:ascii="Arial" w:hAnsi="Arial" w:cs="Arial"/>
                <w:szCs w:val="24"/>
              </w:rPr>
              <w:t>Exceptional items</w:t>
            </w:r>
          </w:p>
        </w:tc>
        <w:tc>
          <w:tcPr>
            <w:tcW w:w="1242" w:type="dxa"/>
          </w:tcPr>
          <w:p w14:paraId="79028D9E" w14:textId="0CF89A9A" w:rsidR="009C1A3C" w:rsidRPr="00C16392" w:rsidRDefault="009C1A3C" w:rsidP="009C1A3C">
            <w:pPr>
              <w:jc w:val="right"/>
              <w:rPr>
                <w:rFonts w:ascii="Arial" w:hAnsi="Arial" w:cs="Arial"/>
                <w:b/>
                <w:szCs w:val="24"/>
                <w:highlight w:val="yellow"/>
              </w:rPr>
            </w:pPr>
            <w:r>
              <w:rPr>
                <w:rFonts w:ascii="Arial" w:hAnsi="Arial" w:cs="Arial"/>
                <w:b/>
                <w:szCs w:val="24"/>
              </w:rPr>
              <w:t>93</w:t>
            </w:r>
          </w:p>
        </w:tc>
        <w:tc>
          <w:tcPr>
            <w:tcW w:w="1418" w:type="dxa"/>
          </w:tcPr>
          <w:p w14:paraId="71FFF1FD" w14:textId="685D9550" w:rsidR="009C1A3C" w:rsidRPr="00C16392" w:rsidRDefault="009C1A3C" w:rsidP="009C1A3C">
            <w:pPr>
              <w:jc w:val="right"/>
              <w:rPr>
                <w:rFonts w:ascii="Arial" w:hAnsi="Arial" w:cs="Arial"/>
                <w:bCs/>
                <w:szCs w:val="24"/>
                <w:highlight w:val="yellow"/>
              </w:rPr>
            </w:pPr>
            <w:r w:rsidRPr="00507FA4">
              <w:rPr>
                <w:rFonts w:ascii="Arial" w:hAnsi="Arial" w:cs="Arial"/>
                <w:bCs/>
                <w:szCs w:val="24"/>
              </w:rPr>
              <w:t>42</w:t>
            </w:r>
          </w:p>
        </w:tc>
      </w:tr>
      <w:tr w:rsidR="009C1A3C" w:rsidRPr="00C16392" w14:paraId="11C06CAF" w14:textId="77777777" w:rsidTr="001B494B">
        <w:trPr>
          <w:trHeight w:val="255"/>
        </w:trPr>
        <w:tc>
          <w:tcPr>
            <w:tcW w:w="6848" w:type="dxa"/>
            <w:gridSpan w:val="2"/>
            <w:tcBorders>
              <w:top w:val="single" w:sz="4" w:space="0" w:color="auto"/>
            </w:tcBorders>
            <w:shd w:val="clear" w:color="auto" w:fill="auto"/>
            <w:vAlign w:val="bottom"/>
          </w:tcPr>
          <w:p w14:paraId="2E65494F" w14:textId="5BBB2DCE" w:rsidR="009C1A3C" w:rsidRPr="00C16392" w:rsidRDefault="009C1A3C" w:rsidP="009C1A3C">
            <w:pPr>
              <w:rPr>
                <w:rFonts w:ascii="Arial" w:hAnsi="Arial" w:cs="Arial"/>
                <w:b/>
                <w:szCs w:val="24"/>
                <w:highlight w:val="yellow"/>
              </w:rPr>
            </w:pPr>
            <w:r w:rsidRPr="00507FA4">
              <w:rPr>
                <w:rFonts w:ascii="Arial" w:hAnsi="Arial" w:cs="Arial"/>
                <w:b/>
                <w:szCs w:val="24"/>
              </w:rPr>
              <w:t>Operating profit (before exceptional items)</w:t>
            </w:r>
          </w:p>
        </w:tc>
        <w:tc>
          <w:tcPr>
            <w:tcW w:w="1242" w:type="dxa"/>
            <w:tcBorders>
              <w:top w:val="single" w:sz="4" w:space="0" w:color="auto"/>
            </w:tcBorders>
          </w:tcPr>
          <w:p w14:paraId="7EBA19D0" w14:textId="39FBDCA3" w:rsidR="009C1A3C" w:rsidRPr="00C16392" w:rsidRDefault="009C1A3C" w:rsidP="009C1A3C">
            <w:pPr>
              <w:jc w:val="right"/>
              <w:rPr>
                <w:rFonts w:ascii="Arial" w:hAnsi="Arial" w:cs="Arial"/>
                <w:b/>
                <w:szCs w:val="24"/>
                <w:highlight w:val="yellow"/>
              </w:rPr>
            </w:pPr>
            <w:r>
              <w:rPr>
                <w:rFonts w:ascii="Arial" w:hAnsi="Arial" w:cs="Arial"/>
                <w:b/>
                <w:szCs w:val="24"/>
              </w:rPr>
              <w:t>42</w:t>
            </w:r>
            <w:r w:rsidR="006A1671">
              <w:rPr>
                <w:rFonts w:ascii="Arial" w:hAnsi="Arial" w:cs="Arial"/>
                <w:b/>
                <w:szCs w:val="24"/>
              </w:rPr>
              <w:t>1</w:t>
            </w:r>
          </w:p>
        </w:tc>
        <w:tc>
          <w:tcPr>
            <w:tcW w:w="1418" w:type="dxa"/>
            <w:tcBorders>
              <w:top w:val="single" w:sz="4" w:space="0" w:color="auto"/>
            </w:tcBorders>
          </w:tcPr>
          <w:p w14:paraId="2332FFF0" w14:textId="7820EFE2" w:rsidR="009C1A3C" w:rsidRPr="00C16392" w:rsidRDefault="009C1A3C" w:rsidP="009C1A3C">
            <w:pPr>
              <w:jc w:val="right"/>
              <w:rPr>
                <w:rFonts w:ascii="Arial" w:hAnsi="Arial" w:cs="Arial"/>
                <w:bCs/>
                <w:szCs w:val="24"/>
                <w:highlight w:val="yellow"/>
              </w:rPr>
            </w:pPr>
            <w:r>
              <w:rPr>
                <w:rFonts w:ascii="Arial" w:hAnsi="Arial" w:cs="Arial"/>
                <w:bCs/>
                <w:szCs w:val="24"/>
              </w:rPr>
              <w:t>411</w:t>
            </w:r>
          </w:p>
        </w:tc>
      </w:tr>
      <w:tr w:rsidR="009C1A3C" w:rsidRPr="00C16392" w14:paraId="3C36A993" w14:textId="77777777" w:rsidTr="001B494B">
        <w:trPr>
          <w:trHeight w:val="270"/>
        </w:trPr>
        <w:tc>
          <w:tcPr>
            <w:tcW w:w="6848" w:type="dxa"/>
            <w:gridSpan w:val="2"/>
            <w:shd w:val="clear" w:color="auto" w:fill="auto"/>
            <w:vAlign w:val="bottom"/>
          </w:tcPr>
          <w:p w14:paraId="1E162C46" w14:textId="64254649" w:rsidR="009C1A3C" w:rsidRPr="00C16392" w:rsidRDefault="009C1A3C" w:rsidP="009C1A3C">
            <w:pPr>
              <w:rPr>
                <w:rFonts w:ascii="Arial" w:hAnsi="Arial" w:cs="Arial"/>
                <w:szCs w:val="24"/>
                <w:highlight w:val="yellow"/>
              </w:rPr>
            </w:pPr>
            <w:r w:rsidRPr="00507FA4">
              <w:rPr>
                <w:rFonts w:ascii="Arial" w:hAnsi="Arial" w:cs="Arial"/>
                <w:szCs w:val="24"/>
              </w:rPr>
              <w:t>Other non-cash items</w:t>
            </w:r>
            <w:r w:rsidRPr="00507FA4">
              <w:rPr>
                <w:rFonts w:ascii="Arial" w:hAnsi="Arial" w:cs="Arial"/>
                <w:sz w:val="18"/>
                <w:szCs w:val="20"/>
                <w:vertAlign w:val="superscript"/>
              </w:rPr>
              <w:t>(1)</w:t>
            </w:r>
          </w:p>
        </w:tc>
        <w:tc>
          <w:tcPr>
            <w:tcW w:w="1242" w:type="dxa"/>
          </w:tcPr>
          <w:p w14:paraId="53AD43D5" w14:textId="0E4C3F45" w:rsidR="009C1A3C" w:rsidRPr="00C16392" w:rsidRDefault="009C1A3C" w:rsidP="009C1A3C">
            <w:pPr>
              <w:jc w:val="right"/>
              <w:rPr>
                <w:rFonts w:ascii="Arial" w:hAnsi="Arial" w:cs="Arial"/>
                <w:b/>
                <w:szCs w:val="24"/>
                <w:highlight w:val="yellow"/>
              </w:rPr>
            </w:pPr>
            <w:r>
              <w:rPr>
                <w:rFonts w:ascii="Arial" w:hAnsi="Arial" w:cs="Arial"/>
                <w:b/>
                <w:szCs w:val="24"/>
              </w:rPr>
              <w:t>28</w:t>
            </w:r>
            <w:r w:rsidR="00ED340B">
              <w:rPr>
                <w:rFonts w:ascii="Arial" w:hAnsi="Arial" w:cs="Arial"/>
                <w:b/>
                <w:szCs w:val="24"/>
              </w:rPr>
              <w:t>8</w:t>
            </w:r>
          </w:p>
        </w:tc>
        <w:tc>
          <w:tcPr>
            <w:tcW w:w="1418" w:type="dxa"/>
          </w:tcPr>
          <w:p w14:paraId="41C468C1" w14:textId="4436FF39" w:rsidR="009C1A3C" w:rsidRPr="00C16392" w:rsidRDefault="009C1A3C" w:rsidP="009C1A3C">
            <w:pPr>
              <w:jc w:val="right"/>
              <w:rPr>
                <w:rFonts w:ascii="Arial" w:hAnsi="Arial" w:cs="Arial"/>
                <w:bCs/>
                <w:szCs w:val="24"/>
                <w:highlight w:val="yellow"/>
              </w:rPr>
            </w:pPr>
            <w:r>
              <w:rPr>
                <w:rFonts w:ascii="Arial" w:hAnsi="Arial" w:cs="Arial"/>
                <w:bCs/>
                <w:szCs w:val="24"/>
              </w:rPr>
              <w:t>283</w:t>
            </w:r>
          </w:p>
        </w:tc>
      </w:tr>
      <w:tr w:rsidR="009C1A3C" w:rsidRPr="00C16392" w14:paraId="02A8D0B6" w14:textId="77777777" w:rsidTr="001B494B">
        <w:trPr>
          <w:trHeight w:val="247"/>
        </w:trPr>
        <w:tc>
          <w:tcPr>
            <w:tcW w:w="6848" w:type="dxa"/>
            <w:gridSpan w:val="2"/>
            <w:shd w:val="clear" w:color="auto" w:fill="auto"/>
            <w:vAlign w:val="bottom"/>
          </w:tcPr>
          <w:p w14:paraId="40A88008" w14:textId="0CEA0647" w:rsidR="009C1A3C" w:rsidRPr="00C16392" w:rsidRDefault="009C1A3C" w:rsidP="009C1A3C">
            <w:pPr>
              <w:rPr>
                <w:rFonts w:ascii="Arial" w:hAnsi="Arial" w:cs="Arial"/>
                <w:szCs w:val="24"/>
                <w:highlight w:val="yellow"/>
              </w:rPr>
            </w:pPr>
            <w:r w:rsidRPr="00507FA4">
              <w:rPr>
                <w:rFonts w:ascii="Arial" w:hAnsi="Arial" w:cs="Arial"/>
                <w:szCs w:val="24"/>
              </w:rPr>
              <w:t>Change in working capital</w:t>
            </w:r>
          </w:p>
        </w:tc>
        <w:tc>
          <w:tcPr>
            <w:tcW w:w="1242" w:type="dxa"/>
          </w:tcPr>
          <w:p w14:paraId="1B44828F" w14:textId="65A1650B" w:rsidR="009C1A3C" w:rsidRDefault="009C1A3C" w:rsidP="009C1A3C">
            <w:pPr>
              <w:jc w:val="right"/>
              <w:rPr>
                <w:rFonts w:ascii="Arial" w:hAnsi="Arial" w:cs="Arial"/>
                <w:b/>
                <w:szCs w:val="24"/>
                <w:highlight w:val="yellow"/>
              </w:rPr>
            </w:pPr>
            <w:r w:rsidRPr="00ED340B">
              <w:rPr>
                <w:rFonts w:ascii="Arial" w:hAnsi="Arial" w:cs="Arial"/>
                <w:b/>
                <w:szCs w:val="24"/>
              </w:rPr>
              <w:t>(4</w:t>
            </w:r>
            <w:r w:rsidR="006A1671">
              <w:rPr>
                <w:rFonts w:ascii="Arial" w:hAnsi="Arial" w:cs="Arial"/>
                <w:b/>
                <w:szCs w:val="24"/>
              </w:rPr>
              <w:t>5</w:t>
            </w:r>
            <w:r w:rsidRPr="00ED340B">
              <w:rPr>
                <w:rFonts w:ascii="Arial" w:hAnsi="Arial" w:cs="Arial"/>
                <w:b/>
                <w:szCs w:val="24"/>
              </w:rPr>
              <w:t>)</w:t>
            </w:r>
          </w:p>
        </w:tc>
        <w:tc>
          <w:tcPr>
            <w:tcW w:w="1418" w:type="dxa"/>
          </w:tcPr>
          <w:p w14:paraId="2E515EA6" w14:textId="4BEDCDA7" w:rsidR="009C1A3C" w:rsidRPr="00C16392" w:rsidRDefault="009C1A3C" w:rsidP="009C1A3C">
            <w:pPr>
              <w:jc w:val="right"/>
              <w:rPr>
                <w:rFonts w:ascii="Arial" w:hAnsi="Arial" w:cs="Arial"/>
                <w:bCs/>
                <w:szCs w:val="24"/>
                <w:highlight w:val="yellow"/>
              </w:rPr>
            </w:pPr>
            <w:r>
              <w:rPr>
                <w:rFonts w:ascii="Arial" w:hAnsi="Arial" w:cs="Arial"/>
                <w:bCs/>
                <w:szCs w:val="24"/>
              </w:rPr>
              <w:t>69</w:t>
            </w:r>
          </w:p>
        </w:tc>
      </w:tr>
      <w:tr w:rsidR="009C1A3C" w:rsidRPr="00C16392" w14:paraId="5F8E9A2A" w14:textId="77777777" w:rsidTr="001B494B">
        <w:trPr>
          <w:trHeight w:val="247"/>
        </w:trPr>
        <w:tc>
          <w:tcPr>
            <w:tcW w:w="6848" w:type="dxa"/>
            <w:gridSpan w:val="2"/>
            <w:shd w:val="clear" w:color="auto" w:fill="auto"/>
            <w:vAlign w:val="bottom"/>
          </w:tcPr>
          <w:p w14:paraId="18143A2E" w14:textId="3B3F7EB9" w:rsidR="009C1A3C" w:rsidRPr="00C16392" w:rsidRDefault="009C1A3C" w:rsidP="009C1A3C">
            <w:pPr>
              <w:rPr>
                <w:rFonts w:ascii="Arial" w:hAnsi="Arial" w:cs="Arial"/>
                <w:szCs w:val="24"/>
                <w:highlight w:val="yellow"/>
              </w:rPr>
            </w:pPr>
            <w:r w:rsidRPr="00507FA4">
              <w:rPr>
                <w:rFonts w:ascii="Arial" w:hAnsi="Arial" w:cs="Arial"/>
                <w:szCs w:val="24"/>
              </w:rPr>
              <w:t>Pensions and provisions</w:t>
            </w:r>
          </w:p>
        </w:tc>
        <w:tc>
          <w:tcPr>
            <w:tcW w:w="1242" w:type="dxa"/>
          </w:tcPr>
          <w:p w14:paraId="5B08BF04" w14:textId="64308208" w:rsidR="009C1A3C" w:rsidRPr="00C16392" w:rsidRDefault="009C1A3C" w:rsidP="009C1A3C">
            <w:pPr>
              <w:jc w:val="right"/>
              <w:rPr>
                <w:rFonts w:ascii="Arial" w:hAnsi="Arial" w:cs="Arial"/>
                <w:b/>
                <w:szCs w:val="24"/>
                <w:highlight w:val="yellow"/>
              </w:rPr>
            </w:pPr>
            <w:r w:rsidRPr="00507FA4">
              <w:rPr>
                <w:rFonts w:ascii="Arial" w:hAnsi="Arial" w:cs="Arial"/>
                <w:b/>
                <w:szCs w:val="24"/>
              </w:rPr>
              <w:t>(2</w:t>
            </w:r>
            <w:r>
              <w:rPr>
                <w:rFonts w:ascii="Arial" w:hAnsi="Arial" w:cs="Arial"/>
                <w:b/>
                <w:szCs w:val="24"/>
              </w:rPr>
              <w:t>0</w:t>
            </w:r>
            <w:r w:rsidRPr="00507FA4">
              <w:rPr>
                <w:rFonts w:ascii="Arial" w:hAnsi="Arial" w:cs="Arial"/>
                <w:b/>
                <w:szCs w:val="24"/>
              </w:rPr>
              <w:t>)</w:t>
            </w:r>
          </w:p>
        </w:tc>
        <w:tc>
          <w:tcPr>
            <w:tcW w:w="1418" w:type="dxa"/>
          </w:tcPr>
          <w:p w14:paraId="68999B4F" w14:textId="7FB1014F" w:rsidR="009C1A3C" w:rsidRPr="00C16392" w:rsidRDefault="009C1A3C" w:rsidP="009C1A3C">
            <w:pPr>
              <w:jc w:val="right"/>
              <w:rPr>
                <w:rFonts w:ascii="Arial" w:hAnsi="Arial" w:cs="Arial"/>
                <w:bCs/>
                <w:szCs w:val="24"/>
                <w:highlight w:val="yellow"/>
              </w:rPr>
            </w:pPr>
            <w:r w:rsidRPr="00507FA4">
              <w:rPr>
                <w:rFonts w:ascii="Arial" w:hAnsi="Arial" w:cs="Arial"/>
                <w:bCs/>
                <w:szCs w:val="24"/>
              </w:rPr>
              <w:t>(2</w:t>
            </w:r>
            <w:r>
              <w:rPr>
                <w:rFonts w:ascii="Arial" w:hAnsi="Arial" w:cs="Arial"/>
                <w:bCs/>
                <w:szCs w:val="24"/>
              </w:rPr>
              <w:t>2</w:t>
            </w:r>
            <w:r w:rsidRPr="00507FA4">
              <w:rPr>
                <w:rFonts w:ascii="Arial" w:hAnsi="Arial" w:cs="Arial"/>
                <w:bCs/>
                <w:szCs w:val="24"/>
              </w:rPr>
              <w:t>)</w:t>
            </w:r>
          </w:p>
        </w:tc>
      </w:tr>
      <w:tr w:rsidR="009C1A3C" w:rsidRPr="00C16392" w14:paraId="70BD61E3" w14:textId="77777777" w:rsidTr="001B494B">
        <w:trPr>
          <w:trHeight w:val="255"/>
        </w:trPr>
        <w:tc>
          <w:tcPr>
            <w:tcW w:w="6848" w:type="dxa"/>
            <w:gridSpan w:val="2"/>
            <w:tcBorders>
              <w:bottom w:val="single" w:sz="4" w:space="0" w:color="auto"/>
            </w:tcBorders>
            <w:shd w:val="clear" w:color="auto" w:fill="auto"/>
            <w:vAlign w:val="bottom"/>
          </w:tcPr>
          <w:p w14:paraId="7CBD26FA" w14:textId="534DE40A" w:rsidR="009C1A3C" w:rsidRPr="00C16392" w:rsidRDefault="009C1A3C" w:rsidP="009C1A3C">
            <w:pPr>
              <w:rPr>
                <w:rFonts w:ascii="Arial" w:hAnsi="Arial" w:cs="Arial"/>
                <w:szCs w:val="24"/>
                <w:highlight w:val="yellow"/>
              </w:rPr>
            </w:pPr>
            <w:r>
              <w:rPr>
                <w:rFonts w:ascii="Arial" w:hAnsi="Arial" w:cs="Arial"/>
                <w:szCs w:val="24"/>
              </w:rPr>
              <w:t>Net rent paid</w:t>
            </w:r>
          </w:p>
        </w:tc>
        <w:tc>
          <w:tcPr>
            <w:tcW w:w="1242" w:type="dxa"/>
            <w:tcBorders>
              <w:bottom w:val="single" w:sz="4" w:space="0" w:color="auto"/>
            </w:tcBorders>
          </w:tcPr>
          <w:p w14:paraId="7F8D5055" w14:textId="1A0F3E34" w:rsidR="009C1A3C" w:rsidRPr="00C16392" w:rsidRDefault="009C1A3C" w:rsidP="009C1A3C">
            <w:pPr>
              <w:jc w:val="right"/>
              <w:rPr>
                <w:rFonts w:ascii="Arial" w:hAnsi="Arial" w:cs="Arial"/>
                <w:b/>
                <w:szCs w:val="24"/>
                <w:highlight w:val="yellow"/>
              </w:rPr>
            </w:pPr>
            <w:r>
              <w:rPr>
                <w:rFonts w:ascii="Arial" w:hAnsi="Arial" w:cs="Arial"/>
                <w:b/>
                <w:szCs w:val="24"/>
              </w:rPr>
              <w:t>(236)</w:t>
            </w:r>
          </w:p>
        </w:tc>
        <w:tc>
          <w:tcPr>
            <w:tcW w:w="1418" w:type="dxa"/>
            <w:tcBorders>
              <w:bottom w:val="single" w:sz="4" w:space="0" w:color="auto"/>
            </w:tcBorders>
          </w:tcPr>
          <w:p w14:paraId="4FF1A15D" w14:textId="7770FFA0" w:rsidR="009C1A3C" w:rsidRPr="00C16392" w:rsidRDefault="009C1A3C" w:rsidP="009C1A3C">
            <w:pPr>
              <w:jc w:val="right"/>
              <w:rPr>
                <w:rFonts w:ascii="Arial" w:hAnsi="Arial" w:cs="Arial"/>
                <w:bCs/>
                <w:szCs w:val="24"/>
                <w:highlight w:val="yellow"/>
              </w:rPr>
            </w:pPr>
            <w:r>
              <w:rPr>
                <w:rFonts w:ascii="Arial" w:hAnsi="Arial" w:cs="Arial"/>
                <w:bCs/>
                <w:szCs w:val="24"/>
              </w:rPr>
              <w:t>(217)</w:t>
            </w:r>
          </w:p>
        </w:tc>
      </w:tr>
      <w:tr w:rsidR="009C1A3C" w:rsidRPr="00C16392" w14:paraId="2F0F146E" w14:textId="77777777" w:rsidTr="004215EF">
        <w:trPr>
          <w:trHeight w:val="255"/>
        </w:trPr>
        <w:tc>
          <w:tcPr>
            <w:tcW w:w="6848" w:type="dxa"/>
            <w:gridSpan w:val="2"/>
            <w:tcBorders>
              <w:top w:val="single" w:sz="4" w:space="0" w:color="auto"/>
            </w:tcBorders>
            <w:shd w:val="clear" w:color="auto" w:fill="auto"/>
            <w:vAlign w:val="bottom"/>
          </w:tcPr>
          <w:p w14:paraId="2C614710" w14:textId="67270DB6" w:rsidR="009C1A3C" w:rsidRPr="00C16392" w:rsidRDefault="009C1A3C" w:rsidP="009C1A3C">
            <w:pPr>
              <w:rPr>
                <w:rFonts w:ascii="Arial" w:hAnsi="Arial" w:cs="Arial"/>
                <w:b/>
                <w:szCs w:val="24"/>
                <w:highlight w:val="yellow"/>
              </w:rPr>
            </w:pPr>
            <w:r w:rsidRPr="00507FA4">
              <w:rPr>
                <w:rFonts w:ascii="Arial" w:hAnsi="Arial" w:cs="Arial"/>
                <w:b/>
                <w:szCs w:val="24"/>
              </w:rPr>
              <w:t>Operating cash flow</w:t>
            </w:r>
          </w:p>
        </w:tc>
        <w:tc>
          <w:tcPr>
            <w:tcW w:w="1242" w:type="dxa"/>
            <w:tcBorders>
              <w:top w:val="single" w:sz="4" w:space="0" w:color="auto"/>
            </w:tcBorders>
          </w:tcPr>
          <w:p w14:paraId="2AF0058F" w14:textId="773E6B85" w:rsidR="009C1A3C" w:rsidRPr="00C16392" w:rsidRDefault="009C1A3C" w:rsidP="009C1A3C">
            <w:pPr>
              <w:jc w:val="right"/>
              <w:rPr>
                <w:rFonts w:ascii="Arial" w:hAnsi="Arial" w:cs="Arial"/>
                <w:b/>
                <w:szCs w:val="24"/>
                <w:highlight w:val="yellow"/>
              </w:rPr>
            </w:pPr>
            <w:r>
              <w:rPr>
                <w:rFonts w:ascii="Arial" w:hAnsi="Arial" w:cs="Arial"/>
                <w:b/>
                <w:szCs w:val="24"/>
              </w:rPr>
              <w:t>408</w:t>
            </w:r>
          </w:p>
        </w:tc>
        <w:tc>
          <w:tcPr>
            <w:tcW w:w="1418" w:type="dxa"/>
            <w:tcBorders>
              <w:top w:val="single" w:sz="4" w:space="0" w:color="auto"/>
            </w:tcBorders>
          </w:tcPr>
          <w:p w14:paraId="38ED8FE5" w14:textId="627DA3B8" w:rsidR="009C1A3C" w:rsidRPr="00C16392" w:rsidRDefault="009C1A3C" w:rsidP="009C1A3C">
            <w:pPr>
              <w:jc w:val="right"/>
              <w:rPr>
                <w:rFonts w:ascii="Arial" w:hAnsi="Arial" w:cs="Arial"/>
                <w:bCs/>
                <w:szCs w:val="24"/>
                <w:highlight w:val="yellow"/>
              </w:rPr>
            </w:pPr>
            <w:r w:rsidRPr="00507FA4">
              <w:rPr>
                <w:rFonts w:ascii="Arial" w:hAnsi="Arial" w:cs="Arial"/>
                <w:bCs/>
                <w:szCs w:val="24"/>
              </w:rPr>
              <w:t>5</w:t>
            </w:r>
            <w:r>
              <w:rPr>
                <w:rFonts w:ascii="Arial" w:hAnsi="Arial" w:cs="Arial"/>
                <w:bCs/>
                <w:szCs w:val="24"/>
              </w:rPr>
              <w:t>24</w:t>
            </w:r>
          </w:p>
        </w:tc>
      </w:tr>
      <w:tr w:rsidR="009C1A3C" w:rsidRPr="00C16392" w14:paraId="512E97EC" w14:textId="77777777" w:rsidTr="004215EF">
        <w:trPr>
          <w:trHeight w:val="311"/>
        </w:trPr>
        <w:tc>
          <w:tcPr>
            <w:tcW w:w="6848" w:type="dxa"/>
            <w:gridSpan w:val="2"/>
            <w:shd w:val="clear" w:color="auto" w:fill="auto"/>
            <w:vAlign w:val="bottom"/>
          </w:tcPr>
          <w:p w14:paraId="708F9B12" w14:textId="310D265F" w:rsidR="009C1A3C" w:rsidRPr="00C16392" w:rsidRDefault="009C1A3C" w:rsidP="009C1A3C">
            <w:pPr>
              <w:rPr>
                <w:rFonts w:ascii="Arial" w:hAnsi="Arial" w:cs="Arial"/>
                <w:szCs w:val="24"/>
                <w:highlight w:val="yellow"/>
              </w:rPr>
            </w:pPr>
            <w:r w:rsidRPr="00507FA4">
              <w:rPr>
                <w:rFonts w:ascii="Arial" w:hAnsi="Arial" w:cs="Arial"/>
                <w:szCs w:val="24"/>
              </w:rPr>
              <w:t>Net interest paid</w:t>
            </w:r>
          </w:p>
        </w:tc>
        <w:tc>
          <w:tcPr>
            <w:tcW w:w="1242" w:type="dxa"/>
          </w:tcPr>
          <w:p w14:paraId="503CFCF2" w14:textId="074933E7" w:rsidR="009C1A3C" w:rsidRPr="00C16392" w:rsidRDefault="009C1A3C" w:rsidP="009C1A3C">
            <w:pPr>
              <w:jc w:val="right"/>
              <w:rPr>
                <w:rFonts w:ascii="Arial" w:hAnsi="Arial" w:cs="Arial"/>
                <w:b/>
                <w:szCs w:val="24"/>
                <w:highlight w:val="yellow"/>
              </w:rPr>
            </w:pPr>
            <w:r w:rsidRPr="00507FA4">
              <w:rPr>
                <w:rFonts w:ascii="Arial" w:hAnsi="Arial" w:cs="Arial"/>
                <w:b/>
                <w:szCs w:val="24"/>
              </w:rPr>
              <w:t>(</w:t>
            </w:r>
            <w:r>
              <w:rPr>
                <w:rFonts w:ascii="Arial" w:hAnsi="Arial" w:cs="Arial"/>
                <w:b/>
                <w:szCs w:val="24"/>
              </w:rPr>
              <w:t>7</w:t>
            </w:r>
            <w:r w:rsidRPr="00507FA4">
              <w:rPr>
                <w:rFonts w:ascii="Arial" w:hAnsi="Arial" w:cs="Arial"/>
                <w:b/>
                <w:szCs w:val="24"/>
              </w:rPr>
              <w:t>)</w:t>
            </w:r>
          </w:p>
        </w:tc>
        <w:tc>
          <w:tcPr>
            <w:tcW w:w="1418" w:type="dxa"/>
          </w:tcPr>
          <w:p w14:paraId="42B91E6C" w14:textId="523303B3" w:rsidR="009C1A3C" w:rsidRPr="00C16392" w:rsidRDefault="009C1A3C" w:rsidP="009C1A3C">
            <w:pPr>
              <w:jc w:val="right"/>
              <w:rPr>
                <w:rFonts w:ascii="Arial" w:hAnsi="Arial" w:cs="Arial"/>
                <w:bCs/>
                <w:szCs w:val="24"/>
                <w:highlight w:val="yellow"/>
              </w:rPr>
            </w:pPr>
            <w:r w:rsidRPr="00507FA4">
              <w:rPr>
                <w:rFonts w:ascii="Arial" w:hAnsi="Arial" w:cs="Arial"/>
                <w:bCs/>
                <w:szCs w:val="24"/>
              </w:rPr>
              <w:t>(</w:t>
            </w:r>
            <w:r>
              <w:rPr>
                <w:rFonts w:ascii="Arial" w:hAnsi="Arial" w:cs="Arial"/>
                <w:bCs/>
                <w:szCs w:val="24"/>
              </w:rPr>
              <w:t>3</w:t>
            </w:r>
            <w:r w:rsidRPr="00507FA4">
              <w:rPr>
                <w:rFonts w:ascii="Arial" w:hAnsi="Arial" w:cs="Arial"/>
                <w:bCs/>
                <w:szCs w:val="24"/>
              </w:rPr>
              <w:t>)</w:t>
            </w:r>
          </w:p>
        </w:tc>
      </w:tr>
      <w:tr w:rsidR="009C1A3C" w:rsidRPr="00C16392" w14:paraId="661ECCE5" w14:textId="77777777" w:rsidTr="004215EF">
        <w:trPr>
          <w:trHeight w:val="270"/>
        </w:trPr>
        <w:tc>
          <w:tcPr>
            <w:tcW w:w="6848" w:type="dxa"/>
            <w:gridSpan w:val="2"/>
            <w:shd w:val="clear" w:color="auto" w:fill="auto"/>
            <w:vAlign w:val="bottom"/>
          </w:tcPr>
          <w:p w14:paraId="0387113B" w14:textId="4B305B28" w:rsidR="009C1A3C" w:rsidRPr="00C16392" w:rsidRDefault="009C1A3C" w:rsidP="009C1A3C">
            <w:pPr>
              <w:rPr>
                <w:rFonts w:ascii="Arial" w:hAnsi="Arial" w:cs="Arial"/>
                <w:szCs w:val="24"/>
                <w:highlight w:val="yellow"/>
              </w:rPr>
            </w:pPr>
            <w:r w:rsidRPr="00507FA4">
              <w:rPr>
                <w:rFonts w:ascii="Arial" w:hAnsi="Arial" w:cs="Arial"/>
                <w:szCs w:val="24"/>
              </w:rPr>
              <w:t>Tax paid</w:t>
            </w:r>
          </w:p>
        </w:tc>
        <w:tc>
          <w:tcPr>
            <w:tcW w:w="1242" w:type="dxa"/>
          </w:tcPr>
          <w:p w14:paraId="6FACA566" w14:textId="60EFF93D" w:rsidR="009C1A3C" w:rsidRPr="00C16392" w:rsidRDefault="009C1A3C" w:rsidP="009C1A3C">
            <w:pPr>
              <w:jc w:val="right"/>
              <w:rPr>
                <w:rFonts w:ascii="Arial" w:hAnsi="Arial" w:cs="Arial"/>
                <w:b/>
                <w:szCs w:val="24"/>
                <w:highlight w:val="yellow"/>
              </w:rPr>
            </w:pPr>
            <w:r w:rsidRPr="00507FA4">
              <w:rPr>
                <w:rFonts w:ascii="Arial" w:hAnsi="Arial" w:cs="Arial"/>
                <w:b/>
                <w:szCs w:val="24"/>
              </w:rPr>
              <w:t>(</w:t>
            </w:r>
            <w:r>
              <w:rPr>
                <w:rFonts w:ascii="Arial" w:hAnsi="Arial" w:cs="Arial"/>
                <w:b/>
                <w:szCs w:val="24"/>
              </w:rPr>
              <w:t>34</w:t>
            </w:r>
            <w:r w:rsidRPr="00507FA4">
              <w:rPr>
                <w:rFonts w:ascii="Arial" w:hAnsi="Arial" w:cs="Arial"/>
                <w:b/>
                <w:szCs w:val="24"/>
              </w:rPr>
              <w:t>)</w:t>
            </w:r>
          </w:p>
        </w:tc>
        <w:tc>
          <w:tcPr>
            <w:tcW w:w="1418" w:type="dxa"/>
          </w:tcPr>
          <w:p w14:paraId="33CF84D1" w14:textId="469B5A8A" w:rsidR="009C1A3C" w:rsidRPr="00C16392" w:rsidRDefault="009C1A3C" w:rsidP="009C1A3C">
            <w:pPr>
              <w:jc w:val="right"/>
              <w:rPr>
                <w:rFonts w:ascii="Arial" w:hAnsi="Arial" w:cs="Arial"/>
                <w:bCs/>
                <w:szCs w:val="24"/>
                <w:highlight w:val="yellow"/>
              </w:rPr>
            </w:pPr>
            <w:r w:rsidRPr="00507FA4">
              <w:rPr>
                <w:rFonts w:ascii="Arial" w:hAnsi="Arial" w:cs="Arial"/>
                <w:bCs/>
                <w:szCs w:val="24"/>
              </w:rPr>
              <w:t>(77)</w:t>
            </w:r>
          </w:p>
        </w:tc>
      </w:tr>
      <w:tr w:rsidR="009C1A3C" w:rsidRPr="00C16392" w14:paraId="66C6BF37" w14:textId="77777777" w:rsidTr="004215EF">
        <w:trPr>
          <w:trHeight w:val="270"/>
        </w:trPr>
        <w:tc>
          <w:tcPr>
            <w:tcW w:w="6848" w:type="dxa"/>
            <w:gridSpan w:val="2"/>
            <w:shd w:val="clear" w:color="auto" w:fill="auto"/>
            <w:vAlign w:val="bottom"/>
          </w:tcPr>
          <w:p w14:paraId="46A758F0" w14:textId="379C59B7" w:rsidR="009C1A3C" w:rsidRPr="00076217" w:rsidRDefault="009C1A3C" w:rsidP="009C1A3C">
            <w:pPr>
              <w:rPr>
                <w:rFonts w:ascii="Arial" w:hAnsi="Arial" w:cs="Arial"/>
                <w:szCs w:val="24"/>
              </w:rPr>
            </w:pPr>
            <w:r w:rsidRPr="00507FA4">
              <w:rPr>
                <w:rFonts w:ascii="Arial" w:hAnsi="Arial" w:cs="Arial"/>
                <w:szCs w:val="24"/>
              </w:rPr>
              <w:t xml:space="preserve">Gross capital expenditure </w:t>
            </w:r>
          </w:p>
        </w:tc>
        <w:tc>
          <w:tcPr>
            <w:tcW w:w="1242" w:type="dxa"/>
          </w:tcPr>
          <w:p w14:paraId="1D0BD0AC" w14:textId="725EA168" w:rsidR="009C1A3C" w:rsidRPr="00076217" w:rsidRDefault="009C1A3C" w:rsidP="009C1A3C">
            <w:pPr>
              <w:jc w:val="right"/>
              <w:rPr>
                <w:rFonts w:ascii="Arial" w:hAnsi="Arial" w:cs="Arial"/>
                <w:b/>
                <w:szCs w:val="24"/>
              </w:rPr>
            </w:pPr>
            <w:r w:rsidRPr="00507FA4">
              <w:rPr>
                <w:rFonts w:ascii="Arial" w:hAnsi="Arial" w:cs="Arial"/>
                <w:b/>
                <w:szCs w:val="24"/>
              </w:rPr>
              <w:t>(16</w:t>
            </w:r>
            <w:r>
              <w:rPr>
                <w:rFonts w:ascii="Arial" w:hAnsi="Arial" w:cs="Arial"/>
                <w:b/>
                <w:szCs w:val="24"/>
              </w:rPr>
              <w:t>3</w:t>
            </w:r>
            <w:r w:rsidRPr="00507FA4">
              <w:rPr>
                <w:rFonts w:ascii="Arial" w:hAnsi="Arial" w:cs="Arial"/>
                <w:b/>
                <w:szCs w:val="24"/>
              </w:rPr>
              <w:t>)</w:t>
            </w:r>
          </w:p>
        </w:tc>
        <w:tc>
          <w:tcPr>
            <w:tcW w:w="1418" w:type="dxa"/>
          </w:tcPr>
          <w:p w14:paraId="6700339D" w14:textId="77CE4278" w:rsidR="009C1A3C" w:rsidRPr="00076217" w:rsidRDefault="009C1A3C" w:rsidP="009C1A3C">
            <w:pPr>
              <w:jc w:val="right"/>
              <w:rPr>
                <w:rFonts w:ascii="Arial" w:hAnsi="Arial" w:cs="Arial"/>
                <w:bCs/>
                <w:szCs w:val="24"/>
              </w:rPr>
            </w:pPr>
            <w:r w:rsidRPr="00507FA4">
              <w:rPr>
                <w:rFonts w:ascii="Arial" w:hAnsi="Arial" w:cs="Arial"/>
                <w:bCs/>
                <w:szCs w:val="24"/>
              </w:rPr>
              <w:t>(16</w:t>
            </w:r>
            <w:r>
              <w:rPr>
                <w:rFonts w:ascii="Arial" w:hAnsi="Arial" w:cs="Arial"/>
                <w:bCs/>
                <w:szCs w:val="24"/>
              </w:rPr>
              <w:t>4</w:t>
            </w:r>
            <w:r w:rsidRPr="00507FA4">
              <w:rPr>
                <w:rFonts w:ascii="Arial" w:hAnsi="Arial" w:cs="Arial"/>
                <w:bCs/>
                <w:szCs w:val="24"/>
              </w:rPr>
              <w:t>)</w:t>
            </w:r>
          </w:p>
        </w:tc>
      </w:tr>
      <w:tr w:rsidR="009C1A3C" w:rsidRPr="00C16392" w14:paraId="2439C98E" w14:textId="77777777" w:rsidTr="001B494B">
        <w:trPr>
          <w:trHeight w:val="270"/>
        </w:trPr>
        <w:tc>
          <w:tcPr>
            <w:tcW w:w="6848" w:type="dxa"/>
            <w:gridSpan w:val="2"/>
            <w:tcBorders>
              <w:top w:val="single" w:sz="4" w:space="0" w:color="auto"/>
            </w:tcBorders>
            <w:shd w:val="clear" w:color="auto" w:fill="auto"/>
            <w:vAlign w:val="bottom"/>
          </w:tcPr>
          <w:p w14:paraId="71A2956B" w14:textId="20D6AD6A" w:rsidR="009C1A3C" w:rsidRPr="00C16392" w:rsidRDefault="009C1A3C" w:rsidP="009C1A3C">
            <w:pPr>
              <w:rPr>
                <w:rFonts w:ascii="Arial" w:hAnsi="Arial" w:cs="Arial"/>
                <w:b/>
                <w:szCs w:val="24"/>
                <w:highlight w:val="yellow"/>
              </w:rPr>
            </w:pPr>
            <w:r w:rsidRPr="00507FA4">
              <w:rPr>
                <w:rFonts w:ascii="Arial" w:hAnsi="Arial" w:cs="Arial"/>
                <w:b/>
                <w:szCs w:val="24"/>
              </w:rPr>
              <w:t>Free cash flow</w:t>
            </w:r>
          </w:p>
        </w:tc>
        <w:tc>
          <w:tcPr>
            <w:tcW w:w="1242" w:type="dxa"/>
            <w:tcBorders>
              <w:top w:val="single" w:sz="4" w:space="0" w:color="auto"/>
            </w:tcBorders>
          </w:tcPr>
          <w:p w14:paraId="054B0E0E" w14:textId="0BD42CE7" w:rsidR="009C1A3C" w:rsidRPr="00C16392" w:rsidRDefault="009C1A3C" w:rsidP="009C1A3C">
            <w:pPr>
              <w:jc w:val="right"/>
              <w:rPr>
                <w:rFonts w:ascii="Arial" w:hAnsi="Arial" w:cs="Arial"/>
                <w:b/>
                <w:szCs w:val="24"/>
                <w:highlight w:val="yellow"/>
              </w:rPr>
            </w:pPr>
            <w:r w:rsidRPr="00507FA4">
              <w:rPr>
                <w:rFonts w:ascii="Arial" w:hAnsi="Arial" w:cs="Arial"/>
                <w:b/>
                <w:szCs w:val="24"/>
              </w:rPr>
              <w:t>2</w:t>
            </w:r>
            <w:r>
              <w:rPr>
                <w:rFonts w:ascii="Arial" w:hAnsi="Arial" w:cs="Arial"/>
                <w:b/>
                <w:szCs w:val="24"/>
              </w:rPr>
              <w:t>04</w:t>
            </w:r>
          </w:p>
        </w:tc>
        <w:tc>
          <w:tcPr>
            <w:tcW w:w="1418" w:type="dxa"/>
            <w:tcBorders>
              <w:top w:val="single" w:sz="4" w:space="0" w:color="auto"/>
            </w:tcBorders>
          </w:tcPr>
          <w:p w14:paraId="73E69AD5" w14:textId="459B33E3" w:rsidR="009C1A3C" w:rsidRPr="00C16392" w:rsidRDefault="009C1A3C" w:rsidP="009C1A3C">
            <w:pPr>
              <w:jc w:val="right"/>
              <w:rPr>
                <w:rFonts w:ascii="Arial" w:hAnsi="Arial" w:cs="Arial"/>
                <w:bCs/>
                <w:szCs w:val="24"/>
                <w:highlight w:val="yellow"/>
              </w:rPr>
            </w:pPr>
            <w:r w:rsidRPr="00507FA4">
              <w:rPr>
                <w:rFonts w:ascii="Arial" w:hAnsi="Arial" w:cs="Arial"/>
                <w:bCs/>
                <w:szCs w:val="24"/>
              </w:rPr>
              <w:t>28</w:t>
            </w:r>
            <w:r>
              <w:rPr>
                <w:rFonts w:ascii="Arial" w:hAnsi="Arial" w:cs="Arial"/>
                <w:bCs/>
                <w:szCs w:val="24"/>
              </w:rPr>
              <w:t>0</w:t>
            </w:r>
          </w:p>
        </w:tc>
      </w:tr>
      <w:tr w:rsidR="009C1A3C" w:rsidRPr="00C16392" w14:paraId="3A4E1D3E" w14:textId="77777777" w:rsidTr="001B494B">
        <w:trPr>
          <w:trHeight w:val="270"/>
        </w:trPr>
        <w:tc>
          <w:tcPr>
            <w:tcW w:w="6848" w:type="dxa"/>
            <w:gridSpan w:val="2"/>
            <w:shd w:val="clear" w:color="auto" w:fill="auto"/>
            <w:vAlign w:val="bottom"/>
          </w:tcPr>
          <w:p w14:paraId="57F62407" w14:textId="37955E85" w:rsidR="009C1A3C" w:rsidRPr="00C16392" w:rsidRDefault="009C1A3C" w:rsidP="009C1A3C">
            <w:pPr>
              <w:rPr>
                <w:rFonts w:ascii="Arial" w:hAnsi="Arial" w:cs="Arial"/>
                <w:szCs w:val="24"/>
                <w:highlight w:val="yellow"/>
              </w:rPr>
            </w:pPr>
            <w:r w:rsidRPr="00507FA4">
              <w:rPr>
                <w:rFonts w:ascii="Arial" w:hAnsi="Arial" w:cs="Arial"/>
                <w:szCs w:val="24"/>
              </w:rPr>
              <w:t>Ordinary dividends paid</w:t>
            </w:r>
          </w:p>
        </w:tc>
        <w:tc>
          <w:tcPr>
            <w:tcW w:w="1242" w:type="dxa"/>
          </w:tcPr>
          <w:p w14:paraId="18D0F969" w14:textId="5DC323F2" w:rsidR="009C1A3C" w:rsidRPr="00C16392" w:rsidRDefault="009C1A3C" w:rsidP="009C1A3C">
            <w:pPr>
              <w:jc w:val="right"/>
              <w:rPr>
                <w:rFonts w:ascii="Arial" w:hAnsi="Arial" w:cs="Arial"/>
                <w:b/>
                <w:szCs w:val="24"/>
                <w:highlight w:val="yellow"/>
              </w:rPr>
            </w:pPr>
            <w:r w:rsidRPr="00507FA4">
              <w:rPr>
                <w:rFonts w:ascii="Arial" w:hAnsi="Arial" w:cs="Arial"/>
                <w:b/>
                <w:szCs w:val="24"/>
              </w:rPr>
              <w:t>(1</w:t>
            </w:r>
            <w:r>
              <w:rPr>
                <w:rFonts w:ascii="Arial" w:hAnsi="Arial" w:cs="Arial"/>
                <w:b/>
                <w:szCs w:val="24"/>
              </w:rPr>
              <w:t>57</w:t>
            </w:r>
            <w:r w:rsidRPr="00507FA4">
              <w:rPr>
                <w:rFonts w:ascii="Arial" w:hAnsi="Arial" w:cs="Arial"/>
                <w:b/>
                <w:szCs w:val="24"/>
              </w:rPr>
              <w:t>)</w:t>
            </w:r>
          </w:p>
        </w:tc>
        <w:tc>
          <w:tcPr>
            <w:tcW w:w="1418" w:type="dxa"/>
          </w:tcPr>
          <w:p w14:paraId="47ECD358" w14:textId="165C13BF" w:rsidR="009C1A3C" w:rsidRPr="004851F5" w:rsidRDefault="009C1A3C" w:rsidP="009C1A3C">
            <w:pPr>
              <w:jc w:val="right"/>
              <w:rPr>
                <w:rFonts w:ascii="Arial" w:hAnsi="Arial" w:cs="Arial"/>
                <w:bCs/>
                <w:szCs w:val="24"/>
              </w:rPr>
            </w:pPr>
            <w:r w:rsidRPr="00507FA4">
              <w:rPr>
                <w:rFonts w:ascii="Arial" w:hAnsi="Arial" w:cs="Arial"/>
                <w:bCs/>
                <w:szCs w:val="24"/>
              </w:rPr>
              <w:t>(160)</w:t>
            </w:r>
          </w:p>
        </w:tc>
      </w:tr>
      <w:tr w:rsidR="009C1A3C" w:rsidRPr="00C16392" w14:paraId="7B10974C" w14:textId="77777777" w:rsidTr="001B494B">
        <w:trPr>
          <w:trHeight w:val="270"/>
        </w:trPr>
        <w:tc>
          <w:tcPr>
            <w:tcW w:w="6848" w:type="dxa"/>
            <w:gridSpan w:val="2"/>
            <w:shd w:val="clear" w:color="auto" w:fill="auto"/>
            <w:vAlign w:val="bottom"/>
          </w:tcPr>
          <w:p w14:paraId="2D630342" w14:textId="656E567C" w:rsidR="009C1A3C" w:rsidRPr="00C16392" w:rsidRDefault="009C1A3C" w:rsidP="009C1A3C">
            <w:pPr>
              <w:rPr>
                <w:rFonts w:ascii="Arial" w:hAnsi="Arial" w:cs="Arial"/>
                <w:szCs w:val="24"/>
                <w:highlight w:val="yellow"/>
              </w:rPr>
            </w:pPr>
            <w:r w:rsidRPr="00507FA4">
              <w:rPr>
                <w:rFonts w:ascii="Arial" w:hAnsi="Arial" w:cs="Arial"/>
                <w:szCs w:val="24"/>
              </w:rPr>
              <w:t>Share buyback</w:t>
            </w:r>
          </w:p>
        </w:tc>
        <w:tc>
          <w:tcPr>
            <w:tcW w:w="1242" w:type="dxa"/>
          </w:tcPr>
          <w:p w14:paraId="4A80B87E" w14:textId="54F8B38E" w:rsidR="009C1A3C" w:rsidRDefault="009C1A3C" w:rsidP="009C1A3C">
            <w:pPr>
              <w:jc w:val="right"/>
              <w:rPr>
                <w:rFonts w:ascii="Arial" w:hAnsi="Arial" w:cs="Arial"/>
                <w:b/>
                <w:szCs w:val="24"/>
                <w:highlight w:val="yellow"/>
              </w:rPr>
            </w:pPr>
            <w:r>
              <w:rPr>
                <w:rFonts w:ascii="Arial" w:hAnsi="Arial" w:cs="Arial"/>
                <w:b/>
                <w:szCs w:val="24"/>
              </w:rPr>
              <w:t>-</w:t>
            </w:r>
          </w:p>
        </w:tc>
        <w:tc>
          <w:tcPr>
            <w:tcW w:w="1418" w:type="dxa"/>
          </w:tcPr>
          <w:p w14:paraId="4732987C" w14:textId="640D26A0" w:rsidR="009C1A3C" w:rsidRPr="004851F5" w:rsidRDefault="009C1A3C" w:rsidP="009C1A3C">
            <w:pPr>
              <w:jc w:val="right"/>
              <w:rPr>
                <w:rFonts w:ascii="Arial" w:hAnsi="Arial" w:cs="Arial"/>
                <w:bCs/>
                <w:szCs w:val="24"/>
              </w:rPr>
            </w:pPr>
            <w:r w:rsidRPr="00507FA4">
              <w:rPr>
                <w:rFonts w:ascii="Arial" w:hAnsi="Arial" w:cs="Arial"/>
                <w:bCs/>
                <w:szCs w:val="24"/>
              </w:rPr>
              <w:t>(90)</w:t>
            </w:r>
          </w:p>
        </w:tc>
      </w:tr>
      <w:tr w:rsidR="009C1A3C" w:rsidRPr="00C16392" w14:paraId="508759CF" w14:textId="77777777" w:rsidTr="001B494B">
        <w:trPr>
          <w:trHeight w:val="270"/>
        </w:trPr>
        <w:tc>
          <w:tcPr>
            <w:tcW w:w="6848" w:type="dxa"/>
            <w:gridSpan w:val="2"/>
            <w:shd w:val="clear" w:color="auto" w:fill="auto"/>
            <w:vAlign w:val="bottom"/>
          </w:tcPr>
          <w:p w14:paraId="61C49CE0" w14:textId="0EBAD615" w:rsidR="009C1A3C" w:rsidRPr="00C16392" w:rsidRDefault="009C1A3C" w:rsidP="009C1A3C">
            <w:pPr>
              <w:rPr>
                <w:rFonts w:ascii="Arial" w:hAnsi="Arial" w:cs="Arial"/>
                <w:szCs w:val="24"/>
                <w:highlight w:val="yellow"/>
              </w:rPr>
            </w:pPr>
            <w:r>
              <w:rPr>
                <w:rFonts w:ascii="Arial" w:hAnsi="Arial" w:cs="Arial"/>
                <w:szCs w:val="24"/>
              </w:rPr>
              <w:t>Share purchase for employee incentive schemes</w:t>
            </w:r>
          </w:p>
        </w:tc>
        <w:tc>
          <w:tcPr>
            <w:tcW w:w="1242" w:type="dxa"/>
          </w:tcPr>
          <w:p w14:paraId="4EC336E8" w14:textId="7761F9D4" w:rsidR="009C1A3C" w:rsidRPr="00C16392" w:rsidRDefault="009C1A3C" w:rsidP="009C1A3C">
            <w:pPr>
              <w:jc w:val="right"/>
              <w:rPr>
                <w:rFonts w:ascii="Arial" w:hAnsi="Arial" w:cs="Arial"/>
                <w:b/>
                <w:szCs w:val="24"/>
                <w:highlight w:val="yellow"/>
              </w:rPr>
            </w:pPr>
            <w:r>
              <w:rPr>
                <w:rFonts w:ascii="Arial" w:hAnsi="Arial" w:cs="Arial"/>
                <w:b/>
                <w:szCs w:val="24"/>
              </w:rPr>
              <w:t>(10)</w:t>
            </w:r>
          </w:p>
        </w:tc>
        <w:tc>
          <w:tcPr>
            <w:tcW w:w="1418" w:type="dxa"/>
          </w:tcPr>
          <w:p w14:paraId="115BE818" w14:textId="74A38755" w:rsidR="009C1A3C" w:rsidRPr="004851F5" w:rsidRDefault="009C1A3C" w:rsidP="009C1A3C">
            <w:pPr>
              <w:jc w:val="right"/>
              <w:rPr>
                <w:rFonts w:ascii="Arial" w:hAnsi="Arial" w:cs="Arial"/>
                <w:bCs/>
                <w:szCs w:val="24"/>
              </w:rPr>
            </w:pPr>
            <w:r>
              <w:rPr>
                <w:rFonts w:ascii="Arial" w:hAnsi="Arial" w:cs="Arial"/>
                <w:bCs/>
                <w:szCs w:val="24"/>
              </w:rPr>
              <w:t>-</w:t>
            </w:r>
          </w:p>
        </w:tc>
      </w:tr>
      <w:tr w:rsidR="009C1A3C" w:rsidRPr="00C16392" w14:paraId="6344A0B5" w14:textId="77777777" w:rsidTr="001B494B">
        <w:trPr>
          <w:trHeight w:val="270"/>
        </w:trPr>
        <w:tc>
          <w:tcPr>
            <w:tcW w:w="6848" w:type="dxa"/>
            <w:gridSpan w:val="2"/>
            <w:shd w:val="clear" w:color="auto" w:fill="auto"/>
            <w:vAlign w:val="bottom"/>
          </w:tcPr>
          <w:p w14:paraId="78300246" w14:textId="492971C2" w:rsidR="009C1A3C" w:rsidRPr="00C16392" w:rsidRDefault="009C1A3C" w:rsidP="009C1A3C">
            <w:pPr>
              <w:rPr>
                <w:rFonts w:ascii="Arial" w:hAnsi="Arial" w:cs="Arial"/>
                <w:szCs w:val="24"/>
                <w:highlight w:val="yellow"/>
              </w:rPr>
            </w:pPr>
            <w:r w:rsidRPr="00507FA4">
              <w:rPr>
                <w:rFonts w:ascii="Arial" w:hAnsi="Arial" w:cs="Arial"/>
                <w:szCs w:val="24"/>
              </w:rPr>
              <w:t>Disposal of assets</w:t>
            </w:r>
            <w:r w:rsidRPr="00507FA4">
              <w:rPr>
                <w:rFonts w:ascii="Arial" w:hAnsi="Arial" w:cs="Arial"/>
                <w:szCs w:val="24"/>
                <w:vertAlign w:val="superscript"/>
              </w:rPr>
              <w:t xml:space="preserve"> </w:t>
            </w:r>
            <w:r w:rsidRPr="00507FA4">
              <w:rPr>
                <w:rFonts w:ascii="Arial" w:hAnsi="Arial" w:cs="Arial"/>
                <w:szCs w:val="24"/>
              </w:rPr>
              <w:t>and other</w:t>
            </w:r>
            <w:r w:rsidRPr="00507FA4">
              <w:rPr>
                <w:rFonts w:ascii="Arial" w:hAnsi="Arial" w:cs="Arial"/>
                <w:sz w:val="18"/>
                <w:szCs w:val="20"/>
                <w:vertAlign w:val="superscript"/>
              </w:rPr>
              <w:t>(2)</w:t>
            </w:r>
          </w:p>
        </w:tc>
        <w:tc>
          <w:tcPr>
            <w:tcW w:w="1242" w:type="dxa"/>
          </w:tcPr>
          <w:p w14:paraId="64D43682" w14:textId="0C1E80EB" w:rsidR="009C1A3C" w:rsidRPr="00C16392" w:rsidRDefault="009C1A3C" w:rsidP="009C1A3C">
            <w:pPr>
              <w:jc w:val="right"/>
              <w:rPr>
                <w:rFonts w:ascii="Arial" w:hAnsi="Arial" w:cs="Arial"/>
                <w:b/>
                <w:szCs w:val="24"/>
                <w:highlight w:val="yellow"/>
              </w:rPr>
            </w:pPr>
            <w:r>
              <w:rPr>
                <w:rFonts w:ascii="Arial" w:hAnsi="Arial" w:cs="Arial"/>
                <w:b/>
                <w:szCs w:val="24"/>
              </w:rPr>
              <w:t>95</w:t>
            </w:r>
          </w:p>
        </w:tc>
        <w:tc>
          <w:tcPr>
            <w:tcW w:w="1418" w:type="dxa"/>
          </w:tcPr>
          <w:p w14:paraId="4A6BBCFA" w14:textId="22D7A095" w:rsidR="009C1A3C" w:rsidRPr="00C16392" w:rsidRDefault="009C1A3C" w:rsidP="009C1A3C">
            <w:pPr>
              <w:jc w:val="right"/>
              <w:rPr>
                <w:rFonts w:ascii="Arial" w:hAnsi="Arial" w:cs="Arial"/>
                <w:bCs/>
                <w:szCs w:val="24"/>
                <w:highlight w:val="yellow"/>
              </w:rPr>
            </w:pPr>
            <w:r w:rsidRPr="00507FA4">
              <w:rPr>
                <w:rFonts w:ascii="Arial" w:hAnsi="Arial" w:cs="Arial"/>
                <w:bCs/>
                <w:szCs w:val="24"/>
              </w:rPr>
              <w:t>(17)</w:t>
            </w:r>
          </w:p>
        </w:tc>
      </w:tr>
      <w:tr w:rsidR="009C1A3C" w:rsidRPr="00C16392" w14:paraId="2D580E41" w14:textId="77777777" w:rsidTr="00AC598B">
        <w:trPr>
          <w:trHeight w:val="270"/>
        </w:trPr>
        <w:tc>
          <w:tcPr>
            <w:tcW w:w="6848" w:type="dxa"/>
            <w:gridSpan w:val="2"/>
            <w:tcBorders>
              <w:top w:val="single" w:sz="4" w:space="0" w:color="auto"/>
            </w:tcBorders>
            <w:shd w:val="clear" w:color="auto" w:fill="auto"/>
            <w:vAlign w:val="bottom"/>
          </w:tcPr>
          <w:p w14:paraId="18635883" w14:textId="16FDCF5A" w:rsidR="009C1A3C" w:rsidRPr="00C16392" w:rsidRDefault="009C1A3C" w:rsidP="009C1A3C">
            <w:pPr>
              <w:rPr>
                <w:rFonts w:ascii="Arial" w:hAnsi="Arial" w:cs="Arial"/>
                <w:b/>
                <w:szCs w:val="24"/>
                <w:highlight w:val="yellow"/>
              </w:rPr>
            </w:pPr>
            <w:r w:rsidRPr="00507FA4">
              <w:rPr>
                <w:rFonts w:ascii="Arial" w:hAnsi="Arial" w:cs="Arial"/>
                <w:b/>
                <w:szCs w:val="24"/>
              </w:rPr>
              <w:t>Net cash flow*</w:t>
            </w:r>
          </w:p>
        </w:tc>
        <w:tc>
          <w:tcPr>
            <w:tcW w:w="1242" w:type="dxa"/>
            <w:tcBorders>
              <w:top w:val="single" w:sz="4" w:space="0" w:color="auto"/>
            </w:tcBorders>
          </w:tcPr>
          <w:p w14:paraId="36474E6A" w14:textId="3A8E9597" w:rsidR="009C1A3C" w:rsidRPr="00C16392" w:rsidRDefault="009C1A3C" w:rsidP="009C1A3C">
            <w:pPr>
              <w:jc w:val="right"/>
              <w:rPr>
                <w:rFonts w:ascii="Arial" w:hAnsi="Arial" w:cs="Arial"/>
                <w:b/>
                <w:szCs w:val="24"/>
                <w:highlight w:val="yellow"/>
              </w:rPr>
            </w:pPr>
            <w:r w:rsidRPr="00507FA4">
              <w:rPr>
                <w:rFonts w:ascii="Arial" w:hAnsi="Arial" w:cs="Arial"/>
                <w:b/>
                <w:szCs w:val="24"/>
              </w:rPr>
              <w:t>1</w:t>
            </w:r>
            <w:r>
              <w:rPr>
                <w:rFonts w:ascii="Arial" w:hAnsi="Arial" w:cs="Arial"/>
                <w:b/>
                <w:szCs w:val="24"/>
              </w:rPr>
              <w:t>32</w:t>
            </w:r>
          </w:p>
        </w:tc>
        <w:tc>
          <w:tcPr>
            <w:tcW w:w="1418" w:type="dxa"/>
            <w:tcBorders>
              <w:top w:val="single" w:sz="4" w:space="0" w:color="auto"/>
            </w:tcBorders>
          </w:tcPr>
          <w:p w14:paraId="2F346224" w14:textId="2559DEFC" w:rsidR="009C1A3C" w:rsidRPr="00C16392" w:rsidRDefault="009C1A3C" w:rsidP="009C1A3C">
            <w:pPr>
              <w:jc w:val="right"/>
              <w:rPr>
                <w:rFonts w:ascii="Arial" w:hAnsi="Arial" w:cs="Arial"/>
                <w:bCs/>
                <w:szCs w:val="24"/>
                <w:highlight w:val="yellow"/>
              </w:rPr>
            </w:pPr>
            <w:r w:rsidRPr="00507FA4">
              <w:rPr>
                <w:rFonts w:ascii="Arial" w:hAnsi="Arial" w:cs="Arial"/>
                <w:bCs/>
                <w:szCs w:val="24"/>
              </w:rPr>
              <w:t>1</w:t>
            </w:r>
            <w:r>
              <w:rPr>
                <w:rFonts w:ascii="Arial" w:hAnsi="Arial" w:cs="Arial"/>
                <w:bCs/>
                <w:szCs w:val="24"/>
              </w:rPr>
              <w:t>3</w:t>
            </w:r>
          </w:p>
        </w:tc>
      </w:tr>
      <w:tr w:rsidR="009C1A3C" w:rsidRPr="00365C0E" w14:paraId="765DF0D5" w14:textId="77777777" w:rsidTr="001B494B">
        <w:trPr>
          <w:trHeight w:val="270"/>
        </w:trPr>
        <w:tc>
          <w:tcPr>
            <w:tcW w:w="6848" w:type="dxa"/>
            <w:gridSpan w:val="2"/>
            <w:shd w:val="clear" w:color="auto" w:fill="auto"/>
            <w:vAlign w:val="bottom"/>
          </w:tcPr>
          <w:p w14:paraId="5BCFBA0D" w14:textId="03CC1F80" w:rsidR="009C1A3C" w:rsidRPr="009F71DB" w:rsidRDefault="009C1A3C" w:rsidP="009C1A3C">
            <w:pPr>
              <w:rPr>
                <w:rFonts w:ascii="Arial" w:hAnsi="Arial"/>
              </w:rPr>
            </w:pPr>
            <w:r w:rsidRPr="009F71DB">
              <w:rPr>
                <w:rFonts w:ascii="Arial" w:hAnsi="Arial"/>
              </w:rPr>
              <w:t>Opening net debt</w:t>
            </w:r>
          </w:p>
        </w:tc>
        <w:tc>
          <w:tcPr>
            <w:tcW w:w="1242" w:type="dxa"/>
          </w:tcPr>
          <w:p w14:paraId="4B216D06" w14:textId="7BAE3BEC" w:rsidR="009C1A3C" w:rsidRPr="009F71DB" w:rsidRDefault="009C1A3C" w:rsidP="009C1A3C">
            <w:pPr>
              <w:jc w:val="right"/>
              <w:rPr>
                <w:rFonts w:ascii="Arial" w:hAnsi="Arial"/>
                <w:b/>
              </w:rPr>
            </w:pPr>
            <w:r w:rsidRPr="009F71DB">
              <w:rPr>
                <w:rFonts w:ascii="Arial" w:hAnsi="Arial"/>
                <w:b/>
              </w:rPr>
              <w:t>(2,</w:t>
            </w:r>
            <w:r w:rsidR="006A1671" w:rsidRPr="009F71DB">
              <w:rPr>
                <w:rFonts w:ascii="Arial" w:hAnsi="Arial"/>
                <w:b/>
              </w:rPr>
              <w:t>542</w:t>
            </w:r>
            <w:r w:rsidRPr="009F71DB">
              <w:rPr>
                <w:rFonts w:ascii="Arial" w:hAnsi="Arial"/>
                <w:b/>
              </w:rPr>
              <w:t>)</w:t>
            </w:r>
          </w:p>
        </w:tc>
        <w:tc>
          <w:tcPr>
            <w:tcW w:w="1418" w:type="dxa"/>
          </w:tcPr>
          <w:p w14:paraId="5C605306" w14:textId="663DC046" w:rsidR="009C1A3C" w:rsidRPr="009F71DB" w:rsidRDefault="009C1A3C" w:rsidP="009C1A3C">
            <w:pPr>
              <w:jc w:val="right"/>
              <w:rPr>
                <w:rFonts w:ascii="Arial" w:hAnsi="Arial"/>
              </w:rPr>
            </w:pPr>
            <w:r w:rsidRPr="009F71DB">
              <w:rPr>
                <w:rFonts w:ascii="Arial" w:hAnsi="Arial"/>
              </w:rPr>
              <w:t>(2,</w:t>
            </w:r>
            <w:r w:rsidR="006A1671" w:rsidRPr="009F71DB">
              <w:rPr>
                <w:rFonts w:ascii="Arial" w:hAnsi="Arial"/>
              </w:rPr>
              <w:t>678</w:t>
            </w:r>
            <w:r w:rsidRPr="009F71DB">
              <w:rPr>
                <w:rFonts w:ascii="Arial" w:hAnsi="Arial"/>
              </w:rPr>
              <w:t>)</w:t>
            </w:r>
          </w:p>
        </w:tc>
      </w:tr>
      <w:tr w:rsidR="009C1A3C" w:rsidRPr="00365C0E" w14:paraId="78BD4BEB" w14:textId="77777777" w:rsidTr="001B494B">
        <w:trPr>
          <w:trHeight w:val="270"/>
        </w:trPr>
        <w:tc>
          <w:tcPr>
            <w:tcW w:w="6848" w:type="dxa"/>
            <w:gridSpan w:val="2"/>
            <w:tcBorders>
              <w:bottom w:val="single" w:sz="4" w:space="0" w:color="auto"/>
            </w:tcBorders>
            <w:shd w:val="clear" w:color="auto" w:fill="auto"/>
            <w:vAlign w:val="bottom"/>
          </w:tcPr>
          <w:p w14:paraId="572BE76A" w14:textId="2F4BD530" w:rsidR="009C1A3C" w:rsidRPr="009F71DB" w:rsidRDefault="009C1A3C" w:rsidP="009C1A3C">
            <w:pPr>
              <w:rPr>
                <w:rFonts w:ascii="Arial" w:hAnsi="Arial"/>
              </w:rPr>
            </w:pPr>
            <w:r w:rsidRPr="009F71DB">
              <w:rPr>
                <w:rFonts w:ascii="Arial" w:hAnsi="Arial"/>
              </w:rPr>
              <w:t>Other movement including foreign exchange</w:t>
            </w:r>
          </w:p>
        </w:tc>
        <w:tc>
          <w:tcPr>
            <w:tcW w:w="1242" w:type="dxa"/>
            <w:tcBorders>
              <w:bottom w:val="single" w:sz="4" w:space="0" w:color="auto"/>
            </w:tcBorders>
          </w:tcPr>
          <w:p w14:paraId="4A59BC7A" w14:textId="3B21AA59" w:rsidR="009C1A3C" w:rsidRPr="009F71DB" w:rsidRDefault="00093218" w:rsidP="009C1A3C">
            <w:pPr>
              <w:jc w:val="right"/>
              <w:rPr>
                <w:rFonts w:ascii="Arial" w:hAnsi="Arial"/>
                <w:b/>
              </w:rPr>
            </w:pPr>
            <w:r>
              <w:rPr>
                <w:rFonts w:ascii="Arial" w:hAnsi="Arial"/>
                <w:b/>
              </w:rPr>
              <w:t>26</w:t>
            </w:r>
          </w:p>
        </w:tc>
        <w:tc>
          <w:tcPr>
            <w:tcW w:w="1418" w:type="dxa"/>
            <w:tcBorders>
              <w:bottom w:val="single" w:sz="4" w:space="0" w:color="auto"/>
            </w:tcBorders>
          </w:tcPr>
          <w:p w14:paraId="5E9599E3" w14:textId="1590DB05" w:rsidR="009C1A3C" w:rsidRPr="009F71DB" w:rsidRDefault="00093218" w:rsidP="009C1A3C">
            <w:pPr>
              <w:jc w:val="right"/>
              <w:rPr>
                <w:rFonts w:ascii="Arial" w:hAnsi="Arial"/>
              </w:rPr>
            </w:pPr>
            <w:r>
              <w:rPr>
                <w:rFonts w:ascii="Arial" w:hAnsi="Arial"/>
              </w:rPr>
              <w:t>4</w:t>
            </w:r>
          </w:p>
        </w:tc>
      </w:tr>
      <w:tr w:rsidR="009C1A3C" w:rsidRPr="00365C0E" w14:paraId="2A381597" w14:textId="77777777" w:rsidTr="001B494B">
        <w:trPr>
          <w:trHeight w:val="270"/>
        </w:trPr>
        <w:tc>
          <w:tcPr>
            <w:tcW w:w="6848" w:type="dxa"/>
            <w:gridSpan w:val="2"/>
            <w:tcBorders>
              <w:top w:val="single" w:sz="4" w:space="0" w:color="auto"/>
              <w:bottom w:val="single" w:sz="4" w:space="0" w:color="auto"/>
            </w:tcBorders>
            <w:shd w:val="clear" w:color="auto" w:fill="auto"/>
            <w:vAlign w:val="bottom"/>
          </w:tcPr>
          <w:p w14:paraId="11166199" w14:textId="25B6D2A6" w:rsidR="009C1A3C" w:rsidRPr="009F71DB" w:rsidRDefault="009C1A3C" w:rsidP="009C1A3C">
            <w:pPr>
              <w:rPr>
                <w:rFonts w:ascii="Arial" w:hAnsi="Arial"/>
                <w:b/>
              </w:rPr>
            </w:pPr>
            <w:r w:rsidRPr="009F71DB">
              <w:rPr>
                <w:rFonts w:ascii="Arial" w:hAnsi="Arial"/>
                <w:b/>
              </w:rPr>
              <w:t>Closing net debt</w:t>
            </w:r>
          </w:p>
        </w:tc>
        <w:tc>
          <w:tcPr>
            <w:tcW w:w="1242" w:type="dxa"/>
            <w:tcBorders>
              <w:top w:val="single" w:sz="4" w:space="0" w:color="auto"/>
              <w:bottom w:val="single" w:sz="4" w:space="0" w:color="auto"/>
            </w:tcBorders>
          </w:tcPr>
          <w:p w14:paraId="22AADB5D" w14:textId="712F1B9D" w:rsidR="009C1A3C" w:rsidRPr="009F71DB" w:rsidRDefault="009C1A3C" w:rsidP="009C1A3C">
            <w:pPr>
              <w:jc w:val="right"/>
              <w:rPr>
                <w:rFonts w:ascii="Arial" w:hAnsi="Arial"/>
                <w:b/>
              </w:rPr>
            </w:pPr>
            <w:r w:rsidRPr="009F71DB">
              <w:rPr>
                <w:rFonts w:ascii="Arial" w:hAnsi="Arial"/>
                <w:b/>
              </w:rPr>
              <w:t>(2,</w:t>
            </w:r>
            <w:r w:rsidR="006A1671" w:rsidRPr="00365C0E">
              <w:rPr>
                <w:rFonts w:ascii="Arial" w:hAnsi="Arial" w:cs="Arial"/>
                <w:b/>
                <w:szCs w:val="24"/>
              </w:rPr>
              <w:t>3</w:t>
            </w:r>
            <w:r w:rsidR="00365C0E" w:rsidRPr="007655ED">
              <w:rPr>
                <w:rFonts w:ascii="Arial" w:hAnsi="Arial" w:cs="Arial"/>
                <w:b/>
                <w:szCs w:val="24"/>
              </w:rPr>
              <w:t>84</w:t>
            </w:r>
            <w:r w:rsidRPr="009F71DB">
              <w:rPr>
                <w:rFonts w:ascii="Arial" w:hAnsi="Arial"/>
                <w:b/>
              </w:rPr>
              <w:t>)</w:t>
            </w:r>
          </w:p>
        </w:tc>
        <w:tc>
          <w:tcPr>
            <w:tcW w:w="1418" w:type="dxa"/>
            <w:tcBorders>
              <w:top w:val="single" w:sz="4" w:space="0" w:color="auto"/>
              <w:bottom w:val="single" w:sz="4" w:space="0" w:color="auto"/>
            </w:tcBorders>
          </w:tcPr>
          <w:p w14:paraId="4C076E4F" w14:textId="32A7A1AF" w:rsidR="009C1A3C" w:rsidRPr="009F71DB" w:rsidRDefault="009C1A3C" w:rsidP="009C1A3C">
            <w:pPr>
              <w:jc w:val="right"/>
              <w:rPr>
                <w:rFonts w:ascii="Arial" w:hAnsi="Arial"/>
              </w:rPr>
            </w:pPr>
            <w:r w:rsidRPr="009F71DB">
              <w:rPr>
                <w:rFonts w:ascii="Arial" w:hAnsi="Arial"/>
              </w:rPr>
              <w:t>(2,</w:t>
            </w:r>
            <w:r w:rsidR="006A1671" w:rsidRPr="009F71DB">
              <w:rPr>
                <w:rFonts w:ascii="Arial" w:hAnsi="Arial"/>
              </w:rPr>
              <w:t>661</w:t>
            </w:r>
            <w:r w:rsidRPr="009F71DB">
              <w:rPr>
                <w:rFonts w:ascii="Arial" w:hAnsi="Arial"/>
              </w:rPr>
              <w:t>)</w:t>
            </w:r>
          </w:p>
        </w:tc>
      </w:tr>
    </w:tbl>
    <w:p w14:paraId="6FED58A8" w14:textId="1A59AD8A" w:rsidR="00773A54" w:rsidRPr="002330C8" w:rsidRDefault="00773A54" w:rsidP="009F71DB">
      <w:pPr>
        <w:ind w:left="142"/>
        <w:jc w:val="left"/>
        <w:rPr>
          <w:rFonts w:ascii="Arial" w:hAnsi="Arial" w:cs="Arial"/>
          <w:sz w:val="18"/>
        </w:rPr>
      </w:pPr>
      <w:bookmarkStart w:id="52" w:name="_Hlk493503261"/>
      <w:r w:rsidRPr="007655ED">
        <w:rPr>
          <w:rFonts w:ascii="Arial" w:hAnsi="Arial" w:cs="Arial"/>
          <w:sz w:val="18"/>
        </w:rPr>
        <w:t>(1)</w:t>
      </w:r>
      <w:r w:rsidRPr="002330C8">
        <w:rPr>
          <w:rFonts w:ascii="Arial" w:hAnsi="Arial" w:cs="Arial"/>
          <w:sz w:val="18"/>
        </w:rPr>
        <w:t xml:space="preserve"> Other non-cash items include depreciation and amortisation, share-based compensation charge, share of post-tax results of JVs and associates, pension operating cost and profit/loss on non-property disposals</w:t>
      </w:r>
    </w:p>
    <w:p w14:paraId="43C5DD3E" w14:textId="0875C39B" w:rsidR="001278FB" w:rsidRPr="002330C8" w:rsidRDefault="00773A54" w:rsidP="009F71DB">
      <w:pPr>
        <w:ind w:left="142" w:right="-368"/>
        <w:rPr>
          <w:rFonts w:ascii="Arial" w:hAnsi="Arial" w:cs="Arial"/>
          <w:sz w:val="18"/>
        </w:rPr>
      </w:pPr>
      <w:r w:rsidRPr="007655ED">
        <w:rPr>
          <w:rFonts w:ascii="Arial" w:hAnsi="Arial" w:cs="Arial"/>
          <w:sz w:val="18"/>
        </w:rPr>
        <w:t>(</w:t>
      </w:r>
      <w:r w:rsidR="000F0033" w:rsidRPr="007655ED">
        <w:rPr>
          <w:rFonts w:ascii="Arial" w:hAnsi="Arial" w:cs="Arial"/>
          <w:sz w:val="18"/>
        </w:rPr>
        <w:t>2</w:t>
      </w:r>
      <w:r w:rsidRPr="007655ED">
        <w:rPr>
          <w:rFonts w:ascii="Arial" w:hAnsi="Arial" w:cs="Arial"/>
          <w:sz w:val="18"/>
        </w:rPr>
        <w:t>)</w:t>
      </w:r>
      <w:r w:rsidRPr="002330C8">
        <w:rPr>
          <w:rFonts w:ascii="Arial" w:hAnsi="Arial" w:cs="Arial"/>
          <w:sz w:val="18"/>
        </w:rPr>
        <w:t xml:space="preserve"> </w:t>
      </w:r>
      <w:r w:rsidR="001278FB" w:rsidRPr="002330C8">
        <w:rPr>
          <w:rFonts w:ascii="Arial" w:hAnsi="Arial" w:cs="Arial"/>
          <w:sz w:val="18"/>
        </w:rPr>
        <w:t xml:space="preserve">Includes exceptional cash flow items, principally relating to </w:t>
      </w:r>
      <w:r w:rsidR="00AF2C07">
        <w:rPr>
          <w:rFonts w:ascii="Arial" w:hAnsi="Arial" w:cs="Arial"/>
          <w:sz w:val="18"/>
        </w:rPr>
        <w:t>UK &amp; Europe store</w:t>
      </w:r>
      <w:r w:rsidR="001278FB" w:rsidRPr="002330C8">
        <w:rPr>
          <w:rFonts w:ascii="Arial" w:hAnsi="Arial" w:cs="Arial"/>
          <w:sz w:val="18"/>
        </w:rPr>
        <w:t xml:space="preserve"> closures</w:t>
      </w:r>
      <w:r w:rsidR="001278FB" w:rsidRPr="002330C8" w:rsidDel="003574DC">
        <w:rPr>
          <w:rFonts w:ascii="Arial" w:hAnsi="Arial" w:cs="Arial"/>
          <w:sz w:val="18"/>
        </w:rPr>
        <w:t xml:space="preserve"> </w:t>
      </w:r>
      <w:r w:rsidR="00AF2C07">
        <w:rPr>
          <w:rFonts w:ascii="Arial" w:hAnsi="Arial" w:cs="Arial"/>
          <w:sz w:val="18"/>
        </w:rPr>
        <w:t>and transformation costs</w:t>
      </w:r>
    </w:p>
    <w:bookmarkEnd w:id="52"/>
    <w:p w14:paraId="4CCC7438" w14:textId="77777777" w:rsidR="00773A54" w:rsidRPr="00C16392" w:rsidRDefault="00773A54" w:rsidP="00DC23B3">
      <w:pPr>
        <w:ind w:right="-368"/>
        <w:rPr>
          <w:rFonts w:ascii="Arial" w:hAnsi="Arial" w:cs="Arial"/>
          <w:b/>
          <w:sz w:val="24"/>
          <w:szCs w:val="24"/>
          <w:highlight w:val="yellow"/>
        </w:rPr>
      </w:pPr>
    </w:p>
    <w:p w14:paraId="431AEE38" w14:textId="5244E542" w:rsidR="00CA6652" w:rsidRPr="00542C2B" w:rsidRDefault="00CA6652" w:rsidP="00CA6652">
      <w:pPr>
        <w:jc w:val="left"/>
        <w:rPr>
          <w:rFonts w:ascii="Arial" w:hAnsi="Arial" w:cs="Arial"/>
        </w:rPr>
      </w:pPr>
      <w:r w:rsidRPr="00542C2B">
        <w:rPr>
          <w:rFonts w:ascii="Arial" w:hAnsi="Arial" w:cs="Arial"/>
        </w:rPr>
        <w:t xml:space="preserve">Net </w:t>
      </w:r>
      <w:r w:rsidR="00241F25">
        <w:rPr>
          <w:rFonts w:ascii="Arial" w:hAnsi="Arial" w:cs="Arial"/>
        </w:rPr>
        <w:t>debt</w:t>
      </w:r>
      <w:r w:rsidRPr="00542C2B">
        <w:rPr>
          <w:rFonts w:ascii="Arial" w:hAnsi="Arial" w:cs="Arial"/>
        </w:rPr>
        <w:t xml:space="preserve"> </w:t>
      </w:r>
      <w:r w:rsidR="00241F25">
        <w:rPr>
          <w:rFonts w:ascii="Arial" w:hAnsi="Arial" w:cs="Arial"/>
        </w:rPr>
        <w:t>(post</w:t>
      </w:r>
      <w:r w:rsidR="00656017">
        <w:rPr>
          <w:rFonts w:ascii="Arial" w:hAnsi="Arial" w:cs="Arial"/>
        </w:rPr>
        <w:t>-</w:t>
      </w:r>
      <w:r w:rsidR="00241F25">
        <w:rPr>
          <w:rFonts w:ascii="Arial" w:hAnsi="Arial" w:cs="Arial"/>
        </w:rPr>
        <w:t xml:space="preserve">IFRS 16) </w:t>
      </w:r>
      <w:r w:rsidRPr="00542C2B">
        <w:rPr>
          <w:rFonts w:ascii="Arial" w:hAnsi="Arial" w:cs="Arial"/>
        </w:rPr>
        <w:t xml:space="preserve">at the end of the period was </w:t>
      </w:r>
      <w:r w:rsidRPr="009C1A3C">
        <w:rPr>
          <w:rFonts w:ascii="Arial" w:hAnsi="Arial" w:cs="Arial"/>
        </w:rPr>
        <w:t>£</w:t>
      </w:r>
      <w:r w:rsidR="00241F25" w:rsidRPr="009C1A3C">
        <w:rPr>
          <w:rFonts w:ascii="Arial" w:hAnsi="Arial" w:cs="Arial"/>
        </w:rPr>
        <w:t>2,3</w:t>
      </w:r>
      <w:r w:rsidR="000D19B0">
        <w:rPr>
          <w:rFonts w:ascii="Arial" w:hAnsi="Arial" w:cs="Arial"/>
        </w:rPr>
        <w:t>84</w:t>
      </w:r>
      <w:r w:rsidR="00C31224" w:rsidRPr="009C1A3C">
        <w:rPr>
          <w:rFonts w:ascii="Arial" w:hAnsi="Arial" w:cs="Arial"/>
        </w:rPr>
        <w:t xml:space="preserve"> </w:t>
      </w:r>
      <w:r w:rsidRPr="009C1A3C">
        <w:rPr>
          <w:rFonts w:ascii="Arial" w:hAnsi="Arial" w:cs="Arial"/>
        </w:rPr>
        <w:t>million (201</w:t>
      </w:r>
      <w:r w:rsidR="00542C2B" w:rsidRPr="009C1A3C">
        <w:rPr>
          <w:rFonts w:ascii="Arial" w:hAnsi="Arial" w:cs="Arial"/>
        </w:rPr>
        <w:t>8</w:t>
      </w:r>
      <w:r w:rsidRPr="009C1A3C">
        <w:rPr>
          <w:rFonts w:ascii="Arial" w:hAnsi="Arial" w:cs="Arial"/>
        </w:rPr>
        <w:t>/1</w:t>
      </w:r>
      <w:r w:rsidR="00542C2B" w:rsidRPr="009C1A3C">
        <w:rPr>
          <w:rFonts w:ascii="Arial" w:hAnsi="Arial" w:cs="Arial"/>
        </w:rPr>
        <w:t>9</w:t>
      </w:r>
      <w:r w:rsidRPr="009C1A3C">
        <w:rPr>
          <w:rFonts w:ascii="Arial" w:hAnsi="Arial" w:cs="Arial"/>
        </w:rPr>
        <w:t>: £</w:t>
      </w:r>
      <w:r w:rsidR="009C1A3C">
        <w:rPr>
          <w:rFonts w:ascii="Arial" w:hAnsi="Arial" w:cs="Arial"/>
        </w:rPr>
        <w:t>2,6</w:t>
      </w:r>
      <w:r w:rsidR="000D19B0">
        <w:rPr>
          <w:rFonts w:ascii="Arial" w:hAnsi="Arial" w:cs="Arial"/>
        </w:rPr>
        <w:t>61</w:t>
      </w:r>
      <w:r w:rsidRPr="00542C2B" w:rsidDel="00F44930">
        <w:rPr>
          <w:rFonts w:ascii="Arial" w:hAnsi="Arial" w:cs="Arial"/>
        </w:rPr>
        <w:t xml:space="preserve"> </w:t>
      </w:r>
      <w:r w:rsidRPr="00542C2B">
        <w:rPr>
          <w:rFonts w:ascii="Arial" w:hAnsi="Arial" w:cs="Arial"/>
        </w:rPr>
        <w:t xml:space="preserve">million). </w:t>
      </w:r>
    </w:p>
    <w:p w14:paraId="7B31B0A8" w14:textId="77777777" w:rsidR="00CA6652" w:rsidRPr="00542C2B" w:rsidRDefault="00CA6652" w:rsidP="00CA6652">
      <w:pPr>
        <w:jc w:val="left"/>
        <w:rPr>
          <w:rFonts w:ascii="Arial" w:hAnsi="Arial" w:cs="Arial"/>
        </w:rPr>
      </w:pPr>
    </w:p>
    <w:p w14:paraId="2EA79EDC" w14:textId="14F3B7D4" w:rsidR="00CA6652" w:rsidRPr="00542C2B" w:rsidRDefault="00CA6652" w:rsidP="00CA6652">
      <w:pPr>
        <w:jc w:val="left"/>
        <w:rPr>
          <w:rFonts w:ascii="Arial" w:hAnsi="Arial" w:cs="Arial"/>
        </w:rPr>
      </w:pPr>
      <w:r w:rsidRPr="00542C2B">
        <w:rPr>
          <w:rFonts w:ascii="Arial" w:hAnsi="Arial" w:cs="Arial"/>
        </w:rPr>
        <w:t xml:space="preserve">Operating profit </w:t>
      </w:r>
      <w:r w:rsidR="000A7BB5" w:rsidRPr="00542C2B">
        <w:rPr>
          <w:rFonts w:ascii="Arial" w:hAnsi="Arial" w:cs="Arial"/>
        </w:rPr>
        <w:t xml:space="preserve">before </w:t>
      </w:r>
      <w:r w:rsidRPr="00542C2B">
        <w:rPr>
          <w:rFonts w:ascii="Arial" w:hAnsi="Arial" w:cs="Arial"/>
        </w:rPr>
        <w:t>exceptional items was £</w:t>
      </w:r>
      <w:r w:rsidR="009C1A3C">
        <w:rPr>
          <w:rFonts w:ascii="Arial" w:hAnsi="Arial" w:cs="Arial"/>
        </w:rPr>
        <w:t>1</w:t>
      </w:r>
      <w:r w:rsidR="000D19B0">
        <w:rPr>
          <w:rFonts w:ascii="Arial" w:hAnsi="Arial" w:cs="Arial"/>
        </w:rPr>
        <w:t>0</w:t>
      </w:r>
      <w:r w:rsidR="007D2F1A" w:rsidRPr="00542C2B">
        <w:rPr>
          <w:rFonts w:ascii="Arial" w:hAnsi="Arial" w:cs="Arial"/>
        </w:rPr>
        <w:t xml:space="preserve"> </w:t>
      </w:r>
      <w:r w:rsidRPr="00542C2B">
        <w:rPr>
          <w:rFonts w:ascii="Arial" w:hAnsi="Arial" w:cs="Arial"/>
        </w:rPr>
        <w:t xml:space="preserve">million </w:t>
      </w:r>
      <w:r w:rsidR="009C1A3C">
        <w:rPr>
          <w:rFonts w:ascii="Arial" w:hAnsi="Arial" w:cs="Arial"/>
        </w:rPr>
        <w:t xml:space="preserve">higher </w:t>
      </w:r>
      <w:r w:rsidRPr="00542C2B">
        <w:rPr>
          <w:rFonts w:ascii="Arial" w:hAnsi="Arial" w:cs="Arial"/>
        </w:rPr>
        <w:t xml:space="preserve">than last year. </w:t>
      </w:r>
      <w:bookmarkStart w:id="53" w:name="_Hlk508799152"/>
      <w:r w:rsidRPr="00542C2B">
        <w:rPr>
          <w:rFonts w:ascii="Arial" w:hAnsi="Arial" w:cs="Arial"/>
        </w:rPr>
        <w:t xml:space="preserve">The working capital </w:t>
      </w:r>
      <w:r w:rsidR="009C1A3C" w:rsidRPr="00C867AF">
        <w:rPr>
          <w:rFonts w:ascii="Arial" w:hAnsi="Arial" w:cs="Arial"/>
        </w:rPr>
        <w:t xml:space="preserve">outflow </w:t>
      </w:r>
      <w:r w:rsidRPr="00C867AF">
        <w:rPr>
          <w:rFonts w:ascii="Arial" w:hAnsi="Arial" w:cs="Arial"/>
        </w:rPr>
        <w:t xml:space="preserve">of </w:t>
      </w:r>
      <w:r w:rsidRPr="00ED340B">
        <w:rPr>
          <w:rFonts w:ascii="Arial" w:hAnsi="Arial" w:cs="Arial"/>
        </w:rPr>
        <w:t>£</w:t>
      </w:r>
      <w:r w:rsidR="009C1A3C" w:rsidRPr="00ED340B">
        <w:rPr>
          <w:rFonts w:ascii="Arial" w:hAnsi="Arial" w:cs="Arial"/>
        </w:rPr>
        <w:t>4</w:t>
      </w:r>
      <w:r w:rsidR="00A60F2B">
        <w:rPr>
          <w:rFonts w:ascii="Arial" w:hAnsi="Arial" w:cs="Arial"/>
        </w:rPr>
        <w:t>5</w:t>
      </w:r>
      <w:r w:rsidRPr="00C867AF">
        <w:rPr>
          <w:rFonts w:ascii="Arial" w:hAnsi="Arial" w:cs="Arial"/>
        </w:rPr>
        <w:t xml:space="preserve"> million </w:t>
      </w:r>
      <w:r w:rsidR="006D40B4">
        <w:rPr>
          <w:rFonts w:ascii="Arial" w:hAnsi="Arial" w:cs="Arial"/>
        </w:rPr>
        <w:t xml:space="preserve">reflects </w:t>
      </w:r>
      <w:r w:rsidR="00A52241" w:rsidRPr="006D40B4">
        <w:rPr>
          <w:rFonts w:ascii="Arial" w:hAnsi="Arial" w:cs="Arial"/>
        </w:rPr>
        <w:t>a</w:t>
      </w:r>
      <w:r w:rsidR="00E13F43">
        <w:rPr>
          <w:rFonts w:ascii="Arial" w:hAnsi="Arial" w:cs="Arial"/>
        </w:rPr>
        <w:t xml:space="preserve"> </w:t>
      </w:r>
      <w:r w:rsidR="00A45F66" w:rsidRPr="002110D5">
        <w:rPr>
          <w:rFonts w:ascii="Arial" w:hAnsi="Arial" w:cs="Arial"/>
        </w:rPr>
        <w:t>£</w:t>
      </w:r>
      <w:r w:rsidR="006D40B4">
        <w:rPr>
          <w:rFonts w:ascii="Arial" w:hAnsi="Arial" w:cs="Arial"/>
        </w:rPr>
        <w:t xml:space="preserve">111 </w:t>
      </w:r>
      <w:r w:rsidR="00A45F66" w:rsidRPr="002110D5">
        <w:rPr>
          <w:rFonts w:ascii="Arial" w:hAnsi="Arial" w:cs="Arial"/>
        </w:rPr>
        <w:t>m</w:t>
      </w:r>
      <w:r w:rsidR="006D40B4">
        <w:rPr>
          <w:rFonts w:ascii="Arial" w:hAnsi="Arial" w:cs="Arial"/>
        </w:rPr>
        <w:t>illion</w:t>
      </w:r>
      <w:r w:rsidR="00A45F66" w:rsidRPr="002110D5">
        <w:rPr>
          <w:rFonts w:ascii="Arial" w:hAnsi="Arial" w:cs="Arial"/>
        </w:rPr>
        <w:t xml:space="preserve"> </w:t>
      </w:r>
      <w:r w:rsidR="009C1A3C" w:rsidRPr="009F71DB">
        <w:rPr>
          <w:rFonts w:ascii="Arial" w:hAnsi="Arial"/>
        </w:rPr>
        <w:t>increase</w:t>
      </w:r>
      <w:r w:rsidR="00C31224" w:rsidRPr="009F71DB">
        <w:rPr>
          <w:rFonts w:ascii="Arial" w:hAnsi="Arial"/>
        </w:rPr>
        <w:t xml:space="preserve"> in</w:t>
      </w:r>
      <w:r w:rsidR="00A52241" w:rsidRPr="009F71DB">
        <w:rPr>
          <w:rFonts w:ascii="Arial" w:hAnsi="Arial"/>
        </w:rPr>
        <w:t xml:space="preserve"> </w:t>
      </w:r>
      <w:r w:rsidRPr="009F71DB">
        <w:rPr>
          <w:rFonts w:ascii="Arial" w:hAnsi="Arial"/>
        </w:rPr>
        <w:t>stock</w:t>
      </w:r>
      <w:r w:rsidR="006D40B4">
        <w:rPr>
          <w:rFonts w:ascii="Arial" w:hAnsi="Arial" w:cs="Arial"/>
        </w:rPr>
        <w:t xml:space="preserve"> due to store expansion</w:t>
      </w:r>
      <w:r w:rsidR="006D40B4" w:rsidRPr="009F71DB">
        <w:rPr>
          <w:rFonts w:ascii="Arial" w:hAnsi="Arial"/>
        </w:rPr>
        <w:t xml:space="preserve"> and </w:t>
      </w:r>
      <w:r w:rsidR="006D40B4">
        <w:rPr>
          <w:rFonts w:ascii="Arial" w:hAnsi="Arial" w:cs="Arial"/>
        </w:rPr>
        <w:t>higher stock levels in Castorama France</w:t>
      </w:r>
      <w:r w:rsidR="0013714C" w:rsidRPr="002110D5">
        <w:rPr>
          <w:rFonts w:ascii="Arial" w:hAnsi="Arial" w:cs="Arial"/>
        </w:rPr>
        <w:t xml:space="preserve">, </w:t>
      </w:r>
      <w:r w:rsidR="006D40B4">
        <w:rPr>
          <w:rFonts w:ascii="Arial" w:hAnsi="Arial" w:cs="Arial"/>
        </w:rPr>
        <w:t>partly offset by a</w:t>
      </w:r>
      <w:r w:rsidR="00093218">
        <w:rPr>
          <w:rFonts w:ascii="Arial" w:hAnsi="Arial" w:cs="Arial"/>
        </w:rPr>
        <w:t>n</w:t>
      </w:r>
      <w:r w:rsidR="00093218" w:rsidRPr="009F71DB">
        <w:rPr>
          <w:rFonts w:ascii="Arial" w:hAnsi="Arial"/>
        </w:rPr>
        <w:t xml:space="preserve"> </w:t>
      </w:r>
      <w:r w:rsidR="006D40B4" w:rsidRPr="009F71DB">
        <w:rPr>
          <w:rFonts w:ascii="Arial" w:hAnsi="Arial"/>
        </w:rPr>
        <w:t xml:space="preserve">increase </w:t>
      </w:r>
      <w:r w:rsidR="0080676C" w:rsidRPr="009F71DB">
        <w:rPr>
          <w:rFonts w:ascii="Arial" w:hAnsi="Arial"/>
        </w:rPr>
        <w:t xml:space="preserve">in </w:t>
      </w:r>
      <w:r w:rsidR="009C1A3C" w:rsidRPr="009F71DB">
        <w:rPr>
          <w:rFonts w:ascii="Arial" w:hAnsi="Arial"/>
        </w:rPr>
        <w:t>payables</w:t>
      </w:r>
      <w:r w:rsidR="006D40B4">
        <w:rPr>
          <w:rFonts w:ascii="Arial" w:hAnsi="Arial" w:cs="Arial"/>
        </w:rPr>
        <w:t xml:space="preserve"> </w:t>
      </w:r>
      <w:r w:rsidR="00093218">
        <w:rPr>
          <w:rFonts w:ascii="Arial" w:hAnsi="Arial" w:cs="Arial"/>
        </w:rPr>
        <w:t xml:space="preserve">(net of </w:t>
      </w:r>
      <w:r w:rsidR="00093218" w:rsidRPr="009F71DB">
        <w:rPr>
          <w:rFonts w:ascii="Arial" w:hAnsi="Arial"/>
        </w:rPr>
        <w:t>receivables</w:t>
      </w:r>
      <w:r w:rsidR="00093218">
        <w:rPr>
          <w:rFonts w:ascii="Arial" w:hAnsi="Arial" w:cs="Arial"/>
        </w:rPr>
        <w:t xml:space="preserve">) </w:t>
      </w:r>
      <w:r w:rsidR="006D40B4">
        <w:rPr>
          <w:rFonts w:ascii="Arial" w:hAnsi="Arial" w:cs="Arial"/>
        </w:rPr>
        <w:t>of £66 million</w:t>
      </w:r>
      <w:r w:rsidRPr="002110D5">
        <w:rPr>
          <w:rFonts w:ascii="Arial" w:hAnsi="Arial" w:cs="Arial"/>
        </w:rPr>
        <w:t>.</w:t>
      </w:r>
      <w:r w:rsidRPr="00542C2B">
        <w:rPr>
          <w:rFonts w:ascii="Arial" w:hAnsi="Arial" w:cs="Arial"/>
        </w:rPr>
        <w:t xml:space="preserve"> </w:t>
      </w:r>
    </w:p>
    <w:bookmarkEnd w:id="53"/>
    <w:p w14:paraId="5F65AEDE" w14:textId="77777777" w:rsidR="00CA6652" w:rsidRPr="00542C2B" w:rsidRDefault="00CA6652" w:rsidP="002E570E">
      <w:pPr>
        <w:jc w:val="left"/>
        <w:rPr>
          <w:rFonts w:ascii="Arial" w:hAnsi="Arial" w:cs="Arial"/>
          <w:szCs w:val="24"/>
        </w:rPr>
      </w:pPr>
    </w:p>
    <w:p w14:paraId="47432F0F" w14:textId="51A91A9A" w:rsidR="00536CE9" w:rsidRPr="00C16392" w:rsidRDefault="00536CE9" w:rsidP="00536CE9">
      <w:pPr>
        <w:jc w:val="left"/>
        <w:rPr>
          <w:rFonts w:ascii="Arial" w:hAnsi="Arial" w:cs="Arial"/>
          <w:szCs w:val="24"/>
          <w:highlight w:val="yellow"/>
        </w:rPr>
      </w:pPr>
      <w:bookmarkStart w:id="54" w:name="_Hlk493509940"/>
      <w:r w:rsidRPr="00542C2B">
        <w:rPr>
          <w:rFonts w:ascii="Arial" w:hAnsi="Arial" w:cs="Arial"/>
          <w:szCs w:val="24"/>
        </w:rPr>
        <w:t>Gross capital expenditure for H1 was £</w:t>
      </w:r>
      <w:r w:rsidR="004851F5">
        <w:rPr>
          <w:rFonts w:ascii="Arial" w:hAnsi="Arial" w:cs="Arial"/>
          <w:szCs w:val="24"/>
        </w:rPr>
        <w:t>16</w:t>
      </w:r>
      <w:r w:rsidR="009C1A3C">
        <w:rPr>
          <w:rFonts w:ascii="Arial" w:hAnsi="Arial" w:cs="Arial"/>
          <w:szCs w:val="24"/>
        </w:rPr>
        <w:t>3</w:t>
      </w:r>
      <w:r w:rsidR="00D06AFD" w:rsidRPr="00542C2B">
        <w:rPr>
          <w:rFonts w:ascii="Arial" w:hAnsi="Arial" w:cs="Arial"/>
          <w:b/>
          <w:color w:val="C00000"/>
          <w:szCs w:val="24"/>
        </w:rPr>
        <w:t xml:space="preserve"> </w:t>
      </w:r>
      <w:r w:rsidRPr="00542C2B">
        <w:rPr>
          <w:rFonts w:ascii="Arial" w:hAnsi="Arial" w:cs="Arial"/>
          <w:szCs w:val="24"/>
        </w:rPr>
        <w:t>million (201</w:t>
      </w:r>
      <w:r w:rsidR="00542C2B" w:rsidRPr="00542C2B">
        <w:rPr>
          <w:rFonts w:ascii="Arial" w:hAnsi="Arial" w:cs="Arial"/>
          <w:szCs w:val="24"/>
        </w:rPr>
        <w:t>8</w:t>
      </w:r>
      <w:r w:rsidR="00DE34B3" w:rsidRPr="00542C2B">
        <w:rPr>
          <w:rFonts w:ascii="Arial" w:hAnsi="Arial" w:cs="Arial"/>
          <w:szCs w:val="24"/>
        </w:rPr>
        <w:t>/1</w:t>
      </w:r>
      <w:r w:rsidR="00542C2B" w:rsidRPr="00542C2B">
        <w:rPr>
          <w:rFonts w:ascii="Arial" w:hAnsi="Arial" w:cs="Arial"/>
          <w:szCs w:val="24"/>
        </w:rPr>
        <w:t>9</w:t>
      </w:r>
      <w:r w:rsidRPr="00542C2B">
        <w:rPr>
          <w:rFonts w:ascii="Arial" w:hAnsi="Arial" w:cs="Arial"/>
          <w:szCs w:val="24"/>
        </w:rPr>
        <w:t>: £</w:t>
      </w:r>
      <w:r w:rsidR="00D06AFD" w:rsidRPr="00542C2B">
        <w:rPr>
          <w:rFonts w:ascii="Arial" w:hAnsi="Arial" w:cs="Arial"/>
          <w:szCs w:val="24"/>
        </w:rPr>
        <w:t>1</w:t>
      </w:r>
      <w:r w:rsidR="00542C2B" w:rsidRPr="00542C2B">
        <w:rPr>
          <w:rFonts w:ascii="Arial" w:hAnsi="Arial" w:cs="Arial"/>
          <w:szCs w:val="24"/>
        </w:rPr>
        <w:t>6</w:t>
      </w:r>
      <w:r w:rsidR="009C1A3C">
        <w:rPr>
          <w:rFonts w:ascii="Arial" w:hAnsi="Arial" w:cs="Arial"/>
          <w:szCs w:val="24"/>
        </w:rPr>
        <w:t>4</w:t>
      </w:r>
      <w:r w:rsidRPr="00542C2B">
        <w:rPr>
          <w:rFonts w:ascii="Arial" w:hAnsi="Arial" w:cs="Arial"/>
          <w:szCs w:val="24"/>
        </w:rPr>
        <w:t xml:space="preserve"> million)</w:t>
      </w:r>
      <w:r w:rsidRPr="004851F5">
        <w:rPr>
          <w:rFonts w:ascii="Arial" w:hAnsi="Arial" w:cs="Arial"/>
          <w:szCs w:val="24"/>
        </w:rPr>
        <w:t xml:space="preserve">. Of this </w:t>
      </w:r>
      <w:r w:rsidR="00A26618">
        <w:rPr>
          <w:rFonts w:ascii="Arial" w:hAnsi="Arial" w:cs="Arial"/>
          <w:szCs w:val="24"/>
        </w:rPr>
        <w:t>31</w:t>
      </w:r>
      <w:r w:rsidRPr="004851F5">
        <w:rPr>
          <w:rFonts w:ascii="Arial" w:hAnsi="Arial" w:cs="Arial"/>
          <w:szCs w:val="24"/>
        </w:rPr>
        <w:t>%</w:t>
      </w:r>
      <w:r w:rsidR="009B4BBC" w:rsidRPr="004851F5">
        <w:rPr>
          <w:rFonts w:ascii="Arial" w:hAnsi="Arial" w:cs="Arial"/>
          <w:szCs w:val="24"/>
        </w:rPr>
        <w:t xml:space="preserve"> was invested</w:t>
      </w:r>
      <w:r w:rsidRPr="004851F5">
        <w:rPr>
          <w:rFonts w:ascii="Arial" w:hAnsi="Arial" w:cs="Arial"/>
          <w:szCs w:val="24"/>
        </w:rPr>
        <w:t xml:space="preserve"> </w:t>
      </w:r>
      <w:r w:rsidR="009B4BBC" w:rsidRPr="004851F5">
        <w:rPr>
          <w:rFonts w:ascii="Arial" w:hAnsi="Arial" w:cs="Arial"/>
          <w:szCs w:val="24"/>
        </w:rPr>
        <w:t xml:space="preserve">in </w:t>
      </w:r>
      <w:r w:rsidRPr="004851F5">
        <w:rPr>
          <w:rFonts w:ascii="Arial" w:hAnsi="Arial" w:cs="Arial"/>
          <w:szCs w:val="24"/>
        </w:rPr>
        <w:t>refreshing and maintaining existing stores</w:t>
      </w:r>
      <w:r w:rsidR="000F3A45" w:rsidRPr="004851F5">
        <w:rPr>
          <w:rFonts w:ascii="Arial" w:hAnsi="Arial" w:cs="Arial"/>
          <w:szCs w:val="24"/>
        </w:rPr>
        <w:t xml:space="preserve">, </w:t>
      </w:r>
      <w:r w:rsidR="004851F5">
        <w:rPr>
          <w:rFonts w:ascii="Arial" w:hAnsi="Arial" w:cs="Arial"/>
          <w:szCs w:val="24"/>
        </w:rPr>
        <w:t>1</w:t>
      </w:r>
      <w:r w:rsidR="00A26618">
        <w:rPr>
          <w:rFonts w:ascii="Arial" w:hAnsi="Arial" w:cs="Arial"/>
          <w:szCs w:val="24"/>
        </w:rPr>
        <w:t>3</w:t>
      </w:r>
      <w:r w:rsidR="009B4BBC" w:rsidRPr="004851F5">
        <w:rPr>
          <w:rFonts w:ascii="Arial" w:hAnsi="Arial" w:cs="Arial"/>
          <w:szCs w:val="24"/>
        </w:rPr>
        <w:t xml:space="preserve">% on new stores, </w:t>
      </w:r>
      <w:r w:rsidR="00C62DA2" w:rsidRPr="004851F5">
        <w:rPr>
          <w:rFonts w:ascii="Arial" w:hAnsi="Arial" w:cs="Arial"/>
          <w:szCs w:val="24"/>
        </w:rPr>
        <w:t>3</w:t>
      </w:r>
      <w:r w:rsidR="00A26618">
        <w:rPr>
          <w:rFonts w:ascii="Arial" w:hAnsi="Arial" w:cs="Arial"/>
          <w:szCs w:val="24"/>
        </w:rPr>
        <w:t>3</w:t>
      </w:r>
      <w:r w:rsidRPr="004851F5">
        <w:rPr>
          <w:rFonts w:ascii="Arial" w:hAnsi="Arial" w:cs="Arial"/>
          <w:szCs w:val="24"/>
        </w:rPr>
        <w:t>% on IT and digital development</w:t>
      </w:r>
      <w:r w:rsidR="00B31A35" w:rsidRPr="004851F5">
        <w:rPr>
          <w:rFonts w:ascii="Arial" w:hAnsi="Arial" w:cs="Arial"/>
          <w:szCs w:val="24"/>
        </w:rPr>
        <w:t xml:space="preserve">, </w:t>
      </w:r>
      <w:r w:rsidR="00C62DA2" w:rsidRPr="004851F5">
        <w:rPr>
          <w:rFonts w:ascii="Arial" w:hAnsi="Arial" w:cs="Arial"/>
          <w:szCs w:val="24"/>
        </w:rPr>
        <w:t>1</w:t>
      </w:r>
      <w:r w:rsidR="00A26618">
        <w:rPr>
          <w:rFonts w:ascii="Arial" w:hAnsi="Arial" w:cs="Arial"/>
          <w:szCs w:val="24"/>
        </w:rPr>
        <w:t>9</w:t>
      </w:r>
      <w:r w:rsidR="000F3A45" w:rsidRPr="004851F5">
        <w:rPr>
          <w:rFonts w:ascii="Arial" w:hAnsi="Arial" w:cs="Arial"/>
          <w:szCs w:val="24"/>
        </w:rPr>
        <w:t>% on the transformation</w:t>
      </w:r>
      <w:r w:rsidR="00B31A35" w:rsidRPr="004851F5">
        <w:rPr>
          <w:rFonts w:ascii="Arial" w:hAnsi="Arial" w:cs="Arial"/>
          <w:szCs w:val="24"/>
        </w:rPr>
        <w:t xml:space="preserve"> and </w:t>
      </w:r>
      <w:r w:rsidR="00A26618">
        <w:rPr>
          <w:rFonts w:ascii="Arial" w:hAnsi="Arial" w:cs="Arial"/>
          <w:szCs w:val="24"/>
        </w:rPr>
        <w:t>4</w:t>
      </w:r>
      <w:r w:rsidR="00C62DA2" w:rsidRPr="004851F5">
        <w:rPr>
          <w:rFonts w:ascii="Arial" w:hAnsi="Arial" w:cs="Arial"/>
          <w:szCs w:val="24"/>
        </w:rPr>
        <w:t>% on other areas including supply chain investment.</w:t>
      </w:r>
      <w:r w:rsidRPr="00C16392">
        <w:rPr>
          <w:rFonts w:ascii="Arial" w:hAnsi="Arial" w:cs="Arial"/>
          <w:szCs w:val="24"/>
          <w:highlight w:val="yellow"/>
        </w:rPr>
        <w:t xml:space="preserve"> </w:t>
      </w:r>
    </w:p>
    <w:bookmarkEnd w:id="54"/>
    <w:p w14:paraId="23CB3F2C" w14:textId="77777777" w:rsidR="00536CE9" w:rsidRPr="00C16392" w:rsidRDefault="00536CE9" w:rsidP="00773A54">
      <w:pPr>
        <w:jc w:val="left"/>
        <w:rPr>
          <w:rFonts w:ascii="Arial" w:hAnsi="Arial" w:cs="Arial"/>
          <w:szCs w:val="24"/>
          <w:highlight w:val="yellow"/>
        </w:rPr>
      </w:pPr>
    </w:p>
    <w:p w14:paraId="5D9A0B55" w14:textId="25F74957" w:rsidR="00CA6652" w:rsidRPr="00C16392" w:rsidRDefault="00CA6652" w:rsidP="00CA6652">
      <w:pPr>
        <w:jc w:val="left"/>
        <w:rPr>
          <w:rFonts w:ascii="Arial" w:hAnsi="Arial" w:cs="Arial"/>
          <w:b/>
          <w:sz w:val="24"/>
          <w:szCs w:val="24"/>
          <w:highlight w:val="yellow"/>
        </w:rPr>
      </w:pPr>
      <w:r w:rsidRPr="009C1A3C">
        <w:rPr>
          <w:rFonts w:ascii="Arial" w:hAnsi="Arial" w:cs="Arial"/>
        </w:rPr>
        <w:t>This resulted in free cash flow of £</w:t>
      </w:r>
      <w:r w:rsidR="009C1A3C" w:rsidRPr="009C1A3C">
        <w:rPr>
          <w:rFonts w:ascii="Arial" w:hAnsi="Arial" w:cs="Arial"/>
        </w:rPr>
        <w:t>204</w:t>
      </w:r>
      <w:r w:rsidRPr="009C1A3C" w:rsidDel="00F44930">
        <w:rPr>
          <w:rFonts w:ascii="Arial" w:hAnsi="Arial" w:cs="Arial"/>
        </w:rPr>
        <w:t xml:space="preserve"> </w:t>
      </w:r>
      <w:r w:rsidRPr="009C1A3C">
        <w:rPr>
          <w:rFonts w:ascii="Arial" w:hAnsi="Arial" w:cs="Arial"/>
        </w:rPr>
        <w:t>million</w:t>
      </w:r>
      <w:r w:rsidR="002D0435" w:rsidRPr="009C1A3C">
        <w:rPr>
          <w:rFonts w:ascii="Arial" w:hAnsi="Arial" w:cs="Arial"/>
        </w:rPr>
        <w:t xml:space="preserve"> </w:t>
      </w:r>
      <w:bookmarkStart w:id="55" w:name="_Hlk524974939"/>
      <w:r w:rsidR="002D0435" w:rsidRPr="009C1A3C">
        <w:rPr>
          <w:rFonts w:ascii="Arial" w:hAnsi="Arial" w:cs="Arial"/>
        </w:rPr>
        <w:t>(201</w:t>
      </w:r>
      <w:r w:rsidR="00542C2B" w:rsidRPr="009C1A3C">
        <w:rPr>
          <w:rFonts w:ascii="Arial" w:hAnsi="Arial" w:cs="Arial"/>
        </w:rPr>
        <w:t>8</w:t>
      </w:r>
      <w:r w:rsidR="002D0435" w:rsidRPr="009C1A3C">
        <w:rPr>
          <w:rFonts w:ascii="Arial" w:hAnsi="Arial" w:cs="Arial"/>
        </w:rPr>
        <w:t>/1</w:t>
      </w:r>
      <w:r w:rsidR="00542C2B" w:rsidRPr="009C1A3C">
        <w:rPr>
          <w:rFonts w:ascii="Arial" w:hAnsi="Arial" w:cs="Arial"/>
        </w:rPr>
        <w:t>9</w:t>
      </w:r>
      <w:r w:rsidR="002D0435" w:rsidRPr="009C1A3C">
        <w:rPr>
          <w:rFonts w:ascii="Arial" w:hAnsi="Arial" w:cs="Arial"/>
        </w:rPr>
        <w:t>: £</w:t>
      </w:r>
      <w:r w:rsidR="00542C2B" w:rsidRPr="009C1A3C">
        <w:rPr>
          <w:rFonts w:ascii="Arial" w:hAnsi="Arial" w:cs="Arial"/>
        </w:rPr>
        <w:t>28</w:t>
      </w:r>
      <w:r w:rsidR="009C1A3C" w:rsidRPr="009C1A3C">
        <w:rPr>
          <w:rFonts w:ascii="Arial" w:hAnsi="Arial" w:cs="Arial"/>
        </w:rPr>
        <w:t>0</w:t>
      </w:r>
      <w:r w:rsidR="002D0435" w:rsidRPr="009C1A3C">
        <w:rPr>
          <w:rFonts w:ascii="Arial" w:hAnsi="Arial" w:cs="Arial"/>
        </w:rPr>
        <w:t xml:space="preserve"> million)</w:t>
      </w:r>
      <w:bookmarkEnd w:id="55"/>
      <w:r w:rsidRPr="009C1A3C">
        <w:rPr>
          <w:rFonts w:ascii="Arial" w:hAnsi="Arial" w:cs="Arial"/>
        </w:rPr>
        <w:t>. £</w:t>
      </w:r>
      <w:r w:rsidR="009C1A3C" w:rsidRPr="009C1A3C">
        <w:rPr>
          <w:rFonts w:ascii="Arial" w:hAnsi="Arial" w:cs="Arial"/>
        </w:rPr>
        <w:t>157</w:t>
      </w:r>
      <w:r w:rsidR="00C31224" w:rsidRPr="009C1A3C">
        <w:rPr>
          <w:rFonts w:ascii="Arial" w:hAnsi="Arial" w:cs="Arial"/>
        </w:rPr>
        <w:t xml:space="preserve"> </w:t>
      </w:r>
      <w:r w:rsidRPr="009C1A3C">
        <w:rPr>
          <w:rFonts w:ascii="Arial" w:hAnsi="Arial" w:cs="Arial"/>
        </w:rPr>
        <w:t xml:space="preserve">million </w:t>
      </w:r>
      <w:r w:rsidRPr="00542C2B">
        <w:rPr>
          <w:rFonts w:ascii="Arial" w:hAnsi="Arial" w:cs="Arial"/>
        </w:rPr>
        <w:t>was returned to shareholders in the form of the ordinary dividend.</w:t>
      </w:r>
      <w:r w:rsidRPr="00C16392">
        <w:rPr>
          <w:rFonts w:ascii="Arial" w:hAnsi="Arial" w:cs="Arial"/>
          <w:highlight w:val="yellow"/>
        </w:rPr>
        <w:t xml:space="preserve"> </w:t>
      </w:r>
    </w:p>
    <w:p w14:paraId="3B235CF1" w14:textId="77777777" w:rsidR="001B7E62" w:rsidRPr="009F71DB" w:rsidRDefault="001B7E62" w:rsidP="001B7E62">
      <w:pPr>
        <w:jc w:val="left"/>
        <w:rPr>
          <w:rFonts w:ascii="Arial" w:hAnsi="Arial"/>
          <w:b/>
        </w:rPr>
      </w:pPr>
    </w:p>
    <w:p w14:paraId="6F8F15DE" w14:textId="77777777" w:rsidR="001B7E62" w:rsidRPr="00312B4F" w:rsidRDefault="001B7E62" w:rsidP="001B7E62">
      <w:pPr>
        <w:jc w:val="left"/>
        <w:rPr>
          <w:rFonts w:ascii="Arial" w:hAnsi="Arial" w:cs="Arial"/>
          <w:b/>
          <w:szCs w:val="24"/>
        </w:rPr>
      </w:pPr>
      <w:bookmarkStart w:id="56" w:name="_Hlk493510550"/>
      <w:bookmarkStart w:id="57" w:name="_Hlk491329991"/>
      <w:r w:rsidRPr="00312B4F">
        <w:rPr>
          <w:rFonts w:ascii="Arial" w:hAnsi="Arial" w:cs="Arial"/>
          <w:b/>
          <w:szCs w:val="24"/>
        </w:rPr>
        <w:t>Management of balance sheet and liquidity risk and financing</w:t>
      </w:r>
    </w:p>
    <w:p w14:paraId="5F46CF98" w14:textId="77777777" w:rsidR="001B7E62" w:rsidRPr="00312B4F" w:rsidRDefault="001B7E62" w:rsidP="001B7E62">
      <w:pPr>
        <w:jc w:val="left"/>
        <w:rPr>
          <w:rFonts w:ascii="Arial" w:hAnsi="Arial" w:cs="Arial"/>
          <w:b/>
        </w:rPr>
      </w:pPr>
    </w:p>
    <w:p w14:paraId="3A96F46D" w14:textId="3930FD43" w:rsidR="001B7E62" w:rsidRPr="00312B4F" w:rsidRDefault="001B7E62" w:rsidP="001B7E62">
      <w:pPr>
        <w:jc w:val="left"/>
        <w:rPr>
          <w:rFonts w:ascii="Arial" w:hAnsi="Arial" w:cs="Arial"/>
          <w:szCs w:val="24"/>
        </w:rPr>
      </w:pPr>
      <w:bookmarkStart w:id="58" w:name="_Hlk17919103"/>
      <w:bookmarkStart w:id="59" w:name="_Hlk17984233"/>
      <w:r w:rsidRPr="00312B4F">
        <w:rPr>
          <w:rFonts w:ascii="Arial" w:hAnsi="Arial" w:cs="Arial"/>
          <w:szCs w:val="24"/>
        </w:rPr>
        <w:t xml:space="preserve">The Group </w:t>
      </w:r>
      <w:r w:rsidR="00D4798A">
        <w:rPr>
          <w:rFonts w:ascii="Arial" w:hAnsi="Arial" w:cs="Arial"/>
          <w:szCs w:val="24"/>
        </w:rPr>
        <w:t>ended</w:t>
      </w:r>
      <w:r w:rsidRPr="00312B4F">
        <w:rPr>
          <w:rFonts w:ascii="Arial" w:hAnsi="Arial" w:cs="Arial"/>
          <w:szCs w:val="24"/>
        </w:rPr>
        <w:t xml:space="preserve"> the period with £</w:t>
      </w:r>
      <w:r>
        <w:rPr>
          <w:rFonts w:ascii="Arial" w:hAnsi="Arial" w:cs="Arial"/>
          <w:szCs w:val="24"/>
        </w:rPr>
        <w:t>2</w:t>
      </w:r>
      <w:r w:rsidR="00440D9A">
        <w:rPr>
          <w:rFonts w:ascii="Arial" w:hAnsi="Arial" w:cs="Arial"/>
          <w:szCs w:val="24"/>
        </w:rPr>
        <w:t>.4</w:t>
      </w:r>
      <w:r w:rsidRPr="00312B4F">
        <w:rPr>
          <w:rFonts w:ascii="Arial" w:hAnsi="Arial" w:cs="Arial"/>
          <w:szCs w:val="24"/>
        </w:rPr>
        <w:t xml:space="preserve"> </w:t>
      </w:r>
      <w:r w:rsidR="00440D9A">
        <w:rPr>
          <w:rFonts w:ascii="Arial" w:hAnsi="Arial" w:cs="Arial"/>
          <w:szCs w:val="24"/>
        </w:rPr>
        <w:t>billion</w:t>
      </w:r>
      <w:r w:rsidRPr="00312B4F">
        <w:rPr>
          <w:rFonts w:ascii="Arial" w:hAnsi="Arial" w:cs="Arial"/>
          <w:szCs w:val="24"/>
        </w:rPr>
        <w:t xml:space="preserve"> of net </w:t>
      </w:r>
      <w:r>
        <w:rPr>
          <w:rFonts w:ascii="Arial" w:hAnsi="Arial" w:cs="Arial"/>
          <w:szCs w:val="24"/>
        </w:rPr>
        <w:t>debt</w:t>
      </w:r>
      <w:r w:rsidRPr="00312B4F">
        <w:rPr>
          <w:rFonts w:ascii="Arial" w:hAnsi="Arial" w:cs="Arial"/>
          <w:szCs w:val="24"/>
        </w:rPr>
        <w:t xml:space="preserve"> on the balance sheet</w:t>
      </w:r>
      <w:r w:rsidR="00683498">
        <w:rPr>
          <w:rFonts w:ascii="Arial" w:hAnsi="Arial" w:cs="Arial"/>
          <w:szCs w:val="24"/>
        </w:rPr>
        <w:t xml:space="preserve"> </w:t>
      </w:r>
      <w:r w:rsidR="0089209A">
        <w:rPr>
          <w:rFonts w:ascii="Arial" w:hAnsi="Arial" w:cs="Arial"/>
          <w:szCs w:val="24"/>
        </w:rPr>
        <w:t xml:space="preserve">including </w:t>
      </w:r>
      <w:r w:rsidR="00683498">
        <w:rPr>
          <w:rFonts w:ascii="Arial" w:hAnsi="Arial" w:cs="Arial"/>
          <w:szCs w:val="24"/>
        </w:rPr>
        <w:t>the recognition of</w:t>
      </w:r>
      <w:r w:rsidR="002A5FCA" w:rsidRPr="00440D9A">
        <w:rPr>
          <w:rFonts w:ascii="Arial" w:hAnsi="Arial" w:cs="Arial"/>
          <w:szCs w:val="24"/>
        </w:rPr>
        <w:t xml:space="preserve"> </w:t>
      </w:r>
      <w:r w:rsidR="00683498" w:rsidRPr="00440D9A">
        <w:rPr>
          <w:rFonts w:ascii="Arial" w:hAnsi="Arial" w:cs="Arial"/>
          <w:szCs w:val="24"/>
        </w:rPr>
        <w:t>£</w:t>
      </w:r>
      <w:r w:rsidR="00440D9A" w:rsidRPr="00440D9A">
        <w:rPr>
          <w:rFonts w:ascii="Arial" w:hAnsi="Arial" w:cs="Arial"/>
          <w:szCs w:val="24"/>
        </w:rPr>
        <w:t>2.6</w:t>
      </w:r>
      <w:r w:rsidR="00683498" w:rsidRPr="00440D9A">
        <w:rPr>
          <w:rFonts w:ascii="Arial" w:hAnsi="Arial" w:cs="Arial"/>
          <w:szCs w:val="24"/>
        </w:rPr>
        <w:t xml:space="preserve"> </w:t>
      </w:r>
      <w:r w:rsidR="00440D9A" w:rsidRPr="00440D9A">
        <w:rPr>
          <w:rFonts w:ascii="Arial" w:hAnsi="Arial" w:cs="Arial"/>
          <w:szCs w:val="24"/>
        </w:rPr>
        <w:t>billion</w:t>
      </w:r>
      <w:r w:rsidR="00D4798A">
        <w:rPr>
          <w:rFonts w:ascii="Arial" w:hAnsi="Arial" w:cs="Arial"/>
          <w:szCs w:val="24"/>
        </w:rPr>
        <w:t xml:space="preserve"> </w:t>
      </w:r>
      <w:r w:rsidR="00E13F43">
        <w:rPr>
          <w:rFonts w:ascii="Arial" w:hAnsi="Arial" w:cs="Arial"/>
          <w:szCs w:val="24"/>
        </w:rPr>
        <w:t xml:space="preserve">of </w:t>
      </w:r>
      <w:r w:rsidR="00D4798A" w:rsidRPr="00440D9A">
        <w:rPr>
          <w:rFonts w:ascii="Arial" w:hAnsi="Arial" w:cs="Arial"/>
          <w:szCs w:val="24"/>
        </w:rPr>
        <w:t>lease liabilit</w:t>
      </w:r>
      <w:r w:rsidR="00E13F43">
        <w:rPr>
          <w:rFonts w:ascii="Arial" w:hAnsi="Arial" w:cs="Arial"/>
          <w:szCs w:val="24"/>
        </w:rPr>
        <w:t>ies</w:t>
      </w:r>
      <w:r w:rsidR="00683498">
        <w:rPr>
          <w:rFonts w:ascii="Arial" w:hAnsi="Arial" w:cs="Arial"/>
          <w:szCs w:val="24"/>
        </w:rPr>
        <w:t xml:space="preserve"> under IFRS</w:t>
      </w:r>
      <w:r w:rsidR="00E438C9">
        <w:rPr>
          <w:rFonts w:ascii="Arial" w:hAnsi="Arial" w:cs="Arial"/>
          <w:szCs w:val="24"/>
        </w:rPr>
        <w:t xml:space="preserve"> </w:t>
      </w:r>
      <w:r w:rsidR="00683498">
        <w:rPr>
          <w:rFonts w:ascii="Arial" w:hAnsi="Arial" w:cs="Arial"/>
          <w:szCs w:val="24"/>
        </w:rPr>
        <w:t>16</w:t>
      </w:r>
      <w:r w:rsidRPr="00312B4F">
        <w:rPr>
          <w:rFonts w:ascii="Arial" w:hAnsi="Arial" w:cs="Arial"/>
          <w:szCs w:val="24"/>
        </w:rPr>
        <w:t xml:space="preserve">. The ratio of the Group’s net debt to EBITDA on a moving annual total basis is </w:t>
      </w:r>
      <w:r w:rsidRPr="00D34056">
        <w:rPr>
          <w:rFonts w:ascii="Arial" w:hAnsi="Arial" w:cs="Arial"/>
          <w:szCs w:val="24"/>
        </w:rPr>
        <w:t>1.</w:t>
      </w:r>
      <w:r w:rsidR="009F2D4C">
        <w:rPr>
          <w:rFonts w:ascii="Arial" w:hAnsi="Arial" w:cs="Arial"/>
          <w:szCs w:val="24"/>
        </w:rPr>
        <w:t>8</w:t>
      </w:r>
      <w:r w:rsidRPr="00D34056">
        <w:rPr>
          <w:rFonts w:ascii="Arial" w:hAnsi="Arial" w:cs="Arial"/>
          <w:szCs w:val="24"/>
        </w:rPr>
        <w:t xml:space="preserve"> times as</w:t>
      </w:r>
      <w:r w:rsidRPr="00312B4F">
        <w:rPr>
          <w:rFonts w:ascii="Arial" w:hAnsi="Arial" w:cs="Arial"/>
          <w:szCs w:val="24"/>
        </w:rPr>
        <w:t xml:space="preserve"> at 31 July 201</w:t>
      </w:r>
      <w:r>
        <w:rPr>
          <w:rFonts w:ascii="Arial" w:hAnsi="Arial" w:cs="Arial"/>
          <w:szCs w:val="24"/>
        </w:rPr>
        <w:t>9</w:t>
      </w:r>
      <w:r w:rsidRPr="00312B4F">
        <w:rPr>
          <w:rFonts w:ascii="Arial" w:hAnsi="Arial" w:cs="Arial"/>
          <w:szCs w:val="24"/>
        </w:rPr>
        <w:t>. At this level, the Group has financial flexibility whilst retaining an efficient cost of capital.</w:t>
      </w:r>
    </w:p>
    <w:bookmarkEnd w:id="58"/>
    <w:p w14:paraId="4C2BDD40" w14:textId="53474C42" w:rsidR="001B7E62" w:rsidRDefault="001B7E62" w:rsidP="001B7E62">
      <w:pPr>
        <w:jc w:val="left"/>
        <w:rPr>
          <w:rFonts w:ascii="Arial" w:hAnsi="Arial" w:cs="Arial"/>
          <w:szCs w:val="24"/>
        </w:rPr>
      </w:pPr>
    </w:p>
    <w:p w14:paraId="71456846" w14:textId="437B3E48" w:rsidR="00E13F43" w:rsidRDefault="00E13F43" w:rsidP="001B7E62">
      <w:pPr>
        <w:jc w:val="left"/>
        <w:rPr>
          <w:rFonts w:ascii="Arial" w:hAnsi="Arial" w:cs="Arial"/>
          <w:szCs w:val="24"/>
        </w:rPr>
      </w:pPr>
    </w:p>
    <w:p w14:paraId="35540015" w14:textId="589C49F6" w:rsidR="00E13F43" w:rsidRDefault="00E13F43" w:rsidP="001B7E62">
      <w:pPr>
        <w:jc w:val="left"/>
        <w:rPr>
          <w:rFonts w:ascii="Arial" w:hAnsi="Arial" w:cs="Arial"/>
          <w:szCs w:val="24"/>
        </w:rPr>
      </w:pPr>
    </w:p>
    <w:p w14:paraId="7ECE5468" w14:textId="71BF0325" w:rsidR="00E13F43" w:rsidRDefault="00E13F43" w:rsidP="001B7E62">
      <w:pPr>
        <w:jc w:val="left"/>
        <w:rPr>
          <w:rFonts w:ascii="Arial" w:hAnsi="Arial" w:cs="Arial"/>
          <w:szCs w:val="24"/>
        </w:rPr>
      </w:pPr>
    </w:p>
    <w:p w14:paraId="47E88F77" w14:textId="76A20AB2" w:rsidR="00E13F43" w:rsidRDefault="00E13F43" w:rsidP="001B7E62">
      <w:pPr>
        <w:jc w:val="left"/>
        <w:rPr>
          <w:rFonts w:ascii="Arial" w:hAnsi="Arial" w:cs="Arial"/>
          <w:szCs w:val="24"/>
        </w:rPr>
      </w:pPr>
    </w:p>
    <w:p w14:paraId="41815443" w14:textId="24F11C8E" w:rsidR="00E13F43" w:rsidRDefault="00E13F43" w:rsidP="001B7E62">
      <w:pPr>
        <w:jc w:val="left"/>
        <w:rPr>
          <w:rFonts w:ascii="Arial" w:hAnsi="Arial" w:cs="Arial"/>
          <w:szCs w:val="24"/>
        </w:rPr>
      </w:pPr>
    </w:p>
    <w:p w14:paraId="50E14688" w14:textId="08459F01" w:rsidR="00E13F43" w:rsidRDefault="00E13F43" w:rsidP="001B7E62">
      <w:pPr>
        <w:jc w:val="left"/>
        <w:rPr>
          <w:rFonts w:ascii="Arial" w:hAnsi="Arial" w:cs="Arial"/>
          <w:szCs w:val="24"/>
        </w:rPr>
      </w:pPr>
    </w:p>
    <w:p w14:paraId="71F1A0E2" w14:textId="77777777" w:rsidR="00E13F43" w:rsidRPr="00312B4F" w:rsidRDefault="00E13F43" w:rsidP="001B7E62">
      <w:pPr>
        <w:jc w:val="left"/>
        <w:rPr>
          <w:rFonts w:ascii="Arial" w:hAnsi="Arial" w:cs="Arial"/>
          <w:szCs w:val="24"/>
        </w:rPr>
      </w:pPr>
    </w:p>
    <w:p w14:paraId="5DEF6F7D" w14:textId="3556146D" w:rsidR="001B7E62" w:rsidRDefault="00E13F43" w:rsidP="001B7E62">
      <w:pPr>
        <w:jc w:val="left"/>
        <w:rPr>
          <w:rFonts w:ascii="Arial" w:hAnsi="Arial" w:cs="Arial"/>
          <w:szCs w:val="24"/>
        </w:rPr>
      </w:pPr>
      <w:r>
        <w:rPr>
          <w:rFonts w:ascii="Arial" w:hAnsi="Arial" w:cs="Arial"/>
          <w:szCs w:val="24"/>
        </w:rPr>
        <w:lastRenderedPageBreak/>
        <w:t>N</w:t>
      </w:r>
      <w:r w:rsidR="001B7E62" w:rsidRPr="00D4798A">
        <w:rPr>
          <w:rFonts w:ascii="Arial" w:hAnsi="Arial" w:cs="Arial"/>
          <w:szCs w:val="24"/>
        </w:rPr>
        <w:t>et debt to EBITDA is set out below:</w:t>
      </w:r>
    </w:p>
    <w:p w14:paraId="4594E75A" w14:textId="77777777" w:rsidR="001B7E62" w:rsidRPr="00D329DC" w:rsidRDefault="001B7E62" w:rsidP="001B7E62">
      <w:pPr>
        <w:jc w:val="left"/>
        <w:rPr>
          <w:rFonts w:ascii="Arial" w:hAnsi="Arial" w:cs="Arial"/>
          <w:szCs w:val="24"/>
          <w:highlight w:val="yellow"/>
        </w:rPr>
      </w:pPr>
    </w:p>
    <w:tbl>
      <w:tblPr>
        <w:tblW w:w="8832" w:type="dxa"/>
        <w:tblInd w:w="98" w:type="dxa"/>
        <w:tblLayout w:type="fixed"/>
        <w:tblLook w:val="04A0" w:firstRow="1" w:lastRow="0" w:firstColumn="1" w:lastColumn="0" w:noHBand="0" w:noVBand="1"/>
      </w:tblPr>
      <w:tblGrid>
        <w:gridCol w:w="4722"/>
        <w:gridCol w:w="2551"/>
        <w:gridCol w:w="1559"/>
      </w:tblGrid>
      <w:tr w:rsidR="001B7E62" w:rsidRPr="00D4798A" w14:paraId="76F25201" w14:textId="77777777" w:rsidTr="001B7E62">
        <w:trPr>
          <w:trHeight w:val="555"/>
        </w:trPr>
        <w:tc>
          <w:tcPr>
            <w:tcW w:w="4722" w:type="dxa"/>
            <w:tcBorders>
              <w:bottom w:val="single" w:sz="4" w:space="0" w:color="auto"/>
            </w:tcBorders>
            <w:vAlign w:val="bottom"/>
          </w:tcPr>
          <w:p w14:paraId="7C7C3278" w14:textId="4294FCAE" w:rsidR="001B7E62" w:rsidRPr="00D4798A" w:rsidRDefault="001B7E62" w:rsidP="001B7E62">
            <w:pPr>
              <w:jc w:val="left"/>
              <w:rPr>
                <w:rFonts w:ascii="Arial" w:hAnsi="Arial" w:cs="Arial"/>
                <w:b/>
                <w:szCs w:val="24"/>
              </w:rPr>
            </w:pPr>
          </w:p>
        </w:tc>
        <w:tc>
          <w:tcPr>
            <w:tcW w:w="2551" w:type="dxa"/>
            <w:tcBorders>
              <w:bottom w:val="single" w:sz="4" w:space="0" w:color="auto"/>
            </w:tcBorders>
            <w:vAlign w:val="bottom"/>
            <w:hideMark/>
          </w:tcPr>
          <w:p w14:paraId="43A93070" w14:textId="77777777" w:rsidR="001B7E62" w:rsidRPr="00D4798A" w:rsidRDefault="001B7E62" w:rsidP="001B7E62">
            <w:pPr>
              <w:jc w:val="right"/>
              <w:rPr>
                <w:rFonts w:ascii="Arial" w:hAnsi="Arial" w:cs="Arial"/>
                <w:b/>
                <w:bCs/>
                <w:szCs w:val="24"/>
              </w:rPr>
            </w:pPr>
            <w:r w:rsidRPr="00D4798A">
              <w:rPr>
                <w:rFonts w:ascii="Arial" w:hAnsi="Arial" w:cs="Arial"/>
                <w:b/>
                <w:bCs/>
                <w:szCs w:val="24"/>
              </w:rPr>
              <w:t>2019/20</w:t>
            </w:r>
          </w:p>
          <w:p w14:paraId="4CB4027E" w14:textId="77777777" w:rsidR="001B7E62" w:rsidRPr="00D4798A" w:rsidRDefault="001B7E62" w:rsidP="001B7E62">
            <w:pPr>
              <w:jc w:val="right"/>
              <w:rPr>
                <w:rFonts w:ascii="Arial" w:hAnsi="Arial" w:cs="Arial"/>
                <w:b/>
                <w:bCs/>
                <w:szCs w:val="24"/>
              </w:rPr>
            </w:pPr>
            <w:r w:rsidRPr="00D4798A">
              <w:rPr>
                <w:rFonts w:ascii="Arial" w:hAnsi="Arial" w:cs="Arial"/>
                <w:b/>
                <w:bCs/>
                <w:szCs w:val="24"/>
              </w:rPr>
              <w:t>Moving annual total</w:t>
            </w:r>
          </w:p>
          <w:p w14:paraId="30D07264" w14:textId="77777777" w:rsidR="001B7E62" w:rsidRPr="00D4798A" w:rsidRDefault="001B7E62" w:rsidP="001B7E62">
            <w:pPr>
              <w:jc w:val="right"/>
              <w:rPr>
                <w:rFonts w:ascii="Arial" w:hAnsi="Arial" w:cs="Arial"/>
                <w:b/>
                <w:bCs/>
                <w:color w:val="C00000"/>
                <w:szCs w:val="24"/>
              </w:rPr>
            </w:pPr>
            <w:r w:rsidRPr="00D4798A">
              <w:rPr>
                <w:rFonts w:ascii="Arial" w:hAnsi="Arial" w:cs="Arial"/>
                <w:b/>
                <w:bCs/>
                <w:szCs w:val="24"/>
              </w:rPr>
              <w:t>£m</w:t>
            </w:r>
          </w:p>
        </w:tc>
        <w:tc>
          <w:tcPr>
            <w:tcW w:w="1559" w:type="dxa"/>
            <w:tcBorders>
              <w:bottom w:val="single" w:sz="4" w:space="0" w:color="auto"/>
            </w:tcBorders>
            <w:vAlign w:val="bottom"/>
            <w:hideMark/>
          </w:tcPr>
          <w:p w14:paraId="47C13F45" w14:textId="77777777" w:rsidR="001B7E62" w:rsidRPr="00D4798A" w:rsidRDefault="001B7E62" w:rsidP="001B7E62">
            <w:pPr>
              <w:jc w:val="right"/>
              <w:rPr>
                <w:rFonts w:ascii="Arial" w:hAnsi="Arial" w:cs="Arial"/>
                <w:bCs/>
                <w:szCs w:val="24"/>
                <w:vertAlign w:val="superscript"/>
              </w:rPr>
            </w:pPr>
            <w:r w:rsidRPr="00D4798A">
              <w:rPr>
                <w:rFonts w:ascii="Arial" w:hAnsi="Arial" w:cs="Arial"/>
                <w:bCs/>
                <w:szCs w:val="24"/>
              </w:rPr>
              <w:t>2018/19</w:t>
            </w:r>
          </w:p>
          <w:p w14:paraId="5BA504D8" w14:textId="77777777" w:rsidR="001B7E62" w:rsidRPr="00D4798A" w:rsidRDefault="001B7E62" w:rsidP="001B7E62">
            <w:pPr>
              <w:jc w:val="right"/>
              <w:rPr>
                <w:rFonts w:ascii="Arial" w:hAnsi="Arial" w:cs="Arial"/>
                <w:bCs/>
                <w:sz w:val="12"/>
                <w:szCs w:val="24"/>
              </w:rPr>
            </w:pPr>
            <w:r w:rsidRPr="00D4798A">
              <w:rPr>
                <w:rFonts w:ascii="Arial" w:hAnsi="Arial" w:cs="Arial"/>
                <w:bCs/>
                <w:szCs w:val="24"/>
              </w:rPr>
              <w:t>Year end</w:t>
            </w:r>
          </w:p>
          <w:p w14:paraId="64B7B6F2" w14:textId="77777777" w:rsidR="001B7E62" w:rsidRPr="00D4798A" w:rsidRDefault="001B7E62" w:rsidP="001B7E62">
            <w:pPr>
              <w:jc w:val="right"/>
              <w:rPr>
                <w:rFonts w:ascii="Arial" w:hAnsi="Arial" w:cs="Arial"/>
                <w:bCs/>
                <w:szCs w:val="24"/>
              </w:rPr>
            </w:pPr>
            <w:r w:rsidRPr="00D4798A">
              <w:rPr>
                <w:rFonts w:ascii="Arial" w:hAnsi="Arial" w:cs="Arial"/>
                <w:bCs/>
                <w:szCs w:val="24"/>
              </w:rPr>
              <w:t>£m</w:t>
            </w:r>
          </w:p>
        </w:tc>
      </w:tr>
      <w:tr w:rsidR="00D34056" w:rsidRPr="00D4798A" w14:paraId="41A204BF" w14:textId="77777777" w:rsidTr="001B7E62">
        <w:trPr>
          <w:trHeight w:val="255"/>
        </w:trPr>
        <w:tc>
          <w:tcPr>
            <w:tcW w:w="4722" w:type="dxa"/>
            <w:tcBorders>
              <w:top w:val="single" w:sz="4" w:space="0" w:color="auto"/>
              <w:left w:val="nil"/>
              <w:bottom w:val="nil"/>
              <w:right w:val="nil"/>
            </w:tcBorders>
            <w:vAlign w:val="bottom"/>
            <w:hideMark/>
          </w:tcPr>
          <w:p w14:paraId="4940E660" w14:textId="7B563FC4" w:rsidR="00D34056" w:rsidRPr="00D4798A" w:rsidRDefault="00D34056" w:rsidP="00D34056">
            <w:pPr>
              <w:rPr>
                <w:rFonts w:ascii="Arial" w:hAnsi="Arial" w:cs="Arial"/>
                <w:szCs w:val="24"/>
              </w:rPr>
            </w:pPr>
            <w:r w:rsidRPr="00D4798A">
              <w:rPr>
                <w:rFonts w:ascii="Arial" w:hAnsi="Arial" w:cs="Arial"/>
              </w:rPr>
              <w:t>Retail profit</w:t>
            </w:r>
          </w:p>
        </w:tc>
        <w:tc>
          <w:tcPr>
            <w:tcW w:w="2551" w:type="dxa"/>
            <w:tcBorders>
              <w:top w:val="single" w:sz="4" w:space="0" w:color="auto"/>
              <w:left w:val="nil"/>
              <w:bottom w:val="nil"/>
              <w:right w:val="nil"/>
            </w:tcBorders>
            <w:vAlign w:val="bottom"/>
          </w:tcPr>
          <w:p w14:paraId="59D2CE02" w14:textId="6A112353" w:rsidR="00D34056" w:rsidRPr="00D4798A" w:rsidRDefault="00D34056" w:rsidP="00D34056">
            <w:pPr>
              <w:jc w:val="right"/>
              <w:rPr>
                <w:rFonts w:ascii="Arial" w:hAnsi="Arial" w:cs="Arial"/>
                <w:b/>
                <w:color w:val="C00000"/>
                <w:szCs w:val="24"/>
              </w:rPr>
            </w:pPr>
            <w:r w:rsidRPr="00D4798A">
              <w:rPr>
                <w:rFonts w:ascii="Arial" w:hAnsi="Arial" w:cs="Arial"/>
                <w:b/>
              </w:rPr>
              <w:t>90</w:t>
            </w:r>
            <w:r w:rsidR="00AF2C07">
              <w:rPr>
                <w:rFonts w:ascii="Arial" w:hAnsi="Arial" w:cs="Arial"/>
                <w:b/>
              </w:rPr>
              <w:t>0</w:t>
            </w:r>
          </w:p>
        </w:tc>
        <w:tc>
          <w:tcPr>
            <w:tcW w:w="1559" w:type="dxa"/>
            <w:tcBorders>
              <w:top w:val="single" w:sz="4" w:space="0" w:color="auto"/>
              <w:left w:val="nil"/>
              <w:bottom w:val="nil"/>
              <w:right w:val="nil"/>
            </w:tcBorders>
            <w:vAlign w:val="bottom"/>
          </w:tcPr>
          <w:p w14:paraId="07361A77" w14:textId="349C64BC" w:rsidR="00D34056" w:rsidRPr="00D4798A" w:rsidRDefault="00D34056" w:rsidP="00D34056">
            <w:pPr>
              <w:jc w:val="right"/>
              <w:rPr>
                <w:rFonts w:ascii="Arial" w:hAnsi="Arial" w:cs="Arial"/>
                <w:bCs/>
                <w:szCs w:val="24"/>
              </w:rPr>
            </w:pPr>
            <w:r w:rsidRPr="00D4798A">
              <w:rPr>
                <w:rFonts w:ascii="Arial" w:hAnsi="Arial" w:cs="Arial"/>
                <w:bCs/>
              </w:rPr>
              <w:t>924</w:t>
            </w:r>
          </w:p>
        </w:tc>
      </w:tr>
      <w:tr w:rsidR="00D34056" w:rsidRPr="00D4798A" w14:paraId="02C46ACA" w14:textId="77777777" w:rsidTr="001B7E62">
        <w:trPr>
          <w:trHeight w:val="255"/>
        </w:trPr>
        <w:tc>
          <w:tcPr>
            <w:tcW w:w="4722" w:type="dxa"/>
            <w:tcBorders>
              <w:left w:val="nil"/>
              <w:right w:val="nil"/>
            </w:tcBorders>
            <w:vAlign w:val="bottom"/>
          </w:tcPr>
          <w:p w14:paraId="7F9CF218" w14:textId="71B7F428" w:rsidR="00D34056" w:rsidRPr="00D4798A" w:rsidRDefault="00D34056" w:rsidP="00D34056">
            <w:pPr>
              <w:rPr>
                <w:rFonts w:ascii="Arial" w:hAnsi="Arial" w:cs="Arial"/>
                <w:szCs w:val="24"/>
              </w:rPr>
            </w:pPr>
            <w:r w:rsidRPr="00D4798A">
              <w:rPr>
                <w:rFonts w:ascii="Arial" w:hAnsi="Arial" w:cs="Arial"/>
              </w:rPr>
              <w:t>Central costs</w:t>
            </w:r>
          </w:p>
        </w:tc>
        <w:tc>
          <w:tcPr>
            <w:tcW w:w="2551" w:type="dxa"/>
            <w:tcBorders>
              <w:left w:val="nil"/>
              <w:right w:val="nil"/>
            </w:tcBorders>
            <w:vAlign w:val="bottom"/>
          </w:tcPr>
          <w:p w14:paraId="43007356" w14:textId="391EA954" w:rsidR="00D34056" w:rsidRPr="00D4798A" w:rsidRDefault="00D34056" w:rsidP="00D34056">
            <w:pPr>
              <w:jc w:val="right"/>
              <w:rPr>
                <w:rFonts w:ascii="Arial" w:hAnsi="Arial" w:cs="Arial"/>
                <w:b/>
                <w:color w:val="C00000"/>
                <w:szCs w:val="24"/>
              </w:rPr>
            </w:pPr>
            <w:r w:rsidRPr="00D4798A">
              <w:rPr>
                <w:rFonts w:ascii="Arial" w:hAnsi="Arial" w:cs="Arial"/>
                <w:b/>
              </w:rPr>
              <w:t>(51)</w:t>
            </w:r>
          </w:p>
        </w:tc>
        <w:tc>
          <w:tcPr>
            <w:tcW w:w="1559" w:type="dxa"/>
            <w:tcBorders>
              <w:left w:val="nil"/>
              <w:right w:val="nil"/>
            </w:tcBorders>
            <w:vAlign w:val="bottom"/>
          </w:tcPr>
          <w:p w14:paraId="03558463" w14:textId="4B8264BB" w:rsidR="00D34056" w:rsidRPr="00D4798A" w:rsidRDefault="00D34056" w:rsidP="00D34056">
            <w:pPr>
              <w:jc w:val="right"/>
              <w:rPr>
                <w:rFonts w:ascii="Arial" w:hAnsi="Arial" w:cs="Arial"/>
                <w:bCs/>
                <w:szCs w:val="24"/>
              </w:rPr>
            </w:pPr>
            <w:r w:rsidRPr="00D4798A">
              <w:rPr>
                <w:rFonts w:ascii="Arial" w:hAnsi="Arial" w:cs="Arial"/>
                <w:bCs/>
              </w:rPr>
              <w:t>(49)</w:t>
            </w:r>
          </w:p>
        </w:tc>
      </w:tr>
      <w:tr w:rsidR="00D34056" w:rsidRPr="00D4798A" w14:paraId="00D82C5F" w14:textId="77777777" w:rsidTr="001B7E62">
        <w:trPr>
          <w:trHeight w:val="255"/>
        </w:trPr>
        <w:tc>
          <w:tcPr>
            <w:tcW w:w="4722" w:type="dxa"/>
            <w:tcBorders>
              <w:left w:val="nil"/>
              <w:right w:val="nil"/>
            </w:tcBorders>
            <w:vAlign w:val="bottom"/>
          </w:tcPr>
          <w:p w14:paraId="444169ED" w14:textId="35E726DC" w:rsidR="00D34056" w:rsidRPr="00D4798A" w:rsidRDefault="00D34056" w:rsidP="00D34056">
            <w:pPr>
              <w:rPr>
                <w:rFonts w:ascii="Arial" w:hAnsi="Arial" w:cs="Arial"/>
                <w:szCs w:val="24"/>
              </w:rPr>
            </w:pPr>
            <w:r w:rsidRPr="00D4798A">
              <w:rPr>
                <w:rFonts w:ascii="Arial" w:hAnsi="Arial" w:cs="Arial"/>
              </w:rPr>
              <w:t>Transformation P&amp;L costs</w:t>
            </w:r>
          </w:p>
        </w:tc>
        <w:tc>
          <w:tcPr>
            <w:tcW w:w="2551" w:type="dxa"/>
            <w:tcBorders>
              <w:left w:val="nil"/>
              <w:right w:val="nil"/>
            </w:tcBorders>
            <w:vAlign w:val="bottom"/>
          </w:tcPr>
          <w:p w14:paraId="1C8978D4" w14:textId="7FCA842F" w:rsidR="00D34056" w:rsidRPr="00D4798A" w:rsidRDefault="00D34056" w:rsidP="00D34056">
            <w:pPr>
              <w:jc w:val="right"/>
              <w:rPr>
                <w:rFonts w:ascii="Arial" w:hAnsi="Arial" w:cs="Arial"/>
                <w:b/>
                <w:color w:val="C00000"/>
                <w:szCs w:val="24"/>
              </w:rPr>
            </w:pPr>
            <w:r w:rsidRPr="00D4798A">
              <w:rPr>
                <w:rFonts w:ascii="Arial" w:hAnsi="Arial" w:cs="Arial"/>
                <w:b/>
              </w:rPr>
              <w:t>(84)</w:t>
            </w:r>
          </w:p>
        </w:tc>
        <w:tc>
          <w:tcPr>
            <w:tcW w:w="1559" w:type="dxa"/>
            <w:tcBorders>
              <w:left w:val="nil"/>
              <w:right w:val="nil"/>
            </w:tcBorders>
            <w:vAlign w:val="bottom"/>
          </w:tcPr>
          <w:p w14:paraId="60ED0B52" w14:textId="4023BC5E" w:rsidR="00D34056" w:rsidRPr="00D4798A" w:rsidRDefault="00D34056" w:rsidP="00D34056">
            <w:pPr>
              <w:jc w:val="right"/>
              <w:rPr>
                <w:rFonts w:ascii="Arial" w:hAnsi="Arial" w:cs="Arial"/>
                <w:bCs/>
                <w:szCs w:val="24"/>
              </w:rPr>
            </w:pPr>
            <w:r w:rsidRPr="00D4798A">
              <w:rPr>
                <w:rFonts w:ascii="Arial" w:hAnsi="Arial" w:cs="Arial"/>
                <w:bCs/>
              </w:rPr>
              <w:t>(120)</w:t>
            </w:r>
          </w:p>
        </w:tc>
      </w:tr>
      <w:tr w:rsidR="00D34056" w:rsidRPr="00D4798A" w14:paraId="62BDE123" w14:textId="77777777" w:rsidTr="001B7E62">
        <w:trPr>
          <w:trHeight w:val="255"/>
        </w:trPr>
        <w:tc>
          <w:tcPr>
            <w:tcW w:w="4722" w:type="dxa"/>
            <w:tcBorders>
              <w:left w:val="nil"/>
              <w:bottom w:val="single" w:sz="4" w:space="0" w:color="auto"/>
              <w:right w:val="nil"/>
            </w:tcBorders>
            <w:vAlign w:val="bottom"/>
          </w:tcPr>
          <w:p w14:paraId="002AFB5A" w14:textId="723F6DE3" w:rsidR="00D34056" w:rsidRPr="00D4798A" w:rsidRDefault="00D34056" w:rsidP="00D34056">
            <w:pPr>
              <w:rPr>
                <w:rFonts w:ascii="Arial" w:hAnsi="Arial" w:cs="Arial"/>
                <w:szCs w:val="24"/>
              </w:rPr>
            </w:pPr>
            <w:r w:rsidRPr="00D4798A">
              <w:rPr>
                <w:rFonts w:ascii="Arial" w:hAnsi="Arial" w:cs="Arial"/>
              </w:rPr>
              <w:t>Depreciation and amortisation</w:t>
            </w:r>
          </w:p>
        </w:tc>
        <w:tc>
          <w:tcPr>
            <w:tcW w:w="2551" w:type="dxa"/>
            <w:tcBorders>
              <w:left w:val="nil"/>
              <w:bottom w:val="single" w:sz="4" w:space="0" w:color="auto"/>
              <w:right w:val="nil"/>
            </w:tcBorders>
            <w:vAlign w:val="bottom"/>
          </w:tcPr>
          <w:p w14:paraId="0BF96013" w14:textId="41E147C2" w:rsidR="00D34056" w:rsidRPr="00D4798A" w:rsidRDefault="00D34056" w:rsidP="00D34056">
            <w:pPr>
              <w:jc w:val="right"/>
              <w:rPr>
                <w:rFonts w:ascii="Arial" w:hAnsi="Arial" w:cs="Arial"/>
                <w:b/>
                <w:color w:val="C00000"/>
                <w:szCs w:val="24"/>
              </w:rPr>
            </w:pPr>
            <w:r w:rsidRPr="00D4798A">
              <w:rPr>
                <w:rFonts w:ascii="Arial" w:hAnsi="Arial" w:cs="Arial"/>
                <w:b/>
              </w:rPr>
              <w:t>54</w:t>
            </w:r>
            <w:r w:rsidR="00ED340B">
              <w:rPr>
                <w:rFonts w:ascii="Arial" w:hAnsi="Arial" w:cs="Arial"/>
                <w:b/>
              </w:rPr>
              <w:t>4</w:t>
            </w:r>
          </w:p>
        </w:tc>
        <w:tc>
          <w:tcPr>
            <w:tcW w:w="1559" w:type="dxa"/>
            <w:tcBorders>
              <w:left w:val="nil"/>
              <w:bottom w:val="single" w:sz="4" w:space="0" w:color="auto"/>
              <w:right w:val="nil"/>
            </w:tcBorders>
            <w:vAlign w:val="bottom"/>
          </w:tcPr>
          <w:p w14:paraId="78E7769A" w14:textId="2E8518D2" w:rsidR="00D34056" w:rsidRPr="00D4798A" w:rsidRDefault="00D34056" w:rsidP="00D34056">
            <w:pPr>
              <w:jc w:val="right"/>
              <w:rPr>
                <w:rFonts w:ascii="Arial" w:hAnsi="Arial" w:cs="Arial"/>
                <w:bCs/>
                <w:szCs w:val="24"/>
              </w:rPr>
            </w:pPr>
            <w:r w:rsidRPr="00D4798A">
              <w:rPr>
                <w:rFonts w:ascii="Arial" w:hAnsi="Arial" w:cs="Arial"/>
                <w:bCs/>
              </w:rPr>
              <w:t>53</w:t>
            </w:r>
            <w:r w:rsidR="00AF2C07">
              <w:rPr>
                <w:rFonts w:ascii="Arial" w:hAnsi="Arial" w:cs="Arial"/>
                <w:bCs/>
              </w:rPr>
              <w:t>5</w:t>
            </w:r>
          </w:p>
        </w:tc>
      </w:tr>
      <w:tr w:rsidR="00D34056" w:rsidRPr="00D4798A" w14:paraId="30F550F6" w14:textId="77777777" w:rsidTr="00D34056">
        <w:trPr>
          <w:trHeight w:val="255"/>
        </w:trPr>
        <w:tc>
          <w:tcPr>
            <w:tcW w:w="4722" w:type="dxa"/>
            <w:tcBorders>
              <w:top w:val="single" w:sz="4" w:space="0" w:color="auto"/>
              <w:left w:val="nil"/>
              <w:right w:val="nil"/>
            </w:tcBorders>
            <w:vAlign w:val="bottom"/>
          </w:tcPr>
          <w:p w14:paraId="2972EAD6" w14:textId="700D2017" w:rsidR="00D34056" w:rsidRPr="00D4798A" w:rsidRDefault="00D34056" w:rsidP="00D34056">
            <w:pPr>
              <w:rPr>
                <w:rFonts w:ascii="Arial" w:hAnsi="Arial" w:cs="Arial"/>
                <w:szCs w:val="24"/>
              </w:rPr>
            </w:pPr>
            <w:r w:rsidRPr="00D4798A">
              <w:rPr>
                <w:rFonts w:ascii="Arial" w:hAnsi="Arial" w:cs="Arial"/>
                <w:b/>
              </w:rPr>
              <w:t>EBITDA</w:t>
            </w:r>
          </w:p>
        </w:tc>
        <w:tc>
          <w:tcPr>
            <w:tcW w:w="2551" w:type="dxa"/>
            <w:tcBorders>
              <w:top w:val="single" w:sz="4" w:space="0" w:color="auto"/>
              <w:left w:val="nil"/>
              <w:right w:val="nil"/>
            </w:tcBorders>
            <w:vAlign w:val="bottom"/>
          </w:tcPr>
          <w:p w14:paraId="38A7D588" w14:textId="3CF76389" w:rsidR="00D34056" w:rsidRPr="00D4798A" w:rsidRDefault="00D34056" w:rsidP="00D34056">
            <w:pPr>
              <w:jc w:val="right"/>
              <w:rPr>
                <w:rFonts w:ascii="Arial" w:hAnsi="Arial" w:cs="Arial"/>
                <w:b/>
                <w:color w:val="C00000"/>
                <w:szCs w:val="24"/>
              </w:rPr>
            </w:pPr>
            <w:r w:rsidRPr="00D4798A">
              <w:rPr>
                <w:rFonts w:ascii="Arial" w:hAnsi="Arial" w:cs="Arial"/>
                <w:b/>
              </w:rPr>
              <w:t>1,3</w:t>
            </w:r>
            <w:r w:rsidR="00922332">
              <w:rPr>
                <w:rFonts w:ascii="Arial" w:hAnsi="Arial" w:cs="Arial"/>
                <w:b/>
              </w:rPr>
              <w:t>09</w:t>
            </w:r>
          </w:p>
        </w:tc>
        <w:tc>
          <w:tcPr>
            <w:tcW w:w="1559" w:type="dxa"/>
            <w:tcBorders>
              <w:top w:val="single" w:sz="4" w:space="0" w:color="auto"/>
              <w:left w:val="nil"/>
              <w:right w:val="nil"/>
            </w:tcBorders>
            <w:vAlign w:val="bottom"/>
          </w:tcPr>
          <w:p w14:paraId="19B78851" w14:textId="79B2510A" w:rsidR="00D34056" w:rsidRPr="00D4798A" w:rsidRDefault="00D34056" w:rsidP="00D34056">
            <w:pPr>
              <w:jc w:val="right"/>
              <w:rPr>
                <w:rFonts w:ascii="Arial" w:hAnsi="Arial" w:cs="Arial"/>
                <w:bCs/>
                <w:szCs w:val="24"/>
              </w:rPr>
            </w:pPr>
            <w:r w:rsidRPr="00D4798A">
              <w:rPr>
                <w:rFonts w:ascii="Arial" w:hAnsi="Arial" w:cs="Arial"/>
                <w:bCs/>
              </w:rPr>
              <w:t>1,2</w:t>
            </w:r>
            <w:r w:rsidR="00AF2C07">
              <w:rPr>
                <w:rFonts w:ascii="Arial" w:hAnsi="Arial" w:cs="Arial"/>
                <w:bCs/>
              </w:rPr>
              <w:t>90</w:t>
            </w:r>
          </w:p>
        </w:tc>
      </w:tr>
      <w:tr w:rsidR="00D34056" w:rsidRPr="00D4798A" w14:paraId="35C7D619" w14:textId="77777777" w:rsidTr="00D34056">
        <w:trPr>
          <w:trHeight w:val="311"/>
        </w:trPr>
        <w:tc>
          <w:tcPr>
            <w:tcW w:w="4722" w:type="dxa"/>
            <w:tcBorders>
              <w:top w:val="single" w:sz="4" w:space="0" w:color="auto"/>
              <w:left w:val="nil"/>
              <w:right w:val="nil"/>
            </w:tcBorders>
            <w:vAlign w:val="bottom"/>
            <w:hideMark/>
          </w:tcPr>
          <w:p w14:paraId="489C023F" w14:textId="279609A3" w:rsidR="00D34056" w:rsidRPr="009F71DB" w:rsidRDefault="00D34056" w:rsidP="00D34056">
            <w:pPr>
              <w:rPr>
                <w:rFonts w:ascii="Arial" w:hAnsi="Arial"/>
                <w:b/>
              </w:rPr>
            </w:pPr>
            <w:r w:rsidRPr="009F71DB">
              <w:rPr>
                <w:rFonts w:ascii="Arial" w:hAnsi="Arial"/>
                <w:b/>
              </w:rPr>
              <w:t>Net debt</w:t>
            </w:r>
          </w:p>
        </w:tc>
        <w:tc>
          <w:tcPr>
            <w:tcW w:w="2551" w:type="dxa"/>
            <w:tcBorders>
              <w:top w:val="single" w:sz="4" w:space="0" w:color="auto"/>
              <w:left w:val="nil"/>
              <w:right w:val="nil"/>
            </w:tcBorders>
            <w:vAlign w:val="bottom"/>
          </w:tcPr>
          <w:p w14:paraId="240EFE6F" w14:textId="34E3847A" w:rsidR="00D34056" w:rsidRPr="009F71DB" w:rsidRDefault="00D34056" w:rsidP="00D34056">
            <w:pPr>
              <w:jc w:val="right"/>
              <w:rPr>
                <w:rFonts w:ascii="Arial" w:hAnsi="Arial"/>
                <w:b/>
              </w:rPr>
            </w:pPr>
            <w:r w:rsidRPr="009F71DB">
              <w:rPr>
                <w:rFonts w:ascii="Arial" w:hAnsi="Arial"/>
                <w:b/>
              </w:rPr>
              <w:t>2,</w:t>
            </w:r>
            <w:r w:rsidRPr="0091284F">
              <w:rPr>
                <w:rFonts w:ascii="Arial" w:hAnsi="Arial"/>
                <w:b/>
              </w:rPr>
              <w:t>3</w:t>
            </w:r>
            <w:r w:rsidR="00922332">
              <w:rPr>
                <w:rFonts w:ascii="Arial" w:hAnsi="Arial"/>
                <w:b/>
              </w:rPr>
              <w:t>84</w:t>
            </w:r>
          </w:p>
        </w:tc>
        <w:tc>
          <w:tcPr>
            <w:tcW w:w="1559" w:type="dxa"/>
            <w:tcBorders>
              <w:top w:val="single" w:sz="4" w:space="0" w:color="auto"/>
              <w:left w:val="nil"/>
              <w:right w:val="nil"/>
            </w:tcBorders>
            <w:vAlign w:val="bottom"/>
          </w:tcPr>
          <w:p w14:paraId="6E43B01A" w14:textId="0EE6DBAF" w:rsidR="00D34056" w:rsidRPr="00D4798A" w:rsidRDefault="00D34056" w:rsidP="00D34056">
            <w:pPr>
              <w:jc w:val="right"/>
              <w:rPr>
                <w:rFonts w:ascii="Arial" w:hAnsi="Arial" w:cs="Arial"/>
                <w:szCs w:val="24"/>
              </w:rPr>
            </w:pPr>
            <w:r w:rsidRPr="009F71DB">
              <w:rPr>
                <w:rFonts w:ascii="Arial" w:hAnsi="Arial"/>
              </w:rPr>
              <w:t>2,</w:t>
            </w:r>
            <w:r w:rsidR="00922332">
              <w:rPr>
                <w:rFonts w:ascii="Arial" w:hAnsi="Arial"/>
              </w:rPr>
              <w:t>542</w:t>
            </w:r>
          </w:p>
        </w:tc>
      </w:tr>
      <w:tr w:rsidR="00D34056" w:rsidRPr="00D4798A" w14:paraId="17BBF5CB" w14:textId="77777777" w:rsidTr="001B7E62">
        <w:trPr>
          <w:trHeight w:val="270"/>
        </w:trPr>
        <w:tc>
          <w:tcPr>
            <w:tcW w:w="4722" w:type="dxa"/>
            <w:tcBorders>
              <w:top w:val="single" w:sz="4" w:space="0" w:color="auto"/>
              <w:left w:val="nil"/>
              <w:bottom w:val="single" w:sz="4" w:space="0" w:color="auto"/>
              <w:right w:val="nil"/>
            </w:tcBorders>
            <w:vAlign w:val="bottom"/>
            <w:hideMark/>
          </w:tcPr>
          <w:p w14:paraId="67B1E761" w14:textId="55254C88" w:rsidR="00D34056" w:rsidRPr="00D4798A" w:rsidRDefault="00B95EB6" w:rsidP="00D34056">
            <w:pPr>
              <w:rPr>
                <w:rFonts w:ascii="Arial" w:hAnsi="Arial" w:cs="Arial"/>
                <w:b/>
                <w:szCs w:val="24"/>
              </w:rPr>
            </w:pPr>
            <w:r>
              <w:rPr>
                <w:rFonts w:ascii="Arial" w:hAnsi="Arial" w:cs="Arial"/>
                <w:b/>
                <w:szCs w:val="24"/>
              </w:rPr>
              <w:t>N</w:t>
            </w:r>
            <w:r w:rsidR="00D34056" w:rsidRPr="00D4798A">
              <w:rPr>
                <w:rFonts w:ascii="Arial" w:hAnsi="Arial" w:cs="Arial"/>
                <w:b/>
                <w:szCs w:val="24"/>
              </w:rPr>
              <w:t>et debt to EBITDA</w:t>
            </w:r>
          </w:p>
        </w:tc>
        <w:tc>
          <w:tcPr>
            <w:tcW w:w="2551" w:type="dxa"/>
            <w:tcBorders>
              <w:top w:val="single" w:sz="4" w:space="0" w:color="auto"/>
              <w:left w:val="nil"/>
              <w:bottom w:val="single" w:sz="4" w:space="0" w:color="auto"/>
              <w:right w:val="nil"/>
            </w:tcBorders>
            <w:vAlign w:val="bottom"/>
          </w:tcPr>
          <w:p w14:paraId="2F066070" w14:textId="12F5D47A" w:rsidR="00D34056" w:rsidRPr="00D4798A" w:rsidRDefault="00D34056" w:rsidP="00D34056">
            <w:pPr>
              <w:jc w:val="right"/>
              <w:rPr>
                <w:rFonts w:ascii="Arial" w:hAnsi="Arial" w:cs="Arial"/>
                <w:b/>
                <w:szCs w:val="24"/>
              </w:rPr>
            </w:pPr>
            <w:r w:rsidRPr="00D4798A">
              <w:rPr>
                <w:rFonts w:ascii="Arial" w:hAnsi="Arial" w:cs="Arial"/>
                <w:b/>
                <w:szCs w:val="24"/>
              </w:rPr>
              <w:t>1.</w:t>
            </w:r>
            <w:r w:rsidR="00B95EB6">
              <w:rPr>
                <w:rFonts w:ascii="Arial" w:hAnsi="Arial" w:cs="Arial"/>
                <w:b/>
                <w:szCs w:val="24"/>
              </w:rPr>
              <w:t>8</w:t>
            </w:r>
            <w:r w:rsidRPr="00D4798A">
              <w:rPr>
                <w:rFonts w:ascii="Arial" w:hAnsi="Arial" w:cs="Arial"/>
                <w:b/>
                <w:szCs w:val="24"/>
              </w:rPr>
              <w:t>x</w:t>
            </w:r>
          </w:p>
        </w:tc>
        <w:tc>
          <w:tcPr>
            <w:tcW w:w="1559" w:type="dxa"/>
            <w:tcBorders>
              <w:top w:val="single" w:sz="4" w:space="0" w:color="auto"/>
              <w:left w:val="nil"/>
              <w:bottom w:val="single" w:sz="4" w:space="0" w:color="auto"/>
              <w:right w:val="nil"/>
            </w:tcBorders>
            <w:vAlign w:val="bottom"/>
          </w:tcPr>
          <w:p w14:paraId="22AE6741" w14:textId="46B97740" w:rsidR="00D34056" w:rsidRPr="00D4798A" w:rsidRDefault="00D34056" w:rsidP="00D34056">
            <w:pPr>
              <w:tabs>
                <w:tab w:val="center" w:pos="671"/>
                <w:tab w:val="right" w:pos="1343"/>
              </w:tabs>
              <w:jc w:val="right"/>
              <w:rPr>
                <w:rFonts w:ascii="Arial" w:hAnsi="Arial" w:cs="Arial"/>
                <w:bCs/>
                <w:szCs w:val="24"/>
              </w:rPr>
            </w:pPr>
            <w:r w:rsidRPr="00D4798A">
              <w:rPr>
                <w:rFonts w:ascii="Arial" w:hAnsi="Arial" w:cs="Arial"/>
                <w:bCs/>
                <w:szCs w:val="24"/>
              </w:rPr>
              <w:t>2.</w:t>
            </w:r>
            <w:r w:rsidR="00922332">
              <w:rPr>
                <w:rFonts w:ascii="Arial" w:hAnsi="Arial" w:cs="Arial"/>
                <w:bCs/>
                <w:szCs w:val="24"/>
              </w:rPr>
              <w:t>0</w:t>
            </w:r>
            <w:r w:rsidRPr="00D4798A">
              <w:rPr>
                <w:rFonts w:ascii="Arial" w:hAnsi="Arial" w:cs="Arial"/>
                <w:bCs/>
                <w:szCs w:val="24"/>
              </w:rPr>
              <w:t>x</w:t>
            </w:r>
          </w:p>
        </w:tc>
      </w:tr>
      <w:bookmarkEnd w:id="59"/>
    </w:tbl>
    <w:p w14:paraId="1252366F" w14:textId="77777777" w:rsidR="001B7E62" w:rsidRPr="00312B4F" w:rsidRDefault="001B7E62" w:rsidP="001B7E62">
      <w:pPr>
        <w:jc w:val="left"/>
        <w:rPr>
          <w:rFonts w:ascii="Arial" w:hAnsi="Arial" w:cs="Arial"/>
          <w:sz w:val="24"/>
          <w:szCs w:val="24"/>
        </w:rPr>
      </w:pPr>
    </w:p>
    <w:bookmarkEnd w:id="56"/>
    <w:bookmarkEnd w:id="57"/>
    <w:p w14:paraId="6E51D8B2" w14:textId="39C837E5" w:rsidR="001B7E62" w:rsidRPr="0062003B" w:rsidRDefault="001B7E62" w:rsidP="001B7E62">
      <w:pPr>
        <w:jc w:val="left"/>
        <w:rPr>
          <w:rFonts w:ascii="Arial" w:hAnsi="Arial" w:cs="Arial"/>
        </w:rPr>
      </w:pPr>
      <w:r w:rsidRPr="0062003B">
        <w:rPr>
          <w:rFonts w:ascii="Arial" w:hAnsi="Arial" w:cs="Arial"/>
        </w:rPr>
        <w:t xml:space="preserve">Kingfisher holds a BBB </w:t>
      </w:r>
      <w:r w:rsidR="00E13F43">
        <w:rPr>
          <w:rFonts w:ascii="Arial" w:hAnsi="Arial" w:cs="Arial"/>
        </w:rPr>
        <w:t xml:space="preserve">investment grade </w:t>
      </w:r>
      <w:r w:rsidRPr="0062003B">
        <w:rPr>
          <w:rFonts w:ascii="Arial" w:hAnsi="Arial" w:cs="Arial"/>
        </w:rPr>
        <w:t xml:space="preserve">credit rating with all three rating agencies. Kingfisher aims to maintain its investment grade rating whilst investing in the business where economic returns are attractive and paying a healthy annual dividend to shareholders. After satisfying these key aims and taking </w:t>
      </w:r>
      <w:r>
        <w:rPr>
          <w:rFonts w:ascii="Arial" w:hAnsi="Arial" w:cs="Arial"/>
        </w:rPr>
        <w:t xml:space="preserve">into account </w:t>
      </w:r>
      <w:r w:rsidRPr="0062003B">
        <w:rPr>
          <w:rFonts w:ascii="Arial" w:hAnsi="Arial" w:cs="Arial"/>
        </w:rPr>
        <w:t>the economic and trading outlook, any surplus capital would be returned to shareholders.</w:t>
      </w:r>
    </w:p>
    <w:p w14:paraId="54F31BF3" w14:textId="77777777" w:rsidR="001B7E62" w:rsidRPr="0062003B" w:rsidRDefault="001B7E62" w:rsidP="001B7E62">
      <w:pPr>
        <w:jc w:val="left"/>
        <w:rPr>
          <w:rFonts w:ascii="Arial" w:hAnsi="Arial" w:cs="Arial"/>
        </w:rPr>
      </w:pPr>
    </w:p>
    <w:p w14:paraId="0D8419B7" w14:textId="77777777" w:rsidR="001B7E62" w:rsidRPr="0062003B" w:rsidRDefault="001B7E62" w:rsidP="001B7E62">
      <w:pPr>
        <w:jc w:val="left"/>
        <w:rPr>
          <w:rFonts w:ascii="Arial" w:hAnsi="Arial" w:cs="Arial"/>
        </w:rPr>
      </w:pPr>
      <w:r w:rsidRPr="0062003B">
        <w:rPr>
          <w:rFonts w:ascii="Arial" w:hAnsi="Arial" w:cs="Arial"/>
        </w:rPr>
        <w:t xml:space="preserve">Kingfisher regularly reviews the level of cash and debt facilities required to fund its activities. This involves preparing a prudent cash flow forecast for the medium term, determining the level of debt facilities required to fund the business, planning for repayments of debt at its maturity and identifying an appropriate amount of headroom to provide a reserve against unexpected outflows. </w:t>
      </w:r>
    </w:p>
    <w:p w14:paraId="1FDB2C31" w14:textId="77777777" w:rsidR="001B7E62" w:rsidRPr="0062003B" w:rsidRDefault="001B7E62" w:rsidP="00252B50">
      <w:pPr>
        <w:jc w:val="left"/>
        <w:rPr>
          <w:rFonts w:ascii="Arial" w:hAnsi="Arial" w:cs="Arial"/>
        </w:rPr>
      </w:pPr>
    </w:p>
    <w:p w14:paraId="363B1BCF" w14:textId="510CDF9F" w:rsidR="001B7E62" w:rsidRDefault="001D1D93" w:rsidP="00252B50">
      <w:pPr>
        <w:jc w:val="left"/>
        <w:rPr>
          <w:rFonts w:ascii="Arial" w:hAnsi="Arial" w:cs="Arial"/>
        </w:rPr>
      </w:pPr>
      <w:r w:rsidRPr="001D1D93">
        <w:rPr>
          <w:rFonts w:ascii="Arial" w:hAnsi="Arial" w:cs="Arial"/>
        </w:rPr>
        <w:t>At 31 July 2019, the Group had undrawn revolving credit facilities of £</w:t>
      </w:r>
      <w:r w:rsidR="00F50D21">
        <w:rPr>
          <w:rFonts w:ascii="Arial" w:hAnsi="Arial" w:cs="Arial"/>
        </w:rPr>
        <w:t>550</w:t>
      </w:r>
      <w:r>
        <w:rPr>
          <w:rFonts w:ascii="Arial" w:hAnsi="Arial" w:cs="Arial"/>
        </w:rPr>
        <w:t xml:space="preserve"> </w:t>
      </w:r>
      <w:r w:rsidRPr="001D1D93">
        <w:rPr>
          <w:rFonts w:ascii="Arial" w:hAnsi="Arial" w:cs="Arial"/>
        </w:rPr>
        <w:t>m</w:t>
      </w:r>
      <w:r>
        <w:rPr>
          <w:rFonts w:ascii="Arial" w:hAnsi="Arial" w:cs="Arial"/>
        </w:rPr>
        <w:t>illion</w:t>
      </w:r>
      <w:r w:rsidRPr="001D1D93">
        <w:rPr>
          <w:rFonts w:ascii="Arial" w:hAnsi="Arial" w:cs="Arial"/>
        </w:rPr>
        <w:t xml:space="preserve"> due to </w:t>
      </w:r>
      <w:r w:rsidR="00770437">
        <w:rPr>
          <w:rFonts w:ascii="Arial" w:hAnsi="Arial" w:cs="Arial"/>
        </w:rPr>
        <w:t xml:space="preserve">expire </w:t>
      </w:r>
      <w:r w:rsidRPr="001D1D93">
        <w:rPr>
          <w:rFonts w:ascii="Arial" w:hAnsi="Arial" w:cs="Arial"/>
        </w:rPr>
        <w:t xml:space="preserve">in </w:t>
      </w:r>
      <w:r w:rsidR="0054241E">
        <w:rPr>
          <w:rFonts w:ascii="Arial" w:hAnsi="Arial" w:cs="Arial"/>
        </w:rPr>
        <w:t xml:space="preserve">August 2021 </w:t>
      </w:r>
      <w:r w:rsidR="00F50D21">
        <w:rPr>
          <w:rFonts w:ascii="Arial" w:hAnsi="Arial" w:cs="Arial"/>
        </w:rPr>
        <w:t xml:space="preserve">and </w:t>
      </w:r>
      <w:r w:rsidRPr="001D1D93">
        <w:rPr>
          <w:rFonts w:ascii="Arial" w:hAnsi="Arial" w:cs="Arial"/>
        </w:rPr>
        <w:t>£</w:t>
      </w:r>
      <w:r w:rsidR="00F50D21">
        <w:rPr>
          <w:rFonts w:ascii="Arial" w:hAnsi="Arial" w:cs="Arial"/>
        </w:rPr>
        <w:t>225</w:t>
      </w:r>
      <w:r>
        <w:rPr>
          <w:rFonts w:ascii="Arial" w:hAnsi="Arial" w:cs="Arial"/>
        </w:rPr>
        <w:t xml:space="preserve"> </w:t>
      </w:r>
      <w:r w:rsidRPr="001D1D93">
        <w:rPr>
          <w:rFonts w:ascii="Arial" w:hAnsi="Arial" w:cs="Arial"/>
        </w:rPr>
        <w:t>m</w:t>
      </w:r>
      <w:r>
        <w:rPr>
          <w:rFonts w:ascii="Arial" w:hAnsi="Arial" w:cs="Arial"/>
        </w:rPr>
        <w:t>illion</w:t>
      </w:r>
      <w:r w:rsidRPr="001D1D93">
        <w:rPr>
          <w:rFonts w:ascii="Arial" w:hAnsi="Arial" w:cs="Arial"/>
        </w:rPr>
        <w:t xml:space="preserve"> due to </w:t>
      </w:r>
      <w:r w:rsidR="00770437">
        <w:rPr>
          <w:rFonts w:ascii="Arial" w:hAnsi="Arial" w:cs="Arial"/>
        </w:rPr>
        <w:t>expire</w:t>
      </w:r>
      <w:r w:rsidRPr="001D1D93">
        <w:rPr>
          <w:rFonts w:ascii="Arial" w:hAnsi="Arial" w:cs="Arial"/>
        </w:rPr>
        <w:t xml:space="preserve"> in </w:t>
      </w:r>
      <w:r w:rsidR="00F50D21">
        <w:rPr>
          <w:rFonts w:ascii="Arial" w:hAnsi="Arial" w:cs="Arial"/>
        </w:rPr>
        <w:t>March 2022</w:t>
      </w:r>
      <w:r w:rsidRPr="001D1D93">
        <w:rPr>
          <w:rFonts w:ascii="Arial" w:hAnsi="Arial" w:cs="Arial"/>
        </w:rPr>
        <w:t>. In August 2019, the Group completed an extension of the £550</w:t>
      </w:r>
      <w:r>
        <w:rPr>
          <w:rFonts w:ascii="Arial" w:hAnsi="Arial" w:cs="Arial"/>
        </w:rPr>
        <w:t xml:space="preserve"> </w:t>
      </w:r>
      <w:r w:rsidRPr="001D1D93">
        <w:rPr>
          <w:rFonts w:ascii="Arial" w:hAnsi="Arial" w:cs="Arial"/>
        </w:rPr>
        <w:t>m</w:t>
      </w:r>
      <w:r>
        <w:rPr>
          <w:rFonts w:ascii="Arial" w:hAnsi="Arial" w:cs="Arial"/>
        </w:rPr>
        <w:t>illion</w:t>
      </w:r>
      <w:r w:rsidRPr="001D1D93">
        <w:rPr>
          <w:rFonts w:ascii="Arial" w:hAnsi="Arial" w:cs="Arial"/>
        </w:rPr>
        <w:t xml:space="preserve"> revolving credit facility, taking the maturity date to August 2022.</w:t>
      </w:r>
    </w:p>
    <w:p w14:paraId="14A69D08" w14:textId="77777777" w:rsidR="001B7E62" w:rsidRPr="00641A20" w:rsidRDefault="001B7E62" w:rsidP="00252B50">
      <w:pPr>
        <w:jc w:val="left"/>
        <w:rPr>
          <w:rFonts w:ascii="Arial" w:hAnsi="Arial" w:cs="Arial"/>
        </w:rPr>
      </w:pPr>
    </w:p>
    <w:p w14:paraId="56E304A9" w14:textId="77777777" w:rsidR="001B7E62" w:rsidRDefault="001B7E62" w:rsidP="001B7E62">
      <w:pPr>
        <w:ind w:right="-368"/>
        <w:jc w:val="left"/>
        <w:rPr>
          <w:rFonts w:ascii="Arial" w:hAnsi="Arial" w:cs="Arial"/>
        </w:rPr>
      </w:pPr>
      <w:r w:rsidRPr="00641A20">
        <w:rPr>
          <w:rFonts w:ascii="Arial" w:hAnsi="Arial" w:cs="Arial"/>
        </w:rPr>
        <w:t>In July 2018, following a</w:t>
      </w:r>
      <w:r>
        <w:rPr>
          <w:rFonts w:ascii="Arial" w:hAnsi="Arial" w:cs="Arial"/>
        </w:rPr>
        <w:t xml:space="preserve"> </w:t>
      </w:r>
      <w:r w:rsidRPr="00641A20">
        <w:rPr>
          <w:rFonts w:ascii="Arial" w:hAnsi="Arial" w:cs="Arial"/>
        </w:rPr>
        <w:t>reverse enquiry, a €50</w:t>
      </w:r>
      <w:r>
        <w:rPr>
          <w:rFonts w:ascii="Arial" w:hAnsi="Arial" w:cs="Arial"/>
        </w:rPr>
        <w:t xml:space="preserve"> </w:t>
      </w:r>
      <w:r w:rsidRPr="00641A20">
        <w:rPr>
          <w:rFonts w:ascii="Arial" w:hAnsi="Arial" w:cs="Arial"/>
        </w:rPr>
        <w:t>m</w:t>
      </w:r>
      <w:r>
        <w:rPr>
          <w:rFonts w:ascii="Arial" w:hAnsi="Arial" w:cs="Arial"/>
        </w:rPr>
        <w:t>illion</w:t>
      </w:r>
      <w:r w:rsidRPr="00641A20">
        <w:rPr>
          <w:rFonts w:ascii="Arial" w:hAnsi="Arial" w:cs="Arial"/>
        </w:rPr>
        <w:t xml:space="preserve"> Floating Rate Note (FRN) was issued under </w:t>
      </w:r>
      <w:r>
        <w:rPr>
          <w:rFonts w:ascii="Arial" w:hAnsi="Arial" w:cs="Arial"/>
        </w:rPr>
        <w:t xml:space="preserve">Kingfisher’s €2.5 billion European Medium Term Note (EMTN) </w:t>
      </w:r>
      <w:r w:rsidRPr="00641A20">
        <w:rPr>
          <w:rFonts w:ascii="Arial" w:hAnsi="Arial" w:cs="Arial"/>
        </w:rPr>
        <w:t>programme. The note</w:t>
      </w:r>
      <w:r>
        <w:rPr>
          <w:rFonts w:ascii="Arial" w:hAnsi="Arial" w:cs="Arial"/>
        </w:rPr>
        <w:t xml:space="preserve"> </w:t>
      </w:r>
      <w:r w:rsidRPr="00641A20">
        <w:rPr>
          <w:rFonts w:ascii="Arial" w:hAnsi="Arial" w:cs="Arial"/>
        </w:rPr>
        <w:t>matures in July 2020.</w:t>
      </w:r>
    </w:p>
    <w:p w14:paraId="5E36AF8B" w14:textId="77777777" w:rsidR="001B7E62" w:rsidRDefault="001B7E62" w:rsidP="001B7E62">
      <w:pPr>
        <w:ind w:right="-368"/>
        <w:jc w:val="left"/>
        <w:rPr>
          <w:rFonts w:ascii="Arial" w:hAnsi="Arial" w:cs="Arial"/>
        </w:rPr>
      </w:pPr>
    </w:p>
    <w:p w14:paraId="72F953C4" w14:textId="51150FC7" w:rsidR="001B7E62" w:rsidRDefault="001B7E62" w:rsidP="001B7E62">
      <w:pPr>
        <w:ind w:right="-368"/>
        <w:jc w:val="left"/>
        <w:rPr>
          <w:rFonts w:ascii="Arial" w:hAnsi="Arial" w:cs="Arial"/>
        </w:rPr>
      </w:pPr>
      <w:r>
        <w:rPr>
          <w:rFonts w:ascii="Arial" w:hAnsi="Arial" w:cs="Arial"/>
        </w:rPr>
        <w:t>The Group also has two fixed term loans</w:t>
      </w:r>
      <w:r w:rsidR="00922332">
        <w:rPr>
          <w:rFonts w:ascii="Arial" w:hAnsi="Arial" w:cs="Arial"/>
        </w:rPr>
        <w:t>:</w:t>
      </w:r>
      <w:r>
        <w:rPr>
          <w:rFonts w:ascii="Arial" w:hAnsi="Arial" w:cs="Arial"/>
        </w:rPr>
        <w:t xml:space="preserve"> €50 million maturing in September 2021 and £50 million maturing in December 2021. </w:t>
      </w:r>
    </w:p>
    <w:p w14:paraId="620F7219" w14:textId="77777777" w:rsidR="001B7E62" w:rsidRDefault="001B7E62" w:rsidP="001B7E62">
      <w:pPr>
        <w:ind w:right="-368"/>
        <w:jc w:val="left"/>
        <w:rPr>
          <w:rFonts w:ascii="Arial" w:hAnsi="Arial" w:cs="Arial"/>
        </w:rPr>
      </w:pPr>
    </w:p>
    <w:p w14:paraId="05991881" w14:textId="300B18FD" w:rsidR="001B7E62" w:rsidRPr="009F71DB" w:rsidRDefault="001B7E62" w:rsidP="001B7E62">
      <w:pPr>
        <w:jc w:val="left"/>
        <w:rPr>
          <w:rStyle w:val="Hyperlink"/>
          <w:rFonts w:ascii="Arial" w:hAnsi="Arial"/>
        </w:rPr>
      </w:pPr>
      <w:r w:rsidRPr="00603514">
        <w:rPr>
          <w:rFonts w:ascii="Arial" w:hAnsi="Arial" w:cs="Arial"/>
        </w:rPr>
        <w:t>The maturity profile of Kingfisher’s debt is illustrated at</w:t>
      </w:r>
      <w:r w:rsidRPr="0062003B">
        <w:rPr>
          <w:rFonts w:ascii="Arial" w:hAnsi="Arial" w:cs="Arial"/>
        </w:rPr>
        <w:t xml:space="preserve">: </w:t>
      </w:r>
      <w:hyperlink r:id="rId15" w:history="1">
        <w:r w:rsidR="00922332" w:rsidRPr="00842E09">
          <w:rPr>
            <w:rStyle w:val="Hyperlink"/>
            <w:rFonts w:ascii="Arial" w:hAnsi="Arial" w:cs="Arial"/>
          </w:rPr>
          <w:t>www.kingfisher.com/index.asp?pageid=74</w:t>
        </w:r>
      </w:hyperlink>
    </w:p>
    <w:p w14:paraId="2454D088" w14:textId="77777777" w:rsidR="00A441F9" w:rsidRPr="00C16392" w:rsidRDefault="00A441F9" w:rsidP="00773A54">
      <w:pPr>
        <w:jc w:val="left"/>
        <w:rPr>
          <w:rFonts w:ascii="Arial" w:hAnsi="Arial" w:cs="Arial"/>
          <w:b/>
          <w:szCs w:val="24"/>
          <w:highlight w:val="yellow"/>
        </w:rPr>
      </w:pPr>
    </w:p>
    <w:p w14:paraId="2E7637CA" w14:textId="0568E639" w:rsidR="00773A54" w:rsidRPr="00542C2B" w:rsidRDefault="00773A54" w:rsidP="00773A54">
      <w:pPr>
        <w:jc w:val="left"/>
        <w:rPr>
          <w:rFonts w:ascii="Arial" w:hAnsi="Arial" w:cs="Arial"/>
          <w:b/>
          <w:szCs w:val="24"/>
        </w:rPr>
      </w:pPr>
      <w:bookmarkStart w:id="60" w:name="_Hlk491329674"/>
      <w:bookmarkStart w:id="61" w:name="_Hlk18077322"/>
      <w:bookmarkStart w:id="62" w:name="_Hlk524455126"/>
      <w:r w:rsidRPr="00542C2B">
        <w:rPr>
          <w:rFonts w:ascii="Arial" w:hAnsi="Arial" w:cs="Arial"/>
          <w:b/>
          <w:szCs w:val="24"/>
        </w:rPr>
        <w:t>Pensions</w:t>
      </w:r>
    </w:p>
    <w:p w14:paraId="0846FB81" w14:textId="77777777" w:rsidR="00773A54" w:rsidRPr="00542C2B" w:rsidRDefault="00773A54" w:rsidP="00773A54">
      <w:pPr>
        <w:jc w:val="left"/>
        <w:rPr>
          <w:rFonts w:ascii="Arial" w:hAnsi="Arial" w:cs="Arial"/>
          <w:b/>
          <w:szCs w:val="24"/>
        </w:rPr>
      </w:pPr>
    </w:p>
    <w:p w14:paraId="1BF4B8F3" w14:textId="027377C3" w:rsidR="00773A54" w:rsidRDefault="00113504" w:rsidP="00773A54">
      <w:pPr>
        <w:jc w:val="left"/>
        <w:rPr>
          <w:rFonts w:ascii="Arial" w:hAnsi="Arial" w:cs="Arial"/>
        </w:rPr>
      </w:pPr>
      <w:r w:rsidRPr="00542C2B">
        <w:rPr>
          <w:rFonts w:ascii="Arial" w:hAnsi="Arial" w:cs="Arial"/>
          <w:szCs w:val="24"/>
        </w:rPr>
        <w:t>At the period end, the Group had a net surplus of £</w:t>
      </w:r>
      <w:r w:rsidR="00D34056">
        <w:rPr>
          <w:rFonts w:ascii="Arial" w:hAnsi="Arial" w:cs="Arial"/>
          <w:szCs w:val="24"/>
        </w:rPr>
        <w:t>287</w:t>
      </w:r>
      <w:r w:rsidR="00253BE6" w:rsidRPr="00542C2B">
        <w:rPr>
          <w:rFonts w:ascii="Arial" w:hAnsi="Arial" w:cs="Arial"/>
          <w:szCs w:val="24"/>
        </w:rPr>
        <w:t xml:space="preserve"> </w:t>
      </w:r>
      <w:r w:rsidRPr="00542C2B">
        <w:rPr>
          <w:rFonts w:ascii="Arial" w:hAnsi="Arial" w:cs="Arial"/>
          <w:szCs w:val="24"/>
        </w:rPr>
        <w:t>million (£</w:t>
      </w:r>
      <w:r w:rsidR="00542C2B">
        <w:rPr>
          <w:rFonts w:ascii="Arial" w:hAnsi="Arial" w:cs="Arial"/>
          <w:szCs w:val="24"/>
        </w:rPr>
        <w:t>205</w:t>
      </w:r>
      <w:r w:rsidR="00D06AFD" w:rsidRPr="00542C2B">
        <w:rPr>
          <w:rFonts w:ascii="Arial" w:hAnsi="Arial" w:cs="Arial"/>
          <w:szCs w:val="24"/>
        </w:rPr>
        <w:t xml:space="preserve"> </w:t>
      </w:r>
      <w:r w:rsidRPr="00542C2B">
        <w:rPr>
          <w:rFonts w:ascii="Arial" w:hAnsi="Arial" w:cs="Arial"/>
          <w:szCs w:val="24"/>
        </w:rPr>
        <w:t>million net surplus at 31 January 201</w:t>
      </w:r>
      <w:r w:rsidR="00542C2B">
        <w:rPr>
          <w:rFonts w:ascii="Arial" w:hAnsi="Arial" w:cs="Arial"/>
          <w:szCs w:val="24"/>
        </w:rPr>
        <w:t>9</w:t>
      </w:r>
      <w:r w:rsidRPr="00542C2B">
        <w:rPr>
          <w:rFonts w:ascii="Arial" w:hAnsi="Arial" w:cs="Arial"/>
          <w:szCs w:val="24"/>
        </w:rPr>
        <w:t>) in relation to defined benefit pension arrangements, of which a £</w:t>
      </w:r>
      <w:r w:rsidR="00D34056">
        <w:rPr>
          <w:rFonts w:ascii="Arial" w:hAnsi="Arial" w:cs="Arial"/>
          <w:szCs w:val="24"/>
        </w:rPr>
        <w:t>413</w:t>
      </w:r>
      <w:r w:rsidRPr="00542C2B">
        <w:rPr>
          <w:rFonts w:ascii="Arial" w:hAnsi="Arial" w:cs="Arial"/>
          <w:szCs w:val="24"/>
        </w:rPr>
        <w:t xml:space="preserve"> million surplus (£</w:t>
      </w:r>
      <w:r w:rsidR="00542C2B">
        <w:rPr>
          <w:rFonts w:ascii="Arial" w:hAnsi="Arial" w:cs="Arial"/>
          <w:szCs w:val="24"/>
        </w:rPr>
        <w:t>3</w:t>
      </w:r>
      <w:r w:rsidR="00D34056">
        <w:rPr>
          <w:rFonts w:ascii="Arial" w:hAnsi="Arial" w:cs="Arial"/>
          <w:szCs w:val="24"/>
        </w:rPr>
        <w:t>20</w:t>
      </w:r>
      <w:r w:rsidR="004D4EB3" w:rsidRPr="00542C2B">
        <w:rPr>
          <w:rFonts w:ascii="Arial" w:hAnsi="Arial" w:cs="Arial"/>
          <w:szCs w:val="24"/>
        </w:rPr>
        <w:t xml:space="preserve"> </w:t>
      </w:r>
      <w:r w:rsidR="0014399B" w:rsidRPr="00542C2B">
        <w:rPr>
          <w:rFonts w:ascii="Arial" w:hAnsi="Arial" w:cs="Arial"/>
          <w:szCs w:val="24"/>
        </w:rPr>
        <w:t>m</w:t>
      </w:r>
      <w:r w:rsidRPr="00542C2B">
        <w:rPr>
          <w:rFonts w:ascii="Arial" w:hAnsi="Arial" w:cs="Arial"/>
          <w:szCs w:val="24"/>
        </w:rPr>
        <w:t>illion surplus at 31 January 201</w:t>
      </w:r>
      <w:r w:rsidR="00D34056">
        <w:rPr>
          <w:rFonts w:ascii="Arial" w:hAnsi="Arial" w:cs="Arial"/>
          <w:szCs w:val="24"/>
        </w:rPr>
        <w:t>9</w:t>
      </w:r>
      <w:r w:rsidRPr="00542C2B">
        <w:rPr>
          <w:rFonts w:ascii="Arial" w:hAnsi="Arial" w:cs="Arial"/>
          <w:szCs w:val="24"/>
        </w:rPr>
        <w:t xml:space="preserve">) was in relation to the UK scheme. </w:t>
      </w:r>
      <w:r w:rsidR="003D0C87" w:rsidRPr="003D0C87">
        <w:rPr>
          <w:rFonts w:ascii="Arial" w:hAnsi="Arial" w:cs="Arial"/>
          <w:szCs w:val="24"/>
        </w:rPr>
        <w:t>The favourable movement in the net surplus is driven by returns on the UK scheme assets more than offsetting the actuarial losses on the liabilities due to a lower discount rate assumption.</w:t>
      </w:r>
      <w:r w:rsidR="003D0C87">
        <w:rPr>
          <w:rFonts w:ascii="Arial" w:hAnsi="Arial" w:cs="Arial"/>
          <w:szCs w:val="24"/>
        </w:rPr>
        <w:t xml:space="preserve"> </w:t>
      </w:r>
      <w:r w:rsidRPr="00542C2B">
        <w:rPr>
          <w:rFonts w:ascii="Arial" w:hAnsi="Arial" w:cs="Arial"/>
          <w:szCs w:val="24"/>
        </w:rPr>
        <w:t>This accounting valuation is sensitive to a number of assumptions and market rates which are likely to fluctuate in the future</w:t>
      </w:r>
      <w:r w:rsidRPr="003D0C87">
        <w:rPr>
          <w:rFonts w:ascii="Arial" w:hAnsi="Arial" w:cs="Arial"/>
          <w:szCs w:val="24"/>
        </w:rPr>
        <w:t>.</w:t>
      </w:r>
      <w:r w:rsidR="001932DA" w:rsidRPr="00B56D28">
        <w:rPr>
          <w:rFonts w:ascii="Arial" w:hAnsi="Arial" w:cs="Arial"/>
          <w:szCs w:val="24"/>
          <w:highlight w:val="yellow"/>
        </w:rPr>
        <w:t xml:space="preserve"> </w:t>
      </w:r>
      <w:bookmarkEnd w:id="60"/>
    </w:p>
    <w:bookmarkEnd w:id="61"/>
    <w:p w14:paraId="4A726407" w14:textId="77777777" w:rsidR="00B95EB6" w:rsidRPr="009F71DB" w:rsidRDefault="00B95EB6" w:rsidP="00773A54">
      <w:pPr>
        <w:jc w:val="left"/>
        <w:rPr>
          <w:rFonts w:ascii="Arial" w:hAnsi="Arial"/>
          <w:highlight w:val="yellow"/>
        </w:rPr>
      </w:pPr>
    </w:p>
    <w:p w14:paraId="4AF80F22" w14:textId="34CA77A1" w:rsidR="00AF1273" w:rsidRPr="00C2187E" w:rsidRDefault="00AF1273" w:rsidP="00AF1273">
      <w:pPr>
        <w:jc w:val="left"/>
        <w:rPr>
          <w:rFonts w:ascii="Arial" w:hAnsi="Arial" w:cs="Arial"/>
          <w:b/>
        </w:rPr>
      </w:pPr>
      <w:bookmarkStart w:id="63" w:name="_Hlk17983828"/>
      <w:bookmarkEnd w:id="62"/>
      <w:r w:rsidRPr="00C2187E">
        <w:rPr>
          <w:rFonts w:ascii="Arial" w:hAnsi="Arial" w:cs="Arial"/>
          <w:b/>
        </w:rPr>
        <w:t>IFRS</w:t>
      </w:r>
      <w:r w:rsidR="00785156">
        <w:rPr>
          <w:rFonts w:ascii="Arial" w:hAnsi="Arial" w:cs="Arial"/>
          <w:b/>
        </w:rPr>
        <w:t xml:space="preserve"> </w:t>
      </w:r>
      <w:r w:rsidRPr="00C2187E">
        <w:rPr>
          <w:rFonts w:ascii="Arial" w:hAnsi="Arial" w:cs="Arial"/>
          <w:b/>
        </w:rPr>
        <w:t>16 – Leases</w:t>
      </w:r>
    </w:p>
    <w:p w14:paraId="314BFB65" w14:textId="25DFE0FF" w:rsidR="00AF1273" w:rsidRDefault="00AF1273" w:rsidP="004B0C6D">
      <w:pPr>
        <w:jc w:val="left"/>
        <w:rPr>
          <w:rFonts w:ascii="Arial" w:hAnsi="Arial" w:cs="Arial"/>
          <w:b/>
          <w:szCs w:val="24"/>
        </w:rPr>
      </w:pPr>
    </w:p>
    <w:p w14:paraId="2DDAA00A" w14:textId="58AA6B32" w:rsidR="00785156" w:rsidRPr="00B172CC" w:rsidRDefault="00785156" w:rsidP="00785156">
      <w:pPr>
        <w:jc w:val="left"/>
        <w:rPr>
          <w:rFonts w:ascii="Arial" w:hAnsi="Arial" w:cs="Arial"/>
          <w:bCs/>
          <w:szCs w:val="24"/>
        </w:rPr>
      </w:pPr>
      <w:r>
        <w:rPr>
          <w:rFonts w:ascii="Arial" w:hAnsi="Arial" w:cs="Arial"/>
          <w:bCs/>
          <w:szCs w:val="24"/>
        </w:rPr>
        <w:t xml:space="preserve">The </w:t>
      </w:r>
      <w:r w:rsidRPr="00B95EB6">
        <w:rPr>
          <w:rFonts w:ascii="Arial" w:hAnsi="Arial" w:cs="Arial"/>
          <w:bCs/>
          <w:szCs w:val="24"/>
        </w:rPr>
        <w:t>IFRS 16 ‘Leases’ accounting standard applies to Kingfisher from 1 February 2019</w:t>
      </w:r>
      <w:r>
        <w:rPr>
          <w:rFonts w:ascii="Arial" w:hAnsi="Arial" w:cs="Arial"/>
          <w:bCs/>
          <w:szCs w:val="24"/>
        </w:rPr>
        <w:t>, replacing the previous standard IAS 17</w:t>
      </w:r>
      <w:r w:rsidRPr="00B95EB6">
        <w:rPr>
          <w:rFonts w:ascii="Arial" w:hAnsi="Arial" w:cs="Arial"/>
          <w:bCs/>
          <w:szCs w:val="24"/>
        </w:rPr>
        <w:t xml:space="preserve">. The Group </w:t>
      </w:r>
      <w:r>
        <w:rPr>
          <w:rFonts w:ascii="Arial" w:hAnsi="Arial" w:cs="Arial"/>
          <w:bCs/>
          <w:szCs w:val="24"/>
        </w:rPr>
        <w:t>has</w:t>
      </w:r>
      <w:r w:rsidRPr="00B95EB6">
        <w:rPr>
          <w:rFonts w:ascii="Arial" w:hAnsi="Arial" w:cs="Arial"/>
          <w:bCs/>
          <w:szCs w:val="24"/>
        </w:rPr>
        <w:t xml:space="preserve"> adopt</w:t>
      </w:r>
      <w:r>
        <w:rPr>
          <w:rFonts w:ascii="Arial" w:hAnsi="Arial" w:cs="Arial"/>
          <w:bCs/>
          <w:szCs w:val="24"/>
        </w:rPr>
        <w:t>ed</w:t>
      </w:r>
      <w:r w:rsidRPr="00B95EB6">
        <w:rPr>
          <w:rFonts w:ascii="Arial" w:hAnsi="Arial" w:cs="Arial"/>
          <w:bCs/>
          <w:szCs w:val="24"/>
        </w:rPr>
        <w:t xml:space="preserve"> the full retrospective transition option and therefore </w:t>
      </w:r>
      <w:r>
        <w:rPr>
          <w:rFonts w:ascii="Arial" w:hAnsi="Arial" w:cs="Arial"/>
          <w:bCs/>
          <w:szCs w:val="24"/>
        </w:rPr>
        <w:t xml:space="preserve">has </w:t>
      </w:r>
      <w:r w:rsidRPr="00B95EB6">
        <w:rPr>
          <w:rFonts w:ascii="Arial" w:hAnsi="Arial" w:cs="Arial"/>
          <w:bCs/>
          <w:szCs w:val="24"/>
        </w:rPr>
        <w:t>restat</w:t>
      </w:r>
      <w:r>
        <w:rPr>
          <w:rFonts w:ascii="Arial" w:hAnsi="Arial" w:cs="Arial"/>
          <w:bCs/>
          <w:szCs w:val="24"/>
        </w:rPr>
        <w:t>ed</w:t>
      </w:r>
      <w:r w:rsidRPr="00B95EB6">
        <w:rPr>
          <w:rFonts w:ascii="Arial" w:hAnsi="Arial" w:cs="Arial"/>
          <w:bCs/>
          <w:szCs w:val="24"/>
        </w:rPr>
        <w:t xml:space="preserve"> comparatives. The half year condensed financial statements in part 2 of this announcement provides fully restated half year and full year comparatives.</w:t>
      </w:r>
    </w:p>
    <w:p w14:paraId="373A6398" w14:textId="77777777" w:rsidR="00785156" w:rsidRDefault="00785156" w:rsidP="00785156">
      <w:pPr>
        <w:jc w:val="left"/>
        <w:rPr>
          <w:rFonts w:ascii="Arial" w:hAnsi="Arial" w:cs="Arial"/>
          <w:bCs/>
          <w:szCs w:val="24"/>
        </w:rPr>
      </w:pPr>
    </w:p>
    <w:p w14:paraId="560B8E64" w14:textId="77777777" w:rsidR="00785156" w:rsidRPr="00B172CC" w:rsidRDefault="00785156" w:rsidP="00785156">
      <w:pPr>
        <w:jc w:val="left"/>
        <w:rPr>
          <w:rFonts w:ascii="Arial" w:hAnsi="Arial" w:cs="Arial"/>
          <w:bCs/>
          <w:szCs w:val="24"/>
        </w:rPr>
      </w:pPr>
      <w:r w:rsidRPr="00B172CC">
        <w:rPr>
          <w:rFonts w:ascii="Arial" w:hAnsi="Arial" w:cs="Arial"/>
          <w:bCs/>
          <w:szCs w:val="24"/>
        </w:rPr>
        <w:t xml:space="preserve">A reminder of the nature of the principal impacts is provided below. </w:t>
      </w:r>
    </w:p>
    <w:p w14:paraId="146279CF" w14:textId="75F3D0C7" w:rsidR="00785156" w:rsidRDefault="00785156" w:rsidP="00785156">
      <w:pPr>
        <w:jc w:val="left"/>
        <w:rPr>
          <w:rFonts w:ascii="Arial" w:hAnsi="Arial" w:cs="Arial"/>
          <w:bCs/>
          <w:szCs w:val="24"/>
        </w:rPr>
      </w:pPr>
    </w:p>
    <w:p w14:paraId="259D57B5" w14:textId="2715EA7C" w:rsidR="00B909A5" w:rsidRDefault="00B909A5" w:rsidP="00785156">
      <w:pPr>
        <w:jc w:val="left"/>
        <w:rPr>
          <w:rFonts w:ascii="Arial" w:hAnsi="Arial" w:cs="Arial"/>
          <w:bCs/>
          <w:szCs w:val="24"/>
        </w:rPr>
      </w:pPr>
    </w:p>
    <w:p w14:paraId="0ED15910" w14:textId="41FBAF7B" w:rsidR="00B909A5" w:rsidRDefault="00B909A5" w:rsidP="00785156">
      <w:pPr>
        <w:jc w:val="left"/>
        <w:rPr>
          <w:rFonts w:ascii="Arial" w:hAnsi="Arial" w:cs="Arial"/>
          <w:bCs/>
          <w:szCs w:val="24"/>
        </w:rPr>
      </w:pPr>
    </w:p>
    <w:p w14:paraId="20E7A7C2" w14:textId="77777777" w:rsidR="00785156" w:rsidRDefault="00785156" w:rsidP="00785156">
      <w:pPr>
        <w:jc w:val="left"/>
        <w:rPr>
          <w:rFonts w:ascii="Arial" w:hAnsi="Arial" w:cs="Arial"/>
          <w:b/>
          <w:szCs w:val="24"/>
        </w:rPr>
      </w:pPr>
      <w:r w:rsidRPr="00CB6F52">
        <w:rPr>
          <w:rFonts w:ascii="Arial" w:hAnsi="Arial" w:cs="Arial"/>
          <w:b/>
          <w:szCs w:val="24"/>
        </w:rPr>
        <w:t>Lessee accounting</w:t>
      </w:r>
    </w:p>
    <w:p w14:paraId="721B81BC" w14:textId="77777777" w:rsidR="00785156" w:rsidRPr="00CB6F52" w:rsidRDefault="00785156" w:rsidP="00785156">
      <w:pPr>
        <w:jc w:val="left"/>
        <w:rPr>
          <w:rFonts w:ascii="Arial" w:hAnsi="Arial" w:cs="Arial"/>
          <w:b/>
          <w:szCs w:val="24"/>
        </w:rPr>
      </w:pPr>
    </w:p>
    <w:p w14:paraId="244CF558" w14:textId="77777777" w:rsidR="00785156" w:rsidRPr="00B172CC" w:rsidRDefault="00785156" w:rsidP="00785156">
      <w:pPr>
        <w:jc w:val="left"/>
        <w:rPr>
          <w:rFonts w:ascii="Arial" w:hAnsi="Arial" w:cs="Arial"/>
          <w:bCs/>
          <w:szCs w:val="24"/>
        </w:rPr>
      </w:pPr>
      <w:r w:rsidRPr="00B95EB6">
        <w:rPr>
          <w:rFonts w:ascii="Arial" w:hAnsi="Arial" w:cs="Arial"/>
          <w:bCs/>
          <w:szCs w:val="24"/>
        </w:rPr>
        <w:t>For operating leases in which the Group is a lessee, the Group recognises a new right-of-use asset and a new lease liability for its leases of properties and equipment assets. Finance leases</w:t>
      </w:r>
      <w:r>
        <w:rPr>
          <w:rFonts w:ascii="Arial" w:hAnsi="Arial" w:cs="Arial"/>
          <w:bCs/>
          <w:szCs w:val="24"/>
        </w:rPr>
        <w:t>, rent prepayments and accruals,</w:t>
      </w:r>
      <w:r w:rsidRPr="00B95EB6">
        <w:rPr>
          <w:rFonts w:ascii="Arial" w:hAnsi="Arial" w:cs="Arial"/>
          <w:bCs/>
          <w:szCs w:val="24"/>
        </w:rPr>
        <w:t xml:space="preserve"> and onerous lease provisions for rental charges are derecognised under IFRS 16. Under IFRS 16 the income statement expense comprises a straight-line depreciation charge on the right-of-use asset and a front-loaded interest charge on the lease liability, both over the term of the lease. For an individual lease, this provides an overall front-loaded expense profile compared with the straight-line rental charge recognised under IAS 17. The historical discount rates applied have been based on the incremental borrowing rate where the implicit rate in the lease is not readily determinable. The lease term comprises the non-cancellable lease term, in addition to optional periods when the Group is reasonably certain to exercise an option to extend (or not to terminate) a lease.</w:t>
      </w:r>
    </w:p>
    <w:p w14:paraId="376D081C" w14:textId="77777777" w:rsidR="00785156" w:rsidRDefault="00785156" w:rsidP="00785156">
      <w:pPr>
        <w:jc w:val="left"/>
        <w:rPr>
          <w:rFonts w:ascii="Arial" w:hAnsi="Arial" w:cs="Arial"/>
          <w:bCs/>
          <w:szCs w:val="24"/>
        </w:rPr>
      </w:pPr>
    </w:p>
    <w:p w14:paraId="6CDCFD86" w14:textId="77777777" w:rsidR="00785156" w:rsidRPr="00CB6F52" w:rsidRDefault="00785156" w:rsidP="00785156">
      <w:pPr>
        <w:jc w:val="left"/>
        <w:rPr>
          <w:rFonts w:ascii="Arial" w:hAnsi="Arial" w:cs="Arial"/>
          <w:b/>
          <w:szCs w:val="24"/>
        </w:rPr>
      </w:pPr>
      <w:r w:rsidRPr="00CB6F52">
        <w:rPr>
          <w:rFonts w:ascii="Arial" w:hAnsi="Arial" w:cs="Arial"/>
          <w:b/>
          <w:szCs w:val="24"/>
        </w:rPr>
        <w:t>Lessor accounting</w:t>
      </w:r>
    </w:p>
    <w:p w14:paraId="74F6F856" w14:textId="77777777" w:rsidR="00785156" w:rsidRDefault="00785156" w:rsidP="00785156">
      <w:pPr>
        <w:jc w:val="left"/>
        <w:rPr>
          <w:rFonts w:ascii="Arial" w:hAnsi="Arial" w:cs="Arial"/>
          <w:bCs/>
          <w:szCs w:val="24"/>
        </w:rPr>
      </w:pPr>
    </w:p>
    <w:p w14:paraId="41A1E26B" w14:textId="316FD580" w:rsidR="00785156" w:rsidRPr="00B172CC" w:rsidRDefault="00785156" w:rsidP="00785156">
      <w:pPr>
        <w:jc w:val="left"/>
        <w:rPr>
          <w:rFonts w:ascii="Arial" w:hAnsi="Arial" w:cs="Arial"/>
          <w:bCs/>
          <w:szCs w:val="24"/>
        </w:rPr>
      </w:pPr>
      <w:r>
        <w:rPr>
          <w:rFonts w:ascii="Arial" w:hAnsi="Arial" w:cs="Arial"/>
          <w:bCs/>
          <w:szCs w:val="24"/>
        </w:rPr>
        <w:t>There are n</w:t>
      </w:r>
      <w:r w:rsidRPr="00B95EB6">
        <w:rPr>
          <w:rFonts w:ascii="Arial" w:hAnsi="Arial" w:cs="Arial"/>
          <w:bCs/>
          <w:szCs w:val="24"/>
        </w:rPr>
        <w:t>o significant impact</w:t>
      </w:r>
      <w:r>
        <w:rPr>
          <w:rFonts w:ascii="Arial" w:hAnsi="Arial" w:cs="Arial"/>
          <w:bCs/>
          <w:szCs w:val="24"/>
        </w:rPr>
        <w:t>s</w:t>
      </w:r>
      <w:r w:rsidRPr="00B95EB6">
        <w:rPr>
          <w:rFonts w:ascii="Arial" w:hAnsi="Arial" w:cs="Arial"/>
          <w:bCs/>
          <w:szCs w:val="24"/>
        </w:rPr>
        <w:t xml:space="preserve"> for leases in which the Group is a lessor. Where the Group subleases assets, it is determined whether the sublease should be classified as an operating lease or a finance lease, with reference to the right-of-use asset (not the underlying asset as per IAS 17).</w:t>
      </w:r>
    </w:p>
    <w:p w14:paraId="7A78015A" w14:textId="77777777" w:rsidR="00785156" w:rsidRDefault="00785156" w:rsidP="00785156">
      <w:pPr>
        <w:jc w:val="left"/>
        <w:rPr>
          <w:rFonts w:ascii="Arial" w:hAnsi="Arial" w:cs="Arial"/>
          <w:bCs/>
          <w:szCs w:val="24"/>
        </w:rPr>
      </w:pPr>
    </w:p>
    <w:p w14:paraId="68D8DBC5" w14:textId="2A5E6D63" w:rsidR="00785156" w:rsidRDefault="00785156" w:rsidP="00785156">
      <w:pPr>
        <w:jc w:val="left"/>
        <w:rPr>
          <w:rFonts w:ascii="Arial" w:hAnsi="Arial" w:cs="Arial"/>
          <w:b/>
          <w:szCs w:val="24"/>
        </w:rPr>
      </w:pPr>
      <w:r>
        <w:rPr>
          <w:rFonts w:ascii="Arial" w:hAnsi="Arial" w:cs="Arial"/>
          <w:b/>
          <w:szCs w:val="24"/>
        </w:rPr>
        <w:t>Impacts of adopting IFRS 16</w:t>
      </w:r>
    </w:p>
    <w:p w14:paraId="6273FAFE" w14:textId="77777777" w:rsidR="00785156" w:rsidRPr="00CB6F52" w:rsidRDefault="00785156" w:rsidP="00785156">
      <w:pPr>
        <w:jc w:val="left"/>
        <w:rPr>
          <w:rFonts w:ascii="Arial" w:hAnsi="Arial" w:cs="Arial"/>
          <w:b/>
          <w:szCs w:val="24"/>
        </w:rPr>
      </w:pPr>
    </w:p>
    <w:p w14:paraId="1670C7BB" w14:textId="4285A052"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 xml:space="preserve">No impact on </w:t>
      </w:r>
      <w:r>
        <w:rPr>
          <w:rFonts w:ascii="Arial" w:eastAsia="Times New Roman" w:hAnsi="Arial" w:cs="Arial"/>
        </w:rPr>
        <w:t>the Group’s</w:t>
      </w:r>
      <w:r w:rsidRPr="00B56D28">
        <w:rPr>
          <w:rFonts w:ascii="Arial" w:eastAsia="Times New Roman" w:hAnsi="Arial" w:cs="Arial"/>
        </w:rPr>
        <w:t xml:space="preserve"> underlying economics, cash</w:t>
      </w:r>
      <w:r w:rsidR="001D1D93">
        <w:rPr>
          <w:rFonts w:ascii="Arial" w:eastAsia="Times New Roman" w:hAnsi="Arial" w:cs="Arial"/>
        </w:rPr>
        <w:t xml:space="preserve"> </w:t>
      </w:r>
      <w:r w:rsidRPr="00B56D28">
        <w:rPr>
          <w:rFonts w:ascii="Arial" w:eastAsia="Times New Roman" w:hAnsi="Arial" w:cs="Arial"/>
        </w:rPr>
        <w:t>flows or ability to pay dividends.</w:t>
      </w:r>
    </w:p>
    <w:p w14:paraId="7FAB0228" w14:textId="77777777"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 xml:space="preserve">IFRS 16 impact </w:t>
      </w:r>
      <w:r>
        <w:rPr>
          <w:rFonts w:ascii="Arial" w:eastAsia="Times New Roman" w:hAnsi="Arial" w:cs="Arial"/>
        </w:rPr>
        <w:t xml:space="preserve">is </w:t>
      </w:r>
      <w:r w:rsidRPr="00B56D28">
        <w:rPr>
          <w:rFonts w:ascii="Arial" w:eastAsia="Times New Roman" w:hAnsi="Arial" w:cs="Arial"/>
        </w:rPr>
        <w:t xml:space="preserve">driven by the UK lease portfolio, given </w:t>
      </w:r>
      <w:r>
        <w:rPr>
          <w:rFonts w:ascii="Arial" w:eastAsia="Times New Roman" w:hAnsi="Arial" w:cs="Arial"/>
        </w:rPr>
        <w:t xml:space="preserve">a </w:t>
      </w:r>
      <w:r w:rsidRPr="00B56D28">
        <w:rPr>
          <w:rFonts w:ascii="Arial" w:eastAsia="Times New Roman" w:hAnsi="Arial" w:cs="Arial"/>
        </w:rPr>
        <w:t>much higher proportion of leased stores than other geographies.</w:t>
      </w:r>
    </w:p>
    <w:p w14:paraId="5E7EC5B2" w14:textId="77777777"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No impact on sales.</w:t>
      </w:r>
    </w:p>
    <w:p w14:paraId="40731F98" w14:textId="77777777"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Increase in retail profit across all operating companies driven by the elimination of IAS 17 rental expenses, only partially offset by the recognition of depreciation on IFRS 16 right-of-use assets.</w:t>
      </w:r>
    </w:p>
    <w:p w14:paraId="1B8FF392" w14:textId="5B7DD347"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Recognition of interest charge on IFRS 16 lease liabilities results in a broadly neutral overall impact on underlying and adjusted pre-tax profits.</w:t>
      </w:r>
    </w:p>
    <w:p w14:paraId="7C7FEA59" w14:textId="051F2D41"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Exceptional</w:t>
      </w:r>
      <w:r>
        <w:rPr>
          <w:rFonts w:ascii="Arial" w:eastAsia="Times New Roman" w:hAnsi="Arial" w:cs="Arial"/>
        </w:rPr>
        <w:t xml:space="preserve"> items</w:t>
      </w:r>
      <w:r w:rsidRPr="00B56D28">
        <w:rPr>
          <w:rFonts w:ascii="Arial" w:eastAsia="Times New Roman" w:hAnsi="Arial" w:cs="Arial"/>
        </w:rPr>
        <w:t xml:space="preserve"> have been impacted by right-of-use asset impairments under IFRS 16 replacing onerous lease rental provisions under IAS 17.</w:t>
      </w:r>
    </w:p>
    <w:p w14:paraId="524E4F05" w14:textId="77777777" w:rsidR="00785156" w:rsidRDefault="00785156" w:rsidP="00785156">
      <w:pPr>
        <w:pStyle w:val="ListParagraph"/>
        <w:numPr>
          <w:ilvl w:val="0"/>
          <w:numId w:val="6"/>
        </w:numPr>
        <w:contextualSpacing/>
        <w:jc w:val="left"/>
        <w:rPr>
          <w:rFonts w:ascii="Arial" w:eastAsia="Times New Roman" w:hAnsi="Arial" w:cs="Arial"/>
        </w:rPr>
      </w:pPr>
      <w:r>
        <w:rPr>
          <w:rFonts w:ascii="Arial" w:eastAsia="Times New Roman" w:hAnsi="Arial" w:cs="Arial"/>
        </w:rPr>
        <w:t>Adjusted effective tax rate remains broadly unchanged.</w:t>
      </w:r>
    </w:p>
    <w:p w14:paraId="213A41DE" w14:textId="75EBB911"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 xml:space="preserve">Adjusted and underlying EPS impacts are broadly neutral, reflecting similar impacts on </w:t>
      </w:r>
      <w:r w:rsidR="001D1D93">
        <w:rPr>
          <w:rFonts w:ascii="Arial" w:eastAsia="Times New Roman" w:hAnsi="Arial" w:cs="Arial"/>
        </w:rPr>
        <w:t xml:space="preserve">adjusted and </w:t>
      </w:r>
      <w:r w:rsidRPr="00B56D28">
        <w:rPr>
          <w:rFonts w:ascii="Arial" w:eastAsia="Times New Roman" w:hAnsi="Arial" w:cs="Arial"/>
        </w:rPr>
        <w:t>underlying earnings. Basic EPS is impacted by the change, after exceptional items, in statutory post-tax profits.</w:t>
      </w:r>
    </w:p>
    <w:p w14:paraId="52FDAD53" w14:textId="77777777"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No change to reported cash and cash equivalents and net movement in these.</w:t>
      </w:r>
    </w:p>
    <w:p w14:paraId="68EF3486" w14:textId="77777777" w:rsidR="00785156" w:rsidRPr="00B56D28" w:rsidRDefault="00785156" w:rsidP="00785156">
      <w:pPr>
        <w:pStyle w:val="ListParagraph"/>
        <w:numPr>
          <w:ilvl w:val="0"/>
          <w:numId w:val="6"/>
        </w:numPr>
        <w:contextualSpacing/>
        <w:jc w:val="left"/>
        <w:rPr>
          <w:rFonts w:ascii="Arial" w:eastAsia="Times New Roman" w:hAnsi="Arial" w:cs="Arial"/>
        </w:rPr>
      </w:pPr>
      <w:r w:rsidRPr="00B56D28">
        <w:rPr>
          <w:rFonts w:ascii="Arial" w:eastAsia="Times New Roman" w:hAnsi="Arial" w:cs="Arial"/>
        </w:rPr>
        <w:t>Presentational changes to the cash flow statement principally comprise the reclassification of rent paid from operating profit to separate rental payment lines.</w:t>
      </w:r>
    </w:p>
    <w:p w14:paraId="3BBEDDAF" w14:textId="1817BDA7" w:rsidR="00785156" w:rsidRPr="00B56D28" w:rsidRDefault="00785156" w:rsidP="00785156">
      <w:pPr>
        <w:pStyle w:val="ListParagraph"/>
        <w:numPr>
          <w:ilvl w:val="0"/>
          <w:numId w:val="6"/>
        </w:numPr>
        <w:contextualSpacing/>
        <w:jc w:val="left"/>
        <w:rPr>
          <w:rFonts w:ascii="Arial" w:eastAsia="Times New Roman" w:hAnsi="Arial" w:cs="Arial"/>
        </w:rPr>
      </w:pPr>
      <w:r>
        <w:rPr>
          <w:rFonts w:ascii="Arial" w:eastAsia="Times New Roman" w:hAnsi="Arial" w:cs="Arial"/>
        </w:rPr>
        <w:t>N</w:t>
      </w:r>
      <w:r w:rsidRPr="00B56D28">
        <w:rPr>
          <w:rFonts w:ascii="Arial" w:eastAsia="Times New Roman" w:hAnsi="Arial" w:cs="Arial"/>
        </w:rPr>
        <w:t>et debt increases significantly with the inclusion of IFRS 16 lease liabilities, replacing IAS 17 finance lease liabilities</w:t>
      </w:r>
      <w:r>
        <w:rPr>
          <w:rFonts w:ascii="Arial" w:eastAsia="Times New Roman" w:hAnsi="Arial" w:cs="Arial"/>
        </w:rPr>
        <w:t>. The ratio of net debt to EBITDA (‘lease adjusted net debt to EBITDAR’ under IAS 17) reduces due to lower lease liabilities than the previous 8x rent assumption.</w:t>
      </w:r>
    </w:p>
    <w:p w14:paraId="244B56B9" w14:textId="77777777" w:rsidR="00785156" w:rsidRDefault="00785156" w:rsidP="00785156">
      <w:pPr>
        <w:jc w:val="left"/>
        <w:rPr>
          <w:rFonts w:ascii="Arial" w:eastAsia="Times New Roman" w:hAnsi="Arial" w:cs="Arial"/>
          <w:i/>
          <w:iCs/>
        </w:rPr>
      </w:pPr>
    </w:p>
    <w:p w14:paraId="4E3DB5BA" w14:textId="661801AA" w:rsidR="00B172CC" w:rsidRDefault="00785156" w:rsidP="004B0C6D">
      <w:pPr>
        <w:jc w:val="left"/>
        <w:rPr>
          <w:rFonts w:ascii="Arial" w:hAnsi="Arial" w:cs="Arial"/>
          <w:b/>
          <w:szCs w:val="24"/>
        </w:rPr>
      </w:pPr>
      <w:r w:rsidRPr="00B56D28">
        <w:rPr>
          <w:rFonts w:ascii="Arial" w:eastAsia="Times New Roman" w:hAnsi="Arial" w:cs="Arial"/>
        </w:rPr>
        <w:t>Refer to note 18 of the half year condensed financial statements (in part 2 of this announcement) for detailed restatement tables and associated commentary.</w:t>
      </w:r>
    </w:p>
    <w:bookmarkEnd w:id="63"/>
    <w:p w14:paraId="22CF12BA" w14:textId="77777777" w:rsidR="0042530E" w:rsidRDefault="0042530E" w:rsidP="004B0C6D">
      <w:pPr>
        <w:jc w:val="left"/>
        <w:rPr>
          <w:rFonts w:ascii="Arial" w:hAnsi="Arial" w:cs="Arial"/>
          <w:b/>
          <w:szCs w:val="24"/>
        </w:rPr>
      </w:pPr>
    </w:p>
    <w:p w14:paraId="16FAB943" w14:textId="77777777" w:rsidR="0042530E" w:rsidRDefault="0042530E" w:rsidP="004B0C6D">
      <w:pPr>
        <w:jc w:val="left"/>
        <w:rPr>
          <w:rFonts w:ascii="Arial" w:hAnsi="Arial" w:cs="Arial"/>
          <w:b/>
          <w:szCs w:val="24"/>
        </w:rPr>
      </w:pPr>
    </w:p>
    <w:p w14:paraId="7F6B87E7" w14:textId="77777777" w:rsidR="0042530E" w:rsidRDefault="0042530E" w:rsidP="004B0C6D">
      <w:pPr>
        <w:jc w:val="left"/>
        <w:rPr>
          <w:rFonts w:ascii="Arial" w:hAnsi="Arial" w:cs="Arial"/>
          <w:b/>
          <w:szCs w:val="24"/>
        </w:rPr>
      </w:pPr>
    </w:p>
    <w:p w14:paraId="7FDA2EEB" w14:textId="77777777" w:rsidR="00D4798A" w:rsidRDefault="00D4798A">
      <w:pPr>
        <w:jc w:val="left"/>
        <w:rPr>
          <w:rFonts w:ascii="Arial" w:hAnsi="Arial" w:cs="Arial"/>
          <w:b/>
          <w:szCs w:val="24"/>
        </w:rPr>
      </w:pPr>
      <w:r>
        <w:rPr>
          <w:rFonts w:ascii="Arial" w:hAnsi="Arial" w:cs="Arial"/>
          <w:b/>
          <w:szCs w:val="24"/>
        </w:rPr>
        <w:br w:type="page"/>
      </w:r>
    </w:p>
    <w:p w14:paraId="190B7986" w14:textId="7B5B7D13" w:rsidR="000754C8" w:rsidRPr="00AC598B" w:rsidRDefault="000754C8" w:rsidP="004B0C6D">
      <w:pPr>
        <w:jc w:val="left"/>
        <w:rPr>
          <w:rFonts w:ascii="Arial" w:hAnsi="Arial" w:cs="Arial"/>
          <w:b/>
          <w:szCs w:val="24"/>
        </w:rPr>
      </w:pPr>
      <w:r w:rsidRPr="00C61B26">
        <w:rPr>
          <w:rFonts w:ascii="Arial" w:hAnsi="Arial" w:cs="Arial"/>
          <w:b/>
          <w:szCs w:val="24"/>
        </w:rPr>
        <w:t>Risks</w:t>
      </w:r>
      <w:r w:rsidR="00600B8D">
        <w:rPr>
          <w:rFonts w:ascii="Arial" w:hAnsi="Arial" w:cs="Arial"/>
          <w:b/>
          <w:szCs w:val="24"/>
        </w:rPr>
        <w:t xml:space="preserve"> </w:t>
      </w:r>
    </w:p>
    <w:p w14:paraId="6841C9F7" w14:textId="77777777" w:rsidR="000754C8" w:rsidRPr="00AC598B" w:rsidRDefault="000754C8" w:rsidP="004B0C6D">
      <w:pPr>
        <w:jc w:val="left"/>
        <w:rPr>
          <w:rFonts w:ascii="Arial" w:hAnsi="Arial" w:cs="Arial"/>
          <w:szCs w:val="24"/>
        </w:rPr>
      </w:pPr>
    </w:p>
    <w:p w14:paraId="3E662C99" w14:textId="2CC6CF3C" w:rsidR="0028545D" w:rsidRPr="00125360" w:rsidRDefault="0060577B" w:rsidP="00614936">
      <w:pPr>
        <w:pStyle w:val="Default"/>
        <w:rPr>
          <w:rFonts w:ascii="Arial" w:hAnsi="Arial" w:cs="Arial"/>
          <w:color w:val="auto"/>
          <w:sz w:val="20"/>
        </w:rPr>
      </w:pPr>
      <w:bookmarkStart w:id="64" w:name="_Hlk492042322"/>
      <w:bookmarkStart w:id="65" w:name="_Hlk491332538"/>
      <w:r w:rsidRPr="009F71DB">
        <w:rPr>
          <w:rFonts w:ascii="Arial" w:hAnsi="Arial"/>
          <w:sz w:val="22"/>
        </w:rPr>
        <w:t>The principal risks and uncertainties have been reviewed as part of our half year procedures and are listed below:</w:t>
      </w:r>
      <w:r w:rsidRPr="00125360">
        <w:rPr>
          <w:rFonts w:ascii="Arial" w:hAnsi="Arial" w:cs="Arial"/>
          <w:sz w:val="22"/>
        </w:rPr>
        <w:t xml:space="preserve"> </w:t>
      </w:r>
      <w:bookmarkEnd w:id="64"/>
    </w:p>
    <w:p w14:paraId="381A367E" w14:textId="65FF2463" w:rsidR="00656017" w:rsidRDefault="00656017" w:rsidP="009F71DB">
      <w:pPr>
        <w:jc w:val="left"/>
        <w:rPr>
          <w:rFonts w:ascii="Arial" w:hAnsi="Arial" w:cs="Arial"/>
          <w:bCs/>
          <w:szCs w:val="24"/>
        </w:rPr>
      </w:pPr>
    </w:p>
    <w:p w14:paraId="12F44F59" w14:textId="641D8DD4" w:rsidR="00125360" w:rsidRPr="00125360" w:rsidRDefault="00125360" w:rsidP="00614936">
      <w:pPr>
        <w:jc w:val="left"/>
        <w:rPr>
          <w:rFonts w:ascii="Arial" w:hAnsi="Arial" w:cs="Arial"/>
          <w:bCs/>
          <w:szCs w:val="24"/>
        </w:rPr>
      </w:pPr>
      <w:r w:rsidRPr="00125360">
        <w:rPr>
          <w:rFonts w:ascii="Arial" w:hAnsi="Arial" w:cs="Arial"/>
          <w:bCs/>
          <w:szCs w:val="24"/>
        </w:rPr>
        <w:t>Level and impact of change</w:t>
      </w:r>
      <w:r>
        <w:rPr>
          <w:rFonts w:ascii="Arial" w:hAnsi="Arial" w:cs="Arial"/>
          <w:bCs/>
          <w:szCs w:val="24"/>
        </w:rPr>
        <w:t xml:space="preserve">: </w:t>
      </w:r>
      <w:r w:rsidR="00D60D3C">
        <w:rPr>
          <w:rFonts w:ascii="Arial" w:hAnsi="Arial" w:cs="Arial"/>
          <w:bCs/>
          <w:szCs w:val="24"/>
        </w:rPr>
        <w:t>A</w:t>
      </w:r>
      <w:r w:rsidRPr="00125360">
        <w:rPr>
          <w:rFonts w:ascii="Arial" w:hAnsi="Arial" w:cs="Arial"/>
          <w:bCs/>
          <w:szCs w:val="24"/>
        </w:rPr>
        <w:t>s our transformation to ONE Kingfisher progresses, we are continuing to carry out several significant projects across the Group. The scope and pace of our transformation may disrupt our business activities.</w:t>
      </w:r>
    </w:p>
    <w:p w14:paraId="4194D2B0" w14:textId="77777777" w:rsidR="00125360" w:rsidRPr="00125360" w:rsidRDefault="00125360" w:rsidP="00614936">
      <w:pPr>
        <w:jc w:val="left"/>
        <w:rPr>
          <w:rFonts w:ascii="Arial" w:hAnsi="Arial" w:cs="Arial"/>
          <w:bCs/>
          <w:szCs w:val="24"/>
        </w:rPr>
      </w:pPr>
    </w:p>
    <w:p w14:paraId="54C36679" w14:textId="18EE139F" w:rsidR="00125360" w:rsidRPr="00125360" w:rsidRDefault="00125360" w:rsidP="00614936">
      <w:pPr>
        <w:jc w:val="left"/>
        <w:rPr>
          <w:rFonts w:ascii="Arial" w:hAnsi="Arial" w:cs="Arial"/>
          <w:bCs/>
          <w:szCs w:val="24"/>
        </w:rPr>
      </w:pPr>
      <w:r w:rsidRPr="00125360">
        <w:rPr>
          <w:rFonts w:ascii="Arial" w:hAnsi="Arial" w:cs="Arial"/>
          <w:bCs/>
          <w:szCs w:val="24"/>
        </w:rPr>
        <w:t>Technology Delivery</w:t>
      </w:r>
      <w:r>
        <w:rPr>
          <w:rFonts w:ascii="Arial" w:hAnsi="Arial" w:cs="Arial"/>
          <w:bCs/>
          <w:szCs w:val="24"/>
        </w:rPr>
        <w:t xml:space="preserve">: </w:t>
      </w:r>
      <w:r w:rsidRPr="00125360">
        <w:rPr>
          <w:rFonts w:ascii="Arial" w:hAnsi="Arial" w:cs="Arial"/>
          <w:bCs/>
          <w:szCs w:val="24"/>
        </w:rPr>
        <w:t xml:space="preserve">Technology is key to enabling our strategy, meeting customer needs and growing the business. Our unified IT platform is designed to deliver our requirements </w:t>
      </w:r>
      <w:r w:rsidR="00285C9B">
        <w:rPr>
          <w:rFonts w:ascii="Arial" w:hAnsi="Arial" w:cs="Arial"/>
          <w:bCs/>
          <w:szCs w:val="24"/>
        </w:rPr>
        <w:t xml:space="preserve">in </w:t>
      </w:r>
      <w:r w:rsidRPr="00125360">
        <w:rPr>
          <w:rFonts w:ascii="Arial" w:hAnsi="Arial" w:cs="Arial"/>
          <w:bCs/>
          <w:szCs w:val="24"/>
        </w:rPr>
        <w:t>order to support the strategy. Failure to do this may impact the anticipated benefits and disrupt the underlying business.</w:t>
      </w:r>
    </w:p>
    <w:p w14:paraId="673F1ED9" w14:textId="77777777" w:rsidR="00125360" w:rsidRPr="00125360" w:rsidRDefault="00125360" w:rsidP="00614936">
      <w:pPr>
        <w:jc w:val="left"/>
        <w:rPr>
          <w:rFonts w:ascii="Arial" w:hAnsi="Arial" w:cs="Arial"/>
          <w:bCs/>
          <w:szCs w:val="24"/>
        </w:rPr>
      </w:pPr>
    </w:p>
    <w:p w14:paraId="470D1552" w14:textId="40CCB11F" w:rsidR="00125360" w:rsidRPr="00125360" w:rsidRDefault="00125360" w:rsidP="00614936">
      <w:pPr>
        <w:jc w:val="left"/>
        <w:rPr>
          <w:rFonts w:ascii="Arial" w:hAnsi="Arial" w:cs="Arial"/>
          <w:bCs/>
          <w:szCs w:val="24"/>
        </w:rPr>
      </w:pPr>
      <w:r w:rsidRPr="00125360">
        <w:rPr>
          <w:rFonts w:ascii="Arial" w:hAnsi="Arial" w:cs="Arial"/>
          <w:bCs/>
          <w:szCs w:val="24"/>
        </w:rPr>
        <w:t>Unifying our offer and processes</w:t>
      </w:r>
      <w:r>
        <w:rPr>
          <w:rFonts w:ascii="Arial" w:hAnsi="Arial" w:cs="Arial"/>
          <w:bCs/>
          <w:szCs w:val="24"/>
        </w:rPr>
        <w:t xml:space="preserve">: </w:t>
      </w:r>
      <w:r w:rsidRPr="00125360">
        <w:rPr>
          <w:rFonts w:ascii="Arial" w:hAnsi="Arial" w:cs="Arial"/>
          <w:bCs/>
          <w:szCs w:val="24"/>
        </w:rPr>
        <w:t>We aim to offer customers a product range which is differentiated from that of our competitors through innovation, exclusivity and affordability. We are unifying our offer and standardising our activities and processes. This is a large and complex project therefore there is a risk of not executing this across the Group and delivering the projected benefits.</w:t>
      </w:r>
    </w:p>
    <w:p w14:paraId="5BF7D5B6" w14:textId="77777777" w:rsidR="00125360" w:rsidRPr="00125360" w:rsidRDefault="00125360" w:rsidP="00614936">
      <w:pPr>
        <w:jc w:val="left"/>
        <w:rPr>
          <w:rFonts w:ascii="Arial" w:hAnsi="Arial" w:cs="Arial"/>
          <w:bCs/>
          <w:szCs w:val="24"/>
        </w:rPr>
      </w:pPr>
    </w:p>
    <w:p w14:paraId="075E1B5C" w14:textId="7797C54F" w:rsidR="00125360" w:rsidRPr="00125360" w:rsidRDefault="00125360" w:rsidP="00614936">
      <w:pPr>
        <w:jc w:val="left"/>
        <w:rPr>
          <w:rFonts w:ascii="Arial" w:hAnsi="Arial" w:cs="Arial"/>
          <w:bCs/>
          <w:szCs w:val="24"/>
        </w:rPr>
      </w:pPr>
      <w:r w:rsidRPr="00125360">
        <w:rPr>
          <w:rFonts w:ascii="Arial" w:hAnsi="Arial" w:cs="Arial"/>
          <w:bCs/>
          <w:szCs w:val="24"/>
        </w:rPr>
        <w:t>Channel Development</w:t>
      </w:r>
      <w:r>
        <w:rPr>
          <w:rFonts w:ascii="Arial" w:hAnsi="Arial" w:cs="Arial"/>
          <w:bCs/>
          <w:szCs w:val="24"/>
        </w:rPr>
        <w:t xml:space="preserve">: </w:t>
      </w:r>
      <w:r w:rsidRPr="00125360">
        <w:rPr>
          <w:rFonts w:ascii="Arial" w:hAnsi="Arial" w:cs="Arial"/>
          <w:bCs/>
          <w:szCs w:val="24"/>
        </w:rPr>
        <w:t>As consumer preferences continue to change, we must ensure we create and deliver a strong and agile infrastructure including supply chain and logistics capabilities, an optimised property portfolio and innovative digital channels. This will enable us to keep pace with changing consumer behaviours and our competitors to be able to stimulate spend and deliver the desired sales growth.</w:t>
      </w:r>
    </w:p>
    <w:p w14:paraId="404C48FA" w14:textId="77777777" w:rsidR="00125360" w:rsidRPr="00125360" w:rsidRDefault="00125360" w:rsidP="00614936">
      <w:pPr>
        <w:jc w:val="left"/>
        <w:rPr>
          <w:rFonts w:ascii="Arial" w:hAnsi="Arial" w:cs="Arial"/>
          <w:bCs/>
          <w:szCs w:val="24"/>
        </w:rPr>
      </w:pPr>
    </w:p>
    <w:p w14:paraId="77A4D0B9" w14:textId="2E300FA7" w:rsidR="00125360" w:rsidRPr="00125360" w:rsidRDefault="00125360" w:rsidP="00614936">
      <w:pPr>
        <w:jc w:val="left"/>
        <w:rPr>
          <w:rFonts w:ascii="Arial" w:hAnsi="Arial" w:cs="Arial"/>
          <w:bCs/>
          <w:szCs w:val="24"/>
        </w:rPr>
      </w:pPr>
      <w:r w:rsidRPr="00125360">
        <w:rPr>
          <w:rFonts w:ascii="Arial" w:hAnsi="Arial" w:cs="Arial"/>
          <w:bCs/>
          <w:szCs w:val="24"/>
        </w:rPr>
        <w:t>Attracting, retaining and investing in our People Capability</w:t>
      </w:r>
      <w:r>
        <w:rPr>
          <w:rFonts w:ascii="Arial" w:hAnsi="Arial" w:cs="Arial"/>
          <w:bCs/>
          <w:szCs w:val="24"/>
        </w:rPr>
        <w:t xml:space="preserve">: </w:t>
      </w:r>
      <w:r w:rsidRPr="00125360">
        <w:rPr>
          <w:rFonts w:ascii="Arial" w:hAnsi="Arial" w:cs="Arial"/>
          <w:bCs/>
          <w:szCs w:val="24"/>
        </w:rPr>
        <w:t>Our colleagues are critical to the successful delivery of our strategy and business. We must ensure we take steps to retain and attract talent to the company and make the necessary investment in our people to ensure that we have the appropriate capacity, skills and capabilities.</w:t>
      </w:r>
    </w:p>
    <w:p w14:paraId="08E82F30" w14:textId="77777777" w:rsidR="00125360" w:rsidRPr="00125360" w:rsidRDefault="00125360" w:rsidP="00614936">
      <w:pPr>
        <w:jc w:val="left"/>
        <w:rPr>
          <w:rFonts w:ascii="Arial" w:hAnsi="Arial" w:cs="Arial"/>
          <w:bCs/>
          <w:szCs w:val="24"/>
        </w:rPr>
      </w:pPr>
    </w:p>
    <w:p w14:paraId="558C7593" w14:textId="55207D42" w:rsidR="00125360" w:rsidRPr="00125360" w:rsidRDefault="00125360" w:rsidP="00614936">
      <w:pPr>
        <w:jc w:val="left"/>
        <w:rPr>
          <w:rFonts w:ascii="Arial" w:hAnsi="Arial" w:cs="Arial"/>
          <w:bCs/>
          <w:szCs w:val="24"/>
        </w:rPr>
      </w:pPr>
      <w:r w:rsidRPr="00125360">
        <w:rPr>
          <w:rFonts w:ascii="Arial" w:hAnsi="Arial" w:cs="Arial"/>
          <w:bCs/>
          <w:szCs w:val="24"/>
        </w:rPr>
        <w:t>Political Environment</w:t>
      </w:r>
      <w:r>
        <w:rPr>
          <w:rFonts w:ascii="Arial" w:hAnsi="Arial" w:cs="Arial"/>
          <w:bCs/>
          <w:szCs w:val="24"/>
        </w:rPr>
        <w:t xml:space="preserve">: </w:t>
      </w:r>
      <w:r w:rsidRPr="00125360">
        <w:rPr>
          <w:rFonts w:ascii="Arial" w:hAnsi="Arial" w:cs="Arial"/>
          <w:bCs/>
          <w:szCs w:val="24"/>
        </w:rPr>
        <w:t xml:space="preserve">With continuing geopolitical and local market uncertainty and market volatility across all the economies in which we operate, we are exposed to potential risks which may impact consumer confidence and disrupt the day to day operations of the business. </w:t>
      </w:r>
    </w:p>
    <w:p w14:paraId="0887597A" w14:textId="77777777" w:rsidR="00125360" w:rsidRPr="00125360" w:rsidRDefault="00125360" w:rsidP="00614936">
      <w:pPr>
        <w:jc w:val="left"/>
        <w:rPr>
          <w:rFonts w:ascii="Arial" w:hAnsi="Arial" w:cs="Arial"/>
          <w:bCs/>
          <w:szCs w:val="24"/>
        </w:rPr>
      </w:pPr>
    </w:p>
    <w:p w14:paraId="17BC1059" w14:textId="7D80BB65" w:rsidR="00125360" w:rsidRPr="00125360" w:rsidRDefault="00125360" w:rsidP="00614936">
      <w:pPr>
        <w:jc w:val="left"/>
        <w:rPr>
          <w:rFonts w:ascii="Arial" w:hAnsi="Arial" w:cs="Arial"/>
          <w:bCs/>
          <w:szCs w:val="24"/>
        </w:rPr>
      </w:pPr>
      <w:r w:rsidRPr="00125360">
        <w:rPr>
          <w:rFonts w:ascii="Arial" w:hAnsi="Arial" w:cs="Arial"/>
          <w:bCs/>
          <w:szCs w:val="24"/>
        </w:rPr>
        <w:t>EU Referendum</w:t>
      </w:r>
      <w:r>
        <w:rPr>
          <w:rFonts w:ascii="Arial" w:hAnsi="Arial" w:cs="Arial"/>
          <w:bCs/>
          <w:szCs w:val="24"/>
        </w:rPr>
        <w:t xml:space="preserve">: </w:t>
      </w:r>
      <w:r w:rsidRPr="00125360">
        <w:rPr>
          <w:rFonts w:ascii="Arial" w:hAnsi="Arial" w:cs="Arial"/>
          <w:bCs/>
          <w:szCs w:val="24"/>
        </w:rPr>
        <w:t xml:space="preserve">Following the </w:t>
      </w:r>
      <w:r w:rsidR="00D60D3C">
        <w:rPr>
          <w:rFonts w:ascii="Arial" w:hAnsi="Arial" w:cs="Arial"/>
          <w:bCs/>
          <w:szCs w:val="24"/>
        </w:rPr>
        <w:t xml:space="preserve">UK’s </w:t>
      </w:r>
      <w:r w:rsidRPr="00125360">
        <w:rPr>
          <w:rFonts w:ascii="Arial" w:hAnsi="Arial" w:cs="Arial"/>
          <w:bCs/>
          <w:szCs w:val="24"/>
        </w:rPr>
        <w:t>decision to leave the EU we continue to see increased economic uncertainty, exchange rate volatility and an impact on consumer confidence in the UK market. These issues may impact our purchase costs, including additional import tariffs and packaging costs and our operations, including supply chain delays for the UK, Ireland and Northern Europe. Assuming an agreement to exit is reached, the negotiations on the future relationship may also result in further changes to regulation and operational frameworks which may impact our ability to operate across our European businesses as we do today.</w:t>
      </w:r>
    </w:p>
    <w:p w14:paraId="24CBEF17" w14:textId="77777777" w:rsidR="00125360" w:rsidRPr="00125360" w:rsidRDefault="00125360" w:rsidP="00614936">
      <w:pPr>
        <w:jc w:val="left"/>
        <w:rPr>
          <w:rFonts w:ascii="Arial" w:hAnsi="Arial" w:cs="Arial"/>
          <w:bCs/>
          <w:szCs w:val="24"/>
        </w:rPr>
      </w:pPr>
    </w:p>
    <w:p w14:paraId="1C3EDC5A" w14:textId="4F18026B" w:rsidR="00125360" w:rsidRPr="00125360" w:rsidRDefault="00125360" w:rsidP="00614936">
      <w:pPr>
        <w:jc w:val="left"/>
        <w:rPr>
          <w:rFonts w:ascii="Arial" w:hAnsi="Arial" w:cs="Arial"/>
          <w:bCs/>
          <w:szCs w:val="24"/>
        </w:rPr>
      </w:pPr>
      <w:r w:rsidRPr="00125360">
        <w:rPr>
          <w:rFonts w:ascii="Arial" w:hAnsi="Arial" w:cs="Arial"/>
          <w:bCs/>
          <w:szCs w:val="24"/>
        </w:rPr>
        <w:t>Legal and Regulatory</w:t>
      </w:r>
      <w:r>
        <w:rPr>
          <w:rFonts w:ascii="Arial" w:hAnsi="Arial" w:cs="Arial"/>
          <w:bCs/>
          <w:szCs w:val="24"/>
        </w:rPr>
        <w:t xml:space="preserve">: </w:t>
      </w:r>
      <w:r w:rsidRPr="00125360">
        <w:rPr>
          <w:rFonts w:ascii="Arial" w:hAnsi="Arial" w:cs="Arial"/>
          <w:bCs/>
          <w:szCs w:val="24"/>
        </w:rPr>
        <w:t xml:space="preserve">The Group’s operations are subject to an increasing range of regulatory requirements in the countries in which it operates. A major corporate issue or crisis, a significant corporate fraud or material non-compliance with legislative or regulatory requirements would impact Kingfisher’s brand and reputation and could expose us to significant fines. </w:t>
      </w:r>
    </w:p>
    <w:p w14:paraId="32982E3B" w14:textId="77777777" w:rsidR="00125360" w:rsidRPr="00125360" w:rsidRDefault="00125360" w:rsidP="00614936">
      <w:pPr>
        <w:jc w:val="left"/>
        <w:rPr>
          <w:rFonts w:ascii="Arial" w:hAnsi="Arial" w:cs="Arial"/>
          <w:bCs/>
          <w:szCs w:val="24"/>
        </w:rPr>
      </w:pPr>
    </w:p>
    <w:p w14:paraId="6022ECB7" w14:textId="5649C40A" w:rsidR="0036275C" w:rsidRDefault="00125360" w:rsidP="00614936">
      <w:pPr>
        <w:jc w:val="left"/>
        <w:rPr>
          <w:rFonts w:ascii="Arial" w:hAnsi="Arial" w:cs="Arial"/>
          <w:bCs/>
          <w:szCs w:val="24"/>
        </w:rPr>
      </w:pPr>
      <w:r w:rsidRPr="00125360">
        <w:rPr>
          <w:rFonts w:ascii="Arial" w:hAnsi="Arial" w:cs="Arial"/>
          <w:bCs/>
          <w:szCs w:val="24"/>
        </w:rPr>
        <w:t>Cyber and Data Security</w:t>
      </w:r>
      <w:r>
        <w:rPr>
          <w:rFonts w:ascii="Arial" w:hAnsi="Arial" w:cs="Arial"/>
          <w:bCs/>
          <w:szCs w:val="24"/>
        </w:rPr>
        <w:t xml:space="preserve">: </w:t>
      </w:r>
      <w:r w:rsidRPr="00125360">
        <w:rPr>
          <w:rFonts w:ascii="Arial" w:hAnsi="Arial" w:cs="Arial"/>
          <w:bCs/>
          <w:szCs w:val="24"/>
        </w:rPr>
        <w:t>Cyber-attacks and security incidents have increased in recent years and the retail sector is now a target. There have been a number of high-profile attacks in the sector in recent times that have had an impact on operations, profitability and reputation.</w:t>
      </w:r>
    </w:p>
    <w:p w14:paraId="66F2915E" w14:textId="77777777" w:rsidR="00125360" w:rsidRPr="00C16392" w:rsidRDefault="00125360" w:rsidP="00614936">
      <w:pPr>
        <w:jc w:val="left"/>
        <w:rPr>
          <w:rFonts w:ascii="Arial" w:hAnsi="Arial"/>
          <w:szCs w:val="24"/>
          <w:highlight w:val="yellow"/>
        </w:rPr>
      </w:pPr>
    </w:p>
    <w:p w14:paraId="444537C2" w14:textId="170E7ED7" w:rsidR="004B0C6D" w:rsidRPr="00AC598B" w:rsidRDefault="004B0C6D" w:rsidP="00614936">
      <w:pPr>
        <w:jc w:val="left"/>
        <w:rPr>
          <w:sz w:val="20"/>
        </w:rPr>
      </w:pPr>
      <w:r w:rsidRPr="00125360">
        <w:rPr>
          <w:rFonts w:ascii="Arial" w:hAnsi="Arial"/>
          <w:szCs w:val="24"/>
        </w:rPr>
        <w:t xml:space="preserve">Further details of the Group risks and risk management process can be found on pages </w:t>
      </w:r>
      <w:r w:rsidR="00344397" w:rsidRPr="00125360">
        <w:rPr>
          <w:rFonts w:ascii="Arial" w:hAnsi="Arial"/>
          <w:szCs w:val="24"/>
        </w:rPr>
        <w:t>4</w:t>
      </w:r>
      <w:r w:rsidR="00125360">
        <w:rPr>
          <w:rFonts w:ascii="Arial" w:hAnsi="Arial"/>
          <w:szCs w:val="24"/>
        </w:rPr>
        <w:t>4</w:t>
      </w:r>
      <w:r w:rsidRPr="00125360">
        <w:rPr>
          <w:rFonts w:ascii="Arial" w:hAnsi="Arial"/>
          <w:szCs w:val="24"/>
        </w:rPr>
        <w:t xml:space="preserve"> to </w:t>
      </w:r>
      <w:r w:rsidR="00125360">
        <w:rPr>
          <w:rFonts w:ascii="Arial" w:hAnsi="Arial"/>
          <w:szCs w:val="24"/>
        </w:rPr>
        <w:t>51</w:t>
      </w:r>
      <w:r w:rsidRPr="00125360">
        <w:rPr>
          <w:rFonts w:ascii="Arial" w:hAnsi="Arial"/>
          <w:szCs w:val="24"/>
        </w:rPr>
        <w:t xml:space="preserve"> of the </w:t>
      </w:r>
      <w:r w:rsidR="00EF4B98" w:rsidRPr="00125360">
        <w:rPr>
          <w:rFonts w:ascii="Arial" w:hAnsi="Arial"/>
          <w:szCs w:val="24"/>
        </w:rPr>
        <w:t>201</w:t>
      </w:r>
      <w:r w:rsidR="00125360">
        <w:rPr>
          <w:rFonts w:ascii="Arial" w:hAnsi="Arial"/>
          <w:szCs w:val="24"/>
        </w:rPr>
        <w:t>8</w:t>
      </w:r>
      <w:r w:rsidR="00EF4B98" w:rsidRPr="00125360">
        <w:rPr>
          <w:rFonts w:ascii="Arial" w:hAnsi="Arial"/>
          <w:szCs w:val="24"/>
        </w:rPr>
        <w:t>/1</w:t>
      </w:r>
      <w:r w:rsidR="00125360">
        <w:rPr>
          <w:rFonts w:ascii="Arial" w:hAnsi="Arial"/>
          <w:szCs w:val="24"/>
        </w:rPr>
        <w:t>9</w:t>
      </w:r>
      <w:r w:rsidRPr="00125360">
        <w:rPr>
          <w:rFonts w:ascii="Arial" w:hAnsi="Arial"/>
          <w:szCs w:val="24"/>
        </w:rPr>
        <w:t xml:space="preserve"> Annual Report and Accounts.</w:t>
      </w:r>
    </w:p>
    <w:bookmarkEnd w:id="65"/>
    <w:p w14:paraId="6054FBD1" w14:textId="77777777" w:rsidR="00773A54" w:rsidRPr="00AC598B" w:rsidRDefault="00773A54">
      <w:pPr>
        <w:jc w:val="left"/>
        <w:rPr>
          <w:rFonts w:ascii="Arial" w:hAnsi="Arial" w:cs="Arial"/>
          <w:b/>
          <w:bCs/>
          <w:szCs w:val="24"/>
        </w:rPr>
      </w:pPr>
    </w:p>
    <w:p w14:paraId="374D6C26" w14:textId="77777777" w:rsidR="00773A54" w:rsidRPr="00AC598B" w:rsidRDefault="00773A54">
      <w:pPr>
        <w:jc w:val="left"/>
        <w:rPr>
          <w:rFonts w:ascii="Arial" w:hAnsi="Arial" w:cs="Arial"/>
          <w:b/>
          <w:bCs/>
          <w:szCs w:val="24"/>
        </w:rPr>
      </w:pPr>
    </w:p>
    <w:p w14:paraId="76551BEC" w14:textId="77777777" w:rsidR="00785156" w:rsidRDefault="00004848" w:rsidP="00785156">
      <w:pPr>
        <w:jc w:val="left"/>
        <w:rPr>
          <w:rFonts w:ascii="Arial" w:hAnsi="Arial" w:cs="Arial"/>
          <w:b/>
          <w:bCs/>
          <w:szCs w:val="24"/>
        </w:rPr>
      </w:pPr>
      <w:r>
        <w:rPr>
          <w:rFonts w:ascii="Arial" w:hAnsi="Arial" w:cs="Arial"/>
          <w:b/>
          <w:bCs/>
          <w:szCs w:val="24"/>
        </w:rPr>
        <w:br w:type="page"/>
      </w:r>
      <w:bookmarkStart w:id="66" w:name="FR"/>
      <w:bookmarkEnd w:id="66"/>
      <w:r w:rsidR="00785156" w:rsidRPr="00AC598B">
        <w:rPr>
          <w:rFonts w:ascii="Arial" w:hAnsi="Arial" w:cs="Arial"/>
          <w:b/>
          <w:bCs/>
          <w:szCs w:val="24"/>
        </w:rPr>
        <w:t>Section 5: Glossary (terms are listed in alphabetical order)</w:t>
      </w:r>
    </w:p>
    <w:p w14:paraId="3A1D2C90" w14:textId="77777777" w:rsidR="00785156" w:rsidRDefault="00785156" w:rsidP="00785156">
      <w:pPr>
        <w:jc w:val="left"/>
        <w:rPr>
          <w:rFonts w:ascii="Arial" w:hAnsi="Arial" w:cs="Arial"/>
          <w:b/>
          <w:bCs/>
          <w:szCs w:val="24"/>
        </w:rPr>
      </w:pPr>
    </w:p>
    <w:tbl>
      <w:tblPr>
        <w:tblW w:w="9639" w:type="dxa"/>
        <w:tblLook w:val="04A0" w:firstRow="1" w:lastRow="0" w:firstColumn="1" w:lastColumn="0" w:noHBand="0" w:noVBand="1"/>
      </w:tblPr>
      <w:tblGrid>
        <w:gridCol w:w="9639"/>
      </w:tblGrid>
      <w:tr w:rsidR="00785156" w:rsidRPr="00EE21CA" w14:paraId="060E0CCA" w14:textId="77777777" w:rsidTr="00DF04F9">
        <w:trPr>
          <w:trHeight w:val="828"/>
        </w:trPr>
        <w:tc>
          <w:tcPr>
            <w:tcW w:w="9639"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0C4365A9" w14:textId="77777777" w:rsidR="00785156" w:rsidRPr="00EE21CA" w:rsidRDefault="00785156" w:rsidP="00DF04F9">
            <w:pPr>
              <w:rPr>
                <w:rFonts w:ascii="Arial" w:eastAsia="Times New Roman" w:hAnsi="Arial" w:cs="Arial"/>
                <w:b/>
                <w:bCs/>
                <w:color w:val="000000"/>
              </w:rPr>
            </w:pPr>
          </w:p>
          <w:p w14:paraId="109FB39A" w14:textId="77777777" w:rsidR="00785156" w:rsidRPr="00516348" w:rsidRDefault="00785156" w:rsidP="00DF04F9">
            <w:pPr>
              <w:rPr>
                <w:rFonts w:ascii="Arial" w:eastAsia="Times New Roman" w:hAnsi="Arial" w:cs="Arial"/>
                <w:color w:val="000000"/>
                <w:u w:val="single"/>
              </w:rPr>
            </w:pPr>
            <w:r w:rsidRPr="00516348">
              <w:rPr>
                <w:rFonts w:ascii="Arial" w:eastAsia="Times New Roman" w:hAnsi="Arial" w:cs="Arial"/>
                <w:b/>
                <w:bCs/>
                <w:color w:val="000000"/>
                <w:u w:val="single"/>
              </w:rPr>
              <w:t>Alternative Performance Measures (APMs)</w:t>
            </w:r>
          </w:p>
          <w:p w14:paraId="59B9DF0E" w14:textId="77777777" w:rsidR="00785156" w:rsidRDefault="00785156" w:rsidP="00DF04F9">
            <w:pPr>
              <w:jc w:val="left"/>
              <w:rPr>
                <w:rFonts w:ascii="Arial" w:eastAsia="Times New Roman" w:hAnsi="Arial" w:cs="Arial"/>
                <w:color w:val="000000"/>
              </w:rPr>
            </w:pPr>
            <w:r w:rsidRPr="00EE21CA">
              <w:rPr>
                <w:rFonts w:ascii="Arial" w:eastAsia="Times New Roman" w:hAnsi="Arial" w:cs="Arial"/>
                <w:color w:val="000000"/>
              </w:rPr>
              <w:t>In the reporting of financial information, the Directors have adopted various Alternative Performance Measures (APMs), also termed non-GAAP measures</w:t>
            </w:r>
            <w:r>
              <w:rPr>
                <w:rFonts w:ascii="Arial" w:eastAsia="Times New Roman" w:hAnsi="Arial" w:cs="Arial"/>
                <w:color w:val="000000"/>
              </w:rPr>
              <w:t>,</w:t>
            </w:r>
            <w:r w:rsidRPr="00EE21CA">
              <w:rPr>
                <w:rFonts w:ascii="Arial" w:eastAsia="Times New Roman" w:hAnsi="Arial" w:cs="Arial"/>
                <w:color w:val="000000"/>
              </w:rPr>
              <w:t xml:space="preserve"> of historical or future financial performance, position or cash flows other than those defined or specified under International Financial Reporting Standards (IFRS). These measures are not defined by IFRS and therefore may not be directly comparable with other companies’ APMs, including those used by other retailers. APMs should be considered in addition to, and are not intended to be a substitute for, or superior to, IFRS measurements.</w:t>
            </w:r>
          </w:p>
          <w:p w14:paraId="4AAEFA32" w14:textId="77777777" w:rsidR="00785156" w:rsidRDefault="00785156" w:rsidP="00DF04F9">
            <w:pPr>
              <w:jc w:val="left"/>
              <w:rPr>
                <w:rFonts w:ascii="Arial" w:eastAsia="Times New Roman" w:hAnsi="Arial" w:cs="Arial"/>
                <w:color w:val="000000"/>
              </w:rPr>
            </w:pPr>
          </w:p>
          <w:p w14:paraId="35C12F66"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 xml:space="preserve">The APMs have been amended where necessary to reflect the adoption of IFRS 16 ‘Leases’ from 1 February 2019 (with restated comparatives). The principal changes are the inclusion of lease liabilities within ‘Net debt’, the replacement of ‘Lease adjusted net debt to EBITDAR’ with ‘Net debt to EBITDA’ as a leverage ratio, and the exclusion of ‘Lease FX’ from adjusted and underlying performance measures. </w:t>
            </w:r>
          </w:p>
          <w:p w14:paraId="4F4430B9" w14:textId="77777777" w:rsidR="00785156" w:rsidRPr="00EE21CA" w:rsidRDefault="00785156" w:rsidP="00DF04F9">
            <w:pPr>
              <w:rPr>
                <w:rFonts w:ascii="Arial" w:eastAsia="Times New Roman" w:hAnsi="Arial" w:cs="Arial"/>
                <w:color w:val="000000"/>
              </w:rPr>
            </w:pPr>
          </w:p>
        </w:tc>
      </w:tr>
    </w:tbl>
    <w:p w14:paraId="640D6438" w14:textId="77777777" w:rsidR="00785156" w:rsidRPr="00EE21CA" w:rsidRDefault="00785156" w:rsidP="00785156">
      <w:pPr>
        <w:jc w:val="left"/>
        <w:rPr>
          <w:rFonts w:ascii="Arial" w:hAnsi="Arial" w:cs="Arial"/>
          <w:b/>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696"/>
        <w:gridCol w:w="1619"/>
        <w:gridCol w:w="2086"/>
        <w:gridCol w:w="4228"/>
      </w:tblGrid>
      <w:tr w:rsidR="00785156" w:rsidRPr="00EE21CA" w14:paraId="27FD7C48" w14:textId="77777777" w:rsidTr="00DF04F9">
        <w:trPr>
          <w:trHeight w:val="885"/>
          <w:tblHeader/>
        </w:trPr>
        <w:tc>
          <w:tcPr>
            <w:tcW w:w="1696" w:type="dxa"/>
            <w:shd w:val="clear" w:color="auto" w:fill="auto"/>
            <w:vAlign w:val="bottom"/>
            <w:hideMark/>
          </w:tcPr>
          <w:p w14:paraId="70CA9314" w14:textId="77777777" w:rsidR="00785156" w:rsidRPr="00EE21CA" w:rsidRDefault="00785156" w:rsidP="00DF04F9">
            <w:pPr>
              <w:jc w:val="left"/>
              <w:rPr>
                <w:rFonts w:ascii="Arial" w:eastAsia="Times New Roman" w:hAnsi="Arial" w:cs="Arial"/>
                <w:b/>
                <w:bCs/>
                <w:color w:val="000000"/>
              </w:rPr>
            </w:pPr>
            <w:r w:rsidRPr="00EE21CA">
              <w:rPr>
                <w:rFonts w:ascii="Arial" w:eastAsia="Times New Roman" w:hAnsi="Arial" w:cs="Arial"/>
                <w:b/>
                <w:bCs/>
                <w:color w:val="000000"/>
              </w:rPr>
              <w:t xml:space="preserve">APM </w:t>
            </w:r>
          </w:p>
        </w:tc>
        <w:tc>
          <w:tcPr>
            <w:tcW w:w="1619" w:type="dxa"/>
            <w:shd w:val="clear" w:color="auto" w:fill="auto"/>
            <w:vAlign w:val="bottom"/>
            <w:hideMark/>
          </w:tcPr>
          <w:p w14:paraId="26796532" w14:textId="77777777" w:rsidR="00785156" w:rsidRPr="00EE21CA" w:rsidRDefault="00785156" w:rsidP="00DF04F9">
            <w:pPr>
              <w:jc w:val="left"/>
              <w:rPr>
                <w:rFonts w:ascii="Arial" w:eastAsia="Times New Roman" w:hAnsi="Arial" w:cs="Arial"/>
                <w:b/>
                <w:bCs/>
                <w:color w:val="000000"/>
              </w:rPr>
            </w:pPr>
            <w:r w:rsidRPr="00EE21CA">
              <w:rPr>
                <w:rFonts w:ascii="Arial" w:eastAsia="Times New Roman" w:hAnsi="Arial" w:cs="Arial"/>
                <w:b/>
                <w:bCs/>
                <w:color w:val="000000"/>
              </w:rPr>
              <w:t xml:space="preserve">Closest equivalent IFRS measure </w:t>
            </w:r>
          </w:p>
        </w:tc>
        <w:tc>
          <w:tcPr>
            <w:tcW w:w="2086" w:type="dxa"/>
            <w:shd w:val="clear" w:color="auto" w:fill="auto"/>
            <w:vAlign w:val="bottom"/>
            <w:hideMark/>
          </w:tcPr>
          <w:p w14:paraId="1A2BFD9E" w14:textId="77777777" w:rsidR="00785156" w:rsidRPr="00EE21CA" w:rsidRDefault="00785156" w:rsidP="00DF04F9">
            <w:pPr>
              <w:jc w:val="left"/>
              <w:rPr>
                <w:rFonts w:ascii="Arial" w:eastAsia="Times New Roman" w:hAnsi="Arial" w:cs="Arial"/>
                <w:b/>
                <w:bCs/>
                <w:color w:val="000000"/>
              </w:rPr>
            </w:pPr>
            <w:r w:rsidRPr="00EE21CA">
              <w:rPr>
                <w:rFonts w:ascii="Arial" w:eastAsia="Times New Roman" w:hAnsi="Arial" w:cs="Arial"/>
                <w:b/>
                <w:bCs/>
                <w:color w:val="000000"/>
              </w:rPr>
              <w:t xml:space="preserve">Reconciling items to IFRS measure </w:t>
            </w:r>
          </w:p>
        </w:tc>
        <w:tc>
          <w:tcPr>
            <w:tcW w:w="4228" w:type="dxa"/>
            <w:shd w:val="clear" w:color="auto" w:fill="auto"/>
            <w:vAlign w:val="bottom"/>
            <w:hideMark/>
          </w:tcPr>
          <w:p w14:paraId="24AD50B2" w14:textId="77777777" w:rsidR="00785156" w:rsidRPr="00EE21CA" w:rsidRDefault="00785156" w:rsidP="00DF04F9">
            <w:pPr>
              <w:jc w:val="left"/>
              <w:rPr>
                <w:rFonts w:ascii="Arial" w:eastAsia="Times New Roman" w:hAnsi="Arial" w:cs="Arial"/>
                <w:b/>
                <w:bCs/>
                <w:color w:val="000000"/>
              </w:rPr>
            </w:pPr>
            <w:r w:rsidRPr="00EE21CA">
              <w:rPr>
                <w:rFonts w:ascii="Arial" w:eastAsia="Times New Roman" w:hAnsi="Arial" w:cs="Arial"/>
                <w:b/>
                <w:bCs/>
                <w:color w:val="000000"/>
              </w:rPr>
              <w:t xml:space="preserve">Definition and purpose </w:t>
            </w:r>
          </w:p>
        </w:tc>
      </w:tr>
      <w:tr w:rsidR="00785156" w:rsidRPr="00EE21CA" w14:paraId="2E8B4CEB" w14:textId="77777777" w:rsidTr="00DF04F9">
        <w:trPr>
          <w:trHeight w:val="1305"/>
        </w:trPr>
        <w:tc>
          <w:tcPr>
            <w:tcW w:w="1696" w:type="dxa"/>
            <w:shd w:val="clear" w:color="auto" w:fill="auto"/>
            <w:hideMark/>
          </w:tcPr>
          <w:p w14:paraId="429591CD"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Adjusted basic earnings per share </w:t>
            </w:r>
            <w:r>
              <w:rPr>
                <w:rFonts w:ascii="Arial" w:eastAsia="Times New Roman" w:hAnsi="Arial" w:cs="Arial"/>
                <w:color w:val="000000"/>
              </w:rPr>
              <w:t>(EPS)</w:t>
            </w:r>
          </w:p>
        </w:tc>
        <w:tc>
          <w:tcPr>
            <w:tcW w:w="1619" w:type="dxa"/>
            <w:shd w:val="clear" w:color="auto" w:fill="auto"/>
            <w:hideMark/>
          </w:tcPr>
          <w:p w14:paraId="7F072F6C"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Basic earnings per share</w:t>
            </w:r>
          </w:p>
        </w:tc>
        <w:tc>
          <w:tcPr>
            <w:tcW w:w="2086" w:type="dxa"/>
            <w:shd w:val="clear" w:color="auto" w:fill="auto"/>
            <w:hideMark/>
          </w:tcPr>
          <w:p w14:paraId="51B34D27"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of adjusted basic earnings per share is included in the </w:t>
            </w:r>
            <w:r w:rsidRPr="009F71DB">
              <w:rPr>
                <w:rFonts w:ascii="Arial" w:hAnsi="Arial"/>
                <w:color w:val="000000"/>
              </w:rPr>
              <w:t>Financial Review (Section 4) and note 8</w:t>
            </w:r>
            <w:r>
              <w:rPr>
                <w:rFonts w:ascii="Arial" w:eastAsia="Times New Roman" w:hAnsi="Arial" w:cs="Arial"/>
                <w:color w:val="000000"/>
              </w:rPr>
              <w:t xml:space="preserve"> of the condensed financial statements</w:t>
            </w:r>
          </w:p>
        </w:tc>
        <w:tc>
          <w:tcPr>
            <w:tcW w:w="4228" w:type="dxa"/>
            <w:shd w:val="clear" w:color="auto" w:fill="auto"/>
            <w:hideMark/>
          </w:tcPr>
          <w:p w14:paraId="66A3A203"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Adjusted basic earnings per share represents profit after tax attributable to the owners of the parent, before the impact of exceptional items, </w:t>
            </w:r>
            <w:r>
              <w:rPr>
                <w:rFonts w:ascii="Arial" w:eastAsia="Times New Roman" w:hAnsi="Arial" w:cs="Arial"/>
                <w:color w:val="000000"/>
              </w:rPr>
              <w:t xml:space="preserve">lease FX, FFVR, </w:t>
            </w:r>
            <w:r w:rsidRPr="00EE21CA">
              <w:rPr>
                <w:rFonts w:ascii="Arial" w:eastAsia="Times New Roman" w:hAnsi="Arial" w:cs="Arial"/>
                <w:color w:val="000000"/>
              </w:rPr>
              <w:t xml:space="preserve">related tax items and tax on prior year items, divided by the weighted average number of shares in issue during the </w:t>
            </w:r>
            <w:r>
              <w:rPr>
                <w:rFonts w:ascii="Arial" w:eastAsia="Times New Roman" w:hAnsi="Arial" w:cs="Arial"/>
                <w:color w:val="000000"/>
              </w:rPr>
              <w:t>period</w:t>
            </w:r>
            <w:r w:rsidRPr="00EE21CA">
              <w:rPr>
                <w:rFonts w:ascii="Arial" w:eastAsia="Times New Roman" w:hAnsi="Arial" w:cs="Arial"/>
                <w:color w:val="000000"/>
              </w:rPr>
              <w:t xml:space="preserve">. </w:t>
            </w:r>
          </w:p>
        </w:tc>
      </w:tr>
      <w:tr w:rsidR="00785156" w:rsidRPr="00EE21CA" w14:paraId="6B1048E7" w14:textId="77777777" w:rsidTr="00DF04F9">
        <w:trPr>
          <w:trHeight w:val="1425"/>
        </w:trPr>
        <w:tc>
          <w:tcPr>
            <w:tcW w:w="1696" w:type="dxa"/>
            <w:shd w:val="clear" w:color="auto" w:fill="auto"/>
            <w:hideMark/>
          </w:tcPr>
          <w:p w14:paraId="3112A891" w14:textId="77777777" w:rsidR="00785156" w:rsidRPr="00EE21CA" w:rsidRDefault="00785156" w:rsidP="00DF04F9">
            <w:pPr>
              <w:jc w:val="left"/>
              <w:rPr>
                <w:rFonts w:ascii="Arial" w:eastAsia="Times New Roman" w:hAnsi="Arial" w:cs="Arial"/>
                <w:color w:val="000000"/>
              </w:rPr>
            </w:pPr>
            <w:bookmarkStart w:id="67" w:name="_Hlk524461079"/>
            <w:r w:rsidRPr="00EE21CA">
              <w:rPr>
                <w:rFonts w:ascii="Arial" w:eastAsia="Times New Roman" w:hAnsi="Arial" w:cs="Arial"/>
                <w:color w:val="000000"/>
              </w:rPr>
              <w:t>Adjusted effective tax rate</w:t>
            </w:r>
          </w:p>
        </w:tc>
        <w:tc>
          <w:tcPr>
            <w:tcW w:w="1619" w:type="dxa"/>
            <w:shd w:val="clear" w:color="auto" w:fill="auto"/>
            <w:hideMark/>
          </w:tcPr>
          <w:p w14:paraId="33D98A4F"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Effective tax rate</w:t>
            </w:r>
          </w:p>
        </w:tc>
        <w:tc>
          <w:tcPr>
            <w:tcW w:w="2086" w:type="dxa"/>
            <w:shd w:val="clear" w:color="auto" w:fill="auto"/>
            <w:hideMark/>
          </w:tcPr>
          <w:p w14:paraId="3B9BC50D"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to the overall tax rate is set out in the </w:t>
            </w:r>
            <w:r w:rsidRPr="009F71DB">
              <w:rPr>
                <w:rFonts w:ascii="Arial" w:hAnsi="Arial"/>
                <w:color w:val="000000"/>
              </w:rPr>
              <w:t>Financial Review (Section 4)</w:t>
            </w:r>
          </w:p>
        </w:tc>
        <w:tc>
          <w:tcPr>
            <w:tcW w:w="4228" w:type="dxa"/>
            <w:shd w:val="clear" w:color="auto" w:fill="auto"/>
            <w:hideMark/>
          </w:tcPr>
          <w:p w14:paraId="61E36115"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Adjusted effective tax rate is calculated as continuing income tax expense excluding tax on exceptional items and adjustments in respect of prior years and the impact of changes in tax rates on deferred tax, divided by continuing profit before taxation excluding exceptional items. The exclusion of items relating to prior years and those not in the ordinary course of business helps provide a better indication of the Group's ongoing tax rate. </w:t>
            </w:r>
          </w:p>
        </w:tc>
      </w:tr>
      <w:bookmarkEnd w:id="67"/>
      <w:tr w:rsidR="00785156" w:rsidRPr="00EE21CA" w14:paraId="59F1DC75" w14:textId="77777777" w:rsidTr="00DF04F9">
        <w:trPr>
          <w:trHeight w:val="1200"/>
        </w:trPr>
        <w:tc>
          <w:tcPr>
            <w:tcW w:w="1696" w:type="dxa"/>
            <w:shd w:val="clear" w:color="auto" w:fill="auto"/>
            <w:hideMark/>
          </w:tcPr>
          <w:p w14:paraId="6AC9C3CC"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Adjusted pre-tax profit </w:t>
            </w:r>
          </w:p>
        </w:tc>
        <w:tc>
          <w:tcPr>
            <w:tcW w:w="1619" w:type="dxa"/>
            <w:shd w:val="clear" w:color="auto" w:fill="auto"/>
            <w:hideMark/>
          </w:tcPr>
          <w:p w14:paraId="596948F1"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hideMark/>
          </w:tcPr>
          <w:p w14:paraId="37202BAE"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of adjusted pre-tax profit is set out in the </w:t>
            </w:r>
            <w:r w:rsidRPr="009F71DB">
              <w:rPr>
                <w:rFonts w:ascii="Arial" w:hAnsi="Arial"/>
                <w:color w:val="000000"/>
              </w:rPr>
              <w:t>Financial Review (Section 4)</w:t>
            </w:r>
            <w:r w:rsidRPr="0020063A">
              <w:rPr>
                <w:rFonts w:ascii="Arial" w:eastAsia="Times New Roman" w:hAnsi="Arial" w:cs="Arial"/>
                <w:color w:val="000000"/>
              </w:rPr>
              <w:t xml:space="preserve"> and the</w:t>
            </w:r>
            <w:r>
              <w:rPr>
                <w:rFonts w:ascii="Arial" w:eastAsia="Times New Roman" w:hAnsi="Arial" w:cs="Arial"/>
                <w:color w:val="000000"/>
              </w:rPr>
              <w:t xml:space="preserve"> </w:t>
            </w:r>
            <w:r w:rsidRPr="00EE21CA">
              <w:rPr>
                <w:rFonts w:ascii="Arial" w:eastAsia="Times New Roman" w:hAnsi="Arial" w:cs="Arial"/>
                <w:color w:val="000000"/>
              </w:rPr>
              <w:t>consolidated income statement</w:t>
            </w:r>
            <w:r>
              <w:rPr>
                <w:rFonts w:ascii="Arial" w:eastAsia="Times New Roman" w:hAnsi="Arial" w:cs="Arial"/>
                <w:color w:val="000000"/>
              </w:rPr>
              <w:t xml:space="preserve"> of the condensed financial statements</w:t>
            </w:r>
          </w:p>
        </w:tc>
        <w:tc>
          <w:tcPr>
            <w:tcW w:w="4228" w:type="dxa"/>
            <w:shd w:val="clear" w:color="auto" w:fill="auto"/>
            <w:hideMark/>
          </w:tcPr>
          <w:p w14:paraId="68387BCA"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Adjusted pre-tax profit is used to report the performance of the business at a Group level including both the benefits of our transformation programme and the associated costs. This is stated before exceptional items</w:t>
            </w:r>
            <w:r>
              <w:rPr>
                <w:rFonts w:ascii="Arial" w:eastAsia="Times New Roman" w:hAnsi="Arial" w:cs="Arial"/>
                <w:color w:val="000000"/>
              </w:rPr>
              <w:t>, lease FX and FFVR</w:t>
            </w:r>
            <w:r w:rsidRPr="00EE21CA">
              <w:rPr>
                <w:rFonts w:ascii="Arial" w:eastAsia="Times New Roman" w:hAnsi="Arial" w:cs="Arial"/>
                <w:color w:val="000000"/>
              </w:rPr>
              <w:t>. The exclusion of exceptional items</w:t>
            </w:r>
            <w:r>
              <w:rPr>
                <w:rFonts w:ascii="Arial" w:eastAsia="Times New Roman" w:hAnsi="Arial" w:cs="Arial"/>
                <w:color w:val="000000"/>
              </w:rPr>
              <w:t>, lease FX and FFVR</w:t>
            </w:r>
            <w:r w:rsidRPr="00EE21CA">
              <w:rPr>
                <w:rFonts w:ascii="Arial" w:eastAsia="Times New Roman" w:hAnsi="Arial" w:cs="Arial"/>
                <w:color w:val="000000"/>
              </w:rPr>
              <w:t xml:space="preserve"> helps provide an indication of the Group's ongoing business performance. </w:t>
            </w:r>
          </w:p>
        </w:tc>
      </w:tr>
      <w:tr w:rsidR="00785156" w:rsidRPr="00EE21CA" w14:paraId="154D6400" w14:textId="77777777" w:rsidTr="00DF04F9">
        <w:trPr>
          <w:trHeight w:val="1200"/>
        </w:trPr>
        <w:tc>
          <w:tcPr>
            <w:tcW w:w="1696" w:type="dxa"/>
            <w:shd w:val="clear" w:color="auto" w:fill="auto"/>
          </w:tcPr>
          <w:p w14:paraId="2EA359CF"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Central costs</w:t>
            </w:r>
          </w:p>
        </w:tc>
        <w:tc>
          <w:tcPr>
            <w:tcW w:w="1619" w:type="dxa"/>
            <w:shd w:val="clear" w:color="auto" w:fill="auto"/>
          </w:tcPr>
          <w:p w14:paraId="4BB923DA"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No direct equivalent</w:t>
            </w:r>
          </w:p>
        </w:tc>
        <w:tc>
          <w:tcPr>
            <w:tcW w:w="2086" w:type="dxa"/>
            <w:shd w:val="clear" w:color="auto" w:fill="auto"/>
          </w:tcPr>
          <w:p w14:paraId="18A1513E"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Not applicable</w:t>
            </w:r>
          </w:p>
        </w:tc>
        <w:tc>
          <w:tcPr>
            <w:tcW w:w="4228" w:type="dxa"/>
            <w:shd w:val="clear" w:color="auto" w:fill="auto"/>
          </w:tcPr>
          <w:p w14:paraId="7FB67257"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Central costs principally comprise the costs of the Group’s head office before transformation costs and exceptional items. This is a measure of the underlying head office costs.</w:t>
            </w:r>
          </w:p>
        </w:tc>
      </w:tr>
      <w:tr w:rsidR="00785156" w:rsidRPr="00EE21CA" w14:paraId="10850A63" w14:textId="77777777" w:rsidTr="00DF04F9">
        <w:trPr>
          <w:trHeight w:val="505"/>
        </w:trPr>
        <w:tc>
          <w:tcPr>
            <w:tcW w:w="1696" w:type="dxa"/>
            <w:shd w:val="clear" w:color="auto" w:fill="auto"/>
          </w:tcPr>
          <w:p w14:paraId="55021928"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Constant currency</w:t>
            </w:r>
          </w:p>
        </w:tc>
        <w:tc>
          <w:tcPr>
            <w:tcW w:w="1619" w:type="dxa"/>
            <w:shd w:val="clear" w:color="auto" w:fill="auto"/>
          </w:tcPr>
          <w:p w14:paraId="4C8C0679"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No direct equivalent</w:t>
            </w:r>
          </w:p>
        </w:tc>
        <w:tc>
          <w:tcPr>
            <w:tcW w:w="2086" w:type="dxa"/>
            <w:shd w:val="clear" w:color="auto" w:fill="auto"/>
          </w:tcPr>
          <w:p w14:paraId="32E11BDC"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Not applicable</w:t>
            </w:r>
          </w:p>
        </w:tc>
        <w:tc>
          <w:tcPr>
            <w:tcW w:w="4228" w:type="dxa"/>
            <w:shd w:val="clear" w:color="auto" w:fill="auto"/>
          </w:tcPr>
          <w:p w14:paraId="00F6A0D7" w14:textId="77777777" w:rsidR="00785156" w:rsidRPr="00EE21CA" w:rsidRDefault="00785156" w:rsidP="00DF04F9">
            <w:pPr>
              <w:jc w:val="left"/>
              <w:rPr>
                <w:rFonts w:ascii="Arial" w:eastAsia="Times New Roman" w:hAnsi="Arial" w:cs="Arial"/>
                <w:color w:val="000000"/>
              </w:rPr>
            </w:pPr>
            <w:r w:rsidRPr="001C7D4C">
              <w:rPr>
                <w:rFonts w:ascii="Arial" w:eastAsia="Times New Roman" w:hAnsi="Arial" w:cs="Arial"/>
                <w:color w:val="000000"/>
              </w:rPr>
              <w:t>Constant currency changes in total sales, LFL sales</w:t>
            </w:r>
            <w:r>
              <w:rPr>
                <w:rFonts w:ascii="Arial" w:eastAsia="Times New Roman" w:hAnsi="Arial" w:cs="Arial"/>
                <w:color w:val="000000"/>
              </w:rPr>
              <w:t>, digital sales, gross margin</w:t>
            </w:r>
            <w:r w:rsidRPr="001C7D4C">
              <w:rPr>
                <w:rFonts w:ascii="Arial" w:eastAsia="Times New Roman" w:hAnsi="Arial" w:cs="Arial"/>
                <w:color w:val="000000"/>
              </w:rPr>
              <w:t xml:space="preserve"> </w:t>
            </w:r>
            <w:r>
              <w:rPr>
                <w:rFonts w:ascii="Arial" w:eastAsia="Times New Roman" w:hAnsi="Arial" w:cs="Arial"/>
                <w:color w:val="000000"/>
              </w:rPr>
              <w:t xml:space="preserve">% </w:t>
            </w:r>
            <w:r w:rsidRPr="001C7D4C">
              <w:rPr>
                <w:rFonts w:ascii="Arial" w:eastAsia="Times New Roman" w:hAnsi="Arial" w:cs="Arial"/>
                <w:color w:val="000000"/>
              </w:rPr>
              <w:t>and retail profit reflect the year on year movements after translating the prior year comparatives at the current year’s average exchange rates. These are presented to eliminate the effects of exchange rate fluctuation</w:t>
            </w:r>
            <w:r>
              <w:rPr>
                <w:rFonts w:ascii="Arial" w:eastAsia="Times New Roman" w:hAnsi="Arial" w:cs="Arial"/>
                <w:color w:val="000000"/>
              </w:rPr>
              <w:t>s</w:t>
            </w:r>
            <w:r w:rsidRPr="001C7D4C">
              <w:rPr>
                <w:rFonts w:ascii="Arial" w:eastAsia="Times New Roman" w:hAnsi="Arial" w:cs="Arial"/>
                <w:color w:val="000000"/>
              </w:rPr>
              <w:t xml:space="preserve"> on the reported results.</w:t>
            </w:r>
          </w:p>
        </w:tc>
      </w:tr>
      <w:tr w:rsidR="00785156" w:rsidRPr="00EE21CA" w14:paraId="7C503796" w14:textId="77777777" w:rsidTr="00DF04F9">
        <w:trPr>
          <w:trHeight w:val="1200"/>
        </w:trPr>
        <w:tc>
          <w:tcPr>
            <w:tcW w:w="1696" w:type="dxa"/>
            <w:shd w:val="clear" w:color="auto" w:fill="auto"/>
          </w:tcPr>
          <w:p w14:paraId="5AEC26DF"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EBITDA</w:t>
            </w:r>
          </w:p>
        </w:tc>
        <w:tc>
          <w:tcPr>
            <w:tcW w:w="1619" w:type="dxa"/>
            <w:shd w:val="clear" w:color="auto" w:fill="auto"/>
          </w:tcPr>
          <w:p w14:paraId="309C131D"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tcPr>
          <w:p w14:paraId="6E961673" w14:textId="77777777" w:rsidR="00785156" w:rsidRPr="0020063A" w:rsidRDefault="00785156" w:rsidP="00DF04F9">
            <w:pPr>
              <w:jc w:val="left"/>
              <w:rPr>
                <w:rFonts w:ascii="Arial" w:eastAsia="Times New Roman" w:hAnsi="Arial" w:cs="Arial"/>
                <w:color w:val="000000"/>
              </w:rPr>
            </w:pPr>
            <w:r w:rsidRPr="0020063A">
              <w:rPr>
                <w:rFonts w:ascii="Arial" w:eastAsia="Times New Roman" w:hAnsi="Arial" w:cs="Arial"/>
                <w:color w:val="000000"/>
              </w:rPr>
              <w:t>A reconciliation</w:t>
            </w:r>
            <w:r w:rsidRPr="004D46C6">
              <w:rPr>
                <w:rFonts w:ascii="Arial" w:eastAsia="Times New Roman" w:hAnsi="Arial" w:cs="Arial"/>
                <w:color w:val="000000"/>
              </w:rPr>
              <w:t xml:space="preserve"> of EBITDA is set out in the </w:t>
            </w:r>
            <w:r w:rsidRPr="009F71DB">
              <w:rPr>
                <w:rFonts w:ascii="Arial" w:hAnsi="Arial"/>
                <w:color w:val="000000"/>
              </w:rPr>
              <w:t>Financial Review (Section 4)</w:t>
            </w:r>
          </w:p>
        </w:tc>
        <w:tc>
          <w:tcPr>
            <w:tcW w:w="4228" w:type="dxa"/>
            <w:shd w:val="clear" w:color="auto" w:fill="auto"/>
          </w:tcPr>
          <w:p w14:paraId="0EE82E98" w14:textId="66464273"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EBITDA (earnings before interest, tax, depreciation and amortisation) is calculated as retail profit less central and transformation P&amp;L costs and before depreciation and amortisation. </w:t>
            </w:r>
            <w:r w:rsidRPr="00D34056">
              <w:rPr>
                <w:rFonts w:ascii="Arial" w:eastAsia="Times New Roman" w:hAnsi="Arial" w:cs="Arial"/>
                <w:color w:val="000000"/>
              </w:rPr>
              <w:t>This measure is used in calculating the ratio of net debt to EBITDA, to reflect the Group's leverage</w:t>
            </w:r>
            <w:r>
              <w:rPr>
                <w:rFonts w:ascii="Arial" w:eastAsia="Times New Roman" w:hAnsi="Arial" w:cs="Arial"/>
                <w:color w:val="000000"/>
              </w:rPr>
              <w:t xml:space="preserve">. </w:t>
            </w:r>
          </w:p>
        </w:tc>
      </w:tr>
      <w:tr w:rsidR="00785156" w:rsidRPr="009F52AF" w14:paraId="64692693"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2C716271"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Exceptional items</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14DA40BA"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13F1D17A"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EFDE7BF"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Exceptional items are certain types of income or cost that are excluded by virtue of their size and nature in order to reflect management's view of the performance of the Group.</w:t>
            </w:r>
          </w:p>
          <w:p w14:paraId="2DB06D98"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The principal exceptional items are: non-trading items included in operating profit such as profits and losses on the disposal, closure</w:t>
            </w:r>
            <w:r>
              <w:rPr>
                <w:rFonts w:ascii="Arial" w:eastAsia="Times New Roman" w:hAnsi="Arial" w:cs="Arial"/>
                <w:color w:val="000000"/>
              </w:rPr>
              <w:t xml:space="preserve">, exit </w:t>
            </w:r>
            <w:r w:rsidRPr="00EE21CA">
              <w:rPr>
                <w:rFonts w:ascii="Arial" w:eastAsia="Times New Roman" w:hAnsi="Arial" w:cs="Arial"/>
                <w:color w:val="000000"/>
              </w:rPr>
              <w:t xml:space="preserve">or impairment of subsidiaries, joint ventures, associates and investments which do not form part of the Group’s </w:t>
            </w:r>
            <w:r>
              <w:rPr>
                <w:rFonts w:ascii="Arial" w:eastAsia="Times New Roman" w:hAnsi="Arial" w:cs="Arial"/>
                <w:color w:val="000000"/>
              </w:rPr>
              <w:t xml:space="preserve">ongoing </w:t>
            </w:r>
            <w:r w:rsidRPr="00EE21CA">
              <w:rPr>
                <w:rFonts w:ascii="Arial" w:eastAsia="Times New Roman" w:hAnsi="Arial" w:cs="Arial"/>
                <w:color w:val="000000"/>
              </w:rPr>
              <w:t>trading activities; profits and losses on the disposal of properties and impairment losses on non-operational assets; and the costs of significant restructuring, including certain restructuring costs of the Group’s five year transformation plan launched in 2016/17</w:t>
            </w:r>
            <w:r>
              <w:rPr>
                <w:rFonts w:ascii="Arial" w:eastAsia="Times New Roman" w:hAnsi="Arial" w:cs="Arial"/>
                <w:color w:val="000000"/>
              </w:rPr>
              <w:t xml:space="preserve"> (‘transformation exceptional costs’)</w:t>
            </w:r>
            <w:r w:rsidRPr="00EE21CA">
              <w:rPr>
                <w:rFonts w:ascii="Arial" w:eastAsia="Times New Roman" w:hAnsi="Arial" w:cs="Arial"/>
                <w:color w:val="000000"/>
              </w:rPr>
              <w:t>, and incremental acquisition integration costs.</w:t>
            </w:r>
          </w:p>
        </w:tc>
      </w:tr>
      <w:tr w:rsidR="00785156" w:rsidRPr="009F52AF" w14:paraId="56BFC537"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30F9C4BF"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FFVR</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78FDAA13"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3672A12D"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Included within net finance costs </w:t>
            </w:r>
            <w:r>
              <w:rPr>
                <w:rFonts w:ascii="Arial" w:eastAsia="Times New Roman" w:hAnsi="Arial" w:cs="Arial"/>
                <w:color w:val="000000"/>
              </w:rPr>
              <w:t xml:space="preserve">in </w:t>
            </w:r>
            <w:r w:rsidRPr="009F71DB">
              <w:rPr>
                <w:rFonts w:ascii="Arial" w:hAnsi="Arial"/>
                <w:color w:val="000000"/>
              </w:rPr>
              <w:t>note 6</w:t>
            </w:r>
            <w:r w:rsidRPr="00EE21CA">
              <w:rPr>
                <w:rFonts w:ascii="Arial" w:eastAsia="Times New Roman" w:hAnsi="Arial" w:cs="Arial"/>
                <w:color w:val="000000"/>
              </w:rPr>
              <w:t xml:space="preserve"> </w:t>
            </w:r>
            <w:r>
              <w:rPr>
                <w:rFonts w:ascii="Arial" w:eastAsia="Times New Roman" w:hAnsi="Arial" w:cs="Arial"/>
                <w:color w:val="000000"/>
              </w:rPr>
              <w:t>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669E0201"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FFVR (financing fair value remeasurements) represent fair value fluctuations from financial instruments.</w:t>
            </w:r>
          </w:p>
        </w:tc>
      </w:tr>
      <w:tr w:rsidR="00785156" w:rsidRPr="009F52AF" w14:paraId="4FA9F264"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15FDBB8E"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Free cash flow</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4210F1A1"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1F128C6D"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of free cash flow is set out in the </w:t>
            </w:r>
            <w:r w:rsidRPr="009F71DB">
              <w:rPr>
                <w:rFonts w:ascii="Arial" w:hAnsi="Arial"/>
                <w:color w:val="000000"/>
              </w:rPr>
              <w:t>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25A1EA65"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Free cash flow represents </w:t>
            </w:r>
            <w:r>
              <w:rPr>
                <w:rFonts w:ascii="Arial" w:eastAsia="Times New Roman" w:hAnsi="Arial" w:cs="Arial"/>
                <w:color w:val="000000"/>
              </w:rPr>
              <w:t xml:space="preserve">the </w:t>
            </w:r>
            <w:r w:rsidRPr="00EE21CA">
              <w:rPr>
                <w:rFonts w:ascii="Arial" w:eastAsia="Times New Roman" w:hAnsi="Arial" w:cs="Arial"/>
                <w:color w:val="000000"/>
              </w:rPr>
              <w:t>cash generated from operations (excluding exceptional items) less the amount spent on interest, tax and capital expenditure during the year (excluding business acquisitions and disposals and asset disposals).</w:t>
            </w:r>
            <w:r w:rsidRPr="00EE21CA">
              <w:rPr>
                <w:rFonts w:ascii="Arial" w:eastAsia="Times New Roman" w:hAnsi="Arial" w:cs="Arial"/>
                <w:color w:val="000000"/>
              </w:rPr>
              <w:br/>
              <w:t>This provides a measure of how much cash the business generates that can be used for expansion, capital returns and other purposes.</w:t>
            </w:r>
          </w:p>
        </w:tc>
      </w:tr>
      <w:tr w:rsidR="00785156" w:rsidRPr="009F52AF" w14:paraId="2C622212" w14:textId="77777777" w:rsidTr="009F71DB">
        <w:trPr>
          <w:trHeight w:val="1247"/>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45C4CE07" w14:textId="1EF5549E"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Gross </w:t>
            </w:r>
            <w:r>
              <w:rPr>
                <w:rFonts w:ascii="Arial" w:eastAsia="Times New Roman" w:hAnsi="Arial" w:cs="Arial"/>
                <w:color w:val="000000"/>
              </w:rPr>
              <w:t>margin</w:t>
            </w:r>
            <w:r w:rsidR="009C759E">
              <w:rPr>
                <w:rFonts w:ascii="Arial" w:eastAsia="Times New Roman" w:hAnsi="Arial" w:cs="Arial"/>
                <w:color w:val="000000"/>
              </w:rPr>
              <w:t xml:space="preserve"> %</w:t>
            </w:r>
            <w:r w:rsidRPr="00EE21CA">
              <w:rPr>
                <w:rFonts w:ascii="Arial" w:eastAsia="Times New Roman" w:hAnsi="Arial" w:cs="Arial"/>
                <w:color w:val="000000"/>
              </w:rPr>
              <w:t xml:space="preserve">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2A20CB5F" w14:textId="307012FD"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4726B368"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Refer to definition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2BD89F4" w14:textId="389B1302"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Gross </w:t>
            </w:r>
            <w:r>
              <w:rPr>
                <w:rFonts w:ascii="Arial" w:eastAsia="Times New Roman" w:hAnsi="Arial" w:cs="Arial"/>
                <w:color w:val="000000"/>
              </w:rPr>
              <w:t>profit</w:t>
            </w:r>
            <w:r w:rsidRPr="00EE21CA">
              <w:rPr>
                <w:rFonts w:ascii="Arial" w:eastAsia="Times New Roman" w:hAnsi="Arial" w:cs="Arial"/>
                <w:color w:val="000000"/>
              </w:rPr>
              <w:t xml:space="preserve"> represents sales from the supply of home improvement products and services (excluding VAT), less the associated cost of those sales. </w:t>
            </w:r>
            <w:r>
              <w:rPr>
                <w:rFonts w:ascii="Arial" w:eastAsia="Times New Roman" w:hAnsi="Arial" w:cs="Arial"/>
                <w:color w:val="000000"/>
              </w:rPr>
              <w:t xml:space="preserve">Gross margin </w:t>
            </w:r>
            <w:r w:rsidR="009C759E">
              <w:rPr>
                <w:rFonts w:ascii="Arial" w:eastAsia="Times New Roman" w:hAnsi="Arial" w:cs="Arial"/>
                <w:color w:val="000000"/>
              </w:rPr>
              <w:t xml:space="preserve">% </w:t>
            </w:r>
            <w:r>
              <w:rPr>
                <w:rFonts w:ascii="Arial" w:eastAsia="Times New Roman" w:hAnsi="Arial" w:cs="Arial"/>
                <w:color w:val="000000"/>
              </w:rPr>
              <w:t xml:space="preserve">represents gross profit as a percentage of sales. </w:t>
            </w:r>
            <w:r w:rsidRPr="00EE21CA">
              <w:rPr>
                <w:rFonts w:ascii="Arial" w:eastAsia="Times New Roman" w:hAnsi="Arial" w:cs="Arial"/>
                <w:color w:val="000000"/>
              </w:rPr>
              <w:t xml:space="preserve">It is a measure of </w:t>
            </w:r>
            <w:r>
              <w:rPr>
                <w:rFonts w:ascii="Arial" w:eastAsia="Times New Roman" w:hAnsi="Arial" w:cs="Arial"/>
                <w:color w:val="000000"/>
              </w:rPr>
              <w:t>operating performance</w:t>
            </w:r>
            <w:r w:rsidRPr="00EE21CA">
              <w:rPr>
                <w:rFonts w:ascii="Arial" w:eastAsia="Times New Roman" w:hAnsi="Arial" w:cs="Arial"/>
                <w:color w:val="000000"/>
              </w:rPr>
              <w:t>.</w:t>
            </w:r>
          </w:p>
        </w:tc>
      </w:tr>
      <w:tr w:rsidR="00785156" w:rsidRPr="009F52AF" w14:paraId="7039759F"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tcPr>
          <w:p w14:paraId="4BC1CA81"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Lease FX</w:t>
            </w:r>
          </w:p>
        </w:tc>
        <w:tc>
          <w:tcPr>
            <w:tcW w:w="1619" w:type="dxa"/>
            <w:tcBorders>
              <w:top w:val="single" w:sz="8" w:space="0" w:color="auto"/>
              <w:left w:val="single" w:sz="6" w:space="0" w:color="auto"/>
              <w:bottom w:val="single" w:sz="8" w:space="0" w:color="auto"/>
              <w:right w:val="single" w:sz="8" w:space="0" w:color="auto"/>
            </w:tcBorders>
            <w:shd w:val="clear" w:color="auto" w:fill="auto"/>
          </w:tcPr>
          <w:p w14:paraId="64829904" w14:textId="303512D0"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tcPr>
          <w:p w14:paraId="01352CB6" w14:textId="7F1F7C4B"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Included within share of interest and tax of joint ventures and associates and net finance costs in notes 4 and 6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tcPr>
          <w:p w14:paraId="7000F810" w14:textId="77777777" w:rsidR="00785156" w:rsidRPr="00EE21CA" w:rsidRDefault="00785156" w:rsidP="00DF04F9">
            <w:pPr>
              <w:jc w:val="left"/>
              <w:rPr>
                <w:rFonts w:ascii="Arial" w:eastAsia="Times New Roman" w:hAnsi="Arial" w:cs="Arial"/>
                <w:color w:val="000000"/>
              </w:rPr>
            </w:pPr>
            <w:r>
              <w:rPr>
                <w:rFonts w:ascii="Arial" w:eastAsia="Times New Roman" w:hAnsi="Arial" w:cs="Arial"/>
                <w:color w:val="000000"/>
              </w:rPr>
              <w:t xml:space="preserve">Lease FX (exchange differences on lease liabilities) represents the income statement impact of translating lease liabilities denominated in non-functional currencies (e.g. a USD denominated lease in Russia). </w:t>
            </w:r>
          </w:p>
        </w:tc>
      </w:tr>
      <w:tr w:rsidR="00785156" w:rsidRPr="009F52AF" w14:paraId="7FC9FF94"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67624B39"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LFL</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40ECAA4A"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Sales</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524DB7E4"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Refer to definition</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0A948BF5"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LFL (</w:t>
            </w:r>
            <w:r>
              <w:rPr>
                <w:rFonts w:ascii="Arial" w:eastAsia="Times New Roman" w:hAnsi="Arial" w:cs="Arial"/>
                <w:color w:val="000000"/>
              </w:rPr>
              <w:t>l</w:t>
            </w:r>
            <w:r w:rsidRPr="00EE21CA">
              <w:rPr>
                <w:rFonts w:ascii="Arial" w:eastAsia="Times New Roman" w:hAnsi="Arial" w:cs="Arial"/>
                <w:color w:val="000000"/>
              </w:rPr>
              <w:t>ike-for-like) sales growth represents the constant currency, year on year sales growth for stores that have been open for more than one year. It is a measure to reflect the Group's performance on a comparable basis.</w:t>
            </w:r>
          </w:p>
        </w:tc>
      </w:tr>
      <w:tr w:rsidR="00785156" w:rsidRPr="009F52AF" w14:paraId="507CD97A"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35EDF35"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Net </w:t>
            </w:r>
            <w:r>
              <w:rPr>
                <w:rFonts w:ascii="Arial" w:eastAsia="Times New Roman" w:hAnsi="Arial" w:cs="Arial"/>
                <w:color w:val="000000"/>
              </w:rPr>
              <w:t>debt</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69A5B344"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14DB2EB1"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of this measure is provided in </w:t>
            </w:r>
            <w:r w:rsidRPr="009F71DB">
              <w:rPr>
                <w:rFonts w:ascii="Arial" w:hAnsi="Arial"/>
                <w:color w:val="000000"/>
              </w:rPr>
              <w:t>note 15</w:t>
            </w:r>
            <w:r w:rsidRPr="0020063A">
              <w:rPr>
                <w:rFonts w:ascii="Arial" w:eastAsia="Times New Roman" w:hAnsi="Arial" w:cs="Arial"/>
                <w:color w:val="000000"/>
              </w:rPr>
              <w:t xml:space="preserve"> of the</w:t>
            </w:r>
            <w:r>
              <w:rPr>
                <w:rFonts w:ascii="Arial" w:eastAsia="Times New Roman" w:hAnsi="Arial" w:cs="Arial"/>
                <w:color w:val="000000"/>
              </w:rPr>
              <w:t xml:space="preserv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79B00DC" w14:textId="75F03511"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Net </w:t>
            </w:r>
            <w:r>
              <w:rPr>
                <w:rFonts w:ascii="Arial" w:eastAsia="Times New Roman" w:hAnsi="Arial" w:cs="Arial"/>
                <w:color w:val="000000"/>
              </w:rPr>
              <w:t>debt</w:t>
            </w:r>
            <w:r w:rsidRPr="00EE21CA">
              <w:rPr>
                <w:rFonts w:ascii="Arial" w:eastAsia="Times New Roman" w:hAnsi="Arial" w:cs="Arial"/>
                <w:color w:val="000000"/>
              </w:rPr>
              <w:t xml:space="preserve"> comprises </w:t>
            </w:r>
            <w:r>
              <w:rPr>
                <w:rFonts w:ascii="Arial" w:eastAsia="Times New Roman" w:hAnsi="Arial" w:cs="Arial"/>
                <w:color w:val="000000"/>
              </w:rPr>
              <w:t>lease liabilities, b</w:t>
            </w:r>
            <w:r w:rsidRPr="00EE21CA">
              <w:rPr>
                <w:rFonts w:ascii="Arial" w:eastAsia="Times New Roman" w:hAnsi="Arial" w:cs="Arial"/>
                <w:color w:val="000000"/>
              </w:rPr>
              <w:t>orrowings and financing derivatives (excluding accrued interest</w:t>
            </w:r>
            <w:r>
              <w:rPr>
                <w:rFonts w:ascii="Arial" w:eastAsia="Times New Roman" w:hAnsi="Arial" w:cs="Arial"/>
                <w:color w:val="000000"/>
              </w:rPr>
              <w:t xml:space="preserve">), less </w:t>
            </w:r>
            <w:r w:rsidRPr="00EE21CA">
              <w:rPr>
                <w:rFonts w:ascii="Arial" w:eastAsia="Times New Roman" w:hAnsi="Arial" w:cs="Arial"/>
                <w:color w:val="000000"/>
              </w:rPr>
              <w:t>cash and cash equivalents and short term deposits</w:t>
            </w:r>
            <w:r>
              <w:rPr>
                <w:rFonts w:ascii="Arial" w:eastAsia="Times New Roman" w:hAnsi="Arial" w:cs="Arial"/>
                <w:color w:val="000000"/>
              </w:rPr>
              <w:t xml:space="preserve">. </w:t>
            </w:r>
          </w:p>
        </w:tc>
      </w:tr>
      <w:tr w:rsidR="00785156" w:rsidRPr="009F52AF" w14:paraId="41A445E5" w14:textId="77777777" w:rsidTr="009F71DB">
        <w:trPr>
          <w:trHeight w:val="102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60B00A30"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Net cash flow</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C83D0B7"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47EAF14B"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of net cash flow is set out in </w:t>
            </w:r>
            <w:r w:rsidRPr="0020063A">
              <w:rPr>
                <w:rFonts w:ascii="Arial" w:eastAsia="Times New Roman" w:hAnsi="Arial" w:cs="Arial"/>
                <w:color w:val="000000"/>
              </w:rPr>
              <w:t xml:space="preserve">the </w:t>
            </w:r>
            <w:r w:rsidRPr="009F71DB">
              <w:rPr>
                <w:rFonts w:ascii="Arial" w:hAnsi="Arial"/>
                <w:color w:val="000000"/>
              </w:rPr>
              <w:t>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1B37AAE8" w14:textId="1B30B5B4"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Net cash flow represents the total movement in the net </w:t>
            </w:r>
            <w:r>
              <w:rPr>
                <w:rFonts w:ascii="Arial" w:eastAsia="Times New Roman" w:hAnsi="Arial" w:cs="Arial"/>
                <w:color w:val="000000"/>
              </w:rPr>
              <w:t>debt</w:t>
            </w:r>
            <w:r w:rsidRPr="00EE21CA">
              <w:rPr>
                <w:rFonts w:ascii="Arial" w:eastAsia="Times New Roman" w:hAnsi="Arial" w:cs="Arial"/>
                <w:color w:val="000000"/>
              </w:rPr>
              <w:t xml:space="preserve"> balance during the year excluding </w:t>
            </w:r>
            <w:r>
              <w:rPr>
                <w:rFonts w:ascii="Arial" w:eastAsia="Times New Roman" w:hAnsi="Arial" w:cs="Arial"/>
                <w:color w:val="000000"/>
              </w:rPr>
              <w:t xml:space="preserve">the movement in lease liabilities, </w:t>
            </w:r>
            <w:r w:rsidRPr="00EE21CA">
              <w:rPr>
                <w:rFonts w:ascii="Arial" w:eastAsia="Times New Roman" w:hAnsi="Arial" w:cs="Arial"/>
                <w:color w:val="000000"/>
              </w:rPr>
              <w:t xml:space="preserve">exchange </w:t>
            </w:r>
            <w:r>
              <w:rPr>
                <w:rFonts w:ascii="Arial" w:eastAsia="Times New Roman" w:hAnsi="Arial" w:cs="Arial"/>
                <w:color w:val="000000"/>
              </w:rPr>
              <w:t xml:space="preserve">differences </w:t>
            </w:r>
            <w:r w:rsidRPr="00EE21CA">
              <w:rPr>
                <w:rFonts w:ascii="Arial" w:eastAsia="Times New Roman" w:hAnsi="Arial" w:cs="Arial"/>
                <w:color w:val="000000"/>
              </w:rPr>
              <w:t>and other non-cash movements.</w:t>
            </w:r>
          </w:p>
        </w:tc>
      </w:tr>
      <w:tr w:rsidR="00785156" w:rsidRPr="009F52AF" w14:paraId="11623C74" w14:textId="77777777" w:rsidTr="009F71DB">
        <w:trPr>
          <w:trHeight w:val="505"/>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561A4432"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Retail profit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48B7227B"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34B2AD3D"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to profit before taxation is set out in </w:t>
            </w:r>
            <w:r w:rsidRPr="0020063A">
              <w:rPr>
                <w:rFonts w:ascii="Arial" w:eastAsia="Times New Roman" w:hAnsi="Arial" w:cs="Arial"/>
                <w:color w:val="000000"/>
              </w:rPr>
              <w:t xml:space="preserve">the </w:t>
            </w:r>
            <w:r w:rsidRPr="009F71DB">
              <w:rPr>
                <w:rFonts w:ascii="Arial" w:hAnsi="Arial"/>
                <w:color w:val="000000"/>
              </w:rPr>
              <w:t>Financial Review (Section 4) and note 4</w:t>
            </w:r>
            <w:r w:rsidRPr="0020063A">
              <w:rPr>
                <w:rFonts w:ascii="Arial" w:eastAsia="Times New Roman" w:hAnsi="Arial" w:cs="Arial"/>
                <w:color w:val="000000"/>
              </w:rPr>
              <w:t xml:space="preserve"> of the condensed</w:t>
            </w:r>
            <w:r>
              <w:rPr>
                <w:rFonts w:ascii="Arial" w:eastAsia="Times New Roman" w:hAnsi="Arial" w:cs="Arial"/>
                <w:color w:val="000000"/>
              </w:rPr>
              <w:t xml:space="preserve">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45ACCDDC" w14:textId="36B77CDA"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Retail profit is stated before central costs, transformation </w:t>
            </w:r>
            <w:r>
              <w:rPr>
                <w:rFonts w:ascii="Arial" w:eastAsia="Times New Roman" w:hAnsi="Arial" w:cs="Arial"/>
                <w:color w:val="000000"/>
              </w:rPr>
              <w:t xml:space="preserve">P&amp;L </w:t>
            </w:r>
            <w:r w:rsidRPr="00EE21CA">
              <w:rPr>
                <w:rFonts w:ascii="Arial" w:eastAsia="Times New Roman" w:hAnsi="Arial" w:cs="Arial"/>
                <w:color w:val="000000"/>
              </w:rPr>
              <w:t>costs, exceptional items and the Group's share of interest and tax of JVs and associates. This is the Group's operating profit measure used to report the underlying performance of our retail businesses including the sustainable benefits of our transformation plan.</w:t>
            </w:r>
          </w:p>
        </w:tc>
      </w:tr>
      <w:tr w:rsidR="00785156" w:rsidRPr="009F52AF" w14:paraId="7538409D"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0B5E538"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Transformation costs</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D2735DC"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444A32AE"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6D8728E1"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Transformation costs represent the additional costs of the ONE Kingfisher transformation programme launched in 2016/17. They comprise 'transformation exceptional costs', 'transformation P&amp;L costs' (i.e. non-exceptional items) and 'transformation capex' (capital expenditure).</w:t>
            </w:r>
          </w:p>
        </w:tc>
      </w:tr>
      <w:tr w:rsidR="00785156" w:rsidRPr="009F52AF" w14:paraId="6716CD7A" w14:textId="77777777" w:rsidTr="009F71DB">
        <w:trPr>
          <w:trHeight w:val="51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A13B110"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Transformation P&amp;L costs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307C6730"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2F8F7501"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2D8875AA" w14:textId="6555CCE1"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Transformation P&amp;L costs represent the additional costs that arise only as a result of the transformation plan launched in </w:t>
            </w:r>
            <w:r>
              <w:rPr>
                <w:rFonts w:ascii="Arial" w:eastAsia="Times New Roman" w:hAnsi="Arial" w:cs="Arial"/>
                <w:color w:val="000000"/>
              </w:rPr>
              <w:t xml:space="preserve">FY </w:t>
            </w:r>
            <w:r w:rsidRPr="00EE21CA">
              <w:rPr>
                <w:rFonts w:ascii="Arial" w:eastAsia="Times New Roman" w:hAnsi="Arial" w:cs="Arial"/>
                <w:color w:val="000000"/>
              </w:rPr>
              <w:t xml:space="preserve">2016/17. These costs principally relate to unified </w:t>
            </w:r>
            <w:r w:rsidR="00AF6299">
              <w:rPr>
                <w:rFonts w:ascii="Arial" w:eastAsia="Times New Roman" w:hAnsi="Arial" w:cs="Arial"/>
                <w:color w:val="000000"/>
              </w:rPr>
              <w:t xml:space="preserve">&amp; </w:t>
            </w:r>
            <w:r w:rsidRPr="00EE21CA">
              <w:rPr>
                <w:rFonts w:ascii="Arial" w:eastAsia="Times New Roman" w:hAnsi="Arial" w:cs="Arial"/>
                <w:color w:val="000000"/>
              </w:rPr>
              <w:t xml:space="preserve">unique offer range implementation and the digital strategic initiative. </w:t>
            </w:r>
          </w:p>
        </w:tc>
      </w:tr>
      <w:tr w:rsidR="00785156" w:rsidRPr="009F52AF" w14:paraId="69372251"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70D5AF8A"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Underlying pre-tax profit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0BC2264"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Profit before taxation </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5C802779"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to statutory pre-tax profit is set out in </w:t>
            </w:r>
            <w:r w:rsidRPr="0020063A">
              <w:rPr>
                <w:rFonts w:ascii="Arial" w:eastAsia="Times New Roman" w:hAnsi="Arial" w:cs="Arial"/>
                <w:color w:val="000000"/>
              </w:rPr>
              <w:t xml:space="preserve">the </w:t>
            </w:r>
            <w:r w:rsidRPr="009F71DB">
              <w:rPr>
                <w:rFonts w:ascii="Arial" w:hAnsi="Arial"/>
                <w:color w:val="000000"/>
              </w:rPr>
              <w:t>Financial Review (Section 4)</w:t>
            </w:r>
            <w:r w:rsidRPr="0020063A">
              <w:rPr>
                <w:rFonts w:ascii="Arial" w:eastAsia="Times New Roman" w:hAnsi="Arial" w:cs="Arial"/>
                <w:color w:val="000000"/>
              </w:rPr>
              <w:t xml:space="preserve"> and the</w:t>
            </w:r>
            <w:r>
              <w:rPr>
                <w:rFonts w:ascii="Arial" w:eastAsia="Times New Roman" w:hAnsi="Arial" w:cs="Arial"/>
                <w:color w:val="000000"/>
              </w:rPr>
              <w:t xml:space="preserve"> </w:t>
            </w:r>
            <w:r w:rsidRPr="00EE21CA">
              <w:rPr>
                <w:rFonts w:ascii="Arial" w:eastAsia="Times New Roman" w:hAnsi="Arial" w:cs="Arial"/>
                <w:color w:val="000000"/>
              </w:rPr>
              <w:t>consolidated income statement</w:t>
            </w:r>
            <w:r>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B77424C"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Underlying pre-tax profit is stated before transformation P&amp;L costs</w:t>
            </w:r>
            <w:r>
              <w:rPr>
                <w:rFonts w:ascii="Arial" w:eastAsia="Times New Roman" w:hAnsi="Arial" w:cs="Arial"/>
                <w:color w:val="000000"/>
              </w:rPr>
              <w:t xml:space="preserve">, </w:t>
            </w:r>
            <w:r w:rsidRPr="00EE21CA">
              <w:rPr>
                <w:rFonts w:ascii="Arial" w:eastAsia="Times New Roman" w:hAnsi="Arial" w:cs="Arial"/>
                <w:color w:val="000000"/>
              </w:rPr>
              <w:t>exceptional items</w:t>
            </w:r>
            <w:r>
              <w:rPr>
                <w:rFonts w:ascii="Arial" w:eastAsia="Times New Roman" w:hAnsi="Arial" w:cs="Arial"/>
                <w:color w:val="000000"/>
              </w:rPr>
              <w:t>, lease FX and FFVR</w:t>
            </w:r>
            <w:r w:rsidRPr="00EE21CA">
              <w:rPr>
                <w:rFonts w:ascii="Arial" w:eastAsia="Times New Roman" w:hAnsi="Arial" w:cs="Arial"/>
                <w:color w:val="000000"/>
              </w:rPr>
              <w:t>. The exclusion of transformation P&amp;L costs (in addition to exceptional items</w:t>
            </w:r>
            <w:r>
              <w:rPr>
                <w:rFonts w:ascii="Arial" w:eastAsia="Times New Roman" w:hAnsi="Arial" w:cs="Arial"/>
                <w:color w:val="000000"/>
              </w:rPr>
              <w:t>, lease FX and FFVR</w:t>
            </w:r>
            <w:r w:rsidRPr="00EE21CA">
              <w:rPr>
                <w:rFonts w:ascii="Arial" w:eastAsia="Times New Roman" w:hAnsi="Arial" w:cs="Arial"/>
                <w:color w:val="000000"/>
              </w:rPr>
              <w:t xml:space="preserve">) helps provide an indication of the Group's underlying business performance, which includes the sustainable benefits of the transformation plan. </w:t>
            </w:r>
          </w:p>
        </w:tc>
      </w:tr>
      <w:tr w:rsidR="00785156" w:rsidRPr="009F52AF" w14:paraId="78298326" w14:textId="77777777" w:rsidTr="00DF04F9">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32C6CEC"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Underlying basic earnings per share </w:t>
            </w:r>
            <w:r>
              <w:rPr>
                <w:rFonts w:ascii="Arial" w:eastAsia="Times New Roman" w:hAnsi="Arial" w:cs="Arial"/>
                <w:color w:val="000000"/>
              </w:rPr>
              <w:t>(EPS)</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A5B5800"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Basic earnings per share</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7D4BCFAA"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 xml:space="preserve">A reconciliation of underlying earnings per share is </w:t>
            </w:r>
            <w:r w:rsidRPr="0020063A">
              <w:rPr>
                <w:rFonts w:ascii="Arial" w:eastAsia="Times New Roman" w:hAnsi="Arial" w:cs="Arial"/>
                <w:color w:val="000000"/>
              </w:rPr>
              <w:t xml:space="preserve">included in the </w:t>
            </w:r>
            <w:r w:rsidRPr="009F71DB">
              <w:rPr>
                <w:rFonts w:ascii="Arial" w:hAnsi="Arial"/>
                <w:color w:val="000000"/>
              </w:rPr>
              <w:t>Financial Review (Section 4) and note 8</w:t>
            </w:r>
            <w:r w:rsidRPr="0020063A">
              <w:rPr>
                <w:rFonts w:ascii="Arial" w:eastAsia="Times New Roman" w:hAnsi="Arial" w:cs="Arial"/>
                <w:color w:val="000000"/>
              </w:rPr>
              <w:t xml:space="preserve"> of the condensed</w:t>
            </w:r>
            <w:r w:rsidRPr="00EE21CA">
              <w:rPr>
                <w:rFonts w:ascii="Arial" w:eastAsia="Times New Roman" w:hAnsi="Arial" w:cs="Arial"/>
                <w:color w:val="000000"/>
              </w:rPr>
              <w:t xml:space="preserve">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606AB187" w14:textId="77777777" w:rsidR="00785156" w:rsidRPr="00EE21CA" w:rsidRDefault="00785156" w:rsidP="00DF04F9">
            <w:pPr>
              <w:jc w:val="left"/>
              <w:rPr>
                <w:rFonts w:ascii="Arial" w:eastAsia="Times New Roman" w:hAnsi="Arial" w:cs="Arial"/>
                <w:color w:val="000000"/>
              </w:rPr>
            </w:pPr>
            <w:r w:rsidRPr="00EE21CA">
              <w:rPr>
                <w:rFonts w:ascii="Arial" w:eastAsia="Times New Roman" w:hAnsi="Arial" w:cs="Arial"/>
                <w:color w:val="000000"/>
              </w:rPr>
              <w:t>Underlying basic earnings per share represents profit after tax attributable to the owners of the parent, before the impact of transformation P&amp;L costs</w:t>
            </w:r>
            <w:r>
              <w:rPr>
                <w:rFonts w:ascii="Arial" w:eastAsia="Times New Roman" w:hAnsi="Arial" w:cs="Arial"/>
                <w:color w:val="000000"/>
              </w:rPr>
              <w:t>,</w:t>
            </w:r>
            <w:r w:rsidRPr="00EE21CA">
              <w:rPr>
                <w:rFonts w:ascii="Arial" w:eastAsia="Times New Roman" w:hAnsi="Arial" w:cs="Arial"/>
                <w:color w:val="000000"/>
              </w:rPr>
              <w:t xml:space="preserve"> exceptional items,</w:t>
            </w:r>
            <w:r>
              <w:rPr>
                <w:rFonts w:ascii="Arial" w:eastAsia="Times New Roman" w:hAnsi="Arial" w:cs="Arial"/>
                <w:color w:val="000000"/>
              </w:rPr>
              <w:t xml:space="preserve"> lease FX, FFVR,</w:t>
            </w:r>
            <w:r w:rsidRPr="00EE21CA">
              <w:rPr>
                <w:rFonts w:ascii="Arial" w:eastAsia="Times New Roman" w:hAnsi="Arial" w:cs="Arial"/>
                <w:color w:val="000000"/>
              </w:rPr>
              <w:t xml:space="preserve"> related tax items and tax on prior year items, divided by the weighted average number of shares in issue during the </w:t>
            </w:r>
            <w:r>
              <w:rPr>
                <w:rFonts w:ascii="Arial" w:eastAsia="Times New Roman" w:hAnsi="Arial" w:cs="Arial"/>
                <w:color w:val="000000"/>
              </w:rPr>
              <w:t>period</w:t>
            </w:r>
            <w:r w:rsidRPr="00EE21CA">
              <w:rPr>
                <w:rFonts w:ascii="Arial" w:eastAsia="Times New Roman" w:hAnsi="Arial" w:cs="Arial"/>
                <w:color w:val="000000"/>
              </w:rPr>
              <w:t>.</w:t>
            </w:r>
          </w:p>
        </w:tc>
      </w:tr>
    </w:tbl>
    <w:p w14:paraId="6B99335A" w14:textId="77777777" w:rsidR="00785156" w:rsidRDefault="00785156" w:rsidP="00785156">
      <w:pPr>
        <w:jc w:val="left"/>
        <w:rPr>
          <w:rFonts w:ascii="Arial" w:hAnsi="Arial" w:cs="Arial"/>
          <w:b/>
          <w:bCs/>
          <w:szCs w:val="24"/>
        </w:rPr>
      </w:pPr>
    </w:p>
    <w:p w14:paraId="6F53E8EC" w14:textId="77777777" w:rsidR="00785156" w:rsidRPr="00B56D28" w:rsidRDefault="00785156" w:rsidP="00785156">
      <w:pPr>
        <w:jc w:val="left"/>
        <w:rPr>
          <w:rFonts w:ascii="Arial" w:hAnsi="Arial" w:cs="Arial"/>
          <w:iCs/>
        </w:rPr>
      </w:pPr>
      <w:r w:rsidRPr="00B56D28">
        <w:rPr>
          <w:rFonts w:ascii="Arial" w:hAnsi="Arial" w:cs="Arial"/>
          <w:b/>
          <w:iCs/>
        </w:rPr>
        <w:t xml:space="preserve">Banque de France </w:t>
      </w:r>
      <w:r w:rsidRPr="00B56D28">
        <w:rPr>
          <w:rFonts w:ascii="Arial" w:hAnsi="Arial" w:cs="Arial"/>
          <w:iCs/>
        </w:rPr>
        <w:t xml:space="preserve">data includes relocated and extended stores. </w:t>
      </w:r>
    </w:p>
    <w:p w14:paraId="011B8EDD" w14:textId="77777777" w:rsidR="00785156" w:rsidRPr="00A845B7" w:rsidRDefault="00F8309D" w:rsidP="00785156">
      <w:pPr>
        <w:jc w:val="left"/>
        <w:rPr>
          <w:rFonts w:ascii="Arial" w:hAnsi="Arial" w:cs="Arial"/>
          <w:iCs/>
        </w:rPr>
      </w:pPr>
      <w:hyperlink r:id="rId16" w:history="1">
        <w:r w:rsidR="00785156" w:rsidRPr="00B56D28">
          <w:rPr>
            <w:rStyle w:val="Hyperlink"/>
            <w:rFonts w:ascii="Arial" w:hAnsi="Arial" w:cs="Arial"/>
            <w:iCs/>
          </w:rPr>
          <w:t>http://webstat.banque-france.fr/en/browse.do?node=5384326</w:t>
        </w:r>
      </w:hyperlink>
    </w:p>
    <w:p w14:paraId="194461C5" w14:textId="77777777" w:rsidR="00785156" w:rsidRPr="00A845B7" w:rsidRDefault="00785156" w:rsidP="00785156">
      <w:pPr>
        <w:rPr>
          <w:rFonts w:ascii="Arial" w:hAnsi="Arial" w:cs="Arial"/>
          <w:b/>
          <w:iCs/>
        </w:rPr>
      </w:pPr>
    </w:p>
    <w:p w14:paraId="6F677FDB" w14:textId="77777777" w:rsidR="00785156" w:rsidRDefault="00785156" w:rsidP="00785156">
      <w:pPr>
        <w:jc w:val="left"/>
        <w:rPr>
          <w:rFonts w:ascii="Arial" w:hAnsi="Arial" w:cs="Arial"/>
          <w:iCs/>
        </w:rPr>
      </w:pPr>
      <w:r w:rsidRPr="00A845B7">
        <w:rPr>
          <w:rFonts w:ascii="Arial" w:hAnsi="Arial" w:cs="Arial"/>
          <w:b/>
          <w:iCs/>
        </w:rPr>
        <w:t xml:space="preserve">Digital sales </w:t>
      </w:r>
      <w:r w:rsidRPr="00A845B7">
        <w:rPr>
          <w:rFonts w:ascii="Arial" w:hAnsi="Arial" w:cs="Arial"/>
          <w:iCs/>
        </w:rPr>
        <w:t>are</w:t>
      </w:r>
      <w:r w:rsidRPr="00A845B7">
        <w:rPr>
          <w:rFonts w:ascii="Arial" w:hAnsi="Arial" w:cs="Arial"/>
          <w:b/>
          <w:iCs/>
        </w:rPr>
        <w:t xml:space="preserve"> </w:t>
      </w:r>
      <w:r w:rsidRPr="00A845B7">
        <w:rPr>
          <w:rFonts w:ascii="Arial" w:hAnsi="Arial" w:cs="Arial"/>
          <w:iCs/>
        </w:rPr>
        <w:t>sales derived from online transactions, including click &amp; collect. This includes sales transacted on any device, however not sales through a call centre.</w:t>
      </w:r>
      <w:r>
        <w:rPr>
          <w:rFonts w:ascii="Arial" w:hAnsi="Arial" w:cs="Arial"/>
          <w:iCs/>
        </w:rPr>
        <w:t xml:space="preserve"> References to digital or online sales growth relates to growth at constant currencies.</w:t>
      </w:r>
    </w:p>
    <w:p w14:paraId="70A0F03A" w14:textId="77777777" w:rsidR="00785156" w:rsidRDefault="00785156" w:rsidP="00785156">
      <w:pPr>
        <w:jc w:val="left"/>
        <w:rPr>
          <w:rFonts w:ascii="Arial" w:hAnsi="Arial" w:cs="Arial"/>
          <w:iCs/>
        </w:rPr>
      </w:pPr>
    </w:p>
    <w:p w14:paraId="692CC672" w14:textId="77777777" w:rsidR="00785156" w:rsidRPr="00453321" w:rsidRDefault="00785156" w:rsidP="00785156">
      <w:pPr>
        <w:jc w:val="left"/>
        <w:rPr>
          <w:rFonts w:ascii="Arial" w:hAnsi="Arial" w:cs="Arial"/>
          <w:iCs/>
        </w:rPr>
      </w:pPr>
      <w:r>
        <w:rPr>
          <w:rFonts w:ascii="Arial" w:hAnsi="Arial" w:cs="Arial"/>
          <w:b/>
          <w:iCs/>
        </w:rPr>
        <w:t>EDLP</w:t>
      </w:r>
      <w:r>
        <w:rPr>
          <w:rFonts w:ascii="Arial" w:hAnsi="Arial" w:cs="Arial"/>
          <w:iCs/>
        </w:rPr>
        <w:t xml:space="preserve"> refers to everyday low prices.</w:t>
      </w:r>
    </w:p>
    <w:p w14:paraId="75C5FA79" w14:textId="77777777" w:rsidR="00785156" w:rsidRDefault="00785156" w:rsidP="00785156">
      <w:pPr>
        <w:jc w:val="left"/>
        <w:rPr>
          <w:rFonts w:ascii="Arial" w:hAnsi="Arial" w:cs="Arial"/>
          <w:b/>
          <w:iCs/>
        </w:rPr>
      </w:pPr>
    </w:p>
    <w:p w14:paraId="4726E5D9" w14:textId="77777777" w:rsidR="00785156" w:rsidRPr="00A845B7" w:rsidRDefault="00785156" w:rsidP="00785156">
      <w:pPr>
        <w:jc w:val="left"/>
        <w:rPr>
          <w:rFonts w:ascii="Arial" w:hAnsi="Arial" w:cs="Arial"/>
          <w:iCs/>
        </w:rPr>
      </w:pPr>
      <w:r w:rsidRPr="00A845B7">
        <w:rPr>
          <w:rFonts w:ascii="Arial" w:hAnsi="Arial" w:cs="Arial"/>
          <w:b/>
          <w:iCs/>
        </w:rPr>
        <w:t>France</w:t>
      </w:r>
      <w:r w:rsidRPr="00A845B7">
        <w:rPr>
          <w:rFonts w:ascii="Arial" w:hAnsi="Arial" w:cs="Arial"/>
          <w:iCs/>
        </w:rPr>
        <w:t xml:space="preserve"> consists of Castorama France and Brico Dépôt France.</w:t>
      </w:r>
    </w:p>
    <w:p w14:paraId="3A4C9345" w14:textId="77777777" w:rsidR="00785156" w:rsidRPr="00A845B7" w:rsidRDefault="00785156" w:rsidP="00785156">
      <w:pPr>
        <w:jc w:val="left"/>
        <w:rPr>
          <w:rFonts w:ascii="Arial" w:hAnsi="Arial" w:cs="Arial"/>
          <w:iCs/>
        </w:rPr>
      </w:pPr>
    </w:p>
    <w:p w14:paraId="26BA84F3" w14:textId="77777777" w:rsidR="00785156" w:rsidRPr="00A845B7" w:rsidRDefault="00785156" w:rsidP="00785156">
      <w:pPr>
        <w:jc w:val="left"/>
        <w:rPr>
          <w:rFonts w:ascii="Arial" w:hAnsi="Arial" w:cs="Arial"/>
          <w:b/>
          <w:iCs/>
        </w:rPr>
      </w:pPr>
      <w:r w:rsidRPr="00A845B7">
        <w:rPr>
          <w:rFonts w:ascii="Arial" w:hAnsi="Arial" w:cs="Arial"/>
          <w:b/>
          <w:iCs/>
        </w:rPr>
        <w:t xml:space="preserve">GNFR </w:t>
      </w:r>
      <w:r w:rsidRPr="00A845B7">
        <w:rPr>
          <w:rFonts w:ascii="Arial" w:hAnsi="Arial" w:cs="Arial"/>
          <w:iCs/>
        </w:rPr>
        <w:t>(Goods Not For Resale) covers the procurement of all goods and services a retailer consumes (including media buying, mechanical handling equipment, printing &amp; paper).</w:t>
      </w:r>
    </w:p>
    <w:p w14:paraId="5C8B31AC" w14:textId="77777777" w:rsidR="00785156" w:rsidRPr="00A845B7" w:rsidRDefault="00785156" w:rsidP="00785156">
      <w:pPr>
        <w:jc w:val="left"/>
        <w:rPr>
          <w:rFonts w:ascii="Arial" w:hAnsi="Arial" w:cs="Arial"/>
          <w:b/>
          <w:iCs/>
        </w:rPr>
      </w:pPr>
    </w:p>
    <w:p w14:paraId="62FD73B1" w14:textId="77777777" w:rsidR="00785156" w:rsidRPr="00D32338" w:rsidRDefault="00785156" w:rsidP="00785156">
      <w:pPr>
        <w:tabs>
          <w:tab w:val="left" w:pos="357"/>
        </w:tabs>
        <w:ind w:right="-282"/>
        <w:jc w:val="left"/>
        <w:rPr>
          <w:rFonts w:ascii="Arial" w:hAnsi="Arial" w:cs="Arial"/>
        </w:rPr>
      </w:pPr>
      <w:bookmarkStart w:id="68" w:name="_Hlk524460820"/>
      <w:r w:rsidRPr="00D32338">
        <w:rPr>
          <w:rFonts w:ascii="Arial" w:hAnsi="Arial" w:cs="Arial"/>
          <w:b/>
        </w:rPr>
        <w:t>Iberia</w:t>
      </w:r>
      <w:r w:rsidRPr="00D32338">
        <w:rPr>
          <w:rFonts w:ascii="Arial" w:hAnsi="Arial" w:cs="Arial"/>
        </w:rPr>
        <w:t xml:space="preserve"> consists of Brico </w:t>
      </w:r>
      <w:r w:rsidRPr="00A845B7">
        <w:rPr>
          <w:rFonts w:ascii="Arial" w:hAnsi="Arial" w:cs="Arial"/>
        </w:rPr>
        <w:t>Dépôt</w:t>
      </w:r>
      <w:r w:rsidRPr="00D32338">
        <w:rPr>
          <w:rFonts w:ascii="Arial" w:hAnsi="Arial" w:cs="Arial"/>
        </w:rPr>
        <w:t xml:space="preserve"> Spain and Brico </w:t>
      </w:r>
      <w:r w:rsidRPr="00A845B7">
        <w:rPr>
          <w:rFonts w:ascii="Arial" w:hAnsi="Arial" w:cs="Arial"/>
        </w:rPr>
        <w:t>Dépôt</w:t>
      </w:r>
      <w:r w:rsidRPr="00D32338">
        <w:rPr>
          <w:rFonts w:ascii="Arial" w:hAnsi="Arial" w:cs="Arial"/>
        </w:rPr>
        <w:t xml:space="preserve"> Portugal</w:t>
      </w:r>
      <w:r>
        <w:rPr>
          <w:rFonts w:ascii="Arial" w:hAnsi="Arial" w:cs="Arial"/>
        </w:rPr>
        <w:t>.</w:t>
      </w:r>
    </w:p>
    <w:bookmarkEnd w:id="68"/>
    <w:p w14:paraId="304C2FD5" w14:textId="77777777" w:rsidR="00785156" w:rsidRPr="00A845B7" w:rsidRDefault="00785156" w:rsidP="00785156">
      <w:pPr>
        <w:jc w:val="left"/>
        <w:rPr>
          <w:rFonts w:ascii="Arial" w:hAnsi="Arial" w:cs="Arial"/>
          <w:b/>
          <w:iCs/>
        </w:rPr>
      </w:pPr>
    </w:p>
    <w:p w14:paraId="75D3D2BF" w14:textId="77777777" w:rsidR="00785156" w:rsidRPr="00A845B7" w:rsidRDefault="00785156" w:rsidP="00785156">
      <w:pPr>
        <w:jc w:val="left"/>
        <w:rPr>
          <w:rFonts w:ascii="Arial" w:hAnsi="Arial" w:cs="Arial"/>
          <w:iCs/>
        </w:rPr>
      </w:pPr>
      <w:r w:rsidRPr="00A845B7">
        <w:rPr>
          <w:rFonts w:ascii="Arial" w:hAnsi="Arial" w:cs="Arial"/>
          <w:b/>
          <w:iCs/>
        </w:rPr>
        <w:t>Other International</w:t>
      </w:r>
      <w:r w:rsidRPr="00A845B7">
        <w:rPr>
          <w:rFonts w:ascii="Arial" w:hAnsi="Arial" w:cs="Arial"/>
          <w:iCs/>
        </w:rPr>
        <w:t xml:space="preserve"> consists of Poland,</w:t>
      </w:r>
      <w:r>
        <w:rPr>
          <w:rFonts w:ascii="Arial" w:hAnsi="Arial" w:cs="Arial"/>
          <w:iCs/>
        </w:rPr>
        <w:t xml:space="preserve"> Iberia,</w:t>
      </w:r>
      <w:r w:rsidRPr="00A845B7">
        <w:rPr>
          <w:rFonts w:ascii="Arial" w:hAnsi="Arial" w:cs="Arial"/>
          <w:iCs/>
        </w:rPr>
        <w:t xml:space="preserve"> Romania, Russia, Screwfix </w:t>
      </w:r>
      <w:r>
        <w:rPr>
          <w:rFonts w:ascii="Arial" w:hAnsi="Arial" w:cs="Arial"/>
          <w:iCs/>
        </w:rPr>
        <w:t>Germany</w:t>
      </w:r>
      <w:r w:rsidRPr="00A845B7">
        <w:rPr>
          <w:rFonts w:ascii="Arial" w:hAnsi="Arial" w:cs="Arial"/>
          <w:iCs/>
        </w:rPr>
        <w:t xml:space="preserve"> and Turkey (Koçtaş JV).</w:t>
      </w:r>
    </w:p>
    <w:p w14:paraId="5A48D775" w14:textId="77777777" w:rsidR="00785156" w:rsidRPr="00A845B7" w:rsidRDefault="00785156" w:rsidP="00785156">
      <w:pPr>
        <w:jc w:val="left"/>
        <w:rPr>
          <w:rFonts w:ascii="Arial" w:hAnsi="Arial" w:cs="Arial"/>
          <w:iCs/>
        </w:rPr>
      </w:pPr>
    </w:p>
    <w:p w14:paraId="377E76E6" w14:textId="77777777" w:rsidR="00785156" w:rsidRPr="00A845B7" w:rsidRDefault="00785156" w:rsidP="00785156">
      <w:pPr>
        <w:tabs>
          <w:tab w:val="left" w:pos="357"/>
        </w:tabs>
        <w:ind w:right="-282"/>
        <w:jc w:val="left"/>
        <w:rPr>
          <w:rFonts w:ascii="Arial" w:hAnsi="Arial" w:cs="Arial"/>
          <w:iCs/>
        </w:rPr>
      </w:pPr>
      <w:r>
        <w:rPr>
          <w:rFonts w:ascii="Arial" w:hAnsi="Arial" w:cs="Arial"/>
          <w:b/>
        </w:rPr>
        <w:t>S</w:t>
      </w:r>
      <w:r w:rsidRPr="00A845B7">
        <w:rPr>
          <w:rFonts w:ascii="Arial" w:hAnsi="Arial" w:cs="Arial"/>
          <w:b/>
        </w:rPr>
        <w:t>ales</w:t>
      </w:r>
      <w:r w:rsidRPr="00A845B7">
        <w:rPr>
          <w:rFonts w:ascii="Arial" w:hAnsi="Arial" w:cs="Arial"/>
          <w:iCs/>
        </w:rPr>
        <w:t xml:space="preserve"> </w:t>
      </w:r>
      <w:r>
        <w:rPr>
          <w:rFonts w:ascii="Arial" w:hAnsi="Arial" w:cs="Arial"/>
          <w:iCs/>
        </w:rPr>
        <w:t>refer to</w:t>
      </w:r>
      <w:r w:rsidRPr="00A845B7">
        <w:rPr>
          <w:rFonts w:ascii="Arial" w:hAnsi="Arial" w:cs="Arial"/>
          <w:iCs/>
        </w:rPr>
        <w:t xml:space="preserve"> Group sales exclud</w:t>
      </w:r>
      <w:r>
        <w:rPr>
          <w:rFonts w:ascii="Arial" w:hAnsi="Arial" w:cs="Arial"/>
          <w:iCs/>
        </w:rPr>
        <w:t>ing</w:t>
      </w:r>
      <w:r w:rsidRPr="00A845B7">
        <w:rPr>
          <w:rFonts w:ascii="Arial" w:hAnsi="Arial" w:cs="Arial"/>
          <w:iCs/>
        </w:rPr>
        <w:t xml:space="preserve"> Joint Venture (Koçtaş JV) sales.</w:t>
      </w:r>
    </w:p>
    <w:p w14:paraId="09A435C4" w14:textId="77777777" w:rsidR="00785156" w:rsidRPr="0095057C" w:rsidRDefault="00785156" w:rsidP="0095057C">
      <w:pPr>
        <w:jc w:val="left"/>
        <w:rPr>
          <w:rFonts w:ascii="Arial" w:hAnsi="Arial" w:cs="Arial"/>
          <w:b/>
          <w:iCs/>
        </w:rPr>
      </w:pPr>
    </w:p>
    <w:p w14:paraId="7BAF5C5E" w14:textId="77777777" w:rsidR="00785156" w:rsidRPr="0095057C" w:rsidRDefault="00785156" w:rsidP="0095057C">
      <w:pPr>
        <w:jc w:val="left"/>
        <w:rPr>
          <w:rFonts w:ascii="Arial" w:hAnsi="Arial" w:cs="Arial"/>
          <w:bCs/>
          <w:iCs/>
        </w:rPr>
      </w:pPr>
      <w:r w:rsidRPr="004C343C">
        <w:rPr>
          <w:rFonts w:ascii="Arial" w:hAnsi="Arial" w:cs="Arial"/>
          <w:b/>
          <w:iCs/>
        </w:rPr>
        <w:t xml:space="preserve">SKU </w:t>
      </w:r>
      <w:r w:rsidRPr="0095057C">
        <w:rPr>
          <w:rFonts w:ascii="Arial" w:hAnsi="Arial" w:cs="Arial"/>
          <w:bCs/>
          <w:iCs/>
        </w:rPr>
        <w:t>(Stock Keeping Unit) is defined as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14:paraId="11777CE2" w14:textId="77777777" w:rsidR="00785156" w:rsidRPr="00A845B7" w:rsidRDefault="00785156" w:rsidP="0095057C">
      <w:pPr>
        <w:jc w:val="left"/>
        <w:rPr>
          <w:rFonts w:ascii="Arial" w:hAnsi="Arial" w:cs="Arial"/>
          <w:b/>
          <w:iCs/>
        </w:rPr>
      </w:pPr>
    </w:p>
    <w:p w14:paraId="39BC0394" w14:textId="38DBB49C" w:rsidR="008E3FF2" w:rsidRPr="00AC598B" w:rsidRDefault="00785156" w:rsidP="00785156">
      <w:pPr>
        <w:jc w:val="left"/>
        <w:rPr>
          <w:rFonts w:ascii="Arial" w:hAnsi="Arial" w:cs="Arial"/>
          <w:b/>
          <w:bCs/>
          <w:szCs w:val="24"/>
          <w:highlight w:val="yellow"/>
        </w:rPr>
      </w:pPr>
      <w:r w:rsidRPr="00A845B7">
        <w:rPr>
          <w:rFonts w:ascii="Arial" w:hAnsi="Arial" w:cs="Arial"/>
          <w:b/>
          <w:iCs/>
        </w:rPr>
        <w:t>UK &amp; Ireland</w:t>
      </w:r>
      <w:r w:rsidRPr="00A845B7">
        <w:rPr>
          <w:rFonts w:ascii="Arial" w:hAnsi="Arial" w:cs="Arial"/>
          <w:iCs/>
        </w:rPr>
        <w:t xml:space="preserve"> consists of B&amp;Q in the UK &amp; Ireland and Screwfix UK.</w:t>
      </w:r>
      <w:r w:rsidR="008E3FF2" w:rsidRPr="00AC598B">
        <w:rPr>
          <w:rFonts w:ascii="Arial" w:hAnsi="Arial" w:cs="Arial"/>
          <w:b/>
          <w:bCs/>
          <w:szCs w:val="24"/>
          <w:highlight w:val="yellow"/>
        </w:rPr>
        <w:br w:type="page"/>
      </w:r>
    </w:p>
    <w:p w14:paraId="6A68225A" w14:textId="6FAFD820" w:rsidR="003A298D" w:rsidRPr="00977A3C" w:rsidRDefault="003A298D" w:rsidP="00272A5E">
      <w:pPr>
        <w:rPr>
          <w:rFonts w:ascii="Arial" w:hAnsi="Arial" w:cs="Arial"/>
          <w:b/>
          <w:caps/>
          <w:sz w:val="20"/>
        </w:rPr>
      </w:pPr>
      <w:bookmarkStart w:id="69" w:name="_Hlk524454561"/>
      <w:r w:rsidRPr="00977A3C">
        <w:rPr>
          <w:rFonts w:ascii="Arial" w:hAnsi="Arial" w:cs="Arial"/>
          <w:b/>
          <w:bCs/>
          <w:szCs w:val="24"/>
        </w:rPr>
        <w:t xml:space="preserve">Section </w:t>
      </w:r>
      <w:r w:rsidR="00DD4F01" w:rsidRPr="00977A3C">
        <w:rPr>
          <w:rFonts w:ascii="Arial" w:hAnsi="Arial" w:cs="Arial"/>
          <w:b/>
          <w:bCs/>
          <w:szCs w:val="24"/>
        </w:rPr>
        <w:t>6</w:t>
      </w:r>
      <w:r w:rsidRPr="00977A3C">
        <w:rPr>
          <w:rFonts w:ascii="Arial" w:hAnsi="Arial" w:cs="Arial"/>
          <w:b/>
          <w:bCs/>
          <w:szCs w:val="24"/>
        </w:rPr>
        <w:t xml:space="preserve">: </w:t>
      </w:r>
      <w:r w:rsidRPr="00977A3C">
        <w:rPr>
          <w:rFonts w:ascii="Arial" w:hAnsi="Arial" w:cs="Arial"/>
          <w:b/>
          <w:szCs w:val="24"/>
        </w:rPr>
        <w:t>Forward-looking statements</w:t>
      </w:r>
    </w:p>
    <w:p w14:paraId="37FAC5F7" w14:textId="77777777" w:rsidR="003A298D" w:rsidRPr="00977A3C" w:rsidRDefault="003A298D" w:rsidP="003A298D">
      <w:pPr>
        <w:jc w:val="left"/>
        <w:rPr>
          <w:rFonts w:ascii="Arial" w:hAnsi="Arial" w:cs="Arial"/>
          <w:szCs w:val="24"/>
        </w:rPr>
      </w:pPr>
    </w:p>
    <w:p w14:paraId="3E7F906E" w14:textId="77777777" w:rsidR="006C3B09" w:rsidRPr="00977A3C" w:rsidRDefault="006C3B09" w:rsidP="006C3B09">
      <w:pPr>
        <w:jc w:val="left"/>
        <w:rPr>
          <w:rFonts w:ascii="Arial" w:hAnsi="Arial" w:cs="Arial"/>
          <w:szCs w:val="24"/>
        </w:rPr>
      </w:pPr>
      <w:r w:rsidRPr="00977A3C">
        <w:rPr>
          <w:rFonts w:ascii="Arial" w:hAnsi="Arial" w:cs="Arial"/>
          <w:szCs w:val="24"/>
        </w:rPr>
        <w:t>You are not to construe the content of this announcement as investment, legal or tax advice and you should make your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w:t>
      </w:r>
    </w:p>
    <w:p w14:paraId="3ED496AA" w14:textId="77777777" w:rsidR="006C3B09" w:rsidRPr="00977A3C" w:rsidRDefault="006C3B09" w:rsidP="006C3B09">
      <w:pPr>
        <w:jc w:val="left"/>
        <w:rPr>
          <w:rFonts w:ascii="Arial" w:hAnsi="Arial" w:cs="Arial"/>
          <w:szCs w:val="24"/>
        </w:rPr>
      </w:pPr>
    </w:p>
    <w:p w14:paraId="7CA4D544" w14:textId="2FDAE551" w:rsidR="006C3B09" w:rsidRPr="00977A3C" w:rsidRDefault="006C3B09" w:rsidP="006C3B09">
      <w:pPr>
        <w:jc w:val="left"/>
        <w:rPr>
          <w:rFonts w:ascii="Arial" w:hAnsi="Arial" w:cs="Arial"/>
          <w:szCs w:val="24"/>
        </w:rPr>
      </w:pPr>
      <w:r w:rsidRPr="00977A3C">
        <w:rPr>
          <w:rFonts w:ascii="Arial" w:hAnsi="Arial" w:cs="Arial"/>
          <w:szCs w:val="24"/>
        </w:rPr>
        <w:t xml:space="preserve">This announcement has been prepared in relation to the financial results for the </w:t>
      </w:r>
      <w:r w:rsidR="00A767B9" w:rsidRPr="00977A3C">
        <w:rPr>
          <w:rFonts w:ascii="Arial" w:hAnsi="Arial" w:cs="Arial"/>
          <w:szCs w:val="24"/>
        </w:rPr>
        <w:t xml:space="preserve">Half Year </w:t>
      </w:r>
      <w:r w:rsidRPr="00977A3C">
        <w:rPr>
          <w:rFonts w:ascii="Arial" w:hAnsi="Arial" w:cs="Arial"/>
          <w:szCs w:val="24"/>
        </w:rPr>
        <w:t>ended 31 July 201</w:t>
      </w:r>
      <w:r w:rsidR="006E4677">
        <w:rPr>
          <w:rFonts w:ascii="Arial" w:hAnsi="Arial" w:cs="Arial"/>
          <w:szCs w:val="24"/>
        </w:rPr>
        <w:t>9</w:t>
      </w:r>
      <w:r w:rsidRPr="00977A3C">
        <w:rPr>
          <w:rFonts w:ascii="Arial" w:hAnsi="Arial" w:cs="Arial"/>
          <w:szCs w:val="24"/>
        </w:rPr>
        <w:t xml:space="preserve">. The financial information referenced in this announcement is not audited and does not contain sufficient detail to allow a full understanding of the results of the </w:t>
      </w:r>
      <w:r w:rsidR="00910D65">
        <w:rPr>
          <w:rFonts w:ascii="Arial" w:hAnsi="Arial" w:cs="Arial"/>
          <w:szCs w:val="24"/>
        </w:rPr>
        <w:t>G</w:t>
      </w:r>
      <w:r w:rsidR="00910D65" w:rsidRPr="00977A3C">
        <w:rPr>
          <w:rFonts w:ascii="Arial" w:hAnsi="Arial" w:cs="Arial"/>
          <w:szCs w:val="24"/>
        </w:rPr>
        <w:t>roup</w:t>
      </w:r>
      <w:r w:rsidRPr="00977A3C">
        <w:rPr>
          <w:rFonts w:ascii="Arial" w:hAnsi="Arial" w:cs="Arial"/>
          <w:szCs w:val="24"/>
        </w:rPr>
        <w:t xml:space="preserve">. Nothing in this announcement should be construed as either an offer or invitation to sell or any offering of securities or any invitation or inducement to any person to underwrite, subscribe for or otherwise acquire securities in any company within the </w:t>
      </w:r>
      <w:r w:rsidR="00910D65">
        <w:rPr>
          <w:rFonts w:ascii="Arial" w:hAnsi="Arial" w:cs="Arial"/>
          <w:szCs w:val="24"/>
        </w:rPr>
        <w:t>G</w:t>
      </w:r>
      <w:r w:rsidR="00910D65" w:rsidRPr="00977A3C">
        <w:rPr>
          <w:rFonts w:ascii="Arial" w:hAnsi="Arial" w:cs="Arial"/>
          <w:szCs w:val="24"/>
        </w:rPr>
        <w:t xml:space="preserve">roup </w:t>
      </w:r>
      <w:r w:rsidRPr="00977A3C">
        <w:rPr>
          <w:rFonts w:ascii="Arial" w:hAnsi="Arial" w:cs="Arial"/>
          <w:szCs w:val="24"/>
        </w:rPr>
        <w:t>or an invitation or inducement to engage in investment activity under section 21 of the Financial Services and Markets Act 2000 (as amended).</w:t>
      </w:r>
    </w:p>
    <w:p w14:paraId="5A9685EA" w14:textId="77777777" w:rsidR="006C3B09" w:rsidRPr="00977A3C" w:rsidRDefault="006C3B09" w:rsidP="006C3B09">
      <w:pPr>
        <w:jc w:val="left"/>
        <w:rPr>
          <w:rFonts w:ascii="Arial" w:hAnsi="Arial" w:cs="Arial"/>
          <w:szCs w:val="24"/>
        </w:rPr>
      </w:pPr>
    </w:p>
    <w:p w14:paraId="5B9C57B8" w14:textId="77777777" w:rsidR="006C3B09" w:rsidRPr="00977A3C" w:rsidRDefault="006C3B09" w:rsidP="006C3B09">
      <w:pPr>
        <w:jc w:val="left"/>
        <w:rPr>
          <w:rFonts w:ascii="Arial" w:hAnsi="Arial" w:cs="Arial"/>
          <w:szCs w:val="24"/>
        </w:rPr>
      </w:pPr>
      <w:r w:rsidRPr="00977A3C">
        <w:rPr>
          <w:rFonts w:ascii="Arial" w:hAnsi="Arial" w:cs="Arial"/>
          <w:szCs w:val="24"/>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global or regional trade conditions, 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17DE1566" w14:textId="77777777" w:rsidR="006C3B09" w:rsidRPr="00977A3C" w:rsidRDefault="006C3B09" w:rsidP="006C3B09">
      <w:pPr>
        <w:jc w:val="left"/>
        <w:rPr>
          <w:rFonts w:ascii="Arial" w:hAnsi="Arial" w:cs="Arial"/>
          <w:szCs w:val="24"/>
        </w:rPr>
      </w:pPr>
    </w:p>
    <w:p w14:paraId="13A61595" w14:textId="6EC78953" w:rsidR="003A298D" w:rsidRPr="00977A3C" w:rsidRDefault="006C3B09" w:rsidP="003A298D">
      <w:pPr>
        <w:jc w:val="left"/>
        <w:rPr>
          <w:rFonts w:ascii="Arial" w:hAnsi="Arial" w:cs="Arial"/>
          <w:szCs w:val="24"/>
        </w:rPr>
      </w:pPr>
      <w:r w:rsidRPr="00977A3C">
        <w:rPr>
          <w:rFonts w:ascii="Arial" w:hAnsi="Arial" w:cs="Arial"/>
          <w:szCs w:val="24"/>
        </w:rPr>
        <w:t>The Company does not undertake any obligation to update or revise any forward-looking statement to reflect any change in circumstances or in the Company's expectations.</w:t>
      </w:r>
    </w:p>
    <w:bookmarkEnd w:id="69"/>
    <w:p w14:paraId="3AE69977" w14:textId="73BCD5E3" w:rsidR="00181E03" w:rsidRPr="00DF04F9" w:rsidRDefault="00181E03" w:rsidP="003A298D">
      <w:pPr>
        <w:jc w:val="left"/>
        <w:rPr>
          <w:rFonts w:ascii="Arial" w:hAnsi="Arial" w:cs="Arial"/>
          <w:szCs w:val="24"/>
        </w:rPr>
      </w:pPr>
    </w:p>
    <w:sectPr w:rsidR="00181E03" w:rsidRPr="00DF04F9" w:rsidSect="004C0B61">
      <w:headerReference w:type="default" r:id="rId17"/>
      <w:footerReference w:type="default" r:id="rId18"/>
      <w:type w:val="continuous"/>
      <w:pgSz w:w="11909" w:h="16834" w:code="9"/>
      <w:pgMar w:top="1077" w:right="1021" w:bottom="720" w:left="1021" w:header="11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07FA" w14:textId="77777777" w:rsidR="00164C17" w:rsidRDefault="00164C17">
      <w:pPr>
        <w:rPr>
          <w:rFonts w:cs="Times New Roman"/>
        </w:rPr>
      </w:pPr>
      <w:r>
        <w:rPr>
          <w:rFonts w:cs="Times New Roman"/>
        </w:rPr>
        <w:separator/>
      </w:r>
    </w:p>
  </w:endnote>
  <w:endnote w:type="continuationSeparator" w:id="0">
    <w:p w14:paraId="37110C02" w14:textId="77777777" w:rsidR="00164C17" w:rsidRDefault="00164C17">
      <w:pPr>
        <w:rPr>
          <w:rFonts w:cs="Times New Roman"/>
        </w:rPr>
      </w:pPr>
      <w:r>
        <w:rPr>
          <w:rFonts w:cs="Times New Roman"/>
        </w:rPr>
        <w:continuationSeparator/>
      </w:r>
    </w:p>
  </w:endnote>
  <w:endnote w:type="continuationNotice" w:id="1">
    <w:p w14:paraId="6F2248E6" w14:textId="77777777" w:rsidR="00164C17" w:rsidRDefault="0016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Calibri"/>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57898"/>
      <w:docPartObj>
        <w:docPartGallery w:val="Page Numbers (Bottom of Page)"/>
        <w:docPartUnique/>
      </w:docPartObj>
    </w:sdtPr>
    <w:sdtEndPr>
      <w:rPr>
        <w:rFonts w:ascii="Arial" w:hAnsi="Arial"/>
      </w:rPr>
    </w:sdtEndPr>
    <w:sdtContent>
      <w:p w14:paraId="458AAD36" w14:textId="3CB99819" w:rsidR="00164C17" w:rsidRPr="009F71DB" w:rsidRDefault="00164C17">
        <w:pPr>
          <w:pStyle w:val="Footer"/>
          <w:jc w:val="right"/>
          <w:rPr>
            <w:rFonts w:ascii="Arial" w:hAnsi="Arial"/>
          </w:rPr>
        </w:pPr>
        <w:r w:rsidRPr="009F71DB">
          <w:rPr>
            <w:rFonts w:ascii="Arial" w:hAnsi="Arial"/>
          </w:rPr>
          <w:fldChar w:fldCharType="begin"/>
        </w:r>
        <w:r w:rsidRPr="009F71DB">
          <w:rPr>
            <w:rFonts w:ascii="Arial" w:hAnsi="Arial"/>
          </w:rPr>
          <w:instrText xml:space="preserve"> PAGE   \* MERGEFORMAT </w:instrText>
        </w:r>
        <w:r w:rsidRPr="009F71DB">
          <w:rPr>
            <w:rFonts w:ascii="Arial" w:hAnsi="Arial"/>
          </w:rPr>
          <w:fldChar w:fldCharType="separate"/>
        </w:r>
        <w:r w:rsidRPr="009F71DB">
          <w:rPr>
            <w:rFonts w:ascii="Arial" w:hAnsi="Arial"/>
          </w:rPr>
          <w:t>1</w:t>
        </w:r>
        <w:r w:rsidRPr="009F71DB">
          <w:rPr>
            <w:rFonts w:ascii="Arial" w:hAnsi="Arial"/>
          </w:rPr>
          <w:fldChar w:fldCharType="end"/>
        </w:r>
      </w:p>
    </w:sdtContent>
  </w:sdt>
  <w:p w14:paraId="7423D219" w14:textId="77777777" w:rsidR="00164C17" w:rsidRPr="00930C11" w:rsidRDefault="00164C17"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B6EF" w14:textId="77777777" w:rsidR="00164C17" w:rsidRDefault="00164C17">
      <w:pPr>
        <w:rPr>
          <w:rFonts w:cs="Times New Roman"/>
        </w:rPr>
      </w:pPr>
      <w:r>
        <w:rPr>
          <w:rFonts w:cs="Times New Roman"/>
        </w:rPr>
        <w:separator/>
      </w:r>
    </w:p>
  </w:footnote>
  <w:footnote w:type="continuationSeparator" w:id="0">
    <w:p w14:paraId="0A767E5A" w14:textId="77777777" w:rsidR="00164C17" w:rsidRDefault="00164C17">
      <w:pPr>
        <w:rPr>
          <w:rFonts w:cs="Times New Roman"/>
        </w:rPr>
      </w:pPr>
      <w:r>
        <w:rPr>
          <w:rFonts w:cs="Times New Roman"/>
        </w:rPr>
        <w:continuationSeparator/>
      </w:r>
    </w:p>
  </w:footnote>
  <w:footnote w:type="continuationNotice" w:id="1">
    <w:p w14:paraId="7F90E55D" w14:textId="77777777" w:rsidR="00164C17" w:rsidRDefault="00164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9458" w14:textId="082A93A4" w:rsidR="00164C17" w:rsidRPr="00341E1C" w:rsidRDefault="00164C17" w:rsidP="006E1748">
    <w:pPr>
      <w:pStyle w:val="Header"/>
      <w:jc w:val="center"/>
    </w:pPr>
    <w:r>
      <w:rPr>
        <w:noProof/>
      </w:rPr>
      <w:drawing>
        <wp:inline distT="0" distB="0" distL="0" distR="0" wp14:anchorId="7D377ADA" wp14:editId="5FA8AC83">
          <wp:extent cx="2066925" cy="586740"/>
          <wp:effectExtent l="0" t="0" r="9525"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586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AA09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241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1E1E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5A04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F45C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6" w15:restartNumberingAfterBreak="0">
    <w:nsid w:val="FFFFFF82"/>
    <w:multiLevelType w:val="singleLevel"/>
    <w:tmpl w:val="5BF2CB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ED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AE77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F6A9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6DE8"/>
    <w:multiLevelType w:val="hybridMultilevel"/>
    <w:tmpl w:val="3F842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A64377"/>
    <w:multiLevelType w:val="hybridMultilevel"/>
    <w:tmpl w:val="CB6A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15E05"/>
    <w:multiLevelType w:val="hybridMultilevel"/>
    <w:tmpl w:val="C0BC717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86ECB"/>
    <w:multiLevelType w:val="hybridMultilevel"/>
    <w:tmpl w:val="5C047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C22E8"/>
    <w:multiLevelType w:val="hybridMultilevel"/>
    <w:tmpl w:val="607C025A"/>
    <w:lvl w:ilvl="0" w:tplc="E9947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CA310F"/>
    <w:multiLevelType w:val="hybridMultilevel"/>
    <w:tmpl w:val="AD6EC6A6"/>
    <w:lvl w:ilvl="0" w:tplc="505E8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C4544"/>
    <w:multiLevelType w:val="hybridMultilevel"/>
    <w:tmpl w:val="EA5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E01E88"/>
    <w:multiLevelType w:val="hybridMultilevel"/>
    <w:tmpl w:val="B08EA968"/>
    <w:lvl w:ilvl="0" w:tplc="1D4C38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F46823"/>
    <w:multiLevelType w:val="hybridMultilevel"/>
    <w:tmpl w:val="A42837A6"/>
    <w:lvl w:ilvl="0" w:tplc="2500D93C">
      <w:start w:val="1"/>
      <w:numFmt w:val="bullet"/>
      <w:lvlText w:val=""/>
      <w:lvlJc w:val="left"/>
      <w:pPr>
        <w:tabs>
          <w:tab w:val="num" w:pos="720"/>
        </w:tabs>
        <w:ind w:left="720" w:hanging="360"/>
      </w:pPr>
      <w:rPr>
        <w:rFonts w:ascii="Wingdings" w:hAnsi="Wingdings" w:hint="default"/>
      </w:rPr>
    </w:lvl>
    <w:lvl w:ilvl="1" w:tplc="8A74E926" w:tentative="1">
      <w:start w:val="1"/>
      <w:numFmt w:val="bullet"/>
      <w:lvlText w:val=""/>
      <w:lvlJc w:val="left"/>
      <w:pPr>
        <w:tabs>
          <w:tab w:val="num" w:pos="1440"/>
        </w:tabs>
        <w:ind w:left="1440" w:hanging="360"/>
      </w:pPr>
      <w:rPr>
        <w:rFonts w:ascii="Wingdings" w:hAnsi="Wingdings" w:hint="default"/>
      </w:rPr>
    </w:lvl>
    <w:lvl w:ilvl="2" w:tplc="E36892BE" w:tentative="1">
      <w:start w:val="1"/>
      <w:numFmt w:val="bullet"/>
      <w:lvlText w:val=""/>
      <w:lvlJc w:val="left"/>
      <w:pPr>
        <w:tabs>
          <w:tab w:val="num" w:pos="2160"/>
        </w:tabs>
        <w:ind w:left="2160" w:hanging="360"/>
      </w:pPr>
      <w:rPr>
        <w:rFonts w:ascii="Wingdings" w:hAnsi="Wingdings" w:hint="default"/>
      </w:rPr>
    </w:lvl>
    <w:lvl w:ilvl="3" w:tplc="29FC278A" w:tentative="1">
      <w:start w:val="1"/>
      <w:numFmt w:val="bullet"/>
      <w:lvlText w:val=""/>
      <w:lvlJc w:val="left"/>
      <w:pPr>
        <w:tabs>
          <w:tab w:val="num" w:pos="2880"/>
        </w:tabs>
        <w:ind w:left="2880" w:hanging="360"/>
      </w:pPr>
      <w:rPr>
        <w:rFonts w:ascii="Wingdings" w:hAnsi="Wingdings" w:hint="default"/>
      </w:rPr>
    </w:lvl>
    <w:lvl w:ilvl="4" w:tplc="485EBA8A" w:tentative="1">
      <w:start w:val="1"/>
      <w:numFmt w:val="bullet"/>
      <w:lvlText w:val=""/>
      <w:lvlJc w:val="left"/>
      <w:pPr>
        <w:tabs>
          <w:tab w:val="num" w:pos="3600"/>
        </w:tabs>
        <w:ind w:left="3600" w:hanging="360"/>
      </w:pPr>
      <w:rPr>
        <w:rFonts w:ascii="Wingdings" w:hAnsi="Wingdings" w:hint="default"/>
      </w:rPr>
    </w:lvl>
    <w:lvl w:ilvl="5" w:tplc="C8EC7CE0" w:tentative="1">
      <w:start w:val="1"/>
      <w:numFmt w:val="bullet"/>
      <w:lvlText w:val=""/>
      <w:lvlJc w:val="left"/>
      <w:pPr>
        <w:tabs>
          <w:tab w:val="num" w:pos="4320"/>
        </w:tabs>
        <w:ind w:left="4320" w:hanging="360"/>
      </w:pPr>
      <w:rPr>
        <w:rFonts w:ascii="Wingdings" w:hAnsi="Wingdings" w:hint="default"/>
      </w:rPr>
    </w:lvl>
    <w:lvl w:ilvl="6" w:tplc="30B6FDD0" w:tentative="1">
      <w:start w:val="1"/>
      <w:numFmt w:val="bullet"/>
      <w:lvlText w:val=""/>
      <w:lvlJc w:val="left"/>
      <w:pPr>
        <w:tabs>
          <w:tab w:val="num" w:pos="5040"/>
        </w:tabs>
        <w:ind w:left="5040" w:hanging="360"/>
      </w:pPr>
      <w:rPr>
        <w:rFonts w:ascii="Wingdings" w:hAnsi="Wingdings" w:hint="default"/>
      </w:rPr>
    </w:lvl>
    <w:lvl w:ilvl="7" w:tplc="DF66049C" w:tentative="1">
      <w:start w:val="1"/>
      <w:numFmt w:val="bullet"/>
      <w:lvlText w:val=""/>
      <w:lvlJc w:val="left"/>
      <w:pPr>
        <w:tabs>
          <w:tab w:val="num" w:pos="5760"/>
        </w:tabs>
        <w:ind w:left="5760" w:hanging="360"/>
      </w:pPr>
      <w:rPr>
        <w:rFonts w:ascii="Wingdings" w:hAnsi="Wingdings" w:hint="default"/>
      </w:rPr>
    </w:lvl>
    <w:lvl w:ilvl="8" w:tplc="3EEA08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5E3EA2"/>
    <w:multiLevelType w:val="hybridMultilevel"/>
    <w:tmpl w:val="3558D78C"/>
    <w:lvl w:ilvl="0" w:tplc="8FF095DE">
      <w:start w:val="1"/>
      <w:numFmt w:val="bullet"/>
      <w:lvlText w:val=""/>
      <w:lvlJc w:val="left"/>
      <w:pPr>
        <w:tabs>
          <w:tab w:val="num" w:pos="720"/>
        </w:tabs>
        <w:ind w:left="720" w:hanging="360"/>
      </w:pPr>
      <w:rPr>
        <w:rFonts w:ascii="Wingdings" w:hAnsi="Wingdings" w:hint="default"/>
      </w:rPr>
    </w:lvl>
    <w:lvl w:ilvl="1" w:tplc="E534B6C6" w:tentative="1">
      <w:start w:val="1"/>
      <w:numFmt w:val="bullet"/>
      <w:lvlText w:val=""/>
      <w:lvlJc w:val="left"/>
      <w:pPr>
        <w:tabs>
          <w:tab w:val="num" w:pos="1440"/>
        </w:tabs>
        <w:ind w:left="1440" w:hanging="360"/>
      </w:pPr>
      <w:rPr>
        <w:rFonts w:ascii="Wingdings" w:hAnsi="Wingdings" w:hint="default"/>
      </w:rPr>
    </w:lvl>
    <w:lvl w:ilvl="2" w:tplc="6EB800AC" w:tentative="1">
      <w:start w:val="1"/>
      <w:numFmt w:val="bullet"/>
      <w:lvlText w:val=""/>
      <w:lvlJc w:val="left"/>
      <w:pPr>
        <w:tabs>
          <w:tab w:val="num" w:pos="2160"/>
        </w:tabs>
        <w:ind w:left="2160" w:hanging="360"/>
      </w:pPr>
      <w:rPr>
        <w:rFonts w:ascii="Wingdings" w:hAnsi="Wingdings" w:hint="default"/>
      </w:rPr>
    </w:lvl>
    <w:lvl w:ilvl="3" w:tplc="219CD576" w:tentative="1">
      <w:start w:val="1"/>
      <w:numFmt w:val="bullet"/>
      <w:lvlText w:val=""/>
      <w:lvlJc w:val="left"/>
      <w:pPr>
        <w:tabs>
          <w:tab w:val="num" w:pos="2880"/>
        </w:tabs>
        <w:ind w:left="2880" w:hanging="360"/>
      </w:pPr>
      <w:rPr>
        <w:rFonts w:ascii="Wingdings" w:hAnsi="Wingdings" w:hint="default"/>
      </w:rPr>
    </w:lvl>
    <w:lvl w:ilvl="4" w:tplc="C408FFEC" w:tentative="1">
      <w:start w:val="1"/>
      <w:numFmt w:val="bullet"/>
      <w:lvlText w:val=""/>
      <w:lvlJc w:val="left"/>
      <w:pPr>
        <w:tabs>
          <w:tab w:val="num" w:pos="3600"/>
        </w:tabs>
        <w:ind w:left="3600" w:hanging="360"/>
      </w:pPr>
      <w:rPr>
        <w:rFonts w:ascii="Wingdings" w:hAnsi="Wingdings" w:hint="default"/>
      </w:rPr>
    </w:lvl>
    <w:lvl w:ilvl="5" w:tplc="BDBEA4F0" w:tentative="1">
      <w:start w:val="1"/>
      <w:numFmt w:val="bullet"/>
      <w:lvlText w:val=""/>
      <w:lvlJc w:val="left"/>
      <w:pPr>
        <w:tabs>
          <w:tab w:val="num" w:pos="4320"/>
        </w:tabs>
        <w:ind w:left="4320" w:hanging="360"/>
      </w:pPr>
      <w:rPr>
        <w:rFonts w:ascii="Wingdings" w:hAnsi="Wingdings" w:hint="default"/>
      </w:rPr>
    </w:lvl>
    <w:lvl w:ilvl="6" w:tplc="22EE5B94" w:tentative="1">
      <w:start w:val="1"/>
      <w:numFmt w:val="bullet"/>
      <w:lvlText w:val=""/>
      <w:lvlJc w:val="left"/>
      <w:pPr>
        <w:tabs>
          <w:tab w:val="num" w:pos="5040"/>
        </w:tabs>
        <w:ind w:left="5040" w:hanging="360"/>
      </w:pPr>
      <w:rPr>
        <w:rFonts w:ascii="Wingdings" w:hAnsi="Wingdings" w:hint="default"/>
      </w:rPr>
    </w:lvl>
    <w:lvl w:ilvl="7" w:tplc="C002BB5E" w:tentative="1">
      <w:start w:val="1"/>
      <w:numFmt w:val="bullet"/>
      <w:lvlText w:val=""/>
      <w:lvlJc w:val="left"/>
      <w:pPr>
        <w:tabs>
          <w:tab w:val="num" w:pos="5760"/>
        </w:tabs>
        <w:ind w:left="5760" w:hanging="360"/>
      </w:pPr>
      <w:rPr>
        <w:rFonts w:ascii="Wingdings" w:hAnsi="Wingdings" w:hint="default"/>
      </w:rPr>
    </w:lvl>
    <w:lvl w:ilvl="8" w:tplc="788064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2612D"/>
    <w:multiLevelType w:val="hybridMultilevel"/>
    <w:tmpl w:val="76E47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5F4C33CF"/>
    <w:multiLevelType w:val="hybridMultilevel"/>
    <w:tmpl w:val="B3B6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F46000"/>
    <w:multiLevelType w:val="hybridMultilevel"/>
    <w:tmpl w:val="EA94CCD6"/>
    <w:lvl w:ilvl="0" w:tplc="5A32C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46B20"/>
    <w:multiLevelType w:val="hybridMultilevel"/>
    <w:tmpl w:val="928C90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A40CF0"/>
    <w:multiLevelType w:val="hybridMultilevel"/>
    <w:tmpl w:val="1D3CE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D030A"/>
    <w:multiLevelType w:val="hybridMultilevel"/>
    <w:tmpl w:val="607C025A"/>
    <w:lvl w:ilvl="0" w:tplc="E9947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537108"/>
    <w:multiLevelType w:val="hybridMultilevel"/>
    <w:tmpl w:val="7284D552"/>
    <w:lvl w:ilvl="0" w:tplc="E56CE038">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15:restartNumberingAfterBreak="0">
    <w:nsid w:val="7C993ED6"/>
    <w:multiLevelType w:val="hybridMultilevel"/>
    <w:tmpl w:val="B8AE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11"/>
  </w:num>
  <w:num w:numId="5">
    <w:abstractNumId w:val="28"/>
  </w:num>
  <w:num w:numId="6">
    <w:abstractNumId w:val="21"/>
  </w:num>
  <w:num w:numId="7">
    <w:abstractNumId w:val="23"/>
  </w:num>
  <w:num w:numId="8">
    <w:abstractNumId w:val="10"/>
  </w:num>
  <w:num w:numId="9">
    <w:abstractNumId w:val="9"/>
  </w:num>
  <w:num w:numId="10">
    <w:abstractNumId w:val="7"/>
  </w:num>
  <w:num w:numId="11">
    <w:abstractNumId w:val="6"/>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 w:numId="20">
    <w:abstractNumId w:val="15"/>
  </w:num>
  <w:num w:numId="21">
    <w:abstractNumId w:val="12"/>
  </w:num>
  <w:num w:numId="22">
    <w:abstractNumId w:val="13"/>
  </w:num>
  <w:num w:numId="23">
    <w:abstractNumId w:val="25"/>
  </w:num>
  <w:num w:numId="24">
    <w:abstractNumId w:val="32"/>
  </w:num>
  <w:num w:numId="25">
    <w:abstractNumId w:val="31"/>
  </w:num>
  <w:num w:numId="26">
    <w:abstractNumId w:val="21"/>
  </w:num>
  <w:num w:numId="27">
    <w:abstractNumId w:val="17"/>
  </w:num>
  <w:num w:numId="28">
    <w:abstractNumId w:val="22"/>
  </w:num>
  <w:num w:numId="29">
    <w:abstractNumId w:val="20"/>
  </w:num>
  <w:num w:numId="30">
    <w:abstractNumId w:val="18"/>
  </w:num>
  <w:num w:numId="31">
    <w:abstractNumId w:val="19"/>
  </w:num>
  <w:num w:numId="32">
    <w:abstractNumId w:val="30"/>
  </w:num>
  <w:num w:numId="33">
    <w:abstractNumId w:val="16"/>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noPunctuationKerning/>
  <w:characterSpacingControl w:val="doNotCompress"/>
  <w:doNotValidateAgainstSchema/>
  <w:doNotDemarcateInvalidXml/>
  <w:hdrShapeDefaults>
    <o:shapedefaults v:ext="edit" spidmax="1781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393"/>
    <w:rsid w:val="0000047F"/>
    <w:rsid w:val="000006D2"/>
    <w:rsid w:val="00000FE7"/>
    <w:rsid w:val="000012DD"/>
    <w:rsid w:val="0000154D"/>
    <w:rsid w:val="000015BF"/>
    <w:rsid w:val="00001E1A"/>
    <w:rsid w:val="000026D0"/>
    <w:rsid w:val="00002818"/>
    <w:rsid w:val="00002DFA"/>
    <w:rsid w:val="00002F27"/>
    <w:rsid w:val="0000303B"/>
    <w:rsid w:val="000034A6"/>
    <w:rsid w:val="00003A9F"/>
    <w:rsid w:val="00003FF5"/>
    <w:rsid w:val="0000423D"/>
    <w:rsid w:val="00004335"/>
    <w:rsid w:val="000043AB"/>
    <w:rsid w:val="000045F9"/>
    <w:rsid w:val="000047E4"/>
    <w:rsid w:val="00004848"/>
    <w:rsid w:val="00005607"/>
    <w:rsid w:val="00006863"/>
    <w:rsid w:val="00006B3B"/>
    <w:rsid w:val="00006C01"/>
    <w:rsid w:val="00006F66"/>
    <w:rsid w:val="00007058"/>
    <w:rsid w:val="000071ED"/>
    <w:rsid w:val="000077C7"/>
    <w:rsid w:val="00007BD0"/>
    <w:rsid w:val="0001042A"/>
    <w:rsid w:val="000105C4"/>
    <w:rsid w:val="00010672"/>
    <w:rsid w:val="000109D7"/>
    <w:rsid w:val="00010EC9"/>
    <w:rsid w:val="00011156"/>
    <w:rsid w:val="00011491"/>
    <w:rsid w:val="000119D5"/>
    <w:rsid w:val="00012085"/>
    <w:rsid w:val="000125AC"/>
    <w:rsid w:val="00012C17"/>
    <w:rsid w:val="00012C99"/>
    <w:rsid w:val="00012FF2"/>
    <w:rsid w:val="00013088"/>
    <w:rsid w:val="00013174"/>
    <w:rsid w:val="00013742"/>
    <w:rsid w:val="000138C0"/>
    <w:rsid w:val="00013A12"/>
    <w:rsid w:val="00013AD9"/>
    <w:rsid w:val="00013BFF"/>
    <w:rsid w:val="00014458"/>
    <w:rsid w:val="00014608"/>
    <w:rsid w:val="0001473A"/>
    <w:rsid w:val="000147F4"/>
    <w:rsid w:val="00014AB9"/>
    <w:rsid w:val="00014C8E"/>
    <w:rsid w:val="00014F94"/>
    <w:rsid w:val="00015283"/>
    <w:rsid w:val="000156C2"/>
    <w:rsid w:val="00015952"/>
    <w:rsid w:val="00015B14"/>
    <w:rsid w:val="00016040"/>
    <w:rsid w:val="00016C9C"/>
    <w:rsid w:val="00016E58"/>
    <w:rsid w:val="0001743F"/>
    <w:rsid w:val="00017592"/>
    <w:rsid w:val="00017D5E"/>
    <w:rsid w:val="00020047"/>
    <w:rsid w:val="000206F6"/>
    <w:rsid w:val="00020713"/>
    <w:rsid w:val="00020B7F"/>
    <w:rsid w:val="00020DCF"/>
    <w:rsid w:val="00020E33"/>
    <w:rsid w:val="00020E6F"/>
    <w:rsid w:val="0002185E"/>
    <w:rsid w:val="00021ADE"/>
    <w:rsid w:val="00021E77"/>
    <w:rsid w:val="00021FC5"/>
    <w:rsid w:val="00021FCA"/>
    <w:rsid w:val="00022100"/>
    <w:rsid w:val="000221CC"/>
    <w:rsid w:val="00022456"/>
    <w:rsid w:val="00022DA1"/>
    <w:rsid w:val="00023169"/>
    <w:rsid w:val="000232E9"/>
    <w:rsid w:val="000234FE"/>
    <w:rsid w:val="0002361C"/>
    <w:rsid w:val="000238EB"/>
    <w:rsid w:val="0002395F"/>
    <w:rsid w:val="00023E6F"/>
    <w:rsid w:val="00024CBC"/>
    <w:rsid w:val="00025399"/>
    <w:rsid w:val="0002565A"/>
    <w:rsid w:val="00025774"/>
    <w:rsid w:val="00025A11"/>
    <w:rsid w:val="00025F32"/>
    <w:rsid w:val="000261CC"/>
    <w:rsid w:val="000265B9"/>
    <w:rsid w:val="00026714"/>
    <w:rsid w:val="00026977"/>
    <w:rsid w:val="00027085"/>
    <w:rsid w:val="000270B9"/>
    <w:rsid w:val="00027B8D"/>
    <w:rsid w:val="00027E09"/>
    <w:rsid w:val="000300B8"/>
    <w:rsid w:val="0003078B"/>
    <w:rsid w:val="00030D76"/>
    <w:rsid w:val="00030DEB"/>
    <w:rsid w:val="00030F90"/>
    <w:rsid w:val="00031334"/>
    <w:rsid w:val="0003137D"/>
    <w:rsid w:val="00031453"/>
    <w:rsid w:val="000317BC"/>
    <w:rsid w:val="000317F9"/>
    <w:rsid w:val="000318DF"/>
    <w:rsid w:val="00031C7B"/>
    <w:rsid w:val="00031D82"/>
    <w:rsid w:val="00031E2E"/>
    <w:rsid w:val="0003213B"/>
    <w:rsid w:val="00032390"/>
    <w:rsid w:val="0003272B"/>
    <w:rsid w:val="00032A99"/>
    <w:rsid w:val="00032C17"/>
    <w:rsid w:val="00032E7B"/>
    <w:rsid w:val="00033259"/>
    <w:rsid w:val="00033342"/>
    <w:rsid w:val="00033473"/>
    <w:rsid w:val="0003393C"/>
    <w:rsid w:val="00033A05"/>
    <w:rsid w:val="00033A74"/>
    <w:rsid w:val="00033D2D"/>
    <w:rsid w:val="00033D3C"/>
    <w:rsid w:val="00033D68"/>
    <w:rsid w:val="000341AB"/>
    <w:rsid w:val="000344B3"/>
    <w:rsid w:val="000346AA"/>
    <w:rsid w:val="0003491C"/>
    <w:rsid w:val="000349E8"/>
    <w:rsid w:val="00034CB7"/>
    <w:rsid w:val="00034CC9"/>
    <w:rsid w:val="00034DDC"/>
    <w:rsid w:val="00035841"/>
    <w:rsid w:val="000359DA"/>
    <w:rsid w:val="00035B51"/>
    <w:rsid w:val="00035FDA"/>
    <w:rsid w:val="00036114"/>
    <w:rsid w:val="00036C2F"/>
    <w:rsid w:val="00037404"/>
    <w:rsid w:val="0003744D"/>
    <w:rsid w:val="00037641"/>
    <w:rsid w:val="00037997"/>
    <w:rsid w:val="00037A15"/>
    <w:rsid w:val="00037AEB"/>
    <w:rsid w:val="00040085"/>
    <w:rsid w:val="00040303"/>
    <w:rsid w:val="0004034D"/>
    <w:rsid w:val="000407D5"/>
    <w:rsid w:val="00040C08"/>
    <w:rsid w:val="000413C4"/>
    <w:rsid w:val="00041831"/>
    <w:rsid w:val="00041D18"/>
    <w:rsid w:val="0004258A"/>
    <w:rsid w:val="0004288F"/>
    <w:rsid w:val="00042926"/>
    <w:rsid w:val="00042B30"/>
    <w:rsid w:val="00043801"/>
    <w:rsid w:val="00043BA4"/>
    <w:rsid w:val="00043CDA"/>
    <w:rsid w:val="00044165"/>
    <w:rsid w:val="0004430A"/>
    <w:rsid w:val="0004443C"/>
    <w:rsid w:val="00044627"/>
    <w:rsid w:val="000446E4"/>
    <w:rsid w:val="0004475D"/>
    <w:rsid w:val="000448DF"/>
    <w:rsid w:val="00044BCA"/>
    <w:rsid w:val="00044C1B"/>
    <w:rsid w:val="00044F13"/>
    <w:rsid w:val="000453DF"/>
    <w:rsid w:val="0004561A"/>
    <w:rsid w:val="000457B5"/>
    <w:rsid w:val="00045E54"/>
    <w:rsid w:val="0004608E"/>
    <w:rsid w:val="00046120"/>
    <w:rsid w:val="00046B2D"/>
    <w:rsid w:val="00046BDE"/>
    <w:rsid w:val="000471A5"/>
    <w:rsid w:val="0004773B"/>
    <w:rsid w:val="0004782C"/>
    <w:rsid w:val="000478E9"/>
    <w:rsid w:val="00047B6B"/>
    <w:rsid w:val="00050768"/>
    <w:rsid w:val="00050886"/>
    <w:rsid w:val="0005091E"/>
    <w:rsid w:val="00050BDB"/>
    <w:rsid w:val="00050CE5"/>
    <w:rsid w:val="0005114B"/>
    <w:rsid w:val="00051573"/>
    <w:rsid w:val="00051EBF"/>
    <w:rsid w:val="00052140"/>
    <w:rsid w:val="0005238F"/>
    <w:rsid w:val="000523F7"/>
    <w:rsid w:val="000526A4"/>
    <w:rsid w:val="0005276B"/>
    <w:rsid w:val="00052A6C"/>
    <w:rsid w:val="00052C44"/>
    <w:rsid w:val="00052FF1"/>
    <w:rsid w:val="000533AE"/>
    <w:rsid w:val="000537E2"/>
    <w:rsid w:val="0005394A"/>
    <w:rsid w:val="000539A9"/>
    <w:rsid w:val="00053DE2"/>
    <w:rsid w:val="00054194"/>
    <w:rsid w:val="0005420F"/>
    <w:rsid w:val="00054A32"/>
    <w:rsid w:val="00054D9E"/>
    <w:rsid w:val="00054DE9"/>
    <w:rsid w:val="00054FD6"/>
    <w:rsid w:val="000550AF"/>
    <w:rsid w:val="00055787"/>
    <w:rsid w:val="000559AD"/>
    <w:rsid w:val="000561C7"/>
    <w:rsid w:val="00056513"/>
    <w:rsid w:val="000568B5"/>
    <w:rsid w:val="00056BAD"/>
    <w:rsid w:val="00056CA7"/>
    <w:rsid w:val="00056F7A"/>
    <w:rsid w:val="0005739A"/>
    <w:rsid w:val="00057892"/>
    <w:rsid w:val="000578D4"/>
    <w:rsid w:val="0005796C"/>
    <w:rsid w:val="00060482"/>
    <w:rsid w:val="000604E7"/>
    <w:rsid w:val="0006063A"/>
    <w:rsid w:val="00060679"/>
    <w:rsid w:val="00060680"/>
    <w:rsid w:val="000606BF"/>
    <w:rsid w:val="00060B8A"/>
    <w:rsid w:val="00060E8F"/>
    <w:rsid w:val="000617D7"/>
    <w:rsid w:val="000621F1"/>
    <w:rsid w:val="000622E7"/>
    <w:rsid w:val="00062381"/>
    <w:rsid w:val="000625E4"/>
    <w:rsid w:val="000629AB"/>
    <w:rsid w:val="00062AB6"/>
    <w:rsid w:val="0006315F"/>
    <w:rsid w:val="000634B6"/>
    <w:rsid w:val="00063EB2"/>
    <w:rsid w:val="000643D9"/>
    <w:rsid w:val="000645AA"/>
    <w:rsid w:val="00064E7C"/>
    <w:rsid w:val="00065198"/>
    <w:rsid w:val="00065824"/>
    <w:rsid w:val="0006589E"/>
    <w:rsid w:val="0006596C"/>
    <w:rsid w:val="00065A51"/>
    <w:rsid w:val="00065AA7"/>
    <w:rsid w:val="00065E95"/>
    <w:rsid w:val="00065F74"/>
    <w:rsid w:val="0006601F"/>
    <w:rsid w:val="00066649"/>
    <w:rsid w:val="00066EAB"/>
    <w:rsid w:val="00066FEB"/>
    <w:rsid w:val="0006717E"/>
    <w:rsid w:val="0006778C"/>
    <w:rsid w:val="00067B95"/>
    <w:rsid w:val="00070120"/>
    <w:rsid w:val="0007033F"/>
    <w:rsid w:val="00070779"/>
    <w:rsid w:val="00070A63"/>
    <w:rsid w:val="00070D5F"/>
    <w:rsid w:val="00070F3E"/>
    <w:rsid w:val="00071152"/>
    <w:rsid w:val="00071858"/>
    <w:rsid w:val="00071F89"/>
    <w:rsid w:val="00072063"/>
    <w:rsid w:val="000722A5"/>
    <w:rsid w:val="000723A4"/>
    <w:rsid w:val="00072489"/>
    <w:rsid w:val="00072653"/>
    <w:rsid w:val="000728CF"/>
    <w:rsid w:val="00072B44"/>
    <w:rsid w:val="000734F4"/>
    <w:rsid w:val="000735D9"/>
    <w:rsid w:val="00073851"/>
    <w:rsid w:val="00073EFC"/>
    <w:rsid w:val="00074103"/>
    <w:rsid w:val="00074233"/>
    <w:rsid w:val="00074312"/>
    <w:rsid w:val="00074443"/>
    <w:rsid w:val="0007468C"/>
    <w:rsid w:val="0007470C"/>
    <w:rsid w:val="00074BF9"/>
    <w:rsid w:val="00074C40"/>
    <w:rsid w:val="00074C6A"/>
    <w:rsid w:val="000754C8"/>
    <w:rsid w:val="000754CF"/>
    <w:rsid w:val="00075A92"/>
    <w:rsid w:val="000761DC"/>
    <w:rsid w:val="00076217"/>
    <w:rsid w:val="0007631F"/>
    <w:rsid w:val="0007647A"/>
    <w:rsid w:val="00076513"/>
    <w:rsid w:val="00076530"/>
    <w:rsid w:val="00076649"/>
    <w:rsid w:val="000770A2"/>
    <w:rsid w:val="000770D6"/>
    <w:rsid w:val="0007726C"/>
    <w:rsid w:val="000773CF"/>
    <w:rsid w:val="00077704"/>
    <w:rsid w:val="00077F5C"/>
    <w:rsid w:val="00080311"/>
    <w:rsid w:val="00080538"/>
    <w:rsid w:val="00080DD2"/>
    <w:rsid w:val="00080E39"/>
    <w:rsid w:val="00080F1A"/>
    <w:rsid w:val="000810B7"/>
    <w:rsid w:val="0008111F"/>
    <w:rsid w:val="00081216"/>
    <w:rsid w:val="00081230"/>
    <w:rsid w:val="0008136D"/>
    <w:rsid w:val="00081417"/>
    <w:rsid w:val="000814F6"/>
    <w:rsid w:val="000819DF"/>
    <w:rsid w:val="00081CC8"/>
    <w:rsid w:val="00081DC0"/>
    <w:rsid w:val="00082B7C"/>
    <w:rsid w:val="00083039"/>
    <w:rsid w:val="000840E2"/>
    <w:rsid w:val="000846B7"/>
    <w:rsid w:val="0008484C"/>
    <w:rsid w:val="00084CB8"/>
    <w:rsid w:val="00084E72"/>
    <w:rsid w:val="00085149"/>
    <w:rsid w:val="00085179"/>
    <w:rsid w:val="000861D8"/>
    <w:rsid w:val="00086349"/>
    <w:rsid w:val="000863D8"/>
    <w:rsid w:val="00087019"/>
    <w:rsid w:val="00087315"/>
    <w:rsid w:val="00087C26"/>
    <w:rsid w:val="00087D55"/>
    <w:rsid w:val="00087E41"/>
    <w:rsid w:val="0009025C"/>
    <w:rsid w:val="00090A60"/>
    <w:rsid w:val="00090AE2"/>
    <w:rsid w:val="00090B4C"/>
    <w:rsid w:val="00090B70"/>
    <w:rsid w:val="00090CF9"/>
    <w:rsid w:val="000910B9"/>
    <w:rsid w:val="000913CA"/>
    <w:rsid w:val="000918E1"/>
    <w:rsid w:val="00091980"/>
    <w:rsid w:val="00091FD4"/>
    <w:rsid w:val="00092194"/>
    <w:rsid w:val="000923E0"/>
    <w:rsid w:val="000924F7"/>
    <w:rsid w:val="00092DF5"/>
    <w:rsid w:val="00093029"/>
    <w:rsid w:val="00093218"/>
    <w:rsid w:val="00093517"/>
    <w:rsid w:val="000937B3"/>
    <w:rsid w:val="00093C1A"/>
    <w:rsid w:val="00093F7F"/>
    <w:rsid w:val="000944DD"/>
    <w:rsid w:val="00094964"/>
    <w:rsid w:val="00094E7B"/>
    <w:rsid w:val="00094F50"/>
    <w:rsid w:val="00095120"/>
    <w:rsid w:val="000952F8"/>
    <w:rsid w:val="00095327"/>
    <w:rsid w:val="0009560E"/>
    <w:rsid w:val="000959E8"/>
    <w:rsid w:val="00096816"/>
    <w:rsid w:val="0009684E"/>
    <w:rsid w:val="00096E03"/>
    <w:rsid w:val="00096E5E"/>
    <w:rsid w:val="000971B9"/>
    <w:rsid w:val="000975F7"/>
    <w:rsid w:val="00097698"/>
    <w:rsid w:val="00097D37"/>
    <w:rsid w:val="00097DD9"/>
    <w:rsid w:val="000A0129"/>
    <w:rsid w:val="000A0209"/>
    <w:rsid w:val="000A02C6"/>
    <w:rsid w:val="000A02EF"/>
    <w:rsid w:val="000A0CAC"/>
    <w:rsid w:val="000A0EFF"/>
    <w:rsid w:val="000A107E"/>
    <w:rsid w:val="000A1234"/>
    <w:rsid w:val="000A14C5"/>
    <w:rsid w:val="000A17AE"/>
    <w:rsid w:val="000A1BDC"/>
    <w:rsid w:val="000A224A"/>
    <w:rsid w:val="000A23C5"/>
    <w:rsid w:val="000A25C5"/>
    <w:rsid w:val="000A2C95"/>
    <w:rsid w:val="000A2E03"/>
    <w:rsid w:val="000A2E55"/>
    <w:rsid w:val="000A3006"/>
    <w:rsid w:val="000A3152"/>
    <w:rsid w:val="000A3330"/>
    <w:rsid w:val="000A35D3"/>
    <w:rsid w:val="000A37A0"/>
    <w:rsid w:val="000A3A1C"/>
    <w:rsid w:val="000A3AC5"/>
    <w:rsid w:val="000A4351"/>
    <w:rsid w:val="000A45C8"/>
    <w:rsid w:val="000A466B"/>
    <w:rsid w:val="000A4B7D"/>
    <w:rsid w:val="000A4D5A"/>
    <w:rsid w:val="000A4D8C"/>
    <w:rsid w:val="000A4EE0"/>
    <w:rsid w:val="000A51C2"/>
    <w:rsid w:val="000A60E5"/>
    <w:rsid w:val="000A616F"/>
    <w:rsid w:val="000A6215"/>
    <w:rsid w:val="000A66C7"/>
    <w:rsid w:val="000A695D"/>
    <w:rsid w:val="000A761B"/>
    <w:rsid w:val="000A7BB5"/>
    <w:rsid w:val="000A7C3E"/>
    <w:rsid w:val="000B0126"/>
    <w:rsid w:val="000B0535"/>
    <w:rsid w:val="000B09FC"/>
    <w:rsid w:val="000B0B47"/>
    <w:rsid w:val="000B0C31"/>
    <w:rsid w:val="000B0CB0"/>
    <w:rsid w:val="000B0F79"/>
    <w:rsid w:val="000B1C32"/>
    <w:rsid w:val="000B1C55"/>
    <w:rsid w:val="000B25D8"/>
    <w:rsid w:val="000B266B"/>
    <w:rsid w:val="000B2C8D"/>
    <w:rsid w:val="000B32F7"/>
    <w:rsid w:val="000B34A0"/>
    <w:rsid w:val="000B3A3E"/>
    <w:rsid w:val="000B3A9C"/>
    <w:rsid w:val="000B3DB1"/>
    <w:rsid w:val="000B3FD3"/>
    <w:rsid w:val="000B430F"/>
    <w:rsid w:val="000B4470"/>
    <w:rsid w:val="000B4EFA"/>
    <w:rsid w:val="000B53D0"/>
    <w:rsid w:val="000B5C0B"/>
    <w:rsid w:val="000B5CAD"/>
    <w:rsid w:val="000B61C5"/>
    <w:rsid w:val="000B641C"/>
    <w:rsid w:val="000B6739"/>
    <w:rsid w:val="000B67C0"/>
    <w:rsid w:val="000B6AD0"/>
    <w:rsid w:val="000B71EB"/>
    <w:rsid w:val="000B76FF"/>
    <w:rsid w:val="000B7CF2"/>
    <w:rsid w:val="000C0248"/>
    <w:rsid w:val="000C05C9"/>
    <w:rsid w:val="000C0AFD"/>
    <w:rsid w:val="000C10EC"/>
    <w:rsid w:val="000C1266"/>
    <w:rsid w:val="000C1FD6"/>
    <w:rsid w:val="000C30BC"/>
    <w:rsid w:val="000C33C3"/>
    <w:rsid w:val="000C347E"/>
    <w:rsid w:val="000C382A"/>
    <w:rsid w:val="000C395E"/>
    <w:rsid w:val="000C3C41"/>
    <w:rsid w:val="000C3DF2"/>
    <w:rsid w:val="000C431F"/>
    <w:rsid w:val="000C47B3"/>
    <w:rsid w:val="000C4AAD"/>
    <w:rsid w:val="000C4C21"/>
    <w:rsid w:val="000C574B"/>
    <w:rsid w:val="000C57DF"/>
    <w:rsid w:val="000C59E4"/>
    <w:rsid w:val="000C5B09"/>
    <w:rsid w:val="000C5B45"/>
    <w:rsid w:val="000C5C21"/>
    <w:rsid w:val="000C5D0A"/>
    <w:rsid w:val="000C5D1B"/>
    <w:rsid w:val="000C5F79"/>
    <w:rsid w:val="000C67CC"/>
    <w:rsid w:val="000C69C8"/>
    <w:rsid w:val="000C6AA1"/>
    <w:rsid w:val="000C6B2E"/>
    <w:rsid w:val="000C6C27"/>
    <w:rsid w:val="000C7415"/>
    <w:rsid w:val="000C7426"/>
    <w:rsid w:val="000C7A93"/>
    <w:rsid w:val="000D0336"/>
    <w:rsid w:val="000D07E5"/>
    <w:rsid w:val="000D0A03"/>
    <w:rsid w:val="000D0D12"/>
    <w:rsid w:val="000D0DCD"/>
    <w:rsid w:val="000D16B8"/>
    <w:rsid w:val="000D1772"/>
    <w:rsid w:val="000D19B0"/>
    <w:rsid w:val="000D21AF"/>
    <w:rsid w:val="000D2867"/>
    <w:rsid w:val="000D2954"/>
    <w:rsid w:val="000D2B97"/>
    <w:rsid w:val="000D2F02"/>
    <w:rsid w:val="000D30A7"/>
    <w:rsid w:val="000D381E"/>
    <w:rsid w:val="000D3AE7"/>
    <w:rsid w:val="000D432E"/>
    <w:rsid w:val="000D49CD"/>
    <w:rsid w:val="000D4BE1"/>
    <w:rsid w:val="000D4DD5"/>
    <w:rsid w:val="000D503E"/>
    <w:rsid w:val="000D55BB"/>
    <w:rsid w:val="000D569F"/>
    <w:rsid w:val="000D5F1B"/>
    <w:rsid w:val="000D645B"/>
    <w:rsid w:val="000D67DC"/>
    <w:rsid w:val="000D723D"/>
    <w:rsid w:val="000D7D54"/>
    <w:rsid w:val="000E0314"/>
    <w:rsid w:val="000E03E0"/>
    <w:rsid w:val="000E0BFB"/>
    <w:rsid w:val="000E0D80"/>
    <w:rsid w:val="000E0EB7"/>
    <w:rsid w:val="000E1109"/>
    <w:rsid w:val="000E1462"/>
    <w:rsid w:val="000E155B"/>
    <w:rsid w:val="000E1C7B"/>
    <w:rsid w:val="000E1D6E"/>
    <w:rsid w:val="000E1F6A"/>
    <w:rsid w:val="000E2049"/>
    <w:rsid w:val="000E2220"/>
    <w:rsid w:val="000E22DF"/>
    <w:rsid w:val="000E2675"/>
    <w:rsid w:val="000E3241"/>
    <w:rsid w:val="000E329D"/>
    <w:rsid w:val="000E330A"/>
    <w:rsid w:val="000E3683"/>
    <w:rsid w:val="000E37CA"/>
    <w:rsid w:val="000E3996"/>
    <w:rsid w:val="000E3AA8"/>
    <w:rsid w:val="000E3B62"/>
    <w:rsid w:val="000E3BC6"/>
    <w:rsid w:val="000E43AB"/>
    <w:rsid w:val="000E4433"/>
    <w:rsid w:val="000E487C"/>
    <w:rsid w:val="000E4D33"/>
    <w:rsid w:val="000E4D3A"/>
    <w:rsid w:val="000E4ED4"/>
    <w:rsid w:val="000E50AD"/>
    <w:rsid w:val="000E51EF"/>
    <w:rsid w:val="000E5636"/>
    <w:rsid w:val="000E566A"/>
    <w:rsid w:val="000E5899"/>
    <w:rsid w:val="000E5924"/>
    <w:rsid w:val="000E5933"/>
    <w:rsid w:val="000E66AC"/>
    <w:rsid w:val="000E6720"/>
    <w:rsid w:val="000E693E"/>
    <w:rsid w:val="000E695E"/>
    <w:rsid w:val="000E6AA6"/>
    <w:rsid w:val="000E6B76"/>
    <w:rsid w:val="000E6B98"/>
    <w:rsid w:val="000E6BB6"/>
    <w:rsid w:val="000E6C79"/>
    <w:rsid w:val="000E6DE6"/>
    <w:rsid w:val="000E6FBF"/>
    <w:rsid w:val="000E7097"/>
    <w:rsid w:val="000E74CA"/>
    <w:rsid w:val="000E760B"/>
    <w:rsid w:val="000E792C"/>
    <w:rsid w:val="000E7A0D"/>
    <w:rsid w:val="000E7C80"/>
    <w:rsid w:val="000E7CBF"/>
    <w:rsid w:val="000E7DA1"/>
    <w:rsid w:val="000E7DD2"/>
    <w:rsid w:val="000F0033"/>
    <w:rsid w:val="000F00F9"/>
    <w:rsid w:val="000F03E3"/>
    <w:rsid w:val="000F0471"/>
    <w:rsid w:val="000F06B1"/>
    <w:rsid w:val="000F07BB"/>
    <w:rsid w:val="000F105E"/>
    <w:rsid w:val="000F10A7"/>
    <w:rsid w:val="000F1261"/>
    <w:rsid w:val="000F14C3"/>
    <w:rsid w:val="000F14C6"/>
    <w:rsid w:val="000F14D4"/>
    <w:rsid w:val="000F1B86"/>
    <w:rsid w:val="000F2115"/>
    <w:rsid w:val="000F2179"/>
    <w:rsid w:val="000F2813"/>
    <w:rsid w:val="000F3278"/>
    <w:rsid w:val="000F36CC"/>
    <w:rsid w:val="000F3A45"/>
    <w:rsid w:val="000F3B5F"/>
    <w:rsid w:val="000F3BA5"/>
    <w:rsid w:val="000F3BA7"/>
    <w:rsid w:val="000F3EF1"/>
    <w:rsid w:val="000F3F3E"/>
    <w:rsid w:val="000F4496"/>
    <w:rsid w:val="000F45CE"/>
    <w:rsid w:val="000F479D"/>
    <w:rsid w:val="000F480A"/>
    <w:rsid w:val="000F4BB3"/>
    <w:rsid w:val="000F4C2D"/>
    <w:rsid w:val="000F4E80"/>
    <w:rsid w:val="000F5397"/>
    <w:rsid w:val="000F5400"/>
    <w:rsid w:val="000F547C"/>
    <w:rsid w:val="000F593D"/>
    <w:rsid w:val="000F5D2A"/>
    <w:rsid w:val="000F5ECE"/>
    <w:rsid w:val="000F64DF"/>
    <w:rsid w:val="000F6944"/>
    <w:rsid w:val="000F6A44"/>
    <w:rsid w:val="000F6F92"/>
    <w:rsid w:val="000F752B"/>
    <w:rsid w:val="000F7781"/>
    <w:rsid w:val="000F7E4C"/>
    <w:rsid w:val="000F7FC4"/>
    <w:rsid w:val="001003DE"/>
    <w:rsid w:val="001003E6"/>
    <w:rsid w:val="0010042D"/>
    <w:rsid w:val="0010057A"/>
    <w:rsid w:val="0010133E"/>
    <w:rsid w:val="00101D68"/>
    <w:rsid w:val="0010261D"/>
    <w:rsid w:val="00102A51"/>
    <w:rsid w:val="00102D39"/>
    <w:rsid w:val="0010341A"/>
    <w:rsid w:val="00103485"/>
    <w:rsid w:val="00103C76"/>
    <w:rsid w:val="00103E5A"/>
    <w:rsid w:val="00103FAD"/>
    <w:rsid w:val="00103FB6"/>
    <w:rsid w:val="00103FCE"/>
    <w:rsid w:val="00104057"/>
    <w:rsid w:val="00104159"/>
    <w:rsid w:val="00104D21"/>
    <w:rsid w:val="00104E76"/>
    <w:rsid w:val="001052D4"/>
    <w:rsid w:val="0010539C"/>
    <w:rsid w:val="001055CF"/>
    <w:rsid w:val="00105632"/>
    <w:rsid w:val="00105890"/>
    <w:rsid w:val="00105A25"/>
    <w:rsid w:val="00105DCF"/>
    <w:rsid w:val="00105DD3"/>
    <w:rsid w:val="0010640D"/>
    <w:rsid w:val="001064D3"/>
    <w:rsid w:val="00106539"/>
    <w:rsid w:val="001065CC"/>
    <w:rsid w:val="00106815"/>
    <w:rsid w:val="001068E7"/>
    <w:rsid w:val="00106BDC"/>
    <w:rsid w:val="00106E6B"/>
    <w:rsid w:val="001075FB"/>
    <w:rsid w:val="0010761C"/>
    <w:rsid w:val="00107924"/>
    <w:rsid w:val="00107DC8"/>
    <w:rsid w:val="001100B3"/>
    <w:rsid w:val="00110A4C"/>
    <w:rsid w:val="00110FD8"/>
    <w:rsid w:val="001113B5"/>
    <w:rsid w:val="00112117"/>
    <w:rsid w:val="0011220C"/>
    <w:rsid w:val="001123D6"/>
    <w:rsid w:val="0011248C"/>
    <w:rsid w:val="001125A1"/>
    <w:rsid w:val="00112D48"/>
    <w:rsid w:val="001132B5"/>
    <w:rsid w:val="00113504"/>
    <w:rsid w:val="00113FDA"/>
    <w:rsid w:val="001140BA"/>
    <w:rsid w:val="00114656"/>
    <w:rsid w:val="00114781"/>
    <w:rsid w:val="00114869"/>
    <w:rsid w:val="0011509F"/>
    <w:rsid w:val="00115135"/>
    <w:rsid w:val="00115399"/>
    <w:rsid w:val="001156D0"/>
    <w:rsid w:val="00115731"/>
    <w:rsid w:val="0011658F"/>
    <w:rsid w:val="00116CA5"/>
    <w:rsid w:val="001172A6"/>
    <w:rsid w:val="001174B7"/>
    <w:rsid w:val="00117571"/>
    <w:rsid w:val="001176F2"/>
    <w:rsid w:val="001177E6"/>
    <w:rsid w:val="001178CC"/>
    <w:rsid w:val="001179F4"/>
    <w:rsid w:val="00117BBF"/>
    <w:rsid w:val="00117F2C"/>
    <w:rsid w:val="0012027D"/>
    <w:rsid w:val="00120567"/>
    <w:rsid w:val="00121339"/>
    <w:rsid w:val="001214EC"/>
    <w:rsid w:val="0012195C"/>
    <w:rsid w:val="00121D1E"/>
    <w:rsid w:val="00121D2D"/>
    <w:rsid w:val="00121D66"/>
    <w:rsid w:val="00121EB0"/>
    <w:rsid w:val="00122311"/>
    <w:rsid w:val="0012259D"/>
    <w:rsid w:val="00122998"/>
    <w:rsid w:val="0012310C"/>
    <w:rsid w:val="001238A3"/>
    <w:rsid w:val="00123FB3"/>
    <w:rsid w:val="00124093"/>
    <w:rsid w:val="001241B9"/>
    <w:rsid w:val="001243F8"/>
    <w:rsid w:val="0012450C"/>
    <w:rsid w:val="001248E5"/>
    <w:rsid w:val="00124A9D"/>
    <w:rsid w:val="00125011"/>
    <w:rsid w:val="00125156"/>
    <w:rsid w:val="00125360"/>
    <w:rsid w:val="001254D4"/>
    <w:rsid w:val="001255A5"/>
    <w:rsid w:val="00125606"/>
    <w:rsid w:val="00125621"/>
    <w:rsid w:val="0012567F"/>
    <w:rsid w:val="001258AE"/>
    <w:rsid w:val="00125BDC"/>
    <w:rsid w:val="00125FF5"/>
    <w:rsid w:val="00126394"/>
    <w:rsid w:val="0012667F"/>
    <w:rsid w:val="001266C1"/>
    <w:rsid w:val="001267F5"/>
    <w:rsid w:val="00126A7C"/>
    <w:rsid w:val="00126C3C"/>
    <w:rsid w:val="00126DDD"/>
    <w:rsid w:val="0012761F"/>
    <w:rsid w:val="00127688"/>
    <w:rsid w:val="00127849"/>
    <w:rsid w:val="001278FB"/>
    <w:rsid w:val="00127950"/>
    <w:rsid w:val="001279C4"/>
    <w:rsid w:val="00127D81"/>
    <w:rsid w:val="001306D8"/>
    <w:rsid w:val="00130825"/>
    <w:rsid w:val="00130A12"/>
    <w:rsid w:val="00131339"/>
    <w:rsid w:val="0013193D"/>
    <w:rsid w:val="00132109"/>
    <w:rsid w:val="00132365"/>
    <w:rsid w:val="001323D4"/>
    <w:rsid w:val="00132841"/>
    <w:rsid w:val="00132C25"/>
    <w:rsid w:val="00132DA1"/>
    <w:rsid w:val="00132E7F"/>
    <w:rsid w:val="0013374D"/>
    <w:rsid w:val="00133ED6"/>
    <w:rsid w:val="00134379"/>
    <w:rsid w:val="00134488"/>
    <w:rsid w:val="001346A9"/>
    <w:rsid w:val="001346F4"/>
    <w:rsid w:val="00134B83"/>
    <w:rsid w:val="00134C67"/>
    <w:rsid w:val="001350EA"/>
    <w:rsid w:val="00135512"/>
    <w:rsid w:val="001367DD"/>
    <w:rsid w:val="00136898"/>
    <w:rsid w:val="001368E3"/>
    <w:rsid w:val="00136BEE"/>
    <w:rsid w:val="00136C20"/>
    <w:rsid w:val="00136DE8"/>
    <w:rsid w:val="0013714C"/>
    <w:rsid w:val="00137504"/>
    <w:rsid w:val="00137696"/>
    <w:rsid w:val="00137A9B"/>
    <w:rsid w:val="00137D76"/>
    <w:rsid w:val="00137F69"/>
    <w:rsid w:val="001406FE"/>
    <w:rsid w:val="00140960"/>
    <w:rsid w:val="001409EC"/>
    <w:rsid w:val="00140B2F"/>
    <w:rsid w:val="00140DDA"/>
    <w:rsid w:val="0014117E"/>
    <w:rsid w:val="0014142D"/>
    <w:rsid w:val="001414FB"/>
    <w:rsid w:val="00141725"/>
    <w:rsid w:val="001419E6"/>
    <w:rsid w:val="00141F58"/>
    <w:rsid w:val="00142342"/>
    <w:rsid w:val="00142A02"/>
    <w:rsid w:val="00143087"/>
    <w:rsid w:val="001430D1"/>
    <w:rsid w:val="00143169"/>
    <w:rsid w:val="00143242"/>
    <w:rsid w:val="00143717"/>
    <w:rsid w:val="00143786"/>
    <w:rsid w:val="001437C2"/>
    <w:rsid w:val="0014399B"/>
    <w:rsid w:val="00143F8A"/>
    <w:rsid w:val="001440B0"/>
    <w:rsid w:val="00144266"/>
    <w:rsid w:val="00144881"/>
    <w:rsid w:val="00144892"/>
    <w:rsid w:val="00144DA6"/>
    <w:rsid w:val="00144DF2"/>
    <w:rsid w:val="00145253"/>
    <w:rsid w:val="001459A8"/>
    <w:rsid w:val="00145B45"/>
    <w:rsid w:val="001463FD"/>
    <w:rsid w:val="0014646F"/>
    <w:rsid w:val="00146952"/>
    <w:rsid w:val="00146976"/>
    <w:rsid w:val="00147033"/>
    <w:rsid w:val="00147242"/>
    <w:rsid w:val="00147529"/>
    <w:rsid w:val="00147604"/>
    <w:rsid w:val="00147758"/>
    <w:rsid w:val="00147B4B"/>
    <w:rsid w:val="00147BD6"/>
    <w:rsid w:val="00147D09"/>
    <w:rsid w:val="00147E0E"/>
    <w:rsid w:val="00147F2A"/>
    <w:rsid w:val="001500FF"/>
    <w:rsid w:val="0015021E"/>
    <w:rsid w:val="00151602"/>
    <w:rsid w:val="00151CB3"/>
    <w:rsid w:val="00151DE3"/>
    <w:rsid w:val="00151E36"/>
    <w:rsid w:val="001521BF"/>
    <w:rsid w:val="001523B6"/>
    <w:rsid w:val="00152970"/>
    <w:rsid w:val="001530C9"/>
    <w:rsid w:val="001530E5"/>
    <w:rsid w:val="00153546"/>
    <w:rsid w:val="00153759"/>
    <w:rsid w:val="00154498"/>
    <w:rsid w:val="00154569"/>
    <w:rsid w:val="001545E7"/>
    <w:rsid w:val="00154BD5"/>
    <w:rsid w:val="00154E06"/>
    <w:rsid w:val="00155091"/>
    <w:rsid w:val="001550F0"/>
    <w:rsid w:val="0015554A"/>
    <w:rsid w:val="00155560"/>
    <w:rsid w:val="001555BA"/>
    <w:rsid w:val="001559A1"/>
    <w:rsid w:val="00155BA5"/>
    <w:rsid w:val="00155BF2"/>
    <w:rsid w:val="00155E46"/>
    <w:rsid w:val="001561D8"/>
    <w:rsid w:val="0015666B"/>
    <w:rsid w:val="00156680"/>
    <w:rsid w:val="00156BCF"/>
    <w:rsid w:val="00157321"/>
    <w:rsid w:val="0015740A"/>
    <w:rsid w:val="0015753E"/>
    <w:rsid w:val="00157A7A"/>
    <w:rsid w:val="00157AF0"/>
    <w:rsid w:val="00157D7C"/>
    <w:rsid w:val="0016009C"/>
    <w:rsid w:val="00160179"/>
    <w:rsid w:val="00160253"/>
    <w:rsid w:val="001603A4"/>
    <w:rsid w:val="001618DA"/>
    <w:rsid w:val="00161BD1"/>
    <w:rsid w:val="00161C36"/>
    <w:rsid w:val="00161FB0"/>
    <w:rsid w:val="00162253"/>
    <w:rsid w:val="00162348"/>
    <w:rsid w:val="0016260A"/>
    <w:rsid w:val="0016285F"/>
    <w:rsid w:val="00162B2A"/>
    <w:rsid w:val="00162CED"/>
    <w:rsid w:val="00162ED2"/>
    <w:rsid w:val="00162F7E"/>
    <w:rsid w:val="00163576"/>
    <w:rsid w:val="00163CD6"/>
    <w:rsid w:val="00163CE5"/>
    <w:rsid w:val="00163F65"/>
    <w:rsid w:val="001642CA"/>
    <w:rsid w:val="001645BA"/>
    <w:rsid w:val="00164990"/>
    <w:rsid w:val="00164BBD"/>
    <w:rsid w:val="00164C17"/>
    <w:rsid w:val="00164E76"/>
    <w:rsid w:val="001652D3"/>
    <w:rsid w:val="001657B6"/>
    <w:rsid w:val="00165942"/>
    <w:rsid w:val="00165F09"/>
    <w:rsid w:val="001663A2"/>
    <w:rsid w:val="00166698"/>
    <w:rsid w:val="001668C9"/>
    <w:rsid w:val="00166D70"/>
    <w:rsid w:val="00166E91"/>
    <w:rsid w:val="00167400"/>
    <w:rsid w:val="00167502"/>
    <w:rsid w:val="00167897"/>
    <w:rsid w:val="00167E65"/>
    <w:rsid w:val="001702A2"/>
    <w:rsid w:val="00170B1B"/>
    <w:rsid w:val="00170F08"/>
    <w:rsid w:val="0017169D"/>
    <w:rsid w:val="001717DD"/>
    <w:rsid w:val="00171828"/>
    <w:rsid w:val="00171FC9"/>
    <w:rsid w:val="0017212B"/>
    <w:rsid w:val="001728D4"/>
    <w:rsid w:val="00172940"/>
    <w:rsid w:val="00172D06"/>
    <w:rsid w:val="00172E5D"/>
    <w:rsid w:val="00172F2D"/>
    <w:rsid w:val="00173093"/>
    <w:rsid w:val="00173180"/>
    <w:rsid w:val="0017367D"/>
    <w:rsid w:val="0017384D"/>
    <w:rsid w:val="001740EC"/>
    <w:rsid w:val="001744CB"/>
    <w:rsid w:val="00174B61"/>
    <w:rsid w:val="00174C13"/>
    <w:rsid w:val="00174E37"/>
    <w:rsid w:val="001756D9"/>
    <w:rsid w:val="00175763"/>
    <w:rsid w:val="001759EF"/>
    <w:rsid w:val="001760E8"/>
    <w:rsid w:val="00176254"/>
    <w:rsid w:val="0017717D"/>
    <w:rsid w:val="001773CE"/>
    <w:rsid w:val="00177B0B"/>
    <w:rsid w:val="00180355"/>
    <w:rsid w:val="001804FE"/>
    <w:rsid w:val="00180574"/>
    <w:rsid w:val="00180729"/>
    <w:rsid w:val="001807FA"/>
    <w:rsid w:val="00180AAA"/>
    <w:rsid w:val="0018100A"/>
    <w:rsid w:val="001815B7"/>
    <w:rsid w:val="001817D5"/>
    <w:rsid w:val="001818B7"/>
    <w:rsid w:val="001819B5"/>
    <w:rsid w:val="00181D50"/>
    <w:rsid w:val="00181D91"/>
    <w:rsid w:val="00181E03"/>
    <w:rsid w:val="00182416"/>
    <w:rsid w:val="00182848"/>
    <w:rsid w:val="0018289C"/>
    <w:rsid w:val="00182A58"/>
    <w:rsid w:val="00182DC2"/>
    <w:rsid w:val="001832FA"/>
    <w:rsid w:val="001833EF"/>
    <w:rsid w:val="001834B9"/>
    <w:rsid w:val="0018372E"/>
    <w:rsid w:val="0018398E"/>
    <w:rsid w:val="001844E0"/>
    <w:rsid w:val="001847AC"/>
    <w:rsid w:val="001847F0"/>
    <w:rsid w:val="001848CB"/>
    <w:rsid w:val="00184DF4"/>
    <w:rsid w:val="001851E5"/>
    <w:rsid w:val="00185741"/>
    <w:rsid w:val="00185D09"/>
    <w:rsid w:val="00185D0E"/>
    <w:rsid w:val="00185E72"/>
    <w:rsid w:val="001863A8"/>
    <w:rsid w:val="0018667C"/>
    <w:rsid w:val="00186CF0"/>
    <w:rsid w:val="00186FB0"/>
    <w:rsid w:val="001903E1"/>
    <w:rsid w:val="00190730"/>
    <w:rsid w:val="001907D6"/>
    <w:rsid w:val="00190AA9"/>
    <w:rsid w:val="00190E69"/>
    <w:rsid w:val="00190FA4"/>
    <w:rsid w:val="00191239"/>
    <w:rsid w:val="001920B5"/>
    <w:rsid w:val="0019224E"/>
    <w:rsid w:val="00192DE9"/>
    <w:rsid w:val="001932DA"/>
    <w:rsid w:val="00193BD3"/>
    <w:rsid w:val="00193ED2"/>
    <w:rsid w:val="00193EF4"/>
    <w:rsid w:val="0019409B"/>
    <w:rsid w:val="001941E7"/>
    <w:rsid w:val="001948B9"/>
    <w:rsid w:val="001949E2"/>
    <w:rsid w:val="00194E55"/>
    <w:rsid w:val="00195201"/>
    <w:rsid w:val="00195B4C"/>
    <w:rsid w:val="00195C53"/>
    <w:rsid w:val="00196317"/>
    <w:rsid w:val="001963AA"/>
    <w:rsid w:val="00196439"/>
    <w:rsid w:val="00197094"/>
    <w:rsid w:val="0019717A"/>
    <w:rsid w:val="00197495"/>
    <w:rsid w:val="00197597"/>
    <w:rsid w:val="00197611"/>
    <w:rsid w:val="00197636"/>
    <w:rsid w:val="001A00C5"/>
    <w:rsid w:val="001A096E"/>
    <w:rsid w:val="001A0C15"/>
    <w:rsid w:val="001A0D20"/>
    <w:rsid w:val="001A0E63"/>
    <w:rsid w:val="001A1BE1"/>
    <w:rsid w:val="001A1C02"/>
    <w:rsid w:val="001A208F"/>
    <w:rsid w:val="001A210B"/>
    <w:rsid w:val="001A210E"/>
    <w:rsid w:val="001A2467"/>
    <w:rsid w:val="001A24CD"/>
    <w:rsid w:val="001A262A"/>
    <w:rsid w:val="001A2641"/>
    <w:rsid w:val="001A2711"/>
    <w:rsid w:val="001A2812"/>
    <w:rsid w:val="001A2A64"/>
    <w:rsid w:val="001A2AE7"/>
    <w:rsid w:val="001A2B87"/>
    <w:rsid w:val="001A2CFD"/>
    <w:rsid w:val="001A2E65"/>
    <w:rsid w:val="001A31DE"/>
    <w:rsid w:val="001A32E2"/>
    <w:rsid w:val="001A33EB"/>
    <w:rsid w:val="001A3654"/>
    <w:rsid w:val="001A3734"/>
    <w:rsid w:val="001A38A9"/>
    <w:rsid w:val="001A3D04"/>
    <w:rsid w:val="001A46A3"/>
    <w:rsid w:val="001A4EB0"/>
    <w:rsid w:val="001A5124"/>
    <w:rsid w:val="001A5347"/>
    <w:rsid w:val="001A5A94"/>
    <w:rsid w:val="001A5B46"/>
    <w:rsid w:val="001A5DAF"/>
    <w:rsid w:val="001A6658"/>
    <w:rsid w:val="001A666F"/>
    <w:rsid w:val="001A6B97"/>
    <w:rsid w:val="001A6E11"/>
    <w:rsid w:val="001A7079"/>
    <w:rsid w:val="001A7725"/>
    <w:rsid w:val="001A786D"/>
    <w:rsid w:val="001A7C96"/>
    <w:rsid w:val="001B03A4"/>
    <w:rsid w:val="001B03DA"/>
    <w:rsid w:val="001B0660"/>
    <w:rsid w:val="001B09B8"/>
    <w:rsid w:val="001B0BE4"/>
    <w:rsid w:val="001B0DE1"/>
    <w:rsid w:val="001B10B5"/>
    <w:rsid w:val="001B157F"/>
    <w:rsid w:val="001B1D8A"/>
    <w:rsid w:val="001B22FA"/>
    <w:rsid w:val="001B2A81"/>
    <w:rsid w:val="001B2D85"/>
    <w:rsid w:val="001B30B2"/>
    <w:rsid w:val="001B32DB"/>
    <w:rsid w:val="001B36A0"/>
    <w:rsid w:val="001B38B3"/>
    <w:rsid w:val="001B3B55"/>
    <w:rsid w:val="001B3CC2"/>
    <w:rsid w:val="001B40F9"/>
    <w:rsid w:val="001B4454"/>
    <w:rsid w:val="001B4529"/>
    <w:rsid w:val="001B494B"/>
    <w:rsid w:val="001B4B71"/>
    <w:rsid w:val="001B4B8A"/>
    <w:rsid w:val="001B4DE6"/>
    <w:rsid w:val="001B5062"/>
    <w:rsid w:val="001B551E"/>
    <w:rsid w:val="001B5BEC"/>
    <w:rsid w:val="001B5D4F"/>
    <w:rsid w:val="001B616C"/>
    <w:rsid w:val="001B61AE"/>
    <w:rsid w:val="001B63A5"/>
    <w:rsid w:val="001B64A1"/>
    <w:rsid w:val="001B728E"/>
    <w:rsid w:val="001B7E62"/>
    <w:rsid w:val="001C0410"/>
    <w:rsid w:val="001C05A0"/>
    <w:rsid w:val="001C0A2B"/>
    <w:rsid w:val="001C0C20"/>
    <w:rsid w:val="001C14B2"/>
    <w:rsid w:val="001C1AD9"/>
    <w:rsid w:val="001C1B4B"/>
    <w:rsid w:val="001C1E3F"/>
    <w:rsid w:val="001C1FD6"/>
    <w:rsid w:val="001C2236"/>
    <w:rsid w:val="001C236D"/>
    <w:rsid w:val="001C37C1"/>
    <w:rsid w:val="001C3A3B"/>
    <w:rsid w:val="001C3B57"/>
    <w:rsid w:val="001C3FF6"/>
    <w:rsid w:val="001C41B3"/>
    <w:rsid w:val="001C43C3"/>
    <w:rsid w:val="001C495A"/>
    <w:rsid w:val="001C54E4"/>
    <w:rsid w:val="001C576D"/>
    <w:rsid w:val="001C5B77"/>
    <w:rsid w:val="001C61AF"/>
    <w:rsid w:val="001C6248"/>
    <w:rsid w:val="001C637E"/>
    <w:rsid w:val="001C644B"/>
    <w:rsid w:val="001C68F7"/>
    <w:rsid w:val="001C6B19"/>
    <w:rsid w:val="001C7175"/>
    <w:rsid w:val="001C7239"/>
    <w:rsid w:val="001C7372"/>
    <w:rsid w:val="001C74EC"/>
    <w:rsid w:val="001C7824"/>
    <w:rsid w:val="001C7ABB"/>
    <w:rsid w:val="001C7B9C"/>
    <w:rsid w:val="001C7D4C"/>
    <w:rsid w:val="001D0081"/>
    <w:rsid w:val="001D03E1"/>
    <w:rsid w:val="001D0858"/>
    <w:rsid w:val="001D0C2E"/>
    <w:rsid w:val="001D0E4C"/>
    <w:rsid w:val="001D0F76"/>
    <w:rsid w:val="001D0FD4"/>
    <w:rsid w:val="001D10B9"/>
    <w:rsid w:val="001D11D3"/>
    <w:rsid w:val="001D19CC"/>
    <w:rsid w:val="001D1D93"/>
    <w:rsid w:val="001D209D"/>
    <w:rsid w:val="001D2341"/>
    <w:rsid w:val="001D3508"/>
    <w:rsid w:val="001D3670"/>
    <w:rsid w:val="001D3D6A"/>
    <w:rsid w:val="001D3FF2"/>
    <w:rsid w:val="001D40C4"/>
    <w:rsid w:val="001D4CA3"/>
    <w:rsid w:val="001D4F4F"/>
    <w:rsid w:val="001D5B48"/>
    <w:rsid w:val="001D6431"/>
    <w:rsid w:val="001D6E75"/>
    <w:rsid w:val="001D7300"/>
    <w:rsid w:val="001D750C"/>
    <w:rsid w:val="001D7B04"/>
    <w:rsid w:val="001D7D5D"/>
    <w:rsid w:val="001D7DCF"/>
    <w:rsid w:val="001D7F11"/>
    <w:rsid w:val="001E02A2"/>
    <w:rsid w:val="001E030A"/>
    <w:rsid w:val="001E032B"/>
    <w:rsid w:val="001E05CB"/>
    <w:rsid w:val="001E0B77"/>
    <w:rsid w:val="001E0CF3"/>
    <w:rsid w:val="001E0F90"/>
    <w:rsid w:val="001E0F97"/>
    <w:rsid w:val="001E0F9A"/>
    <w:rsid w:val="001E0FB3"/>
    <w:rsid w:val="001E167F"/>
    <w:rsid w:val="001E1B55"/>
    <w:rsid w:val="001E22FD"/>
    <w:rsid w:val="001E23D7"/>
    <w:rsid w:val="001E25DC"/>
    <w:rsid w:val="001E26A5"/>
    <w:rsid w:val="001E29C6"/>
    <w:rsid w:val="001E2FB2"/>
    <w:rsid w:val="001E3374"/>
    <w:rsid w:val="001E35B4"/>
    <w:rsid w:val="001E3907"/>
    <w:rsid w:val="001E3970"/>
    <w:rsid w:val="001E3E62"/>
    <w:rsid w:val="001E44C2"/>
    <w:rsid w:val="001E49DC"/>
    <w:rsid w:val="001E4AA8"/>
    <w:rsid w:val="001E4B6A"/>
    <w:rsid w:val="001E4B8F"/>
    <w:rsid w:val="001E4FF1"/>
    <w:rsid w:val="001E51D1"/>
    <w:rsid w:val="001E5224"/>
    <w:rsid w:val="001E5448"/>
    <w:rsid w:val="001E549F"/>
    <w:rsid w:val="001E5BCF"/>
    <w:rsid w:val="001E5FE6"/>
    <w:rsid w:val="001E612D"/>
    <w:rsid w:val="001E6632"/>
    <w:rsid w:val="001E6722"/>
    <w:rsid w:val="001E69BA"/>
    <w:rsid w:val="001E6AFC"/>
    <w:rsid w:val="001E6C2E"/>
    <w:rsid w:val="001E796C"/>
    <w:rsid w:val="001E7DAF"/>
    <w:rsid w:val="001E7E51"/>
    <w:rsid w:val="001F02E4"/>
    <w:rsid w:val="001F052B"/>
    <w:rsid w:val="001F058F"/>
    <w:rsid w:val="001F0617"/>
    <w:rsid w:val="001F0815"/>
    <w:rsid w:val="001F0AC0"/>
    <w:rsid w:val="001F141B"/>
    <w:rsid w:val="001F151F"/>
    <w:rsid w:val="001F155F"/>
    <w:rsid w:val="001F197F"/>
    <w:rsid w:val="001F1C68"/>
    <w:rsid w:val="001F1F9A"/>
    <w:rsid w:val="001F240F"/>
    <w:rsid w:val="001F25DD"/>
    <w:rsid w:val="001F2637"/>
    <w:rsid w:val="001F3047"/>
    <w:rsid w:val="001F31B0"/>
    <w:rsid w:val="001F33BF"/>
    <w:rsid w:val="001F344B"/>
    <w:rsid w:val="001F3480"/>
    <w:rsid w:val="001F4050"/>
    <w:rsid w:val="001F4090"/>
    <w:rsid w:val="001F425B"/>
    <w:rsid w:val="001F449D"/>
    <w:rsid w:val="001F46A7"/>
    <w:rsid w:val="001F4811"/>
    <w:rsid w:val="001F4B82"/>
    <w:rsid w:val="001F4E9A"/>
    <w:rsid w:val="001F4ED6"/>
    <w:rsid w:val="001F4FD9"/>
    <w:rsid w:val="001F5390"/>
    <w:rsid w:val="001F56B2"/>
    <w:rsid w:val="001F62BE"/>
    <w:rsid w:val="001F6476"/>
    <w:rsid w:val="001F64C9"/>
    <w:rsid w:val="001F678F"/>
    <w:rsid w:val="001F68BC"/>
    <w:rsid w:val="001F6BC5"/>
    <w:rsid w:val="001F6CD3"/>
    <w:rsid w:val="001F717E"/>
    <w:rsid w:val="001F73BC"/>
    <w:rsid w:val="001F73F4"/>
    <w:rsid w:val="001F74B0"/>
    <w:rsid w:val="001F74E8"/>
    <w:rsid w:val="001F7951"/>
    <w:rsid w:val="001F7F62"/>
    <w:rsid w:val="002000C7"/>
    <w:rsid w:val="002004B5"/>
    <w:rsid w:val="0020069F"/>
    <w:rsid w:val="00200789"/>
    <w:rsid w:val="00200984"/>
    <w:rsid w:val="002009E5"/>
    <w:rsid w:val="00201642"/>
    <w:rsid w:val="00201908"/>
    <w:rsid w:val="00201A93"/>
    <w:rsid w:val="00201B7D"/>
    <w:rsid w:val="0020209B"/>
    <w:rsid w:val="00202469"/>
    <w:rsid w:val="00202558"/>
    <w:rsid w:val="002025ED"/>
    <w:rsid w:val="002027BC"/>
    <w:rsid w:val="00202B2B"/>
    <w:rsid w:val="00202B89"/>
    <w:rsid w:val="00202DE9"/>
    <w:rsid w:val="00203083"/>
    <w:rsid w:val="00204026"/>
    <w:rsid w:val="00204AC0"/>
    <w:rsid w:val="00204CC6"/>
    <w:rsid w:val="002053C1"/>
    <w:rsid w:val="00205885"/>
    <w:rsid w:val="00205974"/>
    <w:rsid w:val="00205DE3"/>
    <w:rsid w:val="0020685A"/>
    <w:rsid w:val="00206D7A"/>
    <w:rsid w:val="00206EA1"/>
    <w:rsid w:val="0020716C"/>
    <w:rsid w:val="0020782F"/>
    <w:rsid w:val="0020786D"/>
    <w:rsid w:val="00207A9C"/>
    <w:rsid w:val="00207DB9"/>
    <w:rsid w:val="00210466"/>
    <w:rsid w:val="0021080E"/>
    <w:rsid w:val="00210A4F"/>
    <w:rsid w:val="00210C30"/>
    <w:rsid w:val="00210C5B"/>
    <w:rsid w:val="002110D5"/>
    <w:rsid w:val="00211A24"/>
    <w:rsid w:val="00211C22"/>
    <w:rsid w:val="002120B5"/>
    <w:rsid w:val="002125F7"/>
    <w:rsid w:val="00212750"/>
    <w:rsid w:val="00212BEF"/>
    <w:rsid w:val="00212CEB"/>
    <w:rsid w:val="00212E20"/>
    <w:rsid w:val="00213517"/>
    <w:rsid w:val="0021353B"/>
    <w:rsid w:val="00213633"/>
    <w:rsid w:val="0021373C"/>
    <w:rsid w:val="0021398F"/>
    <w:rsid w:val="002139FD"/>
    <w:rsid w:val="00213A90"/>
    <w:rsid w:val="00213B91"/>
    <w:rsid w:val="00214175"/>
    <w:rsid w:val="002143ED"/>
    <w:rsid w:val="00215200"/>
    <w:rsid w:val="00216069"/>
    <w:rsid w:val="00216651"/>
    <w:rsid w:val="00216772"/>
    <w:rsid w:val="0021682C"/>
    <w:rsid w:val="00216902"/>
    <w:rsid w:val="00216B3D"/>
    <w:rsid w:val="002174C6"/>
    <w:rsid w:val="00217643"/>
    <w:rsid w:val="0021776A"/>
    <w:rsid w:val="0021781B"/>
    <w:rsid w:val="00217A57"/>
    <w:rsid w:val="00217AE1"/>
    <w:rsid w:val="00217BA0"/>
    <w:rsid w:val="00217BC0"/>
    <w:rsid w:val="00217F26"/>
    <w:rsid w:val="00220117"/>
    <w:rsid w:val="00220559"/>
    <w:rsid w:val="00220AFB"/>
    <w:rsid w:val="00220CD3"/>
    <w:rsid w:val="00220E0D"/>
    <w:rsid w:val="00220F00"/>
    <w:rsid w:val="00220F7E"/>
    <w:rsid w:val="002214BA"/>
    <w:rsid w:val="0022150B"/>
    <w:rsid w:val="00221D83"/>
    <w:rsid w:val="00221DAD"/>
    <w:rsid w:val="00221EEC"/>
    <w:rsid w:val="00221F1D"/>
    <w:rsid w:val="002224B8"/>
    <w:rsid w:val="00222677"/>
    <w:rsid w:val="00222907"/>
    <w:rsid w:val="002236FA"/>
    <w:rsid w:val="00223701"/>
    <w:rsid w:val="00223745"/>
    <w:rsid w:val="002237C2"/>
    <w:rsid w:val="00224235"/>
    <w:rsid w:val="0022459D"/>
    <w:rsid w:val="00224D71"/>
    <w:rsid w:val="00224DF3"/>
    <w:rsid w:val="00224EA6"/>
    <w:rsid w:val="00224FE9"/>
    <w:rsid w:val="00225554"/>
    <w:rsid w:val="0022587A"/>
    <w:rsid w:val="00225A73"/>
    <w:rsid w:val="00225C77"/>
    <w:rsid w:val="0022616B"/>
    <w:rsid w:val="00226281"/>
    <w:rsid w:val="002268B8"/>
    <w:rsid w:val="00226B44"/>
    <w:rsid w:val="0022714E"/>
    <w:rsid w:val="00227154"/>
    <w:rsid w:val="0022756D"/>
    <w:rsid w:val="00227A27"/>
    <w:rsid w:val="00227A42"/>
    <w:rsid w:val="0023055D"/>
    <w:rsid w:val="002305B6"/>
    <w:rsid w:val="00230CDB"/>
    <w:rsid w:val="00230F47"/>
    <w:rsid w:val="00230F98"/>
    <w:rsid w:val="002311BB"/>
    <w:rsid w:val="00231550"/>
    <w:rsid w:val="002315AF"/>
    <w:rsid w:val="002316B2"/>
    <w:rsid w:val="00231DE7"/>
    <w:rsid w:val="0023201E"/>
    <w:rsid w:val="00232125"/>
    <w:rsid w:val="00232433"/>
    <w:rsid w:val="00232566"/>
    <w:rsid w:val="00232DF6"/>
    <w:rsid w:val="002330C8"/>
    <w:rsid w:val="0023327C"/>
    <w:rsid w:val="00233E21"/>
    <w:rsid w:val="00234ACC"/>
    <w:rsid w:val="00234B68"/>
    <w:rsid w:val="00234C19"/>
    <w:rsid w:val="00234F66"/>
    <w:rsid w:val="00234FFB"/>
    <w:rsid w:val="00235259"/>
    <w:rsid w:val="00235459"/>
    <w:rsid w:val="002356B1"/>
    <w:rsid w:val="00236551"/>
    <w:rsid w:val="00236BC0"/>
    <w:rsid w:val="00236C76"/>
    <w:rsid w:val="002372D8"/>
    <w:rsid w:val="002374FC"/>
    <w:rsid w:val="0023760C"/>
    <w:rsid w:val="00237B8A"/>
    <w:rsid w:val="00240184"/>
    <w:rsid w:val="00240214"/>
    <w:rsid w:val="002408D1"/>
    <w:rsid w:val="00240A37"/>
    <w:rsid w:val="00240E07"/>
    <w:rsid w:val="00240E0C"/>
    <w:rsid w:val="00240F3E"/>
    <w:rsid w:val="002410F3"/>
    <w:rsid w:val="0024124E"/>
    <w:rsid w:val="0024127A"/>
    <w:rsid w:val="00241539"/>
    <w:rsid w:val="00241592"/>
    <w:rsid w:val="00241697"/>
    <w:rsid w:val="00241F07"/>
    <w:rsid w:val="00241F25"/>
    <w:rsid w:val="00242044"/>
    <w:rsid w:val="002426BF"/>
    <w:rsid w:val="002427BB"/>
    <w:rsid w:val="00242856"/>
    <w:rsid w:val="002428ED"/>
    <w:rsid w:val="00242EEA"/>
    <w:rsid w:val="00242F12"/>
    <w:rsid w:val="00243175"/>
    <w:rsid w:val="00243A8E"/>
    <w:rsid w:val="00244016"/>
    <w:rsid w:val="002442E0"/>
    <w:rsid w:val="00244E28"/>
    <w:rsid w:val="00244F3A"/>
    <w:rsid w:val="00244FA0"/>
    <w:rsid w:val="00245E5D"/>
    <w:rsid w:val="002461B0"/>
    <w:rsid w:val="002462B5"/>
    <w:rsid w:val="002468B9"/>
    <w:rsid w:val="00246D1A"/>
    <w:rsid w:val="00246F58"/>
    <w:rsid w:val="00247602"/>
    <w:rsid w:val="00247C2C"/>
    <w:rsid w:val="00247DF8"/>
    <w:rsid w:val="00250000"/>
    <w:rsid w:val="002505A9"/>
    <w:rsid w:val="00250A7A"/>
    <w:rsid w:val="00250AB1"/>
    <w:rsid w:val="00250E3C"/>
    <w:rsid w:val="00251194"/>
    <w:rsid w:val="00251EB0"/>
    <w:rsid w:val="00252063"/>
    <w:rsid w:val="002520A3"/>
    <w:rsid w:val="00252245"/>
    <w:rsid w:val="0025268D"/>
    <w:rsid w:val="002527B3"/>
    <w:rsid w:val="00252B50"/>
    <w:rsid w:val="00252BA1"/>
    <w:rsid w:val="002530C8"/>
    <w:rsid w:val="00253209"/>
    <w:rsid w:val="00253618"/>
    <w:rsid w:val="00253707"/>
    <w:rsid w:val="0025382B"/>
    <w:rsid w:val="00253898"/>
    <w:rsid w:val="0025390B"/>
    <w:rsid w:val="00253A2D"/>
    <w:rsid w:val="00253BE6"/>
    <w:rsid w:val="0025400C"/>
    <w:rsid w:val="0025420C"/>
    <w:rsid w:val="002545D0"/>
    <w:rsid w:val="002547A7"/>
    <w:rsid w:val="002552C7"/>
    <w:rsid w:val="0025575D"/>
    <w:rsid w:val="002559A5"/>
    <w:rsid w:val="002559B4"/>
    <w:rsid w:val="0025641A"/>
    <w:rsid w:val="00256589"/>
    <w:rsid w:val="0025676F"/>
    <w:rsid w:val="00256A04"/>
    <w:rsid w:val="00257085"/>
    <w:rsid w:val="00257167"/>
    <w:rsid w:val="00257330"/>
    <w:rsid w:val="00257522"/>
    <w:rsid w:val="00257ABF"/>
    <w:rsid w:val="00257BE5"/>
    <w:rsid w:val="002600D2"/>
    <w:rsid w:val="0026053E"/>
    <w:rsid w:val="0026099B"/>
    <w:rsid w:val="00260A45"/>
    <w:rsid w:val="00260B50"/>
    <w:rsid w:val="00260E7F"/>
    <w:rsid w:val="0026145B"/>
    <w:rsid w:val="00261503"/>
    <w:rsid w:val="0026182A"/>
    <w:rsid w:val="0026186D"/>
    <w:rsid w:val="002618DF"/>
    <w:rsid w:val="00261C09"/>
    <w:rsid w:val="00261FA5"/>
    <w:rsid w:val="002620BE"/>
    <w:rsid w:val="0026281D"/>
    <w:rsid w:val="00262B01"/>
    <w:rsid w:val="00262E5E"/>
    <w:rsid w:val="00262E81"/>
    <w:rsid w:val="00263073"/>
    <w:rsid w:val="0026331C"/>
    <w:rsid w:val="0026334B"/>
    <w:rsid w:val="00263422"/>
    <w:rsid w:val="00263A9D"/>
    <w:rsid w:val="00263B3A"/>
    <w:rsid w:val="00263F48"/>
    <w:rsid w:val="00264215"/>
    <w:rsid w:val="00264277"/>
    <w:rsid w:val="00264303"/>
    <w:rsid w:val="0026532B"/>
    <w:rsid w:val="0026543C"/>
    <w:rsid w:val="00265513"/>
    <w:rsid w:val="00265815"/>
    <w:rsid w:val="0026599C"/>
    <w:rsid w:val="00265D4C"/>
    <w:rsid w:val="002662A2"/>
    <w:rsid w:val="002662AE"/>
    <w:rsid w:val="0026633C"/>
    <w:rsid w:val="0026648B"/>
    <w:rsid w:val="00266730"/>
    <w:rsid w:val="00267128"/>
    <w:rsid w:val="00267361"/>
    <w:rsid w:val="002678E4"/>
    <w:rsid w:val="00267DE7"/>
    <w:rsid w:val="00267F24"/>
    <w:rsid w:val="00267F41"/>
    <w:rsid w:val="00270132"/>
    <w:rsid w:val="002704E7"/>
    <w:rsid w:val="00270D26"/>
    <w:rsid w:val="00270DC3"/>
    <w:rsid w:val="00270F04"/>
    <w:rsid w:val="002712F3"/>
    <w:rsid w:val="00271502"/>
    <w:rsid w:val="002715F0"/>
    <w:rsid w:val="00271869"/>
    <w:rsid w:val="00271C02"/>
    <w:rsid w:val="00271CF2"/>
    <w:rsid w:val="00271DBF"/>
    <w:rsid w:val="00271F95"/>
    <w:rsid w:val="00272183"/>
    <w:rsid w:val="0027277E"/>
    <w:rsid w:val="00272937"/>
    <w:rsid w:val="00272A5E"/>
    <w:rsid w:val="00272C73"/>
    <w:rsid w:val="00273005"/>
    <w:rsid w:val="0027300D"/>
    <w:rsid w:val="00273314"/>
    <w:rsid w:val="00273430"/>
    <w:rsid w:val="00273477"/>
    <w:rsid w:val="0027369E"/>
    <w:rsid w:val="00274209"/>
    <w:rsid w:val="002742F1"/>
    <w:rsid w:val="00274313"/>
    <w:rsid w:val="0027498B"/>
    <w:rsid w:val="002749FB"/>
    <w:rsid w:val="00274C29"/>
    <w:rsid w:val="00274D57"/>
    <w:rsid w:val="00274E3C"/>
    <w:rsid w:val="00274F2B"/>
    <w:rsid w:val="00275065"/>
    <w:rsid w:val="002750F2"/>
    <w:rsid w:val="00275539"/>
    <w:rsid w:val="00275949"/>
    <w:rsid w:val="00275B89"/>
    <w:rsid w:val="00276B89"/>
    <w:rsid w:val="00276D77"/>
    <w:rsid w:val="00277052"/>
    <w:rsid w:val="0027721D"/>
    <w:rsid w:val="00277DC8"/>
    <w:rsid w:val="00277ECC"/>
    <w:rsid w:val="00280042"/>
    <w:rsid w:val="00280296"/>
    <w:rsid w:val="00280659"/>
    <w:rsid w:val="0028139B"/>
    <w:rsid w:val="00281C9C"/>
    <w:rsid w:val="00282067"/>
    <w:rsid w:val="00282130"/>
    <w:rsid w:val="00282177"/>
    <w:rsid w:val="002821BE"/>
    <w:rsid w:val="0028228F"/>
    <w:rsid w:val="00282502"/>
    <w:rsid w:val="00282800"/>
    <w:rsid w:val="00283413"/>
    <w:rsid w:val="002840E3"/>
    <w:rsid w:val="002841D8"/>
    <w:rsid w:val="00284592"/>
    <w:rsid w:val="0028461B"/>
    <w:rsid w:val="00284889"/>
    <w:rsid w:val="00284D28"/>
    <w:rsid w:val="0028512B"/>
    <w:rsid w:val="0028545D"/>
    <w:rsid w:val="00285C9B"/>
    <w:rsid w:val="00285D1A"/>
    <w:rsid w:val="00285F60"/>
    <w:rsid w:val="0028616A"/>
    <w:rsid w:val="002864DA"/>
    <w:rsid w:val="002864EB"/>
    <w:rsid w:val="00286B83"/>
    <w:rsid w:val="00286D70"/>
    <w:rsid w:val="002873DC"/>
    <w:rsid w:val="00287449"/>
    <w:rsid w:val="00287573"/>
    <w:rsid w:val="00287B80"/>
    <w:rsid w:val="00287F41"/>
    <w:rsid w:val="00290146"/>
    <w:rsid w:val="00290517"/>
    <w:rsid w:val="002908E9"/>
    <w:rsid w:val="00291095"/>
    <w:rsid w:val="002910BD"/>
    <w:rsid w:val="0029137E"/>
    <w:rsid w:val="002914DE"/>
    <w:rsid w:val="0029183E"/>
    <w:rsid w:val="0029193E"/>
    <w:rsid w:val="00291BBE"/>
    <w:rsid w:val="00291E13"/>
    <w:rsid w:val="0029216A"/>
    <w:rsid w:val="00292592"/>
    <w:rsid w:val="002929E2"/>
    <w:rsid w:val="00292A9C"/>
    <w:rsid w:val="00292E9C"/>
    <w:rsid w:val="00292FDF"/>
    <w:rsid w:val="002938BD"/>
    <w:rsid w:val="00293C10"/>
    <w:rsid w:val="00293DDD"/>
    <w:rsid w:val="00294032"/>
    <w:rsid w:val="00294126"/>
    <w:rsid w:val="002945DC"/>
    <w:rsid w:val="002948EB"/>
    <w:rsid w:val="00294947"/>
    <w:rsid w:val="00294A44"/>
    <w:rsid w:val="00294A6C"/>
    <w:rsid w:val="00294D87"/>
    <w:rsid w:val="002952BA"/>
    <w:rsid w:val="0029539A"/>
    <w:rsid w:val="002959B8"/>
    <w:rsid w:val="00295D2C"/>
    <w:rsid w:val="00295D85"/>
    <w:rsid w:val="00296819"/>
    <w:rsid w:val="00296C91"/>
    <w:rsid w:val="0029725A"/>
    <w:rsid w:val="002972DC"/>
    <w:rsid w:val="00297530"/>
    <w:rsid w:val="002978F8"/>
    <w:rsid w:val="00297B4B"/>
    <w:rsid w:val="002A009D"/>
    <w:rsid w:val="002A05B5"/>
    <w:rsid w:val="002A0831"/>
    <w:rsid w:val="002A094A"/>
    <w:rsid w:val="002A0A6C"/>
    <w:rsid w:val="002A2133"/>
    <w:rsid w:val="002A254E"/>
    <w:rsid w:val="002A2630"/>
    <w:rsid w:val="002A28D5"/>
    <w:rsid w:val="002A2BF6"/>
    <w:rsid w:val="002A2FCD"/>
    <w:rsid w:val="002A3337"/>
    <w:rsid w:val="002A414F"/>
    <w:rsid w:val="002A42D4"/>
    <w:rsid w:val="002A431F"/>
    <w:rsid w:val="002A447C"/>
    <w:rsid w:val="002A482E"/>
    <w:rsid w:val="002A4B25"/>
    <w:rsid w:val="002A4C6F"/>
    <w:rsid w:val="002A4D46"/>
    <w:rsid w:val="002A4F73"/>
    <w:rsid w:val="002A4FF0"/>
    <w:rsid w:val="002A5005"/>
    <w:rsid w:val="002A56B9"/>
    <w:rsid w:val="002A58A9"/>
    <w:rsid w:val="002A5DD1"/>
    <w:rsid w:val="002A5FCA"/>
    <w:rsid w:val="002A60B3"/>
    <w:rsid w:val="002A60E0"/>
    <w:rsid w:val="002A6143"/>
    <w:rsid w:val="002A6209"/>
    <w:rsid w:val="002A67F5"/>
    <w:rsid w:val="002A68AA"/>
    <w:rsid w:val="002A6CB7"/>
    <w:rsid w:val="002A79FF"/>
    <w:rsid w:val="002A7FB8"/>
    <w:rsid w:val="002B0726"/>
    <w:rsid w:val="002B078D"/>
    <w:rsid w:val="002B088B"/>
    <w:rsid w:val="002B08ED"/>
    <w:rsid w:val="002B0937"/>
    <w:rsid w:val="002B0BE1"/>
    <w:rsid w:val="002B13F6"/>
    <w:rsid w:val="002B1626"/>
    <w:rsid w:val="002B17E5"/>
    <w:rsid w:val="002B18CF"/>
    <w:rsid w:val="002B1A71"/>
    <w:rsid w:val="002B1C75"/>
    <w:rsid w:val="002B2071"/>
    <w:rsid w:val="002B2226"/>
    <w:rsid w:val="002B226D"/>
    <w:rsid w:val="002B26AC"/>
    <w:rsid w:val="002B26D8"/>
    <w:rsid w:val="002B2E28"/>
    <w:rsid w:val="002B2E9B"/>
    <w:rsid w:val="002B30CD"/>
    <w:rsid w:val="002B310B"/>
    <w:rsid w:val="002B3284"/>
    <w:rsid w:val="002B34E6"/>
    <w:rsid w:val="002B3EBF"/>
    <w:rsid w:val="002B3FF3"/>
    <w:rsid w:val="002B42FC"/>
    <w:rsid w:val="002B46B6"/>
    <w:rsid w:val="002B4883"/>
    <w:rsid w:val="002B48A6"/>
    <w:rsid w:val="002B4CED"/>
    <w:rsid w:val="002B5199"/>
    <w:rsid w:val="002B5358"/>
    <w:rsid w:val="002B53D5"/>
    <w:rsid w:val="002B5AF4"/>
    <w:rsid w:val="002B5FB2"/>
    <w:rsid w:val="002B6637"/>
    <w:rsid w:val="002B6725"/>
    <w:rsid w:val="002B69AA"/>
    <w:rsid w:val="002B69FC"/>
    <w:rsid w:val="002B6BB5"/>
    <w:rsid w:val="002B6BD1"/>
    <w:rsid w:val="002B7140"/>
    <w:rsid w:val="002B72A6"/>
    <w:rsid w:val="002B731A"/>
    <w:rsid w:val="002B7495"/>
    <w:rsid w:val="002B7600"/>
    <w:rsid w:val="002B7721"/>
    <w:rsid w:val="002B78B6"/>
    <w:rsid w:val="002B7A7E"/>
    <w:rsid w:val="002B7C5B"/>
    <w:rsid w:val="002B7D6B"/>
    <w:rsid w:val="002B7DBE"/>
    <w:rsid w:val="002C020D"/>
    <w:rsid w:val="002C0288"/>
    <w:rsid w:val="002C08C1"/>
    <w:rsid w:val="002C0ADD"/>
    <w:rsid w:val="002C10A3"/>
    <w:rsid w:val="002C1177"/>
    <w:rsid w:val="002C1526"/>
    <w:rsid w:val="002C1697"/>
    <w:rsid w:val="002C169D"/>
    <w:rsid w:val="002C1874"/>
    <w:rsid w:val="002C1898"/>
    <w:rsid w:val="002C18B3"/>
    <w:rsid w:val="002C18DA"/>
    <w:rsid w:val="002C1926"/>
    <w:rsid w:val="002C1AD7"/>
    <w:rsid w:val="002C1B33"/>
    <w:rsid w:val="002C1B97"/>
    <w:rsid w:val="002C200F"/>
    <w:rsid w:val="002C26CF"/>
    <w:rsid w:val="002C2876"/>
    <w:rsid w:val="002C2914"/>
    <w:rsid w:val="002C29DB"/>
    <w:rsid w:val="002C36EF"/>
    <w:rsid w:val="002C3A51"/>
    <w:rsid w:val="002C408D"/>
    <w:rsid w:val="002C457F"/>
    <w:rsid w:val="002C4729"/>
    <w:rsid w:val="002C4A8A"/>
    <w:rsid w:val="002C4B2A"/>
    <w:rsid w:val="002C5038"/>
    <w:rsid w:val="002C54D8"/>
    <w:rsid w:val="002C57E8"/>
    <w:rsid w:val="002C5CD5"/>
    <w:rsid w:val="002C5E09"/>
    <w:rsid w:val="002C5F40"/>
    <w:rsid w:val="002C6749"/>
    <w:rsid w:val="002C6A27"/>
    <w:rsid w:val="002C7040"/>
    <w:rsid w:val="002C7078"/>
    <w:rsid w:val="002C721A"/>
    <w:rsid w:val="002C75DE"/>
    <w:rsid w:val="002C7AC8"/>
    <w:rsid w:val="002C7C60"/>
    <w:rsid w:val="002C7E17"/>
    <w:rsid w:val="002C7E9A"/>
    <w:rsid w:val="002D01E7"/>
    <w:rsid w:val="002D0337"/>
    <w:rsid w:val="002D042F"/>
    <w:rsid w:val="002D0435"/>
    <w:rsid w:val="002D0B4C"/>
    <w:rsid w:val="002D0C07"/>
    <w:rsid w:val="002D1012"/>
    <w:rsid w:val="002D1185"/>
    <w:rsid w:val="002D15F7"/>
    <w:rsid w:val="002D1709"/>
    <w:rsid w:val="002D180D"/>
    <w:rsid w:val="002D18EA"/>
    <w:rsid w:val="002D2375"/>
    <w:rsid w:val="002D24D5"/>
    <w:rsid w:val="002D2823"/>
    <w:rsid w:val="002D2CC0"/>
    <w:rsid w:val="002D2D9D"/>
    <w:rsid w:val="002D2FE9"/>
    <w:rsid w:val="002D3100"/>
    <w:rsid w:val="002D361C"/>
    <w:rsid w:val="002D427A"/>
    <w:rsid w:val="002D4402"/>
    <w:rsid w:val="002D4A60"/>
    <w:rsid w:val="002D4E61"/>
    <w:rsid w:val="002D5207"/>
    <w:rsid w:val="002D531F"/>
    <w:rsid w:val="002D541F"/>
    <w:rsid w:val="002D5BA7"/>
    <w:rsid w:val="002D6187"/>
    <w:rsid w:val="002D62CB"/>
    <w:rsid w:val="002D7418"/>
    <w:rsid w:val="002D7583"/>
    <w:rsid w:val="002D7796"/>
    <w:rsid w:val="002D7815"/>
    <w:rsid w:val="002D7B68"/>
    <w:rsid w:val="002D7BCB"/>
    <w:rsid w:val="002D7FD6"/>
    <w:rsid w:val="002E0088"/>
    <w:rsid w:val="002E03CF"/>
    <w:rsid w:val="002E04A3"/>
    <w:rsid w:val="002E05B3"/>
    <w:rsid w:val="002E1068"/>
    <w:rsid w:val="002E12A5"/>
    <w:rsid w:val="002E159F"/>
    <w:rsid w:val="002E15F2"/>
    <w:rsid w:val="002E1699"/>
    <w:rsid w:val="002E1A65"/>
    <w:rsid w:val="002E1BA5"/>
    <w:rsid w:val="002E1C49"/>
    <w:rsid w:val="002E24BE"/>
    <w:rsid w:val="002E261F"/>
    <w:rsid w:val="002E2CED"/>
    <w:rsid w:val="002E32B2"/>
    <w:rsid w:val="002E335F"/>
    <w:rsid w:val="002E34F6"/>
    <w:rsid w:val="002E35F8"/>
    <w:rsid w:val="002E39D6"/>
    <w:rsid w:val="002E4587"/>
    <w:rsid w:val="002E4648"/>
    <w:rsid w:val="002E46EB"/>
    <w:rsid w:val="002E491D"/>
    <w:rsid w:val="002E4AA6"/>
    <w:rsid w:val="002E501D"/>
    <w:rsid w:val="002E5203"/>
    <w:rsid w:val="002E554A"/>
    <w:rsid w:val="002E55DD"/>
    <w:rsid w:val="002E560A"/>
    <w:rsid w:val="002E570E"/>
    <w:rsid w:val="002E5D72"/>
    <w:rsid w:val="002E62C3"/>
    <w:rsid w:val="002E669A"/>
    <w:rsid w:val="002E6E1C"/>
    <w:rsid w:val="002E7046"/>
    <w:rsid w:val="002E707A"/>
    <w:rsid w:val="002F01C0"/>
    <w:rsid w:val="002F05BF"/>
    <w:rsid w:val="002F1560"/>
    <w:rsid w:val="002F16C7"/>
    <w:rsid w:val="002F1ABE"/>
    <w:rsid w:val="002F1F0F"/>
    <w:rsid w:val="002F23F5"/>
    <w:rsid w:val="002F2502"/>
    <w:rsid w:val="002F2556"/>
    <w:rsid w:val="002F25D1"/>
    <w:rsid w:val="002F2F2E"/>
    <w:rsid w:val="002F2FAB"/>
    <w:rsid w:val="002F3169"/>
    <w:rsid w:val="002F321F"/>
    <w:rsid w:val="002F32F4"/>
    <w:rsid w:val="002F3483"/>
    <w:rsid w:val="002F34AA"/>
    <w:rsid w:val="002F35FE"/>
    <w:rsid w:val="002F3897"/>
    <w:rsid w:val="002F3946"/>
    <w:rsid w:val="002F4045"/>
    <w:rsid w:val="002F421C"/>
    <w:rsid w:val="002F4384"/>
    <w:rsid w:val="002F4662"/>
    <w:rsid w:val="002F532B"/>
    <w:rsid w:val="002F5458"/>
    <w:rsid w:val="002F54E4"/>
    <w:rsid w:val="002F5C91"/>
    <w:rsid w:val="002F5C9B"/>
    <w:rsid w:val="002F5D64"/>
    <w:rsid w:val="002F619E"/>
    <w:rsid w:val="002F65D9"/>
    <w:rsid w:val="002F6E24"/>
    <w:rsid w:val="002F73FE"/>
    <w:rsid w:val="002F75B6"/>
    <w:rsid w:val="002F767A"/>
    <w:rsid w:val="002F7839"/>
    <w:rsid w:val="002F7C45"/>
    <w:rsid w:val="0030015E"/>
    <w:rsid w:val="003004E6"/>
    <w:rsid w:val="00300625"/>
    <w:rsid w:val="00300D1C"/>
    <w:rsid w:val="00301624"/>
    <w:rsid w:val="0030180A"/>
    <w:rsid w:val="00301851"/>
    <w:rsid w:val="0030198A"/>
    <w:rsid w:val="00301EA3"/>
    <w:rsid w:val="003022D1"/>
    <w:rsid w:val="00302318"/>
    <w:rsid w:val="003024F1"/>
    <w:rsid w:val="00302553"/>
    <w:rsid w:val="00302626"/>
    <w:rsid w:val="00302ADC"/>
    <w:rsid w:val="00303155"/>
    <w:rsid w:val="00303364"/>
    <w:rsid w:val="0030381D"/>
    <w:rsid w:val="00303BD0"/>
    <w:rsid w:val="00303C17"/>
    <w:rsid w:val="0030452F"/>
    <w:rsid w:val="003049FA"/>
    <w:rsid w:val="00304A8F"/>
    <w:rsid w:val="00304ADD"/>
    <w:rsid w:val="00304B68"/>
    <w:rsid w:val="00304C3E"/>
    <w:rsid w:val="00304EF1"/>
    <w:rsid w:val="003055DB"/>
    <w:rsid w:val="003056F3"/>
    <w:rsid w:val="0030578B"/>
    <w:rsid w:val="00306B43"/>
    <w:rsid w:val="003072F6"/>
    <w:rsid w:val="00307402"/>
    <w:rsid w:val="00307878"/>
    <w:rsid w:val="00307E4B"/>
    <w:rsid w:val="0031026D"/>
    <w:rsid w:val="00310270"/>
    <w:rsid w:val="0031044C"/>
    <w:rsid w:val="00310945"/>
    <w:rsid w:val="0031095C"/>
    <w:rsid w:val="00310C83"/>
    <w:rsid w:val="00310DFA"/>
    <w:rsid w:val="003111A9"/>
    <w:rsid w:val="00311566"/>
    <w:rsid w:val="00311A91"/>
    <w:rsid w:val="00311D38"/>
    <w:rsid w:val="00312A17"/>
    <w:rsid w:val="00312A5D"/>
    <w:rsid w:val="00312DC6"/>
    <w:rsid w:val="003130EE"/>
    <w:rsid w:val="00313306"/>
    <w:rsid w:val="00313324"/>
    <w:rsid w:val="003146E2"/>
    <w:rsid w:val="003147F8"/>
    <w:rsid w:val="00314E82"/>
    <w:rsid w:val="00315200"/>
    <w:rsid w:val="003152E6"/>
    <w:rsid w:val="00315B05"/>
    <w:rsid w:val="00315B25"/>
    <w:rsid w:val="003160EE"/>
    <w:rsid w:val="0031622A"/>
    <w:rsid w:val="003163E5"/>
    <w:rsid w:val="0031695E"/>
    <w:rsid w:val="003169D4"/>
    <w:rsid w:val="00316CF3"/>
    <w:rsid w:val="003170E4"/>
    <w:rsid w:val="00317387"/>
    <w:rsid w:val="0031747B"/>
    <w:rsid w:val="00317708"/>
    <w:rsid w:val="00317918"/>
    <w:rsid w:val="00317B02"/>
    <w:rsid w:val="00317C77"/>
    <w:rsid w:val="00317EDE"/>
    <w:rsid w:val="003202F2"/>
    <w:rsid w:val="003204FB"/>
    <w:rsid w:val="0032067A"/>
    <w:rsid w:val="00320771"/>
    <w:rsid w:val="00320919"/>
    <w:rsid w:val="00320B71"/>
    <w:rsid w:val="00321082"/>
    <w:rsid w:val="00321260"/>
    <w:rsid w:val="003214F8"/>
    <w:rsid w:val="00321A64"/>
    <w:rsid w:val="00321E6A"/>
    <w:rsid w:val="00321E6E"/>
    <w:rsid w:val="0032210D"/>
    <w:rsid w:val="00322163"/>
    <w:rsid w:val="00322474"/>
    <w:rsid w:val="0032264B"/>
    <w:rsid w:val="00322B58"/>
    <w:rsid w:val="00322BF0"/>
    <w:rsid w:val="00323224"/>
    <w:rsid w:val="00323C46"/>
    <w:rsid w:val="0032411D"/>
    <w:rsid w:val="003248EF"/>
    <w:rsid w:val="00324C0C"/>
    <w:rsid w:val="003254BC"/>
    <w:rsid w:val="003255BF"/>
    <w:rsid w:val="003255F5"/>
    <w:rsid w:val="00325BF5"/>
    <w:rsid w:val="00325F22"/>
    <w:rsid w:val="003261A1"/>
    <w:rsid w:val="00326CDE"/>
    <w:rsid w:val="00326DF5"/>
    <w:rsid w:val="00326F0A"/>
    <w:rsid w:val="003276DA"/>
    <w:rsid w:val="00327804"/>
    <w:rsid w:val="00327A82"/>
    <w:rsid w:val="00327C39"/>
    <w:rsid w:val="0033015D"/>
    <w:rsid w:val="003303A6"/>
    <w:rsid w:val="003305F3"/>
    <w:rsid w:val="003307BC"/>
    <w:rsid w:val="003307C5"/>
    <w:rsid w:val="0033091A"/>
    <w:rsid w:val="00330AA1"/>
    <w:rsid w:val="00330D2D"/>
    <w:rsid w:val="00331159"/>
    <w:rsid w:val="00331557"/>
    <w:rsid w:val="00331D37"/>
    <w:rsid w:val="00331E8F"/>
    <w:rsid w:val="00332A96"/>
    <w:rsid w:val="00332AA3"/>
    <w:rsid w:val="00332C39"/>
    <w:rsid w:val="00332F21"/>
    <w:rsid w:val="00332FD3"/>
    <w:rsid w:val="00333F06"/>
    <w:rsid w:val="003344AC"/>
    <w:rsid w:val="00334E78"/>
    <w:rsid w:val="00335128"/>
    <w:rsid w:val="00335273"/>
    <w:rsid w:val="003353D8"/>
    <w:rsid w:val="00335566"/>
    <w:rsid w:val="00335B8C"/>
    <w:rsid w:val="00335E11"/>
    <w:rsid w:val="003363CA"/>
    <w:rsid w:val="00336822"/>
    <w:rsid w:val="00336BEA"/>
    <w:rsid w:val="00336E31"/>
    <w:rsid w:val="00336FF8"/>
    <w:rsid w:val="003375B0"/>
    <w:rsid w:val="003375B9"/>
    <w:rsid w:val="003379E0"/>
    <w:rsid w:val="00337F91"/>
    <w:rsid w:val="00337FBB"/>
    <w:rsid w:val="00340291"/>
    <w:rsid w:val="00340B57"/>
    <w:rsid w:val="00340E44"/>
    <w:rsid w:val="00340EF0"/>
    <w:rsid w:val="00340F94"/>
    <w:rsid w:val="003410A8"/>
    <w:rsid w:val="0034180B"/>
    <w:rsid w:val="00341E1C"/>
    <w:rsid w:val="003424E1"/>
    <w:rsid w:val="00342F25"/>
    <w:rsid w:val="00343147"/>
    <w:rsid w:val="003431EE"/>
    <w:rsid w:val="003437E5"/>
    <w:rsid w:val="003438D6"/>
    <w:rsid w:val="00343BEE"/>
    <w:rsid w:val="00344397"/>
    <w:rsid w:val="003445C3"/>
    <w:rsid w:val="0034489E"/>
    <w:rsid w:val="003448A0"/>
    <w:rsid w:val="0034492B"/>
    <w:rsid w:val="00344CBB"/>
    <w:rsid w:val="00344E56"/>
    <w:rsid w:val="00345676"/>
    <w:rsid w:val="00345954"/>
    <w:rsid w:val="00345C19"/>
    <w:rsid w:val="00345CAF"/>
    <w:rsid w:val="00345CB5"/>
    <w:rsid w:val="00345DD4"/>
    <w:rsid w:val="003464B5"/>
    <w:rsid w:val="003465BA"/>
    <w:rsid w:val="00346779"/>
    <w:rsid w:val="00346CD5"/>
    <w:rsid w:val="00346DB7"/>
    <w:rsid w:val="00346ECB"/>
    <w:rsid w:val="00346F79"/>
    <w:rsid w:val="00346F7D"/>
    <w:rsid w:val="00347018"/>
    <w:rsid w:val="00347808"/>
    <w:rsid w:val="00347A6F"/>
    <w:rsid w:val="00347DB1"/>
    <w:rsid w:val="00347EE8"/>
    <w:rsid w:val="003500DE"/>
    <w:rsid w:val="0035035B"/>
    <w:rsid w:val="003509E5"/>
    <w:rsid w:val="003510FB"/>
    <w:rsid w:val="003516AA"/>
    <w:rsid w:val="0035187F"/>
    <w:rsid w:val="00351935"/>
    <w:rsid w:val="00351970"/>
    <w:rsid w:val="00351BD6"/>
    <w:rsid w:val="003520CA"/>
    <w:rsid w:val="0035230C"/>
    <w:rsid w:val="00352523"/>
    <w:rsid w:val="003525D9"/>
    <w:rsid w:val="00352BDA"/>
    <w:rsid w:val="003531AA"/>
    <w:rsid w:val="00353542"/>
    <w:rsid w:val="003536BB"/>
    <w:rsid w:val="003536D4"/>
    <w:rsid w:val="003537BD"/>
    <w:rsid w:val="003539C5"/>
    <w:rsid w:val="00353AC0"/>
    <w:rsid w:val="00353B5A"/>
    <w:rsid w:val="00354A9E"/>
    <w:rsid w:val="00354CD5"/>
    <w:rsid w:val="003550B1"/>
    <w:rsid w:val="00355753"/>
    <w:rsid w:val="00355C45"/>
    <w:rsid w:val="00356010"/>
    <w:rsid w:val="003562A6"/>
    <w:rsid w:val="003570FA"/>
    <w:rsid w:val="003572CA"/>
    <w:rsid w:val="003574DC"/>
    <w:rsid w:val="003577E0"/>
    <w:rsid w:val="00357915"/>
    <w:rsid w:val="00357F39"/>
    <w:rsid w:val="0036007D"/>
    <w:rsid w:val="00360422"/>
    <w:rsid w:val="00360995"/>
    <w:rsid w:val="00360AAC"/>
    <w:rsid w:val="00361167"/>
    <w:rsid w:val="00361345"/>
    <w:rsid w:val="00361718"/>
    <w:rsid w:val="00361E13"/>
    <w:rsid w:val="003622F2"/>
    <w:rsid w:val="0036275C"/>
    <w:rsid w:val="0036279F"/>
    <w:rsid w:val="003632E0"/>
    <w:rsid w:val="003639D6"/>
    <w:rsid w:val="003639F0"/>
    <w:rsid w:val="00363F7C"/>
    <w:rsid w:val="00364734"/>
    <w:rsid w:val="00364D8E"/>
    <w:rsid w:val="00364E33"/>
    <w:rsid w:val="0036518A"/>
    <w:rsid w:val="0036570B"/>
    <w:rsid w:val="00365752"/>
    <w:rsid w:val="0036583C"/>
    <w:rsid w:val="00365B2C"/>
    <w:rsid w:val="00365C0E"/>
    <w:rsid w:val="00365E32"/>
    <w:rsid w:val="00365F16"/>
    <w:rsid w:val="003664BB"/>
    <w:rsid w:val="003665CB"/>
    <w:rsid w:val="003666D3"/>
    <w:rsid w:val="00366833"/>
    <w:rsid w:val="00367006"/>
    <w:rsid w:val="00367110"/>
    <w:rsid w:val="0036719C"/>
    <w:rsid w:val="0036777F"/>
    <w:rsid w:val="003677DE"/>
    <w:rsid w:val="003678C1"/>
    <w:rsid w:val="0036794A"/>
    <w:rsid w:val="00367EE5"/>
    <w:rsid w:val="003702A2"/>
    <w:rsid w:val="00370C48"/>
    <w:rsid w:val="00370E7C"/>
    <w:rsid w:val="00371182"/>
    <w:rsid w:val="003716BE"/>
    <w:rsid w:val="003716FC"/>
    <w:rsid w:val="00371E6A"/>
    <w:rsid w:val="00372217"/>
    <w:rsid w:val="00372302"/>
    <w:rsid w:val="00372886"/>
    <w:rsid w:val="00372FA8"/>
    <w:rsid w:val="00372FF1"/>
    <w:rsid w:val="003735B7"/>
    <w:rsid w:val="003739DE"/>
    <w:rsid w:val="00373C86"/>
    <w:rsid w:val="00373E56"/>
    <w:rsid w:val="00374041"/>
    <w:rsid w:val="0037475F"/>
    <w:rsid w:val="00375646"/>
    <w:rsid w:val="003757EC"/>
    <w:rsid w:val="00375A4F"/>
    <w:rsid w:val="00375E3F"/>
    <w:rsid w:val="003761C7"/>
    <w:rsid w:val="00376203"/>
    <w:rsid w:val="00376255"/>
    <w:rsid w:val="00376788"/>
    <w:rsid w:val="00376A7D"/>
    <w:rsid w:val="00376C53"/>
    <w:rsid w:val="00376E50"/>
    <w:rsid w:val="00377045"/>
    <w:rsid w:val="0037705B"/>
    <w:rsid w:val="003773F9"/>
    <w:rsid w:val="00377708"/>
    <w:rsid w:val="00377934"/>
    <w:rsid w:val="00377B17"/>
    <w:rsid w:val="00377CEE"/>
    <w:rsid w:val="00377F1B"/>
    <w:rsid w:val="003801C7"/>
    <w:rsid w:val="003803A5"/>
    <w:rsid w:val="0038053F"/>
    <w:rsid w:val="0038068E"/>
    <w:rsid w:val="0038093C"/>
    <w:rsid w:val="00380FC4"/>
    <w:rsid w:val="003814F5"/>
    <w:rsid w:val="00381719"/>
    <w:rsid w:val="00381760"/>
    <w:rsid w:val="0038176E"/>
    <w:rsid w:val="003817A7"/>
    <w:rsid w:val="00381C1A"/>
    <w:rsid w:val="00381F34"/>
    <w:rsid w:val="00382193"/>
    <w:rsid w:val="00382355"/>
    <w:rsid w:val="00382473"/>
    <w:rsid w:val="0038260D"/>
    <w:rsid w:val="003828F1"/>
    <w:rsid w:val="00382F1B"/>
    <w:rsid w:val="00382FA0"/>
    <w:rsid w:val="003837F3"/>
    <w:rsid w:val="00383F78"/>
    <w:rsid w:val="00384060"/>
    <w:rsid w:val="003840E9"/>
    <w:rsid w:val="00384C21"/>
    <w:rsid w:val="00384DD9"/>
    <w:rsid w:val="00384FC0"/>
    <w:rsid w:val="0038502C"/>
    <w:rsid w:val="003850DC"/>
    <w:rsid w:val="00385718"/>
    <w:rsid w:val="003864AD"/>
    <w:rsid w:val="00386651"/>
    <w:rsid w:val="0038668D"/>
    <w:rsid w:val="00386E10"/>
    <w:rsid w:val="003871E2"/>
    <w:rsid w:val="00387496"/>
    <w:rsid w:val="00387E98"/>
    <w:rsid w:val="00387F45"/>
    <w:rsid w:val="0039029E"/>
    <w:rsid w:val="003907B0"/>
    <w:rsid w:val="00390866"/>
    <w:rsid w:val="00390E01"/>
    <w:rsid w:val="00390F42"/>
    <w:rsid w:val="00391C05"/>
    <w:rsid w:val="00391F32"/>
    <w:rsid w:val="00392367"/>
    <w:rsid w:val="00392595"/>
    <w:rsid w:val="00392C3A"/>
    <w:rsid w:val="00392C7D"/>
    <w:rsid w:val="00392F37"/>
    <w:rsid w:val="00393E7C"/>
    <w:rsid w:val="00393FBA"/>
    <w:rsid w:val="00394033"/>
    <w:rsid w:val="00394079"/>
    <w:rsid w:val="003943C8"/>
    <w:rsid w:val="003943FD"/>
    <w:rsid w:val="00394A23"/>
    <w:rsid w:val="00394D4C"/>
    <w:rsid w:val="00394EE4"/>
    <w:rsid w:val="003954A4"/>
    <w:rsid w:val="003954FA"/>
    <w:rsid w:val="003956CC"/>
    <w:rsid w:val="00395914"/>
    <w:rsid w:val="00396099"/>
    <w:rsid w:val="003960EA"/>
    <w:rsid w:val="0039672B"/>
    <w:rsid w:val="0039678E"/>
    <w:rsid w:val="00396F15"/>
    <w:rsid w:val="0039724B"/>
    <w:rsid w:val="0039782F"/>
    <w:rsid w:val="003A0D23"/>
    <w:rsid w:val="003A137B"/>
    <w:rsid w:val="003A179E"/>
    <w:rsid w:val="003A18A0"/>
    <w:rsid w:val="003A1DC8"/>
    <w:rsid w:val="003A23E0"/>
    <w:rsid w:val="003A24DF"/>
    <w:rsid w:val="003A298D"/>
    <w:rsid w:val="003A32C1"/>
    <w:rsid w:val="003A34BD"/>
    <w:rsid w:val="003A35D2"/>
    <w:rsid w:val="003A3716"/>
    <w:rsid w:val="003A394C"/>
    <w:rsid w:val="003A43B1"/>
    <w:rsid w:val="003A4588"/>
    <w:rsid w:val="003A4D48"/>
    <w:rsid w:val="003A4E1C"/>
    <w:rsid w:val="003A5261"/>
    <w:rsid w:val="003A588B"/>
    <w:rsid w:val="003A5D6A"/>
    <w:rsid w:val="003A5EC5"/>
    <w:rsid w:val="003A6656"/>
    <w:rsid w:val="003A6689"/>
    <w:rsid w:val="003A6965"/>
    <w:rsid w:val="003A6C6A"/>
    <w:rsid w:val="003A748E"/>
    <w:rsid w:val="003A7885"/>
    <w:rsid w:val="003A7B31"/>
    <w:rsid w:val="003A7CEC"/>
    <w:rsid w:val="003A7D7C"/>
    <w:rsid w:val="003B04B8"/>
    <w:rsid w:val="003B0512"/>
    <w:rsid w:val="003B06F1"/>
    <w:rsid w:val="003B0ADC"/>
    <w:rsid w:val="003B0C14"/>
    <w:rsid w:val="003B0D78"/>
    <w:rsid w:val="003B1F01"/>
    <w:rsid w:val="003B2552"/>
    <w:rsid w:val="003B2736"/>
    <w:rsid w:val="003B2E71"/>
    <w:rsid w:val="003B31AB"/>
    <w:rsid w:val="003B3335"/>
    <w:rsid w:val="003B39B8"/>
    <w:rsid w:val="003B41A5"/>
    <w:rsid w:val="003B456F"/>
    <w:rsid w:val="003B4647"/>
    <w:rsid w:val="003B4E6F"/>
    <w:rsid w:val="003B570F"/>
    <w:rsid w:val="003B5713"/>
    <w:rsid w:val="003B5A2D"/>
    <w:rsid w:val="003B5CDA"/>
    <w:rsid w:val="003B5EEF"/>
    <w:rsid w:val="003B5F00"/>
    <w:rsid w:val="003B6486"/>
    <w:rsid w:val="003B64D6"/>
    <w:rsid w:val="003B65DD"/>
    <w:rsid w:val="003B6F0E"/>
    <w:rsid w:val="003B72BB"/>
    <w:rsid w:val="003B736B"/>
    <w:rsid w:val="003B7467"/>
    <w:rsid w:val="003B7625"/>
    <w:rsid w:val="003B7D7F"/>
    <w:rsid w:val="003C0742"/>
    <w:rsid w:val="003C0B1C"/>
    <w:rsid w:val="003C0CFF"/>
    <w:rsid w:val="003C0EFE"/>
    <w:rsid w:val="003C0F37"/>
    <w:rsid w:val="003C14CA"/>
    <w:rsid w:val="003C1551"/>
    <w:rsid w:val="003C15B9"/>
    <w:rsid w:val="003C1BEA"/>
    <w:rsid w:val="003C1CE9"/>
    <w:rsid w:val="003C1F8C"/>
    <w:rsid w:val="003C250B"/>
    <w:rsid w:val="003C278C"/>
    <w:rsid w:val="003C27CF"/>
    <w:rsid w:val="003C2E18"/>
    <w:rsid w:val="003C304F"/>
    <w:rsid w:val="003C3085"/>
    <w:rsid w:val="003C3E6A"/>
    <w:rsid w:val="003C3EAC"/>
    <w:rsid w:val="003C41D6"/>
    <w:rsid w:val="003C424F"/>
    <w:rsid w:val="003C4456"/>
    <w:rsid w:val="003C4657"/>
    <w:rsid w:val="003C4989"/>
    <w:rsid w:val="003C4FFB"/>
    <w:rsid w:val="003C58D7"/>
    <w:rsid w:val="003C6173"/>
    <w:rsid w:val="003C6D67"/>
    <w:rsid w:val="003C6DEA"/>
    <w:rsid w:val="003C6F8F"/>
    <w:rsid w:val="003C7210"/>
    <w:rsid w:val="003C759A"/>
    <w:rsid w:val="003C75BF"/>
    <w:rsid w:val="003C7887"/>
    <w:rsid w:val="003C7EE1"/>
    <w:rsid w:val="003D04F6"/>
    <w:rsid w:val="003D0588"/>
    <w:rsid w:val="003D0830"/>
    <w:rsid w:val="003D095E"/>
    <w:rsid w:val="003D0C87"/>
    <w:rsid w:val="003D0DF2"/>
    <w:rsid w:val="003D132C"/>
    <w:rsid w:val="003D1572"/>
    <w:rsid w:val="003D16A4"/>
    <w:rsid w:val="003D1DC2"/>
    <w:rsid w:val="003D21AF"/>
    <w:rsid w:val="003D235F"/>
    <w:rsid w:val="003D2AD3"/>
    <w:rsid w:val="003D37B0"/>
    <w:rsid w:val="003D3821"/>
    <w:rsid w:val="003D39B7"/>
    <w:rsid w:val="003D3A55"/>
    <w:rsid w:val="003D411B"/>
    <w:rsid w:val="003D4545"/>
    <w:rsid w:val="003D4DBB"/>
    <w:rsid w:val="003D4EB0"/>
    <w:rsid w:val="003D5005"/>
    <w:rsid w:val="003D560B"/>
    <w:rsid w:val="003D5AB1"/>
    <w:rsid w:val="003D5D63"/>
    <w:rsid w:val="003D6348"/>
    <w:rsid w:val="003D642E"/>
    <w:rsid w:val="003D644B"/>
    <w:rsid w:val="003D6732"/>
    <w:rsid w:val="003D6CD7"/>
    <w:rsid w:val="003D79DC"/>
    <w:rsid w:val="003D7E43"/>
    <w:rsid w:val="003D7EA8"/>
    <w:rsid w:val="003D7F0E"/>
    <w:rsid w:val="003D7F3E"/>
    <w:rsid w:val="003D7FFA"/>
    <w:rsid w:val="003E05CB"/>
    <w:rsid w:val="003E0858"/>
    <w:rsid w:val="003E0F26"/>
    <w:rsid w:val="003E148F"/>
    <w:rsid w:val="003E1A6B"/>
    <w:rsid w:val="003E25A6"/>
    <w:rsid w:val="003E26CF"/>
    <w:rsid w:val="003E26ED"/>
    <w:rsid w:val="003E2802"/>
    <w:rsid w:val="003E2B26"/>
    <w:rsid w:val="003E2E6B"/>
    <w:rsid w:val="003E30AD"/>
    <w:rsid w:val="003E3617"/>
    <w:rsid w:val="003E37B2"/>
    <w:rsid w:val="003E3841"/>
    <w:rsid w:val="003E39DE"/>
    <w:rsid w:val="003E3C5C"/>
    <w:rsid w:val="003E3FEF"/>
    <w:rsid w:val="003E41A4"/>
    <w:rsid w:val="003E439A"/>
    <w:rsid w:val="003E47D2"/>
    <w:rsid w:val="003E4860"/>
    <w:rsid w:val="003E4933"/>
    <w:rsid w:val="003E4A7C"/>
    <w:rsid w:val="003E4D08"/>
    <w:rsid w:val="003E4D57"/>
    <w:rsid w:val="003E568A"/>
    <w:rsid w:val="003E60BC"/>
    <w:rsid w:val="003E6298"/>
    <w:rsid w:val="003E63A2"/>
    <w:rsid w:val="003E6906"/>
    <w:rsid w:val="003E6D82"/>
    <w:rsid w:val="003F0811"/>
    <w:rsid w:val="003F08D3"/>
    <w:rsid w:val="003F08E8"/>
    <w:rsid w:val="003F09F3"/>
    <w:rsid w:val="003F0AF7"/>
    <w:rsid w:val="003F0C90"/>
    <w:rsid w:val="003F0F9D"/>
    <w:rsid w:val="003F1B69"/>
    <w:rsid w:val="003F1BDF"/>
    <w:rsid w:val="003F20FA"/>
    <w:rsid w:val="003F22D7"/>
    <w:rsid w:val="003F2725"/>
    <w:rsid w:val="003F2937"/>
    <w:rsid w:val="003F2D13"/>
    <w:rsid w:val="003F359B"/>
    <w:rsid w:val="003F4016"/>
    <w:rsid w:val="003F4319"/>
    <w:rsid w:val="003F45F2"/>
    <w:rsid w:val="003F4664"/>
    <w:rsid w:val="003F4A49"/>
    <w:rsid w:val="003F4AD0"/>
    <w:rsid w:val="003F5035"/>
    <w:rsid w:val="003F5673"/>
    <w:rsid w:val="003F5B6F"/>
    <w:rsid w:val="003F6658"/>
    <w:rsid w:val="003F6B1B"/>
    <w:rsid w:val="003F6DDB"/>
    <w:rsid w:val="003F6F54"/>
    <w:rsid w:val="003F78C3"/>
    <w:rsid w:val="003F7B37"/>
    <w:rsid w:val="003F7CFC"/>
    <w:rsid w:val="004002B1"/>
    <w:rsid w:val="00400731"/>
    <w:rsid w:val="00400799"/>
    <w:rsid w:val="00400BAB"/>
    <w:rsid w:val="00401614"/>
    <w:rsid w:val="00401BE3"/>
    <w:rsid w:val="00401C3D"/>
    <w:rsid w:val="00401CD8"/>
    <w:rsid w:val="00401D29"/>
    <w:rsid w:val="00401D56"/>
    <w:rsid w:val="00401E3B"/>
    <w:rsid w:val="00401EEE"/>
    <w:rsid w:val="00401FAB"/>
    <w:rsid w:val="004029C5"/>
    <w:rsid w:val="00402BBF"/>
    <w:rsid w:val="0040320E"/>
    <w:rsid w:val="004035AE"/>
    <w:rsid w:val="00403B70"/>
    <w:rsid w:val="00403B9A"/>
    <w:rsid w:val="00403C33"/>
    <w:rsid w:val="00403DE1"/>
    <w:rsid w:val="004048A7"/>
    <w:rsid w:val="00404927"/>
    <w:rsid w:val="00404AB9"/>
    <w:rsid w:val="0040525C"/>
    <w:rsid w:val="00405270"/>
    <w:rsid w:val="0040576B"/>
    <w:rsid w:val="00405C0A"/>
    <w:rsid w:val="00405E64"/>
    <w:rsid w:val="004061F9"/>
    <w:rsid w:val="004066FC"/>
    <w:rsid w:val="0040679D"/>
    <w:rsid w:val="00406B79"/>
    <w:rsid w:val="00407079"/>
    <w:rsid w:val="004071D7"/>
    <w:rsid w:val="00407204"/>
    <w:rsid w:val="004072E4"/>
    <w:rsid w:val="00407551"/>
    <w:rsid w:val="0040768B"/>
    <w:rsid w:val="004079C3"/>
    <w:rsid w:val="00407B0F"/>
    <w:rsid w:val="00407B52"/>
    <w:rsid w:val="00407BDF"/>
    <w:rsid w:val="0041028C"/>
    <w:rsid w:val="00410307"/>
    <w:rsid w:val="00410ABB"/>
    <w:rsid w:val="0041163C"/>
    <w:rsid w:val="004117C3"/>
    <w:rsid w:val="004119B4"/>
    <w:rsid w:val="00411F1B"/>
    <w:rsid w:val="00412110"/>
    <w:rsid w:val="004123DC"/>
    <w:rsid w:val="00412AF0"/>
    <w:rsid w:val="0041309B"/>
    <w:rsid w:val="0041325F"/>
    <w:rsid w:val="00413495"/>
    <w:rsid w:val="00413B28"/>
    <w:rsid w:val="00413BE0"/>
    <w:rsid w:val="00413FF8"/>
    <w:rsid w:val="0041417B"/>
    <w:rsid w:val="0041435D"/>
    <w:rsid w:val="00414645"/>
    <w:rsid w:val="004149E7"/>
    <w:rsid w:val="00414C67"/>
    <w:rsid w:val="00414D03"/>
    <w:rsid w:val="00414E7A"/>
    <w:rsid w:val="00415174"/>
    <w:rsid w:val="00415182"/>
    <w:rsid w:val="004153FD"/>
    <w:rsid w:val="00415458"/>
    <w:rsid w:val="0041570D"/>
    <w:rsid w:val="00415889"/>
    <w:rsid w:val="00415A1C"/>
    <w:rsid w:val="00415C38"/>
    <w:rsid w:val="004164DD"/>
    <w:rsid w:val="0041657F"/>
    <w:rsid w:val="0041662F"/>
    <w:rsid w:val="00416AE8"/>
    <w:rsid w:val="00416F3F"/>
    <w:rsid w:val="00417215"/>
    <w:rsid w:val="00417245"/>
    <w:rsid w:val="004175B0"/>
    <w:rsid w:val="00417A9B"/>
    <w:rsid w:val="00417B05"/>
    <w:rsid w:val="00420465"/>
    <w:rsid w:val="004204D7"/>
    <w:rsid w:val="00420754"/>
    <w:rsid w:val="004208A3"/>
    <w:rsid w:val="00420946"/>
    <w:rsid w:val="00420AA6"/>
    <w:rsid w:val="00420F18"/>
    <w:rsid w:val="0042140A"/>
    <w:rsid w:val="004215E6"/>
    <w:rsid w:val="004215EF"/>
    <w:rsid w:val="00421716"/>
    <w:rsid w:val="0042190E"/>
    <w:rsid w:val="00421A9F"/>
    <w:rsid w:val="00421C36"/>
    <w:rsid w:val="00421D36"/>
    <w:rsid w:val="00421ED6"/>
    <w:rsid w:val="00421FDF"/>
    <w:rsid w:val="004221B6"/>
    <w:rsid w:val="00422269"/>
    <w:rsid w:val="004229D5"/>
    <w:rsid w:val="00422A38"/>
    <w:rsid w:val="00422B92"/>
    <w:rsid w:val="00422CE2"/>
    <w:rsid w:val="00423669"/>
    <w:rsid w:val="00423701"/>
    <w:rsid w:val="0042371C"/>
    <w:rsid w:val="0042374E"/>
    <w:rsid w:val="00423B1E"/>
    <w:rsid w:val="0042420D"/>
    <w:rsid w:val="004247D7"/>
    <w:rsid w:val="00424FC2"/>
    <w:rsid w:val="00425170"/>
    <w:rsid w:val="0042530E"/>
    <w:rsid w:val="00425705"/>
    <w:rsid w:val="004257B4"/>
    <w:rsid w:val="00426054"/>
    <w:rsid w:val="00426693"/>
    <w:rsid w:val="004271AE"/>
    <w:rsid w:val="00427370"/>
    <w:rsid w:val="00427799"/>
    <w:rsid w:val="00427A74"/>
    <w:rsid w:val="00427EF3"/>
    <w:rsid w:val="00427F95"/>
    <w:rsid w:val="00430224"/>
    <w:rsid w:val="004302BC"/>
    <w:rsid w:val="0043060F"/>
    <w:rsid w:val="00430AB7"/>
    <w:rsid w:val="004310C2"/>
    <w:rsid w:val="00431136"/>
    <w:rsid w:val="00432342"/>
    <w:rsid w:val="00432463"/>
    <w:rsid w:val="00432A3A"/>
    <w:rsid w:val="00432AFC"/>
    <w:rsid w:val="00432B79"/>
    <w:rsid w:val="004335BA"/>
    <w:rsid w:val="00433A24"/>
    <w:rsid w:val="00433D76"/>
    <w:rsid w:val="004343A1"/>
    <w:rsid w:val="004349E4"/>
    <w:rsid w:val="00434F06"/>
    <w:rsid w:val="00435274"/>
    <w:rsid w:val="00435570"/>
    <w:rsid w:val="004359B3"/>
    <w:rsid w:val="00435D19"/>
    <w:rsid w:val="00435EB5"/>
    <w:rsid w:val="00435F18"/>
    <w:rsid w:val="004361C7"/>
    <w:rsid w:val="0043628C"/>
    <w:rsid w:val="00436BB2"/>
    <w:rsid w:val="00436D37"/>
    <w:rsid w:val="00436EB4"/>
    <w:rsid w:val="00437070"/>
    <w:rsid w:val="0043744F"/>
    <w:rsid w:val="004374E8"/>
    <w:rsid w:val="0043753C"/>
    <w:rsid w:val="004377A3"/>
    <w:rsid w:val="00437A6E"/>
    <w:rsid w:val="00437C7D"/>
    <w:rsid w:val="00437CE5"/>
    <w:rsid w:val="00437EED"/>
    <w:rsid w:val="0044060E"/>
    <w:rsid w:val="00440A54"/>
    <w:rsid w:val="00440A8B"/>
    <w:rsid w:val="00440B16"/>
    <w:rsid w:val="00440D9A"/>
    <w:rsid w:val="00440EA5"/>
    <w:rsid w:val="0044113D"/>
    <w:rsid w:val="0044147C"/>
    <w:rsid w:val="00441535"/>
    <w:rsid w:val="00441B42"/>
    <w:rsid w:val="00441E17"/>
    <w:rsid w:val="00442129"/>
    <w:rsid w:val="00442956"/>
    <w:rsid w:val="00442D67"/>
    <w:rsid w:val="00442ED1"/>
    <w:rsid w:val="00442EDC"/>
    <w:rsid w:val="00442F0E"/>
    <w:rsid w:val="004430B4"/>
    <w:rsid w:val="00443A2D"/>
    <w:rsid w:val="00443D9D"/>
    <w:rsid w:val="00443F45"/>
    <w:rsid w:val="0044410A"/>
    <w:rsid w:val="004441D9"/>
    <w:rsid w:val="004447F0"/>
    <w:rsid w:val="00444919"/>
    <w:rsid w:val="00444ADE"/>
    <w:rsid w:val="00444C30"/>
    <w:rsid w:val="00444EF4"/>
    <w:rsid w:val="0044545A"/>
    <w:rsid w:val="00445793"/>
    <w:rsid w:val="00445875"/>
    <w:rsid w:val="00446BC6"/>
    <w:rsid w:val="00446CB8"/>
    <w:rsid w:val="00446D91"/>
    <w:rsid w:val="004474B4"/>
    <w:rsid w:val="004504A1"/>
    <w:rsid w:val="00450624"/>
    <w:rsid w:val="004506E7"/>
    <w:rsid w:val="004509F0"/>
    <w:rsid w:val="004509FF"/>
    <w:rsid w:val="00450BDF"/>
    <w:rsid w:val="00450C97"/>
    <w:rsid w:val="0045126A"/>
    <w:rsid w:val="00451994"/>
    <w:rsid w:val="00451C40"/>
    <w:rsid w:val="00451C5A"/>
    <w:rsid w:val="0045216E"/>
    <w:rsid w:val="0045217B"/>
    <w:rsid w:val="004521D1"/>
    <w:rsid w:val="004530A8"/>
    <w:rsid w:val="00453172"/>
    <w:rsid w:val="004531D8"/>
    <w:rsid w:val="00453321"/>
    <w:rsid w:val="004533CA"/>
    <w:rsid w:val="004535F3"/>
    <w:rsid w:val="00453AB5"/>
    <w:rsid w:val="00453F2E"/>
    <w:rsid w:val="00454158"/>
    <w:rsid w:val="00454FEB"/>
    <w:rsid w:val="004554DD"/>
    <w:rsid w:val="00455ACD"/>
    <w:rsid w:val="00455C11"/>
    <w:rsid w:val="00455F1A"/>
    <w:rsid w:val="004562D6"/>
    <w:rsid w:val="004565CF"/>
    <w:rsid w:val="004567F1"/>
    <w:rsid w:val="0045691F"/>
    <w:rsid w:val="00456A0C"/>
    <w:rsid w:val="00456E39"/>
    <w:rsid w:val="00456F9F"/>
    <w:rsid w:val="004575D7"/>
    <w:rsid w:val="004576DA"/>
    <w:rsid w:val="004576F5"/>
    <w:rsid w:val="00457EA9"/>
    <w:rsid w:val="00457FC2"/>
    <w:rsid w:val="0046067B"/>
    <w:rsid w:val="00460AE5"/>
    <w:rsid w:val="004613FA"/>
    <w:rsid w:val="004617ED"/>
    <w:rsid w:val="00461A73"/>
    <w:rsid w:val="00461AEC"/>
    <w:rsid w:val="00461BB5"/>
    <w:rsid w:val="0046215A"/>
    <w:rsid w:val="0046218A"/>
    <w:rsid w:val="0046251F"/>
    <w:rsid w:val="00462793"/>
    <w:rsid w:val="004629C2"/>
    <w:rsid w:val="004629FB"/>
    <w:rsid w:val="00462CCF"/>
    <w:rsid w:val="00462D69"/>
    <w:rsid w:val="00462DA9"/>
    <w:rsid w:val="00462F04"/>
    <w:rsid w:val="004634EA"/>
    <w:rsid w:val="0046357C"/>
    <w:rsid w:val="00463B6E"/>
    <w:rsid w:val="00463C88"/>
    <w:rsid w:val="00463E25"/>
    <w:rsid w:val="004641DC"/>
    <w:rsid w:val="0046477E"/>
    <w:rsid w:val="00464825"/>
    <w:rsid w:val="00464AC3"/>
    <w:rsid w:val="00465174"/>
    <w:rsid w:val="0046573D"/>
    <w:rsid w:val="00465E70"/>
    <w:rsid w:val="00465E88"/>
    <w:rsid w:val="00466908"/>
    <w:rsid w:val="00466B4B"/>
    <w:rsid w:val="00466E20"/>
    <w:rsid w:val="00466F1B"/>
    <w:rsid w:val="00467059"/>
    <w:rsid w:val="0046712E"/>
    <w:rsid w:val="00467201"/>
    <w:rsid w:val="00467621"/>
    <w:rsid w:val="00467AE8"/>
    <w:rsid w:val="00467C4F"/>
    <w:rsid w:val="00467E08"/>
    <w:rsid w:val="00467F21"/>
    <w:rsid w:val="00470066"/>
    <w:rsid w:val="0047012C"/>
    <w:rsid w:val="0047012D"/>
    <w:rsid w:val="0047032F"/>
    <w:rsid w:val="004708A1"/>
    <w:rsid w:val="004708C3"/>
    <w:rsid w:val="00470DA1"/>
    <w:rsid w:val="00471146"/>
    <w:rsid w:val="0047127B"/>
    <w:rsid w:val="004715F6"/>
    <w:rsid w:val="00471603"/>
    <w:rsid w:val="004718E8"/>
    <w:rsid w:val="0047191C"/>
    <w:rsid w:val="00471CAC"/>
    <w:rsid w:val="00471F27"/>
    <w:rsid w:val="00472543"/>
    <w:rsid w:val="00472783"/>
    <w:rsid w:val="00472877"/>
    <w:rsid w:val="00472924"/>
    <w:rsid w:val="00472BA8"/>
    <w:rsid w:val="00473234"/>
    <w:rsid w:val="00473282"/>
    <w:rsid w:val="00473464"/>
    <w:rsid w:val="00473B7E"/>
    <w:rsid w:val="00473E1F"/>
    <w:rsid w:val="004741A0"/>
    <w:rsid w:val="0047447A"/>
    <w:rsid w:val="00474B48"/>
    <w:rsid w:val="004752D0"/>
    <w:rsid w:val="0047568E"/>
    <w:rsid w:val="00475E3C"/>
    <w:rsid w:val="00475FAA"/>
    <w:rsid w:val="004763E6"/>
    <w:rsid w:val="00476680"/>
    <w:rsid w:val="00476AC0"/>
    <w:rsid w:val="00476D0D"/>
    <w:rsid w:val="0047756B"/>
    <w:rsid w:val="0047785F"/>
    <w:rsid w:val="00477894"/>
    <w:rsid w:val="004779B2"/>
    <w:rsid w:val="00477A93"/>
    <w:rsid w:val="00477C36"/>
    <w:rsid w:val="00477C5D"/>
    <w:rsid w:val="00477CCF"/>
    <w:rsid w:val="00477D6E"/>
    <w:rsid w:val="00477DC9"/>
    <w:rsid w:val="00480359"/>
    <w:rsid w:val="0048052F"/>
    <w:rsid w:val="00480BFA"/>
    <w:rsid w:val="00480EE4"/>
    <w:rsid w:val="00480FA8"/>
    <w:rsid w:val="004810CD"/>
    <w:rsid w:val="00481BBF"/>
    <w:rsid w:val="00481E51"/>
    <w:rsid w:val="00482382"/>
    <w:rsid w:val="004824BB"/>
    <w:rsid w:val="00482539"/>
    <w:rsid w:val="00482E98"/>
    <w:rsid w:val="00483958"/>
    <w:rsid w:val="00483CCC"/>
    <w:rsid w:val="0048414D"/>
    <w:rsid w:val="004841D4"/>
    <w:rsid w:val="00484232"/>
    <w:rsid w:val="004842DA"/>
    <w:rsid w:val="0048447B"/>
    <w:rsid w:val="004846B3"/>
    <w:rsid w:val="00484EB7"/>
    <w:rsid w:val="004851F5"/>
    <w:rsid w:val="004854B4"/>
    <w:rsid w:val="004855DE"/>
    <w:rsid w:val="00485BA6"/>
    <w:rsid w:val="00485BF4"/>
    <w:rsid w:val="00485C87"/>
    <w:rsid w:val="00485D0B"/>
    <w:rsid w:val="00485EE2"/>
    <w:rsid w:val="00486384"/>
    <w:rsid w:val="00486553"/>
    <w:rsid w:val="00486D58"/>
    <w:rsid w:val="00486E06"/>
    <w:rsid w:val="00487150"/>
    <w:rsid w:val="004874A3"/>
    <w:rsid w:val="004874D8"/>
    <w:rsid w:val="00487A65"/>
    <w:rsid w:val="00487CAB"/>
    <w:rsid w:val="00487D43"/>
    <w:rsid w:val="00490349"/>
    <w:rsid w:val="00490421"/>
    <w:rsid w:val="0049057B"/>
    <w:rsid w:val="00490A55"/>
    <w:rsid w:val="00490D00"/>
    <w:rsid w:val="00490D5F"/>
    <w:rsid w:val="00490D64"/>
    <w:rsid w:val="00490F9A"/>
    <w:rsid w:val="0049118E"/>
    <w:rsid w:val="004913BE"/>
    <w:rsid w:val="004916C9"/>
    <w:rsid w:val="00491924"/>
    <w:rsid w:val="00491EEB"/>
    <w:rsid w:val="00491F89"/>
    <w:rsid w:val="004920CC"/>
    <w:rsid w:val="004923F7"/>
    <w:rsid w:val="004924BD"/>
    <w:rsid w:val="0049363D"/>
    <w:rsid w:val="00493C9E"/>
    <w:rsid w:val="00493F3B"/>
    <w:rsid w:val="00493F9E"/>
    <w:rsid w:val="0049482E"/>
    <w:rsid w:val="004948B3"/>
    <w:rsid w:val="00494A20"/>
    <w:rsid w:val="00494EF5"/>
    <w:rsid w:val="004950FA"/>
    <w:rsid w:val="00495418"/>
    <w:rsid w:val="00495FD9"/>
    <w:rsid w:val="004965B3"/>
    <w:rsid w:val="004966C1"/>
    <w:rsid w:val="00496DB7"/>
    <w:rsid w:val="00497669"/>
    <w:rsid w:val="004978EE"/>
    <w:rsid w:val="00497920"/>
    <w:rsid w:val="00497CEA"/>
    <w:rsid w:val="004A018C"/>
    <w:rsid w:val="004A022E"/>
    <w:rsid w:val="004A04DB"/>
    <w:rsid w:val="004A07AC"/>
    <w:rsid w:val="004A0E96"/>
    <w:rsid w:val="004A0F7F"/>
    <w:rsid w:val="004A12D4"/>
    <w:rsid w:val="004A1A58"/>
    <w:rsid w:val="004A1D3F"/>
    <w:rsid w:val="004A2212"/>
    <w:rsid w:val="004A22F4"/>
    <w:rsid w:val="004A273E"/>
    <w:rsid w:val="004A2E68"/>
    <w:rsid w:val="004A2E69"/>
    <w:rsid w:val="004A30A1"/>
    <w:rsid w:val="004A33AC"/>
    <w:rsid w:val="004A3689"/>
    <w:rsid w:val="004A3CBC"/>
    <w:rsid w:val="004A49D1"/>
    <w:rsid w:val="004A4D4A"/>
    <w:rsid w:val="004A5017"/>
    <w:rsid w:val="004A5124"/>
    <w:rsid w:val="004A515B"/>
    <w:rsid w:val="004A517F"/>
    <w:rsid w:val="004A5482"/>
    <w:rsid w:val="004A574C"/>
    <w:rsid w:val="004A5E10"/>
    <w:rsid w:val="004A5EE7"/>
    <w:rsid w:val="004A661C"/>
    <w:rsid w:val="004A6706"/>
    <w:rsid w:val="004A6A71"/>
    <w:rsid w:val="004A6B29"/>
    <w:rsid w:val="004A6DD9"/>
    <w:rsid w:val="004A6E1D"/>
    <w:rsid w:val="004A7148"/>
    <w:rsid w:val="004A75E4"/>
    <w:rsid w:val="004B0132"/>
    <w:rsid w:val="004B027E"/>
    <w:rsid w:val="004B0611"/>
    <w:rsid w:val="004B07DC"/>
    <w:rsid w:val="004B0950"/>
    <w:rsid w:val="004B0B09"/>
    <w:rsid w:val="004B0B20"/>
    <w:rsid w:val="004B0C6D"/>
    <w:rsid w:val="004B0DCF"/>
    <w:rsid w:val="004B0FDA"/>
    <w:rsid w:val="004B12F0"/>
    <w:rsid w:val="004B1697"/>
    <w:rsid w:val="004B16E3"/>
    <w:rsid w:val="004B173A"/>
    <w:rsid w:val="004B1D16"/>
    <w:rsid w:val="004B2265"/>
    <w:rsid w:val="004B22DD"/>
    <w:rsid w:val="004B2621"/>
    <w:rsid w:val="004B2635"/>
    <w:rsid w:val="004B287F"/>
    <w:rsid w:val="004B2E26"/>
    <w:rsid w:val="004B31FF"/>
    <w:rsid w:val="004B32F1"/>
    <w:rsid w:val="004B344B"/>
    <w:rsid w:val="004B36D9"/>
    <w:rsid w:val="004B376D"/>
    <w:rsid w:val="004B3D63"/>
    <w:rsid w:val="004B3EE6"/>
    <w:rsid w:val="004B463A"/>
    <w:rsid w:val="004B52E1"/>
    <w:rsid w:val="004B5353"/>
    <w:rsid w:val="004B5F8E"/>
    <w:rsid w:val="004B5FEE"/>
    <w:rsid w:val="004B6415"/>
    <w:rsid w:val="004B6595"/>
    <w:rsid w:val="004B6A42"/>
    <w:rsid w:val="004B6C74"/>
    <w:rsid w:val="004B75DC"/>
    <w:rsid w:val="004B7717"/>
    <w:rsid w:val="004B77ED"/>
    <w:rsid w:val="004B7872"/>
    <w:rsid w:val="004B7CE8"/>
    <w:rsid w:val="004C046E"/>
    <w:rsid w:val="004C0A97"/>
    <w:rsid w:val="004C0B61"/>
    <w:rsid w:val="004C0CC8"/>
    <w:rsid w:val="004C1194"/>
    <w:rsid w:val="004C1438"/>
    <w:rsid w:val="004C155C"/>
    <w:rsid w:val="004C17A6"/>
    <w:rsid w:val="004C1C35"/>
    <w:rsid w:val="004C27BD"/>
    <w:rsid w:val="004C27D8"/>
    <w:rsid w:val="004C2A24"/>
    <w:rsid w:val="004C2DD2"/>
    <w:rsid w:val="004C2DFE"/>
    <w:rsid w:val="004C317C"/>
    <w:rsid w:val="004C341E"/>
    <w:rsid w:val="004C343C"/>
    <w:rsid w:val="004C349F"/>
    <w:rsid w:val="004C36D6"/>
    <w:rsid w:val="004C3893"/>
    <w:rsid w:val="004C390A"/>
    <w:rsid w:val="004C3DD4"/>
    <w:rsid w:val="004C3EC9"/>
    <w:rsid w:val="004C4075"/>
    <w:rsid w:val="004C4360"/>
    <w:rsid w:val="004C4415"/>
    <w:rsid w:val="004C44C6"/>
    <w:rsid w:val="004C4609"/>
    <w:rsid w:val="004C4742"/>
    <w:rsid w:val="004C4933"/>
    <w:rsid w:val="004C52FE"/>
    <w:rsid w:val="004C5B2B"/>
    <w:rsid w:val="004C5BEA"/>
    <w:rsid w:val="004C60BD"/>
    <w:rsid w:val="004C6197"/>
    <w:rsid w:val="004C6280"/>
    <w:rsid w:val="004C705A"/>
    <w:rsid w:val="004C7229"/>
    <w:rsid w:val="004C74A4"/>
    <w:rsid w:val="004C7820"/>
    <w:rsid w:val="004C7CE2"/>
    <w:rsid w:val="004D003D"/>
    <w:rsid w:val="004D0044"/>
    <w:rsid w:val="004D01A5"/>
    <w:rsid w:val="004D0363"/>
    <w:rsid w:val="004D0406"/>
    <w:rsid w:val="004D08F4"/>
    <w:rsid w:val="004D0929"/>
    <w:rsid w:val="004D0AA7"/>
    <w:rsid w:val="004D0E9F"/>
    <w:rsid w:val="004D0F20"/>
    <w:rsid w:val="004D13B5"/>
    <w:rsid w:val="004D13E7"/>
    <w:rsid w:val="004D1689"/>
    <w:rsid w:val="004D1BE9"/>
    <w:rsid w:val="004D1C10"/>
    <w:rsid w:val="004D1DBD"/>
    <w:rsid w:val="004D20BA"/>
    <w:rsid w:val="004D215C"/>
    <w:rsid w:val="004D242A"/>
    <w:rsid w:val="004D27EA"/>
    <w:rsid w:val="004D2CC4"/>
    <w:rsid w:val="004D33FE"/>
    <w:rsid w:val="004D3559"/>
    <w:rsid w:val="004D3797"/>
    <w:rsid w:val="004D38A3"/>
    <w:rsid w:val="004D39BF"/>
    <w:rsid w:val="004D3F8B"/>
    <w:rsid w:val="004D4177"/>
    <w:rsid w:val="004D4248"/>
    <w:rsid w:val="004D4A74"/>
    <w:rsid w:val="004D4AD8"/>
    <w:rsid w:val="004D4ADD"/>
    <w:rsid w:val="004D4E0A"/>
    <w:rsid w:val="004D4EB3"/>
    <w:rsid w:val="004D4F17"/>
    <w:rsid w:val="004D59CE"/>
    <w:rsid w:val="004D5A88"/>
    <w:rsid w:val="004D5CF0"/>
    <w:rsid w:val="004D607D"/>
    <w:rsid w:val="004D62F2"/>
    <w:rsid w:val="004D686A"/>
    <w:rsid w:val="004D7565"/>
    <w:rsid w:val="004D7805"/>
    <w:rsid w:val="004D7CC9"/>
    <w:rsid w:val="004E06A0"/>
    <w:rsid w:val="004E0A90"/>
    <w:rsid w:val="004E11F4"/>
    <w:rsid w:val="004E1203"/>
    <w:rsid w:val="004E1464"/>
    <w:rsid w:val="004E1B62"/>
    <w:rsid w:val="004E205D"/>
    <w:rsid w:val="004E20B2"/>
    <w:rsid w:val="004E2BC6"/>
    <w:rsid w:val="004E2E1C"/>
    <w:rsid w:val="004E30C2"/>
    <w:rsid w:val="004E30E4"/>
    <w:rsid w:val="004E3575"/>
    <w:rsid w:val="004E399C"/>
    <w:rsid w:val="004E4167"/>
    <w:rsid w:val="004E42CA"/>
    <w:rsid w:val="004E4586"/>
    <w:rsid w:val="004E479F"/>
    <w:rsid w:val="004E4ECE"/>
    <w:rsid w:val="004E4FBD"/>
    <w:rsid w:val="004E525D"/>
    <w:rsid w:val="004E53F7"/>
    <w:rsid w:val="004E58F2"/>
    <w:rsid w:val="004E59EE"/>
    <w:rsid w:val="004E5EAE"/>
    <w:rsid w:val="004E601F"/>
    <w:rsid w:val="004E6B08"/>
    <w:rsid w:val="004E6CFA"/>
    <w:rsid w:val="004E6E8A"/>
    <w:rsid w:val="004E7075"/>
    <w:rsid w:val="004E70D8"/>
    <w:rsid w:val="004E72C2"/>
    <w:rsid w:val="004E7337"/>
    <w:rsid w:val="004E7768"/>
    <w:rsid w:val="004E7793"/>
    <w:rsid w:val="004E77CE"/>
    <w:rsid w:val="004E7F5A"/>
    <w:rsid w:val="004F01BF"/>
    <w:rsid w:val="004F03E8"/>
    <w:rsid w:val="004F099A"/>
    <w:rsid w:val="004F09B3"/>
    <w:rsid w:val="004F0A1A"/>
    <w:rsid w:val="004F0AA0"/>
    <w:rsid w:val="004F103F"/>
    <w:rsid w:val="004F1059"/>
    <w:rsid w:val="004F1471"/>
    <w:rsid w:val="004F1839"/>
    <w:rsid w:val="004F19D2"/>
    <w:rsid w:val="004F1A97"/>
    <w:rsid w:val="004F1D61"/>
    <w:rsid w:val="004F1E21"/>
    <w:rsid w:val="004F1ED6"/>
    <w:rsid w:val="004F1F7B"/>
    <w:rsid w:val="004F228A"/>
    <w:rsid w:val="004F22E9"/>
    <w:rsid w:val="004F24B0"/>
    <w:rsid w:val="004F2739"/>
    <w:rsid w:val="004F28E7"/>
    <w:rsid w:val="004F2DCA"/>
    <w:rsid w:val="004F32A6"/>
    <w:rsid w:val="004F3476"/>
    <w:rsid w:val="004F387C"/>
    <w:rsid w:val="004F38EE"/>
    <w:rsid w:val="004F3958"/>
    <w:rsid w:val="004F3D20"/>
    <w:rsid w:val="004F42A9"/>
    <w:rsid w:val="004F4325"/>
    <w:rsid w:val="004F4426"/>
    <w:rsid w:val="004F4461"/>
    <w:rsid w:val="004F460E"/>
    <w:rsid w:val="004F4692"/>
    <w:rsid w:val="004F4BB9"/>
    <w:rsid w:val="004F4BCA"/>
    <w:rsid w:val="004F5601"/>
    <w:rsid w:val="004F5D22"/>
    <w:rsid w:val="004F5E3C"/>
    <w:rsid w:val="004F63B9"/>
    <w:rsid w:val="004F69CC"/>
    <w:rsid w:val="004F6CB3"/>
    <w:rsid w:val="004F6F2C"/>
    <w:rsid w:val="004F6F8A"/>
    <w:rsid w:val="004F7506"/>
    <w:rsid w:val="004F762E"/>
    <w:rsid w:val="004F7785"/>
    <w:rsid w:val="004F79C5"/>
    <w:rsid w:val="004F7E8C"/>
    <w:rsid w:val="00500015"/>
    <w:rsid w:val="005004BC"/>
    <w:rsid w:val="00500731"/>
    <w:rsid w:val="00500A74"/>
    <w:rsid w:val="00500AA8"/>
    <w:rsid w:val="00500E48"/>
    <w:rsid w:val="0050100A"/>
    <w:rsid w:val="00501011"/>
    <w:rsid w:val="0050111B"/>
    <w:rsid w:val="0050147E"/>
    <w:rsid w:val="005020CB"/>
    <w:rsid w:val="00502A55"/>
    <w:rsid w:val="00502CFF"/>
    <w:rsid w:val="00503717"/>
    <w:rsid w:val="005038DB"/>
    <w:rsid w:val="00503BD4"/>
    <w:rsid w:val="00504431"/>
    <w:rsid w:val="00505034"/>
    <w:rsid w:val="00505676"/>
    <w:rsid w:val="005056EA"/>
    <w:rsid w:val="0050574E"/>
    <w:rsid w:val="0050604A"/>
    <w:rsid w:val="00506D26"/>
    <w:rsid w:val="00507656"/>
    <w:rsid w:val="00507B19"/>
    <w:rsid w:val="00507C25"/>
    <w:rsid w:val="00507CD6"/>
    <w:rsid w:val="00507DB4"/>
    <w:rsid w:val="00507FA9"/>
    <w:rsid w:val="00510126"/>
    <w:rsid w:val="005102CF"/>
    <w:rsid w:val="00510345"/>
    <w:rsid w:val="0051060F"/>
    <w:rsid w:val="0051064D"/>
    <w:rsid w:val="0051093E"/>
    <w:rsid w:val="00510ABD"/>
    <w:rsid w:val="00510D12"/>
    <w:rsid w:val="005111B3"/>
    <w:rsid w:val="00511253"/>
    <w:rsid w:val="005113D0"/>
    <w:rsid w:val="00511755"/>
    <w:rsid w:val="0051191B"/>
    <w:rsid w:val="00511A39"/>
    <w:rsid w:val="00511BAD"/>
    <w:rsid w:val="00511D9E"/>
    <w:rsid w:val="00512862"/>
    <w:rsid w:val="00512BF0"/>
    <w:rsid w:val="00512D3F"/>
    <w:rsid w:val="00512F23"/>
    <w:rsid w:val="005132E4"/>
    <w:rsid w:val="005140E8"/>
    <w:rsid w:val="005142CF"/>
    <w:rsid w:val="005145A9"/>
    <w:rsid w:val="005147A0"/>
    <w:rsid w:val="0051543B"/>
    <w:rsid w:val="0051676F"/>
    <w:rsid w:val="00516C0D"/>
    <w:rsid w:val="00516E41"/>
    <w:rsid w:val="00516EF7"/>
    <w:rsid w:val="00517090"/>
    <w:rsid w:val="0051783C"/>
    <w:rsid w:val="00517A78"/>
    <w:rsid w:val="005201F1"/>
    <w:rsid w:val="0052035E"/>
    <w:rsid w:val="005209D5"/>
    <w:rsid w:val="00520C0E"/>
    <w:rsid w:val="00521386"/>
    <w:rsid w:val="00522480"/>
    <w:rsid w:val="005228AC"/>
    <w:rsid w:val="00522A41"/>
    <w:rsid w:val="00522EA4"/>
    <w:rsid w:val="00523183"/>
    <w:rsid w:val="00523408"/>
    <w:rsid w:val="00523F9C"/>
    <w:rsid w:val="005244D9"/>
    <w:rsid w:val="005245DF"/>
    <w:rsid w:val="005255F3"/>
    <w:rsid w:val="0052562F"/>
    <w:rsid w:val="00525B67"/>
    <w:rsid w:val="00525B7C"/>
    <w:rsid w:val="00526292"/>
    <w:rsid w:val="005263DF"/>
    <w:rsid w:val="005264A7"/>
    <w:rsid w:val="00526D9D"/>
    <w:rsid w:val="00527249"/>
    <w:rsid w:val="00527B73"/>
    <w:rsid w:val="00527CA8"/>
    <w:rsid w:val="0053060D"/>
    <w:rsid w:val="00530C7F"/>
    <w:rsid w:val="00530E0B"/>
    <w:rsid w:val="005312F9"/>
    <w:rsid w:val="0053135F"/>
    <w:rsid w:val="005315F9"/>
    <w:rsid w:val="00531E7A"/>
    <w:rsid w:val="0053215C"/>
    <w:rsid w:val="00532936"/>
    <w:rsid w:val="00532B5C"/>
    <w:rsid w:val="00532D7A"/>
    <w:rsid w:val="00532FB1"/>
    <w:rsid w:val="00533922"/>
    <w:rsid w:val="00533CE2"/>
    <w:rsid w:val="005341EE"/>
    <w:rsid w:val="005342FB"/>
    <w:rsid w:val="005343DB"/>
    <w:rsid w:val="005346A4"/>
    <w:rsid w:val="0053471E"/>
    <w:rsid w:val="00534893"/>
    <w:rsid w:val="00534A26"/>
    <w:rsid w:val="00534D4F"/>
    <w:rsid w:val="00534E59"/>
    <w:rsid w:val="0053520C"/>
    <w:rsid w:val="00535362"/>
    <w:rsid w:val="00536306"/>
    <w:rsid w:val="00536382"/>
    <w:rsid w:val="00536CE9"/>
    <w:rsid w:val="00536E44"/>
    <w:rsid w:val="00536E81"/>
    <w:rsid w:val="00536EAF"/>
    <w:rsid w:val="00540129"/>
    <w:rsid w:val="00540515"/>
    <w:rsid w:val="00540522"/>
    <w:rsid w:val="0054080A"/>
    <w:rsid w:val="00540987"/>
    <w:rsid w:val="00540A1F"/>
    <w:rsid w:val="00541199"/>
    <w:rsid w:val="00541268"/>
    <w:rsid w:val="00541913"/>
    <w:rsid w:val="00541A01"/>
    <w:rsid w:val="00541C7E"/>
    <w:rsid w:val="005423E8"/>
    <w:rsid w:val="0054241E"/>
    <w:rsid w:val="00542A98"/>
    <w:rsid w:val="00542C2B"/>
    <w:rsid w:val="00543473"/>
    <w:rsid w:val="00543ACD"/>
    <w:rsid w:val="00543CAA"/>
    <w:rsid w:val="00543CFA"/>
    <w:rsid w:val="00543F21"/>
    <w:rsid w:val="00543FB9"/>
    <w:rsid w:val="0054418D"/>
    <w:rsid w:val="005447EB"/>
    <w:rsid w:val="00544A05"/>
    <w:rsid w:val="00544A19"/>
    <w:rsid w:val="00544CB7"/>
    <w:rsid w:val="0054503F"/>
    <w:rsid w:val="0054509B"/>
    <w:rsid w:val="0054517F"/>
    <w:rsid w:val="005453ED"/>
    <w:rsid w:val="00545581"/>
    <w:rsid w:val="00545CC4"/>
    <w:rsid w:val="00545D72"/>
    <w:rsid w:val="00545E4C"/>
    <w:rsid w:val="00545F2D"/>
    <w:rsid w:val="0054624C"/>
    <w:rsid w:val="005466D7"/>
    <w:rsid w:val="0054671A"/>
    <w:rsid w:val="00546856"/>
    <w:rsid w:val="00546A62"/>
    <w:rsid w:val="00546BAE"/>
    <w:rsid w:val="00546D54"/>
    <w:rsid w:val="0054731D"/>
    <w:rsid w:val="005474B5"/>
    <w:rsid w:val="00547899"/>
    <w:rsid w:val="00547C86"/>
    <w:rsid w:val="00547DF8"/>
    <w:rsid w:val="00550163"/>
    <w:rsid w:val="00550170"/>
    <w:rsid w:val="005505B9"/>
    <w:rsid w:val="005505E1"/>
    <w:rsid w:val="005508C6"/>
    <w:rsid w:val="00550CA7"/>
    <w:rsid w:val="00550FCE"/>
    <w:rsid w:val="005516C9"/>
    <w:rsid w:val="00551952"/>
    <w:rsid w:val="00551A04"/>
    <w:rsid w:val="00551FE5"/>
    <w:rsid w:val="00552387"/>
    <w:rsid w:val="00552487"/>
    <w:rsid w:val="00552592"/>
    <w:rsid w:val="00552A43"/>
    <w:rsid w:val="00552EEB"/>
    <w:rsid w:val="00553810"/>
    <w:rsid w:val="00553829"/>
    <w:rsid w:val="005538FA"/>
    <w:rsid w:val="00553A7E"/>
    <w:rsid w:val="005545A3"/>
    <w:rsid w:val="00554B2F"/>
    <w:rsid w:val="00555203"/>
    <w:rsid w:val="0055537E"/>
    <w:rsid w:val="0055548D"/>
    <w:rsid w:val="00555542"/>
    <w:rsid w:val="00555C48"/>
    <w:rsid w:val="00555D6D"/>
    <w:rsid w:val="005561BD"/>
    <w:rsid w:val="005563A5"/>
    <w:rsid w:val="005563F6"/>
    <w:rsid w:val="005568D0"/>
    <w:rsid w:val="00556E1F"/>
    <w:rsid w:val="00557093"/>
    <w:rsid w:val="00557141"/>
    <w:rsid w:val="005571ED"/>
    <w:rsid w:val="0055730A"/>
    <w:rsid w:val="005573CA"/>
    <w:rsid w:val="00557B0E"/>
    <w:rsid w:val="00557FFB"/>
    <w:rsid w:val="005604A6"/>
    <w:rsid w:val="005604B8"/>
    <w:rsid w:val="005604E8"/>
    <w:rsid w:val="00560CC1"/>
    <w:rsid w:val="0056112F"/>
    <w:rsid w:val="0056126C"/>
    <w:rsid w:val="0056127A"/>
    <w:rsid w:val="005614C1"/>
    <w:rsid w:val="00561985"/>
    <w:rsid w:val="0056200D"/>
    <w:rsid w:val="005623CE"/>
    <w:rsid w:val="00562B32"/>
    <w:rsid w:val="005631E0"/>
    <w:rsid w:val="00563230"/>
    <w:rsid w:val="00563267"/>
    <w:rsid w:val="005634EE"/>
    <w:rsid w:val="0056355B"/>
    <w:rsid w:val="005635F1"/>
    <w:rsid w:val="00563C1A"/>
    <w:rsid w:val="005646D1"/>
    <w:rsid w:val="00564CED"/>
    <w:rsid w:val="005650B9"/>
    <w:rsid w:val="00565B33"/>
    <w:rsid w:val="00565DA4"/>
    <w:rsid w:val="00565E59"/>
    <w:rsid w:val="00565EBC"/>
    <w:rsid w:val="00565FCA"/>
    <w:rsid w:val="00566267"/>
    <w:rsid w:val="0056628A"/>
    <w:rsid w:val="005662F4"/>
    <w:rsid w:val="00566566"/>
    <w:rsid w:val="00566696"/>
    <w:rsid w:val="00566E90"/>
    <w:rsid w:val="00566FAF"/>
    <w:rsid w:val="0056705A"/>
    <w:rsid w:val="005670E2"/>
    <w:rsid w:val="0056735A"/>
    <w:rsid w:val="0056783F"/>
    <w:rsid w:val="005704AB"/>
    <w:rsid w:val="0057078F"/>
    <w:rsid w:val="005708AA"/>
    <w:rsid w:val="005708AD"/>
    <w:rsid w:val="005709B5"/>
    <w:rsid w:val="00570A9E"/>
    <w:rsid w:val="00570D58"/>
    <w:rsid w:val="005711E2"/>
    <w:rsid w:val="0057124B"/>
    <w:rsid w:val="005714B2"/>
    <w:rsid w:val="00571632"/>
    <w:rsid w:val="00571662"/>
    <w:rsid w:val="0057185C"/>
    <w:rsid w:val="00571C19"/>
    <w:rsid w:val="00571C1E"/>
    <w:rsid w:val="005721EA"/>
    <w:rsid w:val="005729D2"/>
    <w:rsid w:val="00573249"/>
    <w:rsid w:val="0057327E"/>
    <w:rsid w:val="00573396"/>
    <w:rsid w:val="00573B96"/>
    <w:rsid w:val="0057404A"/>
    <w:rsid w:val="00574242"/>
    <w:rsid w:val="005742D2"/>
    <w:rsid w:val="00574353"/>
    <w:rsid w:val="0057437A"/>
    <w:rsid w:val="005746A2"/>
    <w:rsid w:val="0057471E"/>
    <w:rsid w:val="00574DE8"/>
    <w:rsid w:val="005753E5"/>
    <w:rsid w:val="0057592F"/>
    <w:rsid w:val="00576132"/>
    <w:rsid w:val="00576557"/>
    <w:rsid w:val="00577024"/>
    <w:rsid w:val="0057739D"/>
    <w:rsid w:val="0057796F"/>
    <w:rsid w:val="005779BA"/>
    <w:rsid w:val="005779C2"/>
    <w:rsid w:val="00577A8E"/>
    <w:rsid w:val="005807BA"/>
    <w:rsid w:val="00580CE9"/>
    <w:rsid w:val="0058124A"/>
    <w:rsid w:val="0058132D"/>
    <w:rsid w:val="00581337"/>
    <w:rsid w:val="00581772"/>
    <w:rsid w:val="005830DE"/>
    <w:rsid w:val="00583234"/>
    <w:rsid w:val="00583754"/>
    <w:rsid w:val="00583DA8"/>
    <w:rsid w:val="005845FD"/>
    <w:rsid w:val="0058494D"/>
    <w:rsid w:val="00584CDC"/>
    <w:rsid w:val="00585CDB"/>
    <w:rsid w:val="00585D6D"/>
    <w:rsid w:val="00585F9F"/>
    <w:rsid w:val="005863E9"/>
    <w:rsid w:val="0058650E"/>
    <w:rsid w:val="005867D6"/>
    <w:rsid w:val="00586962"/>
    <w:rsid w:val="00586A6A"/>
    <w:rsid w:val="00586DB2"/>
    <w:rsid w:val="005870A3"/>
    <w:rsid w:val="0058735E"/>
    <w:rsid w:val="005874FB"/>
    <w:rsid w:val="0058765E"/>
    <w:rsid w:val="00587CA4"/>
    <w:rsid w:val="00587E09"/>
    <w:rsid w:val="00587E6C"/>
    <w:rsid w:val="00587EBE"/>
    <w:rsid w:val="005901D4"/>
    <w:rsid w:val="00590201"/>
    <w:rsid w:val="00590707"/>
    <w:rsid w:val="00590A2E"/>
    <w:rsid w:val="00590A83"/>
    <w:rsid w:val="00590C5D"/>
    <w:rsid w:val="00590CD5"/>
    <w:rsid w:val="005911A1"/>
    <w:rsid w:val="005917A8"/>
    <w:rsid w:val="00591DB0"/>
    <w:rsid w:val="00591F02"/>
    <w:rsid w:val="00592209"/>
    <w:rsid w:val="00592268"/>
    <w:rsid w:val="0059232C"/>
    <w:rsid w:val="00592628"/>
    <w:rsid w:val="00592D01"/>
    <w:rsid w:val="00592D19"/>
    <w:rsid w:val="00592DAA"/>
    <w:rsid w:val="005930BC"/>
    <w:rsid w:val="005932E5"/>
    <w:rsid w:val="00593350"/>
    <w:rsid w:val="0059369D"/>
    <w:rsid w:val="00593A8E"/>
    <w:rsid w:val="00593C81"/>
    <w:rsid w:val="00593DE5"/>
    <w:rsid w:val="00593F42"/>
    <w:rsid w:val="00594118"/>
    <w:rsid w:val="00594857"/>
    <w:rsid w:val="00594CA5"/>
    <w:rsid w:val="005958A8"/>
    <w:rsid w:val="00595B35"/>
    <w:rsid w:val="005961BD"/>
    <w:rsid w:val="00596399"/>
    <w:rsid w:val="00596491"/>
    <w:rsid w:val="00596718"/>
    <w:rsid w:val="00596826"/>
    <w:rsid w:val="00596958"/>
    <w:rsid w:val="00596A60"/>
    <w:rsid w:val="00596BD3"/>
    <w:rsid w:val="005970DE"/>
    <w:rsid w:val="0059764B"/>
    <w:rsid w:val="00597978"/>
    <w:rsid w:val="00597A2D"/>
    <w:rsid w:val="005A04B9"/>
    <w:rsid w:val="005A08FE"/>
    <w:rsid w:val="005A0B0D"/>
    <w:rsid w:val="005A0C82"/>
    <w:rsid w:val="005A1540"/>
    <w:rsid w:val="005A1911"/>
    <w:rsid w:val="005A1A8A"/>
    <w:rsid w:val="005A21EB"/>
    <w:rsid w:val="005A2354"/>
    <w:rsid w:val="005A267E"/>
    <w:rsid w:val="005A296C"/>
    <w:rsid w:val="005A2F64"/>
    <w:rsid w:val="005A3063"/>
    <w:rsid w:val="005A392D"/>
    <w:rsid w:val="005A3B55"/>
    <w:rsid w:val="005A3B72"/>
    <w:rsid w:val="005A3E3B"/>
    <w:rsid w:val="005A3F20"/>
    <w:rsid w:val="005A41F0"/>
    <w:rsid w:val="005A4202"/>
    <w:rsid w:val="005A42ED"/>
    <w:rsid w:val="005A491A"/>
    <w:rsid w:val="005A4B47"/>
    <w:rsid w:val="005A5798"/>
    <w:rsid w:val="005A5940"/>
    <w:rsid w:val="005A598C"/>
    <w:rsid w:val="005A5998"/>
    <w:rsid w:val="005A5F32"/>
    <w:rsid w:val="005A60AF"/>
    <w:rsid w:val="005A6356"/>
    <w:rsid w:val="005A6493"/>
    <w:rsid w:val="005A64D4"/>
    <w:rsid w:val="005A67E1"/>
    <w:rsid w:val="005A6B13"/>
    <w:rsid w:val="005A6D9C"/>
    <w:rsid w:val="005A7722"/>
    <w:rsid w:val="005A7A82"/>
    <w:rsid w:val="005A7F59"/>
    <w:rsid w:val="005B012E"/>
    <w:rsid w:val="005B01DD"/>
    <w:rsid w:val="005B0283"/>
    <w:rsid w:val="005B0506"/>
    <w:rsid w:val="005B07FA"/>
    <w:rsid w:val="005B0DC7"/>
    <w:rsid w:val="005B0F50"/>
    <w:rsid w:val="005B0F7A"/>
    <w:rsid w:val="005B0FE8"/>
    <w:rsid w:val="005B11DD"/>
    <w:rsid w:val="005B170E"/>
    <w:rsid w:val="005B19F2"/>
    <w:rsid w:val="005B1A1E"/>
    <w:rsid w:val="005B1C58"/>
    <w:rsid w:val="005B1D91"/>
    <w:rsid w:val="005B2527"/>
    <w:rsid w:val="005B2678"/>
    <w:rsid w:val="005B2BF9"/>
    <w:rsid w:val="005B2C78"/>
    <w:rsid w:val="005B2D24"/>
    <w:rsid w:val="005B35FB"/>
    <w:rsid w:val="005B36DB"/>
    <w:rsid w:val="005B3792"/>
    <w:rsid w:val="005B37E4"/>
    <w:rsid w:val="005B3F58"/>
    <w:rsid w:val="005B40DF"/>
    <w:rsid w:val="005B414A"/>
    <w:rsid w:val="005B4153"/>
    <w:rsid w:val="005B4303"/>
    <w:rsid w:val="005B4611"/>
    <w:rsid w:val="005B49FB"/>
    <w:rsid w:val="005B4D0C"/>
    <w:rsid w:val="005B5483"/>
    <w:rsid w:val="005B5904"/>
    <w:rsid w:val="005B59E6"/>
    <w:rsid w:val="005B5AA3"/>
    <w:rsid w:val="005B5B54"/>
    <w:rsid w:val="005B5D55"/>
    <w:rsid w:val="005B5DEC"/>
    <w:rsid w:val="005B6B0F"/>
    <w:rsid w:val="005B6EE0"/>
    <w:rsid w:val="005B73C1"/>
    <w:rsid w:val="005B7509"/>
    <w:rsid w:val="005B752C"/>
    <w:rsid w:val="005B7983"/>
    <w:rsid w:val="005B7D08"/>
    <w:rsid w:val="005B7D1A"/>
    <w:rsid w:val="005B7FE7"/>
    <w:rsid w:val="005C014C"/>
    <w:rsid w:val="005C037F"/>
    <w:rsid w:val="005C04B5"/>
    <w:rsid w:val="005C065C"/>
    <w:rsid w:val="005C0CFF"/>
    <w:rsid w:val="005C0ECE"/>
    <w:rsid w:val="005C1112"/>
    <w:rsid w:val="005C1258"/>
    <w:rsid w:val="005C1694"/>
    <w:rsid w:val="005C1859"/>
    <w:rsid w:val="005C189F"/>
    <w:rsid w:val="005C19AF"/>
    <w:rsid w:val="005C1C2E"/>
    <w:rsid w:val="005C240B"/>
    <w:rsid w:val="005C2775"/>
    <w:rsid w:val="005C295D"/>
    <w:rsid w:val="005C2CB3"/>
    <w:rsid w:val="005C35A3"/>
    <w:rsid w:val="005C35CF"/>
    <w:rsid w:val="005C39C0"/>
    <w:rsid w:val="005C3C80"/>
    <w:rsid w:val="005C3F62"/>
    <w:rsid w:val="005C3F79"/>
    <w:rsid w:val="005C417E"/>
    <w:rsid w:val="005C4200"/>
    <w:rsid w:val="005C42A5"/>
    <w:rsid w:val="005C4BB1"/>
    <w:rsid w:val="005C4C76"/>
    <w:rsid w:val="005C4CBD"/>
    <w:rsid w:val="005C4DA4"/>
    <w:rsid w:val="005C4FED"/>
    <w:rsid w:val="005C522B"/>
    <w:rsid w:val="005C52B9"/>
    <w:rsid w:val="005C5663"/>
    <w:rsid w:val="005C5799"/>
    <w:rsid w:val="005C59BA"/>
    <w:rsid w:val="005C6160"/>
    <w:rsid w:val="005C6367"/>
    <w:rsid w:val="005C6BAB"/>
    <w:rsid w:val="005C6D58"/>
    <w:rsid w:val="005C6EF0"/>
    <w:rsid w:val="005C71FC"/>
    <w:rsid w:val="005C7670"/>
    <w:rsid w:val="005C7D50"/>
    <w:rsid w:val="005C7E11"/>
    <w:rsid w:val="005C7F78"/>
    <w:rsid w:val="005D00C0"/>
    <w:rsid w:val="005D086C"/>
    <w:rsid w:val="005D0B7D"/>
    <w:rsid w:val="005D0B9F"/>
    <w:rsid w:val="005D13BE"/>
    <w:rsid w:val="005D1724"/>
    <w:rsid w:val="005D1A14"/>
    <w:rsid w:val="005D1B64"/>
    <w:rsid w:val="005D1C86"/>
    <w:rsid w:val="005D1E53"/>
    <w:rsid w:val="005D21C0"/>
    <w:rsid w:val="005D3666"/>
    <w:rsid w:val="005D3A29"/>
    <w:rsid w:val="005D40DC"/>
    <w:rsid w:val="005D49A4"/>
    <w:rsid w:val="005D50BB"/>
    <w:rsid w:val="005D5187"/>
    <w:rsid w:val="005D518B"/>
    <w:rsid w:val="005D57A4"/>
    <w:rsid w:val="005D5A63"/>
    <w:rsid w:val="005D5C2D"/>
    <w:rsid w:val="005D5EAE"/>
    <w:rsid w:val="005D625B"/>
    <w:rsid w:val="005D64AE"/>
    <w:rsid w:val="005D664C"/>
    <w:rsid w:val="005D694F"/>
    <w:rsid w:val="005D696F"/>
    <w:rsid w:val="005D6E0A"/>
    <w:rsid w:val="005D704B"/>
    <w:rsid w:val="005D70ED"/>
    <w:rsid w:val="005D74EE"/>
    <w:rsid w:val="005D7509"/>
    <w:rsid w:val="005D7B06"/>
    <w:rsid w:val="005D7EF3"/>
    <w:rsid w:val="005E0480"/>
    <w:rsid w:val="005E0644"/>
    <w:rsid w:val="005E0A52"/>
    <w:rsid w:val="005E0A90"/>
    <w:rsid w:val="005E0EDB"/>
    <w:rsid w:val="005E0EEC"/>
    <w:rsid w:val="005E0FCB"/>
    <w:rsid w:val="005E13C5"/>
    <w:rsid w:val="005E17CE"/>
    <w:rsid w:val="005E188F"/>
    <w:rsid w:val="005E1B4E"/>
    <w:rsid w:val="005E24D5"/>
    <w:rsid w:val="005E24E7"/>
    <w:rsid w:val="005E2623"/>
    <w:rsid w:val="005E2BEA"/>
    <w:rsid w:val="005E2EFA"/>
    <w:rsid w:val="005E3508"/>
    <w:rsid w:val="005E3680"/>
    <w:rsid w:val="005E3930"/>
    <w:rsid w:val="005E3A16"/>
    <w:rsid w:val="005E3B04"/>
    <w:rsid w:val="005E4144"/>
    <w:rsid w:val="005E436E"/>
    <w:rsid w:val="005E438F"/>
    <w:rsid w:val="005E454F"/>
    <w:rsid w:val="005E4866"/>
    <w:rsid w:val="005E4A3B"/>
    <w:rsid w:val="005E4BA4"/>
    <w:rsid w:val="005E5118"/>
    <w:rsid w:val="005E5149"/>
    <w:rsid w:val="005E5192"/>
    <w:rsid w:val="005E62DF"/>
    <w:rsid w:val="005E634E"/>
    <w:rsid w:val="005E6A21"/>
    <w:rsid w:val="005E6C6D"/>
    <w:rsid w:val="005E6DAD"/>
    <w:rsid w:val="005E732F"/>
    <w:rsid w:val="005E74D7"/>
    <w:rsid w:val="005E757F"/>
    <w:rsid w:val="005E758C"/>
    <w:rsid w:val="005E79C6"/>
    <w:rsid w:val="005F0031"/>
    <w:rsid w:val="005F0113"/>
    <w:rsid w:val="005F02F0"/>
    <w:rsid w:val="005F0454"/>
    <w:rsid w:val="005F0570"/>
    <w:rsid w:val="005F0693"/>
    <w:rsid w:val="005F081C"/>
    <w:rsid w:val="005F0A5B"/>
    <w:rsid w:val="005F0C2C"/>
    <w:rsid w:val="005F0D3B"/>
    <w:rsid w:val="005F1101"/>
    <w:rsid w:val="005F1237"/>
    <w:rsid w:val="005F1A8E"/>
    <w:rsid w:val="005F1B34"/>
    <w:rsid w:val="005F1B8B"/>
    <w:rsid w:val="005F27D3"/>
    <w:rsid w:val="005F2E64"/>
    <w:rsid w:val="005F2EF7"/>
    <w:rsid w:val="005F309B"/>
    <w:rsid w:val="005F31C9"/>
    <w:rsid w:val="005F34A8"/>
    <w:rsid w:val="005F39FE"/>
    <w:rsid w:val="005F3A0E"/>
    <w:rsid w:val="005F3BA5"/>
    <w:rsid w:val="005F3CDC"/>
    <w:rsid w:val="005F3E1E"/>
    <w:rsid w:val="005F4497"/>
    <w:rsid w:val="005F453B"/>
    <w:rsid w:val="005F4A72"/>
    <w:rsid w:val="005F4CBF"/>
    <w:rsid w:val="005F505A"/>
    <w:rsid w:val="005F572A"/>
    <w:rsid w:val="005F5CCB"/>
    <w:rsid w:val="005F5F24"/>
    <w:rsid w:val="005F63F2"/>
    <w:rsid w:val="005F641C"/>
    <w:rsid w:val="005F6436"/>
    <w:rsid w:val="005F6568"/>
    <w:rsid w:val="005F699C"/>
    <w:rsid w:val="005F6BEF"/>
    <w:rsid w:val="005F6C43"/>
    <w:rsid w:val="005F6E1A"/>
    <w:rsid w:val="005F711B"/>
    <w:rsid w:val="005F71FA"/>
    <w:rsid w:val="005F720D"/>
    <w:rsid w:val="005F73AB"/>
    <w:rsid w:val="005F784F"/>
    <w:rsid w:val="005F7A64"/>
    <w:rsid w:val="005F7AF1"/>
    <w:rsid w:val="005F7E54"/>
    <w:rsid w:val="005F7F62"/>
    <w:rsid w:val="005F7FCE"/>
    <w:rsid w:val="00600397"/>
    <w:rsid w:val="00600604"/>
    <w:rsid w:val="00600993"/>
    <w:rsid w:val="00600B8D"/>
    <w:rsid w:val="00600D24"/>
    <w:rsid w:val="00600E12"/>
    <w:rsid w:val="00601311"/>
    <w:rsid w:val="0060177C"/>
    <w:rsid w:val="006017F9"/>
    <w:rsid w:val="00601BCE"/>
    <w:rsid w:val="0060226C"/>
    <w:rsid w:val="006024F7"/>
    <w:rsid w:val="0060293C"/>
    <w:rsid w:val="00602C94"/>
    <w:rsid w:val="00603048"/>
    <w:rsid w:val="006030FD"/>
    <w:rsid w:val="00603116"/>
    <w:rsid w:val="00603278"/>
    <w:rsid w:val="0060380C"/>
    <w:rsid w:val="00603AA0"/>
    <w:rsid w:val="00603AF1"/>
    <w:rsid w:val="006040A0"/>
    <w:rsid w:val="006042D8"/>
    <w:rsid w:val="00604442"/>
    <w:rsid w:val="00604B47"/>
    <w:rsid w:val="00604B5E"/>
    <w:rsid w:val="00604D35"/>
    <w:rsid w:val="00604D3F"/>
    <w:rsid w:val="00605107"/>
    <w:rsid w:val="0060577B"/>
    <w:rsid w:val="006058FA"/>
    <w:rsid w:val="00605A7F"/>
    <w:rsid w:val="00605B19"/>
    <w:rsid w:val="00605B9F"/>
    <w:rsid w:val="00605EF3"/>
    <w:rsid w:val="00606309"/>
    <w:rsid w:val="0060671F"/>
    <w:rsid w:val="006069DA"/>
    <w:rsid w:val="00606BEC"/>
    <w:rsid w:val="00606D2D"/>
    <w:rsid w:val="00607721"/>
    <w:rsid w:val="0060787B"/>
    <w:rsid w:val="006100DA"/>
    <w:rsid w:val="0061052B"/>
    <w:rsid w:val="006105D3"/>
    <w:rsid w:val="006105D6"/>
    <w:rsid w:val="00610C3B"/>
    <w:rsid w:val="00610F5E"/>
    <w:rsid w:val="006117E3"/>
    <w:rsid w:val="0061190D"/>
    <w:rsid w:val="0061279E"/>
    <w:rsid w:val="00612825"/>
    <w:rsid w:val="00612978"/>
    <w:rsid w:val="00612CB1"/>
    <w:rsid w:val="00612FC2"/>
    <w:rsid w:val="00613210"/>
    <w:rsid w:val="006133A7"/>
    <w:rsid w:val="0061357D"/>
    <w:rsid w:val="00613701"/>
    <w:rsid w:val="006137AC"/>
    <w:rsid w:val="00613A97"/>
    <w:rsid w:val="00613D84"/>
    <w:rsid w:val="00614936"/>
    <w:rsid w:val="006149BB"/>
    <w:rsid w:val="00614AE1"/>
    <w:rsid w:val="00615012"/>
    <w:rsid w:val="00615255"/>
    <w:rsid w:val="00615542"/>
    <w:rsid w:val="00615740"/>
    <w:rsid w:val="00615796"/>
    <w:rsid w:val="006158A7"/>
    <w:rsid w:val="0061590B"/>
    <w:rsid w:val="00615D1B"/>
    <w:rsid w:val="006160C7"/>
    <w:rsid w:val="006161A5"/>
    <w:rsid w:val="006163AC"/>
    <w:rsid w:val="006167F6"/>
    <w:rsid w:val="00616A26"/>
    <w:rsid w:val="00616B9B"/>
    <w:rsid w:val="00616C00"/>
    <w:rsid w:val="00616DB8"/>
    <w:rsid w:val="00616E46"/>
    <w:rsid w:val="00616E83"/>
    <w:rsid w:val="00617A23"/>
    <w:rsid w:val="00617A8A"/>
    <w:rsid w:val="00617BDF"/>
    <w:rsid w:val="00617DCB"/>
    <w:rsid w:val="006207E0"/>
    <w:rsid w:val="00620C5E"/>
    <w:rsid w:val="00620E13"/>
    <w:rsid w:val="006212BA"/>
    <w:rsid w:val="006214E2"/>
    <w:rsid w:val="00621C61"/>
    <w:rsid w:val="00621ED0"/>
    <w:rsid w:val="00622159"/>
    <w:rsid w:val="0062221F"/>
    <w:rsid w:val="0062254F"/>
    <w:rsid w:val="0062268A"/>
    <w:rsid w:val="00622C97"/>
    <w:rsid w:val="00623357"/>
    <w:rsid w:val="006233D0"/>
    <w:rsid w:val="00623681"/>
    <w:rsid w:val="00623CA6"/>
    <w:rsid w:val="00624144"/>
    <w:rsid w:val="00624ACF"/>
    <w:rsid w:val="00624B42"/>
    <w:rsid w:val="00624CA6"/>
    <w:rsid w:val="00625C1A"/>
    <w:rsid w:val="00625E6C"/>
    <w:rsid w:val="006261D0"/>
    <w:rsid w:val="006264D8"/>
    <w:rsid w:val="00626783"/>
    <w:rsid w:val="00627633"/>
    <w:rsid w:val="0062792E"/>
    <w:rsid w:val="00627959"/>
    <w:rsid w:val="00627A41"/>
    <w:rsid w:val="00627AEF"/>
    <w:rsid w:val="00630434"/>
    <w:rsid w:val="00630B33"/>
    <w:rsid w:val="00630C6B"/>
    <w:rsid w:val="00630CA6"/>
    <w:rsid w:val="00630E1A"/>
    <w:rsid w:val="00630EE8"/>
    <w:rsid w:val="0063107F"/>
    <w:rsid w:val="00631823"/>
    <w:rsid w:val="0063185E"/>
    <w:rsid w:val="00632009"/>
    <w:rsid w:val="0063201D"/>
    <w:rsid w:val="00632211"/>
    <w:rsid w:val="00632520"/>
    <w:rsid w:val="00632538"/>
    <w:rsid w:val="00632672"/>
    <w:rsid w:val="0063270F"/>
    <w:rsid w:val="006329B5"/>
    <w:rsid w:val="00633288"/>
    <w:rsid w:val="00633601"/>
    <w:rsid w:val="00633648"/>
    <w:rsid w:val="00633BE2"/>
    <w:rsid w:val="00633D90"/>
    <w:rsid w:val="006352E8"/>
    <w:rsid w:val="006356E5"/>
    <w:rsid w:val="006359CA"/>
    <w:rsid w:val="00635B94"/>
    <w:rsid w:val="00635B98"/>
    <w:rsid w:val="00636498"/>
    <w:rsid w:val="006365A0"/>
    <w:rsid w:val="00636669"/>
    <w:rsid w:val="00636790"/>
    <w:rsid w:val="00637054"/>
    <w:rsid w:val="00637280"/>
    <w:rsid w:val="006373B8"/>
    <w:rsid w:val="006374FD"/>
    <w:rsid w:val="00637505"/>
    <w:rsid w:val="0063753C"/>
    <w:rsid w:val="00637B1E"/>
    <w:rsid w:val="00637B9B"/>
    <w:rsid w:val="00637FAE"/>
    <w:rsid w:val="006400DB"/>
    <w:rsid w:val="00640422"/>
    <w:rsid w:val="006408CD"/>
    <w:rsid w:val="006413F4"/>
    <w:rsid w:val="00641B70"/>
    <w:rsid w:val="00641C55"/>
    <w:rsid w:val="00641D29"/>
    <w:rsid w:val="00642633"/>
    <w:rsid w:val="006427DC"/>
    <w:rsid w:val="00642921"/>
    <w:rsid w:val="00642B1D"/>
    <w:rsid w:val="00642EE2"/>
    <w:rsid w:val="00643624"/>
    <w:rsid w:val="00643994"/>
    <w:rsid w:val="00643F33"/>
    <w:rsid w:val="00644360"/>
    <w:rsid w:val="006448BB"/>
    <w:rsid w:val="00644C12"/>
    <w:rsid w:val="00644CA0"/>
    <w:rsid w:val="0064505B"/>
    <w:rsid w:val="006450E0"/>
    <w:rsid w:val="00645123"/>
    <w:rsid w:val="0064522A"/>
    <w:rsid w:val="00645284"/>
    <w:rsid w:val="0064567A"/>
    <w:rsid w:val="00645DC4"/>
    <w:rsid w:val="00646514"/>
    <w:rsid w:val="006466D3"/>
    <w:rsid w:val="00646955"/>
    <w:rsid w:val="00646978"/>
    <w:rsid w:val="00646BD3"/>
    <w:rsid w:val="00646C2D"/>
    <w:rsid w:val="00647350"/>
    <w:rsid w:val="00647960"/>
    <w:rsid w:val="00647A86"/>
    <w:rsid w:val="00647EB6"/>
    <w:rsid w:val="00650857"/>
    <w:rsid w:val="00650B75"/>
    <w:rsid w:val="00651705"/>
    <w:rsid w:val="00651FBA"/>
    <w:rsid w:val="0065238B"/>
    <w:rsid w:val="00652585"/>
    <w:rsid w:val="00652651"/>
    <w:rsid w:val="006530B2"/>
    <w:rsid w:val="006532F9"/>
    <w:rsid w:val="006538EA"/>
    <w:rsid w:val="00653C89"/>
    <w:rsid w:val="0065418A"/>
    <w:rsid w:val="0065486A"/>
    <w:rsid w:val="00654A04"/>
    <w:rsid w:val="00654AA7"/>
    <w:rsid w:val="00655168"/>
    <w:rsid w:val="006555BA"/>
    <w:rsid w:val="006556B4"/>
    <w:rsid w:val="006557A9"/>
    <w:rsid w:val="0065597A"/>
    <w:rsid w:val="00656017"/>
    <w:rsid w:val="00656532"/>
    <w:rsid w:val="00657162"/>
    <w:rsid w:val="00657208"/>
    <w:rsid w:val="00657422"/>
    <w:rsid w:val="006578C8"/>
    <w:rsid w:val="0065794F"/>
    <w:rsid w:val="006579DD"/>
    <w:rsid w:val="00657B3E"/>
    <w:rsid w:val="00660151"/>
    <w:rsid w:val="00660289"/>
    <w:rsid w:val="00660AC8"/>
    <w:rsid w:val="00660C40"/>
    <w:rsid w:val="00660E70"/>
    <w:rsid w:val="006611C8"/>
    <w:rsid w:val="00661868"/>
    <w:rsid w:val="00661C46"/>
    <w:rsid w:val="00662584"/>
    <w:rsid w:val="00662A7A"/>
    <w:rsid w:val="00662CF1"/>
    <w:rsid w:val="006631F5"/>
    <w:rsid w:val="006637DF"/>
    <w:rsid w:val="0066381D"/>
    <w:rsid w:val="00663C5D"/>
    <w:rsid w:val="00664020"/>
    <w:rsid w:val="0066460E"/>
    <w:rsid w:val="00664BEF"/>
    <w:rsid w:val="0066509D"/>
    <w:rsid w:val="00665141"/>
    <w:rsid w:val="006654FC"/>
    <w:rsid w:val="0066551C"/>
    <w:rsid w:val="00665A97"/>
    <w:rsid w:val="00665E84"/>
    <w:rsid w:val="0066611C"/>
    <w:rsid w:val="0066634E"/>
    <w:rsid w:val="0066660C"/>
    <w:rsid w:val="006666B7"/>
    <w:rsid w:val="00666D74"/>
    <w:rsid w:val="006675DD"/>
    <w:rsid w:val="00667A28"/>
    <w:rsid w:val="00667AB6"/>
    <w:rsid w:val="00667BCD"/>
    <w:rsid w:val="00667C8E"/>
    <w:rsid w:val="0067000D"/>
    <w:rsid w:val="00670424"/>
    <w:rsid w:val="006708DB"/>
    <w:rsid w:val="00670A41"/>
    <w:rsid w:val="00670B06"/>
    <w:rsid w:val="00670E82"/>
    <w:rsid w:val="00670EFD"/>
    <w:rsid w:val="00670F37"/>
    <w:rsid w:val="00671021"/>
    <w:rsid w:val="006710C3"/>
    <w:rsid w:val="006716AA"/>
    <w:rsid w:val="00671CB9"/>
    <w:rsid w:val="00671EC3"/>
    <w:rsid w:val="0067206B"/>
    <w:rsid w:val="00672718"/>
    <w:rsid w:val="0067283A"/>
    <w:rsid w:val="00672B57"/>
    <w:rsid w:val="00672D2C"/>
    <w:rsid w:val="0067360F"/>
    <w:rsid w:val="00673662"/>
    <w:rsid w:val="006737FD"/>
    <w:rsid w:val="0067394E"/>
    <w:rsid w:val="00673A48"/>
    <w:rsid w:val="00674077"/>
    <w:rsid w:val="006743B1"/>
    <w:rsid w:val="006743C0"/>
    <w:rsid w:val="006744B1"/>
    <w:rsid w:val="00674632"/>
    <w:rsid w:val="0067468D"/>
    <w:rsid w:val="00674B56"/>
    <w:rsid w:val="00674C99"/>
    <w:rsid w:val="00674F6D"/>
    <w:rsid w:val="00675469"/>
    <w:rsid w:val="0067546C"/>
    <w:rsid w:val="006756B0"/>
    <w:rsid w:val="006758B5"/>
    <w:rsid w:val="00675C6D"/>
    <w:rsid w:val="00675C7E"/>
    <w:rsid w:val="00675C80"/>
    <w:rsid w:val="00675C9C"/>
    <w:rsid w:val="00676379"/>
    <w:rsid w:val="006763F5"/>
    <w:rsid w:val="00676684"/>
    <w:rsid w:val="00676722"/>
    <w:rsid w:val="00676A4C"/>
    <w:rsid w:val="00676ABB"/>
    <w:rsid w:val="00676D35"/>
    <w:rsid w:val="006770F7"/>
    <w:rsid w:val="006774E2"/>
    <w:rsid w:val="00677652"/>
    <w:rsid w:val="00677896"/>
    <w:rsid w:val="00677A8B"/>
    <w:rsid w:val="00677BF1"/>
    <w:rsid w:val="00677F0E"/>
    <w:rsid w:val="006801A1"/>
    <w:rsid w:val="0068032A"/>
    <w:rsid w:val="0068050C"/>
    <w:rsid w:val="0068072B"/>
    <w:rsid w:val="00680882"/>
    <w:rsid w:val="00680D0E"/>
    <w:rsid w:val="00681086"/>
    <w:rsid w:val="006813FA"/>
    <w:rsid w:val="00681A94"/>
    <w:rsid w:val="00681C26"/>
    <w:rsid w:val="00681D2B"/>
    <w:rsid w:val="00681E98"/>
    <w:rsid w:val="00681F79"/>
    <w:rsid w:val="00682647"/>
    <w:rsid w:val="00682687"/>
    <w:rsid w:val="006828DE"/>
    <w:rsid w:val="00683106"/>
    <w:rsid w:val="006833C2"/>
    <w:rsid w:val="00683498"/>
    <w:rsid w:val="00683719"/>
    <w:rsid w:val="006838F2"/>
    <w:rsid w:val="006839FD"/>
    <w:rsid w:val="00683AB1"/>
    <w:rsid w:val="00683B13"/>
    <w:rsid w:val="00683CFF"/>
    <w:rsid w:val="006847CC"/>
    <w:rsid w:val="00684A1A"/>
    <w:rsid w:val="00684B6F"/>
    <w:rsid w:val="00684C33"/>
    <w:rsid w:val="00684D38"/>
    <w:rsid w:val="00684F85"/>
    <w:rsid w:val="00685114"/>
    <w:rsid w:val="0068519D"/>
    <w:rsid w:val="006851BD"/>
    <w:rsid w:val="0068583C"/>
    <w:rsid w:val="00685D32"/>
    <w:rsid w:val="00686158"/>
    <w:rsid w:val="006862B3"/>
    <w:rsid w:val="006862CD"/>
    <w:rsid w:val="006864A4"/>
    <w:rsid w:val="0068651F"/>
    <w:rsid w:val="00686549"/>
    <w:rsid w:val="00686947"/>
    <w:rsid w:val="00686C0A"/>
    <w:rsid w:val="00686C56"/>
    <w:rsid w:val="00686DE1"/>
    <w:rsid w:val="00687BA0"/>
    <w:rsid w:val="00687F81"/>
    <w:rsid w:val="00687F8D"/>
    <w:rsid w:val="00687FD4"/>
    <w:rsid w:val="00690777"/>
    <w:rsid w:val="0069079C"/>
    <w:rsid w:val="00690B4F"/>
    <w:rsid w:val="00690E2F"/>
    <w:rsid w:val="00691388"/>
    <w:rsid w:val="006913CD"/>
    <w:rsid w:val="00691444"/>
    <w:rsid w:val="0069169E"/>
    <w:rsid w:val="006916A9"/>
    <w:rsid w:val="0069194C"/>
    <w:rsid w:val="00691A9C"/>
    <w:rsid w:val="00691D3A"/>
    <w:rsid w:val="00692284"/>
    <w:rsid w:val="0069260C"/>
    <w:rsid w:val="0069269B"/>
    <w:rsid w:val="00692831"/>
    <w:rsid w:val="006937CF"/>
    <w:rsid w:val="00693B42"/>
    <w:rsid w:val="00694221"/>
    <w:rsid w:val="0069427F"/>
    <w:rsid w:val="0069464D"/>
    <w:rsid w:val="00694B5D"/>
    <w:rsid w:val="00695A27"/>
    <w:rsid w:val="00695BC8"/>
    <w:rsid w:val="00695D4D"/>
    <w:rsid w:val="00695E47"/>
    <w:rsid w:val="0069600C"/>
    <w:rsid w:val="00696214"/>
    <w:rsid w:val="00696494"/>
    <w:rsid w:val="00697178"/>
    <w:rsid w:val="00697269"/>
    <w:rsid w:val="0069756A"/>
    <w:rsid w:val="00697636"/>
    <w:rsid w:val="0069770E"/>
    <w:rsid w:val="00697FEB"/>
    <w:rsid w:val="006A0121"/>
    <w:rsid w:val="006A04C7"/>
    <w:rsid w:val="006A06E8"/>
    <w:rsid w:val="006A0810"/>
    <w:rsid w:val="006A0C09"/>
    <w:rsid w:val="006A0ED4"/>
    <w:rsid w:val="006A11B8"/>
    <w:rsid w:val="006A14F3"/>
    <w:rsid w:val="006A1671"/>
    <w:rsid w:val="006A17A8"/>
    <w:rsid w:val="006A21E0"/>
    <w:rsid w:val="006A2252"/>
    <w:rsid w:val="006A22F2"/>
    <w:rsid w:val="006A23DF"/>
    <w:rsid w:val="006A27F9"/>
    <w:rsid w:val="006A2C70"/>
    <w:rsid w:val="006A3659"/>
    <w:rsid w:val="006A3A22"/>
    <w:rsid w:val="006A3AF7"/>
    <w:rsid w:val="006A3C1F"/>
    <w:rsid w:val="006A3C26"/>
    <w:rsid w:val="006A3CEC"/>
    <w:rsid w:val="006A42CA"/>
    <w:rsid w:val="006A48CD"/>
    <w:rsid w:val="006A4A3B"/>
    <w:rsid w:val="006A552A"/>
    <w:rsid w:val="006A5BAF"/>
    <w:rsid w:val="006A671A"/>
    <w:rsid w:val="006A69E2"/>
    <w:rsid w:val="006A6BD2"/>
    <w:rsid w:val="006A6D86"/>
    <w:rsid w:val="006A75C8"/>
    <w:rsid w:val="006A75E1"/>
    <w:rsid w:val="006A7718"/>
    <w:rsid w:val="006A7978"/>
    <w:rsid w:val="006A7D66"/>
    <w:rsid w:val="006A7E73"/>
    <w:rsid w:val="006B02CB"/>
    <w:rsid w:val="006B0B5C"/>
    <w:rsid w:val="006B0B98"/>
    <w:rsid w:val="006B0ECA"/>
    <w:rsid w:val="006B1626"/>
    <w:rsid w:val="006B1A1C"/>
    <w:rsid w:val="006B2692"/>
    <w:rsid w:val="006B2B14"/>
    <w:rsid w:val="006B319B"/>
    <w:rsid w:val="006B35C9"/>
    <w:rsid w:val="006B36D3"/>
    <w:rsid w:val="006B3949"/>
    <w:rsid w:val="006B3B48"/>
    <w:rsid w:val="006B3E63"/>
    <w:rsid w:val="006B4564"/>
    <w:rsid w:val="006B4A10"/>
    <w:rsid w:val="006B5002"/>
    <w:rsid w:val="006B5126"/>
    <w:rsid w:val="006B580B"/>
    <w:rsid w:val="006B5B62"/>
    <w:rsid w:val="006B6138"/>
    <w:rsid w:val="006B6381"/>
    <w:rsid w:val="006B64D4"/>
    <w:rsid w:val="006B654A"/>
    <w:rsid w:val="006B6641"/>
    <w:rsid w:val="006B66EF"/>
    <w:rsid w:val="006B67FF"/>
    <w:rsid w:val="006B6CBD"/>
    <w:rsid w:val="006B6D18"/>
    <w:rsid w:val="006B6DCB"/>
    <w:rsid w:val="006B7548"/>
    <w:rsid w:val="006B77EA"/>
    <w:rsid w:val="006B789C"/>
    <w:rsid w:val="006B7CBA"/>
    <w:rsid w:val="006B7D52"/>
    <w:rsid w:val="006C0679"/>
    <w:rsid w:val="006C06C6"/>
    <w:rsid w:val="006C0BDB"/>
    <w:rsid w:val="006C0F30"/>
    <w:rsid w:val="006C14E7"/>
    <w:rsid w:val="006C1919"/>
    <w:rsid w:val="006C1D1B"/>
    <w:rsid w:val="006C1D2F"/>
    <w:rsid w:val="006C1DDE"/>
    <w:rsid w:val="006C1E5A"/>
    <w:rsid w:val="006C1EE5"/>
    <w:rsid w:val="006C213C"/>
    <w:rsid w:val="006C22E8"/>
    <w:rsid w:val="006C2C39"/>
    <w:rsid w:val="006C2ED5"/>
    <w:rsid w:val="006C303F"/>
    <w:rsid w:val="006C30B8"/>
    <w:rsid w:val="006C30C7"/>
    <w:rsid w:val="006C3379"/>
    <w:rsid w:val="006C3892"/>
    <w:rsid w:val="006C3B09"/>
    <w:rsid w:val="006C46DD"/>
    <w:rsid w:val="006C4A18"/>
    <w:rsid w:val="006C4F4D"/>
    <w:rsid w:val="006C517B"/>
    <w:rsid w:val="006C586F"/>
    <w:rsid w:val="006C5D6B"/>
    <w:rsid w:val="006C5F03"/>
    <w:rsid w:val="006C628E"/>
    <w:rsid w:val="006C6D23"/>
    <w:rsid w:val="006C79CB"/>
    <w:rsid w:val="006C7ADC"/>
    <w:rsid w:val="006C7B21"/>
    <w:rsid w:val="006C7B32"/>
    <w:rsid w:val="006C7D9E"/>
    <w:rsid w:val="006D0116"/>
    <w:rsid w:val="006D011A"/>
    <w:rsid w:val="006D016E"/>
    <w:rsid w:val="006D0698"/>
    <w:rsid w:val="006D0C7B"/>
    <w:rsid w:val="006D1237"/>
    <w:rsid w:val="006D14FE"/>
    <w:rsid w:val="006D150B"/>
    <w:rsid w:val="006D1575"/>
    <w:rsid w:val="006D1677"/>
    <w:rsid w:val="006D1BEC"/>
    <w:rsid w:val="006D1D26"/>
    <w:rsid w:val="006D1DE5"/>
    <w:rsid w:val="006D201B"/>
    <w:rsid w:val="006D2062"/>
    <w:rsid w:val="006D213C"/>
    <w:rsid w:val="006D235A"/>
    <w:rsid w:val="006D3C22"/>
    <w:rsid w:val="006D3DD1"/>
    <w:rsid w:val="006D3F4A"/>
    <w:rsid w:val="006D4060"/>
    <w:rsid w:val="006D40B4"/>
    <w:rsid w:val="006D4243"/>
    <w:rsid w:val="006D4638"/>
    <w:rsid w:val="006D46E2"/>
    <w:rsid w:val="006D4B63"/>
    <w:rsid w:val="006D513D"/>
    <w:rsid w:val="006D517E"/>
    <w:rsid w:val="006D51FC"/>
    <w:rsid w:val="006D5386"/>
    <w:rsid w:val="006D53B8"/>
    <w:rsid w:val="006D54A0"/>
    <w:rsid w:val="006D56BC"/>
    <w:rsid w:val="006D5783"/>
    <w:rsid w:val="006D5815"/>
    <w:rsid w:val="006D59DA"/>
    <w:rsid w:val="006D5B46"/>
    <w:rsid w:val="006D5BEB"/>
    <w:rsid w:val="006D5E25"/>
    <w:rsid w:val="006D5E4B"/>
    <w:rsid w:val="006D5F51"/>
    <w:rsid w:val="006D60FF"/>
    <w:rsid w:val="006D6235"/>
    <w:rsid w:val="006D653F"/>
    <w:rsid w:val="006D65E6"/>
    <w:rsid w:val="006D6B5D"/>
    <w:rsid w:val="006D6C31"/>
    <w:rsid w:val="006D6EA2"/>
    <w:rsid w:val="006D78E3"/>
    <w:rsid w:val="006D7993"/>
    <w:rsid w:val="006D7C38"/>
    <w:rsid w:val="006D7C59"/>
    <w:rsid w:val="006D7E0D"/>
    <w:rsid w:val="006E0D80"/>
    <w:rsid w:val="006E1122"/>
    <w:rsid w:val="006E121F"/>
    <w:rsid w:val="006E162F"/>
    <w:rsid w:val="006E1690"/>
    <w:rsid w:val="006E1748"/>
    <w:rsid w:val="006E17EC"/>
    <w:rsid w:val="006E1952"/>
    <w:rsid w:val="006E19B8"/>
    <w:rsid w:val="006E1AC2"/>
    <w:rsid w:val="006E1B74"/>
    <w:rsid w:val="006E278A"/>
    <w:rsid w:val="006E2847"/>
    <w:rsid w:val="006E2A49"/>
    <w:rsid w:val="006E2E01"/>
    <w:rsid w:val="006E2F6F"/>
    <w:rsid w:val="006E3131"/>
    <w:rsid w:val="006E32E3"/>
    <w:rsid w:val="006E347C"/>
    <w:rsid w:val="006E396B"/>
    <w:rsid w:val="006E3A7F"/>
    <w:rsid w:val="006E3B27"/>
    <w:rsid w:val="006E3B41"/>
    <w:rsid w:val="006E3BFA"/>
    <w:rsid w:val="006E44A7"/>
    <w:rsid w:val="006E4677"/>
    <w:rsid w:val="006E4ECA"/>
    <w:rsid w:val="006E508D"/>
    <w:rsid w:val="006E52BD"/>
    <w:rsid w:val="006E55D8"/>
    <w:rsid w:val="006E589D"/>
    <w:rsid w:val="006E60BD"/>
    <w:rsid w:val="006E66B7"/>
    <w:rsid w:val="006F073B"/>
    <w:rsid w:val="006F0C68"/>
    <w:rsid w:val="006F1141"/>
    <w:rsid w:val="006F1304"/>
    <w:rsid w:val="006F1689"/>
    <w:rsid w:val="006F1B67"/>
    <w:rsid w:val="006F1BFD"/>
    <w:rsid w:val="006F208C"/>
    <w:rsid w:val="006F2581"/>
    <w:rsid w:val="006F2AC1"/>
    <w:rsid w:val="006F2CAB"/>
    <w:rsid w:val="006F320D"/>
    <w:rsid w:val="006F32C3"/>
    <w:rsid w:val="006F33BE"/>
    <w:rsid w:val="006F353B"/>
    <w:rsid w:val="006F37DA"/>
    <w:rsid w:val="006F3BAC"/>
    <w:rsid w:val="006F3BE2"/>
    <w:rsid w:val="006F3CE8"/>
    <w:rsid w:val="006F3E77"/>
    <w:rsid w:val="006F3FC6"/>
    <w:rsid w:val="006F402F"/>
    <w:rsid w:val="006F4260"/>
    <w:rsid w:val="006F47B9"/>
    <w:rsid w:val="006F4AAE"/>
    <w:rsid w:val="006F4B5F"/>
    <w:rsid w:val="006F56CE"/>
    <w:rsid w:val="006F5E1F"/>
    <w:rsid w:val="006F5F97"/>
    <w:rsid w:val="006F6857"/>
    <w:rsid w:val="006F6A12"/>
    <w:rsid w:val="006F6D98"/>
    <w:rsid w:val="006F6DF7"/>
    <w:rsid w:val="006F6FFB"/>
    <w:rsid w:val="006F7BCC"/>
    <w:rsid w:val="007003E2"/>
    <w:rsid w:val="00700470"/>
    <w:rsid w:val="0070058A"/>
    <w:rsid w:val="00700DD1"/>
    <w:rsid w:val="00700E2D"/>
    <w:rsid w:val="00700E8E"/>
    <w:rsid w:val="00700F23"/>
    <w:rsid w:val="0070134A"/>
    <w:rsid w:val="00701368"/>
    <w:rsid w:val="00701506"/>
    <w:rsid w:val="00701810"/>
    <w:rsid w:val="0070183B"/>
    <w:rsid w:val="007018F4"/>
    <w:rsid w:val="0070190E"/>
    <w:rsid w:val="00701C34"/>
    <w:rsid w:val="00701EEA"/>
    <w:rsid w:val="00702384"/>
    <w:rsid w:val="00702905"/>
    <w:rsid w:val="007029F5"/>
    <w:rsid w:val="00702A86"/>
    <w:rsid w:val="00702F20"/>
    <w:rsid w:val="00702F35"/>
    <w:rsid w:val="00702FE2"/>
    <w:rsid w:val="0070301D"/>
    <w:rsid w:val="007031A9"/>
    <w:rsid w:val="007037B9"/>
    <w:rsid w:val="0070423F"/>
    <w:rsid w:val="00704347"/>
    <w:rsid w:val="0070448F"/>
    <w:rsid w:val="007046BE"/>
    <w:rsid w:val="007046F2"/>
    <w:rsid w:val="00705011"/>
    <w:rsid w:val="0070504B"/>
    <w:rsid w:val="00705542"/>
    <w:rsid w:val="00706487"/>
    <w:rsid w:val="00706827"/>
    <w:rsid w:val="007068C9"/>
    <w:rsid w:val="00706F8F"/>
    <w:rsid w:val="0070706A"/>
    <w:rsid w:val="00707205"/>
    <w:rsid w:val="007072BB"/>
    <w:rsid w:val="007073DB"/>
    <w:rsid w:val="00707B6A"/>
    <w:rsid w:val="00707CA4"/>
    <w:rsid w:val="0071021C"/>
    <w:rsid w:val="0071048B"/>
    <w:rsid w:val="007105CB"/>
    <w:rsid w:val="00710661"/>
    <w:rsid w:val="00710770"/>
    <w:rsid w:val="00710FFF"/>
    <w:rsid w:val="007110AC"/>
    <w:rsid w:val="007112E5"/>
    <w:rsid w:val="00711573"/>
    <w:rsid w:val="007116B5"/>
    <w:rsid w:val="00711845"/>
    <w:rsid w:val="007119DD"/>
    <w:rsid w:val="00711A36"/>
    <w:rsid w:val="00711AD2"/>
    <w:rsid w:val="00712137"/>
    <w:rsid w:val="007122ED"/>
    <w:rsid w:val="00712315"/>
    <w:rsid w:val="00712927"/>
    <w:rsid w:val="00712B76"/>
    <w:rsid w:val="00712C24"/>
    <w:rsid w:val="0071308E"/>
    <w:rsid w:val="007133B6"/>
    <w:rsid w:val="00714258"/>
    <w:rsid w:val="00714260"/>
    <w:rsid w:val="007145A9"/>
    <w:rsid w:val="0071489C"/>
    <w:rsid w:val="00714C34"/>
    <w:rsid w:val="007150F6"/>
    <w:rsid w:val="007157EF"/>
    <w:rsid w:val="00715BDB"/>
    <w:rsid w:val="00715D23"/>
    <w:rsid w:val="00715E07"/>
    <w:rsid w:val="00716338"/>
    <w:rsid w:val="0071640E"/>
    <w:rsid w:val="00716520"/>
    <w:rsid w:val="00716D4C"/>
    <w:rsid w:val="00717158"/>
    <w:rsid w:val="00717237"/>
    <w:rsid w:val="007172A1"/>
    <w:rsid w:val="007173BD"/>
    <w:rsid w:val="00717432"/>
    <w:rsid w:val="0071760B"/>
    <w:rsid w:val="00717704"/>
    <w:rsid w:val="007177AE"/>
    <w:rsid w:val="0071795A"/>
    <w:rsid w:val="007204FA"/>
    <w:rsid w:val="007208DA"/>
    <w:rsid w:val="007209B6"/>
    <w:rsid w:val="00720C57"/>
    <w:rsid w:val="00720C74"/>
    <w:rsid w:val="00720D56"/>
    <w:rsid w:val="00721073"/>
    <w:rsid w:val="00721347"/>
    <w:rsid w:val="00721B48"/>
    <w:rsid w:val="00721BEB"/>
    <w:rsid w:val="00721C9B"/>
    <w:rsid w:val="00721F8F"/>
    <w:rsid w:val="00722239"/>
    <w:rsid w:val="007222F5"/>
    <w:rsid w:val="00722562"/>
    <w:rsid w:val="00722862"/>
    <w:rsid w:val="00722DBE"/>
    <w:rsid w:val="007238BE"/>
    <w:rsid w:val="00723C21"/>
    <w:rsid w:val="00723CCB"/>
    <w:rsid w:val="00723F78"/>
    <w:rsid w:val="00724007"/>
    <w:rsid w:val="007244F5"/>
    <w:rsid w:val="00724877"/>
    <w:rsid w:val="00724F32"/>
    <w:rsid w:val="007254E2"/>
    <w:rsid w:val="007255B2"/>
    <w:rsid w:val="00725805"/>
    <w:rsid w:val="00726532"/>
    <w:rsid w:val="00726652"/>
    <w:rsid w:val="00726B79"/>
    <w:rsid w:val="0072710D"/>
    <w:rsid w:val="007271E5"/>
    <w:rsid w:val="00727400"/>
    <w:rsid w:val="00727404"/>
    <w:rsid w:val="0072765C"/>
    <w:rsid w:val="007308C3"/>
    <w:rsid w:val="0073096D"/>
    <w:rsid w:val="00730C55"/>
    <w:rsid w:val="00731247"/>
    <w:rsid w:val="00731352"/>
    <w:rsid w:val="007313B6"/>
    <w:rsid w:val="007314FB"/>
    <w:rsid w:val="00731A16"/>
    <w:rsid w:val="00731E9A"/>
    <w:rsid w:val="00732D03"/>
    <w:rsid w:val="00732DBA"/>
    <w:rsid w:val="00733153"/>
    <w:rsid w:val="007332D3"/>
    <w:rsid w:val="00733580"/>
    <w:rsid w:val="00733582"/>
    <w:rsid w:val="00733642"/>
    <w:rsid w:val="007337BA"/>
    <w:rsid w:val="00733A6B"/>
    <w:rsid w:val="007341CC"/>
    <w:rsid w:val="007341EF"/>
    <w:rsid w:val="00734210"/>
    <w:rsid w:val="007345E8"/>
    <w:rsid w:val="00734641"/>
    <w:rsid w:val="007347F0"/>
    <w:rsid w:val="0073504B"/>
    <w:rsid w:val="0073539E"/>
    <w:rsid w:val="007354B1"/>
    <w:rsid w:val="0073563E"/>
    <w:rsid w:val="007356C2"/>
    <w:rsid w:val="00735A89"/>
    <w:rsid w:val="00735AC7"/>
    <w:rsid w:val="00735ED1"/>
    <w:rsid w:val="00735F8F"/>
    <w:rsid w:val="00736679"/>
    <w:rsid w:val="007367AB"/>
    <w:rsid w:val="00736946"/>
    <w:rsid w:val="0073697D"/>
    <w:rsid w:val="00736A78"/>
    <w:rsid w:val="00736E5E"/>
    <w:rsid w:val="0073779C"/>
    <w:rsid w:val="00737812"/>
    <w:rsid w:val="00737AF7"/>
    <w:rsid w:val="00737D80"/>
    <w:rsid w:val="00737F83"/>
    <w:rsid w:val="007403BB"/>
    <w:rsid w:val="00740A52"/>
    <w:rsid w:val="00740D12"/>
    <w:rsid w:val="00740D1D"/>
    <w:rsid w:val="00740D99"/>
    <w:rsid w:val="00742390"/>
    <w:rsid w:val="00742660"/>
    <w:rsid w:val="0074278D"/>
    <w:rsid w:val="00742872"/>
    <w:rsid w:val="0074289E"/>
    <w:rsid w:val="007428A6"/>
    <w:rsid w:val="00742F4C"/>
    <w:rsid w:val="007433A8"/>
    <w:rsid w:val="00743BA0"/>
    <w:rsid w:val="00743D7E"/>
    <w:rsid w:val="007440B2"/>
    <w:rsid w:val="0074461C"/>
    <w:rsid w:val="00744957"/>
    <w:rsid w:val="00744BF8"/>
    <w:rsid w:val="00744C1A"/>
    <w:rsid w:val="00744FCF"/>
    <w:rsid w:val="00745283"/>
    <w:rsid w:val="00745354"/>
    <w:rsid w:val="00745698"/>
    <w:rsid w:val="00745727"/>
    <w:rsid w:val="00745844"/>
    <w:rsid w:val="00745C19"/>
    <w:rsid w:val="0074649E"/>
    <w:rsid w:val="00746705"/>
    <w:rsid w:val="00746B7C"/>
    <w:rsid w:val="00746E22"/>
    <w:rsid w:val="0074742F"/>
    <w:rsid w:val="00747543"/>
    <w:rsid w:val="00747EEC"/>
    <w:rsid w:val="00750275"/>
    <w:rsid w:val="0075047A"/>
    <w:rsid w:val="00750502"/>
    <w:rsid w:val="0075059C"/>
    <w:rsid w:val="007508D2"/>
    <w:rsid w:val="00750FA5"/>
    <w:rsid w:val="00750FCF"/>
    <w:rsid w:val="007510DF"/>
    <w:rsid w:val="007512D0"/>
    <w:rsid w:val="007513D7"/>
    <w:rsid w:val="007514A8"/>
    <w:rsid w:val="00751F30"/>
    <w:rsid w:val="0075238A"/>
    <w:rsid w:val="00752392"/>
    <w:rsid w:val="00752703"/>
    <w:rsid w:val="00752899"/>
    <w:rsid w:val="007528A9"/>
    <w:rsid w:val="00752D54"/>
    <w:rsid w:val="00752D98"/>
    <w:rsid w:val="00752F1E"/>
    <w:rsid w:val="007533F8"/>
    <w:rsid w:val="007537C3"/>
    <w:rsid w:val="00753A3D"/>
    <w:rsid w:val="00754581"/>
    <w:rsid w:val="007547D0"/>
    <w:rsid w:val="00754A07"/>
    <w:rsid w:val="00754BAF"/>
    <w:rsid w:val="00754F37"/>
    <w:rsid w:val="00755191"/>
    <w:rsid w:val="00755ACA"/>
    <w:rsid w:val="00755E60"/>
    <w:rsid w:val="0075630B"/>
    <w:rsid w:val="0075639F"/>
    <w:rsid w:val="00756497"/>
    <w:rsid w:val="0075688D"/>
    <w:rsid w:val="0075689E"/>
    <w:rsid w:val="007568A1"/>
    <w:rsid w:val="0075695B"/>
    <w:rsid w:val="00756CA9"/>
    <w:rsid w:val="00757024"/>
    <w:rsid w:val="00757055"/>
    <w:rsid w:val="007574B1"/>
    <w:rsid w:val="00760285"/>
    <w:rsid w:val="00760655"/>
    <w:rsid w:val="00760678"/>
    <w:rsid w:val="0076069A"/>
    <w:rsid w:val="00760A5C"/>
    <w:rsid w:val="00760E29"/>
    <w:rsid w:val="0076169B"/>
    <w:rsid w:val="00761874"/>
    <w:rsid w:val="00761BF7"/>
    <w:rsid w:val="00761CC8"/>
    <w:rsid w:val="00761D0A"/>
    <w:rsid w:val="00762974"/>
    <w:rsid w:val="007631D6"/>
    <w:rsid w:val="0076334B"/>
    <w:rsid w:val="0076359F"/>
    <w:rsid w:val="0076384C"/>
    <w:rsid w:val="0076399E"/>
    <w:rsid w:val="00763E5E"/>
    <w:rsid w:val="00764696"/>
    <w:rsid w:val="00764E45"/>
    <w:rsid w:val="00764E9F"/>
    <w:rsid w:val="007655ED"/>
    <w:rsid w:val="00765675"/>
    <w:rsid w:val="0076567B"/>
    <w:rsid w:val="0076582C"/>
    <w:rsid w:val="007658EF"/>
    <w:rsid w:val="00765F87"/>
    <w:rsid w:val="0076611E"/>
    <w:rsid w:val="00766336"/>
    <w:rsid w:val="007666AE"/>
    <w:rsid w:val="00766881"/>
    <w:rsid w:val="00766891"/>
    <w:rsid w:val="00766B91"/>
    <w:rsid w:val="00766C88"/>
    <w:rsid w:val="00766FEB"/>
    <w:rsid w:val="0076772C"/>
    <w:rsid w:val="007678AD"/>
    <w:rsid w:val="00767958"/>
    <w:rsid w:val="00767BEE"/>
    <w:rsid w:val="00767D8A"/>
    <w:rsid w:val="00770176"/>
    <w:rsid w:val="007701C0"/>
    <w:rsid w:val="00770437"/>
    <w:rsid w:val="00770853"/>
    <w:rsid w:val="00770969"/>
    <w:rsid w:val="00770E79"/>
    <w:rsid w:val="00771258"/>
    <w:rsid w:val="0077161B"/>
    <w:rsid w:val="007717AB"/>
    <w:rsid w:val="00771892"/>
    <w:rsid w:val="00771AC1"/>
    <w:rsid w:val="00771E1A"/>
    <w:rsid w:val="00771EF7"/>
    <w:rsid w:val="00771F2B"/>
    <w:rsid w:val="00772500"/>
    <w:rsid w:val="007726D3"/>
    <w:rsid w:val="00772E9C"/>
    <w:rsid w:val="007732D4"/>
    <w:rsid w:val="00773483"/>
    <w:rsid w:val="007734FE"/>
    <w:rsid w:val="00773548"/>
    <w:rsid w:val="00773832"/>
    <w:rsid w:val="0077385F"/>
    <w:rsid w:val="00773A54"/>
    <w:rsid w:val="0077416B"/>
    <w:rsid w:val="00774771"/>
    <w:rsid w:val="00774F4C"/>
    <w:rsid w:val="00774F8E"/>
    <w:rsid w:val="00775307"/>
    <w:rsid w:val="007753E9"/>
    <w:rsid w:val="00775B9D"/>
    <w:rsid w:val="0077628F"/>
    <w:rsid w:val="007769BE"/>
    <w:rsid w:val="00776B79"/>
    <w:rsid w:val="00776C41"/>
    <w:rsid w:val="00776E3A"/>
    <w:rsid w:val="007774C9"/>
    <w:rsid w:val="007777B8"/>
    <w:rsid w:val="00777A2F"/>
    <w:rsid w:val="00777B03"/>
    <w:rsid w:val="00780107"/>
    <w:rsid w:val="00780159"/>
    <w:rsid w:val="007803D3"/>
    <w:rsid w:val="0078041A"/>
    <w:rsid w:val="00780595"/>
    <w:rsid w:val="0078071C"/>
    <w:rsid w:val="00781544"/>
    <w:rsid w:val="00781603"/>
    <w:rsid w:val="00781A59"/>
    <w:rsid w:val="00781C5B"/>
    <w:rsid w:val="00782368"/>
    <w:rsid w:val="00782840"/>
    <w:rsid w:val="00782A32"/>
    <w:rsid w:val="00782E22"/>
    <w:rsid w:val="00782E82"/>
    <w:rsid w:val="00782F98"/>
    <w:rsid w:val="0078333C"/>
    <w:rsid w:val="007835A7"/>
    <w:rsid w:val="0078372D"/>
    <w:rsid w:val="007837D6"/>
    <w:rsid w:val="0078455A"/>
    <w:rsid w:val="00784BE3"/>
    <w:rsid w:val="00785156"/>
    <w:rsid w:val="007853A6"/>
    <w:rsid w:val="00785548"/>
    <w:rsid w:val="007860EE"/>
    <w:rsid w:val="007861AB"/>
    <w:rsid w:val="007865ED"/>
    <w:rsid w:val="00786767"/>
    <w:rsid w:val="0078687B"/>
    <w:rsid w:val="00786E10"/>
    <w:rsid w:val="00786E1D"/>
    <w:rsid w:val="00786FDF"/>
    <w:rsid w:val="00787293"/>
    <w:rsid w:val="0078733D"/>
    <w:rsid w:val="0078764E"/>
    <w:rsid w:val="007876C4"/>
    <w:rsid w:val="00787928"/>
    <w:rsid w:val="00787ADA"/>
    <w:rsid w:val="00787D59"/>
    <w:rsid w:val="00787E7F"/>
    <w:rsid w:val="00787F56"/>
    <w:rsid w:val="00790034"/>
    <w:rsid w:val="007900C4"/>
    <w:rsid w:val="007902C8"/>
    <w:rsid w:val="00790367"/>
    <w:rsid w:val="00790902"/>
    <w:rsid w:val="00790E5A"/>
    <w:rsid w:val="00791199"/>
    <w:rsid w:val="00791255"/>
    <w:rsid w:val="00791383"/>
    <w:rsid w:val="007914CC"/>
    <w:rsid w:val="007914EB"/>
    <w:rsid w:val="00791559"/>
    <w:rsid w:val="00791A78"/>
    <w:rsid w:val="00791B66"/>
    <w:rsid w:val="00791C7A"/>
    <w:rsid w:val="00791F3C"/>
    <w:rsid w:val="00792754"/>
    <w:rsid w:val="0079291C"/>
    <w:rsid w:val="00792DC9"/>
    <w:rsid w:val="007933D8"/>
    <w:rsid w:val="00793CF3"/>
    <w:rsid w:val="00793F84"/>
    <w:rsid w:val="0079497E"/>
    <w:rsid w:val="00794E16"/>
    <w:rsid w:val="0079536B"/>
    <w:rsid w:val="00795AA8"/>
    <w:rsid w:val="007962AC"/>
    <w:rsid w:val="00796963"/>
    <w:rsid w:val="00797E7C"/>
    <w:rsid w:val="007A013D"/>
    <w:rsid w:val="007A077E"/>
    <w:rsid w:val="007A08EE"/>
    <w:rsid w:val="007A09D0"/>
    <w:rsid w:val="007A16DC"/>
    <w:rsid w:val="007A1897"/>
    <w:rsid w:val="007A1925"/>
    <w:rsid w:val="007A1AF6"/>
    <w:rsid w:val="007A1B03"/>
    <w:rsid w:val="007A20AB"/>
    <w:rsid w:val="007A22E5"/>
    <w:rsid w:val="007A263B"/>
    <w:rsid w:val="007A26E6"/>
    <w:rsid w:val="007A28FE"/>
    <w:rsid w:val="007A2989"/>
    <w:rsid w:val="007A334A"/>
    <w:rsid w:val="007A3FBB"/>
    <w:rsid w:val="007A44D8"/>
    <w:rsid w:val="007A45DB"/>
    <w:rsid w:val="007A532F"/>
    <w:rsid w:val="007A544D"/>
    <w:rsid w:val="007A5D81"/>
    <w:rsid w:val="007A5E76"/>
    <w:rsid w:val="007A61E5"/>
    <w:rsid w:val="007A63FF"/>
    <w:rsid w:val="007A7AE1"/>
    <w:rsid w:val="007A7BCA"/>
    <w:rsid w:val="007B0131"/>
    <w:rsid w:val="007B015F"/>
    <w:rsid w:val="007B035F"/>
    <w:rsid w:val="007B03FE"/>
    <w:rsid w:val="007B0583"/>
    <w:rsid w:val="007B09D2"/>
    <w:rsid w:val="007B0CB0"/>
    <w:rsid w:val="007B0CE6"/>
    <w:rsid w:val="007B0DA7"/>
    <w:rsid w:val="007B11AD"/>
    <w:rsid w:val="007B131A"/>
    <w:rsid w:val="007B1B20"/>
    <w:rsid w:val="007B1C81"/>
    <w:rsid w:val="007B1D8D"/>
    <w:rsid w:val="007B24D9"/>
    <w:rsid w:val="007B25CB"/>
    <w:rsid w:val="007B29A2"/>
    <w:rsid w:val="007B306A"/>
    <w:rsid w:val="007B3341"/>
    <w:rsid w:val="007B355D"/>
    <w:rsid w:val="007B3AFC"/>
    <w:rsid w:val="007B4035"/>
    <w:rsid w:val="007B4E32"/>
    <w:rsid w:val="007B5110"/>
    <w:rsid w:val="007B5134"/>
    <w:rsid w:val="007B53A3"/>
    <w:rsid w:val="007B596F"/>
    <w:rsid w:val="007B5EF3"/>
    <w:rsid w:val="007B5FF2"/>
    <w:rsid w:val="007B6133"/>
    <w:rsid w:val="007B629A"/>
    <w:rsid w:val="007B6452"/>
    <w:rsid w:val="007B6B76"/>
    <w:rsid w:val="007B6CD5"/>
    <w:rsid w:val="007B7168"/>
    <w:rsid w:val="007B718C"/>
    <w:rsid w:val="007C00FC"/>
    <w:rsid w:val="007C03E4"/>
    <w:rsid w:val="007C051A"/>
    <w:rsid w:val="007C0B82"/>
    <w:rsid w:val="007C0CF7"/>
    <w:rsid w:val="007C17D6"/>
    <w:rsid w:val="007C17FA"/>
    <w:rsid w:val="007C1B6B"/>
    <w:rsid w:val="007C228C"/>
    <w:rsid w:val="007C23F3"/>
    <w:rsid w:val="007C27CF"/>
    <w:rsid w:val="007C3506"/>
    <w:rsid w:val="007C378A"/>
    <w:rsid w:val="007C39DA"/>
    <w:rsid w:val="007C3B43"/>
    <w:rsid w:val="007C3F02"/>
    <w:rsid w:val="007C41BB"/>
    <w:rsid w:val="007C4328"/>
    <w:rsid w:val="007C47AE"/>
    <w:rsid w:val="007C4A12"/>
    <w:rsid w:val="007C4C5E"/>
    <w:rsid w:val="007C4E55"/>
    <w:rsid w:val="007C4F78"/>
    <w:rsid w:val="007C4FD0"/>
    <w:rsid w:val="007C5DFE"/>
    <w:rsid w:val="007C63B2"/>
    <w:rsid w:val="007C6550"/>
    <w:rsid w:val="007C6FC5"/>
    <w:rsid w:val="007C7074"/>
    <w:rsid w:val="007C742B"/>
    <w:rsid w:val="007C7C2C"/>
    <w:rsid w:val="007D0045"/>
    <w:rsid w:val="007D03F7"/>
    <w:rsid w:val="007D052A"/>
    <w:rsid w:val="007D05FF"/>
    <w:rsid w:val="007D0941"/>
    <w:rsid w:val="007D0A1E"/>
    <w:rsid w:val="007D132A"/>
    <w:rsid w:val="007D13AD"/>
    <w:rsid w:val="007D15FF"/>
    <w:rsid w:val="007D1C36"/>
    <w:rsid w:val="007D2034"/>
    <w:rsid w:val="007D220F"/>
    <w:rsid w:val="007D269D"/>
    <w:rsid w:val="007D297B"/>
    <w:rsid w:val="007D2AFC"/>
    <w:rsid w:val="007D2C20"/>
    <w:rsid w:val="007D2F1A"/>
    <w:rsid w:val="007D2F2B"/>
    <w:rsid w:val="007D308D"/>
    <w:rsid w:val="007D30E7"/>
    <w:rsid w:val="007D3DB2"/>
    <w:rsid w:val="007D43ED"/>
    <w:rsid w:val="007D4620"/>
    <w:rsid w:val="007D468F"/>
    <w:rsid w:val="007D4867"/>
    <w:rsid w:val="007D4BA6"/>
    <w:rsid w:val="007D500C"/>
    <w:rsid w:val="007D567F"/>
    <w:rsid w:val="007D5B3B"/>
    <w:rsid w:val="007D68AF"/>
    <w:rsid w:val="007D6C94"/>
    <w:rsid w:val="007D71B5"/>
    <w:rsid w:val="007D7E6A"/>
    <w:rsid w:val="007D7F3E"/>
    <w:rsid w:val="007E025C"/>
    <w:rsid w:val="007E028A"/>
    <w:rsid w:val="007E038D"/>
    <w:rsid w:val="007E06B3"/>
    <w:rsid w:val="007E0798"/>
    <w:rsid w:val="007E1441"/>
    <w:rsid w:val="007E1636"/>
    <w:rsid w:val="007E1D4F"/>
    <w:rsid w:val="007E2299"/>
    <w:rsid w:val="007E2427"/>
    <w:rsid w:val="007E2F63"/>
    <w:rsid w:val="007E353A"/>
    <w:rsid w:val="007E39BE"/>
    <w:rsid w:val="007E43E0"/>
    <w:rsid w:val="007E4D8F"/>
    <w:rsid w:val="007E5323"/>
    <w:rsid w:val="007E532F"/>
    <w:rsid w:val="007E5414"/>
    <w:rsid w:val="007E5B46"/>
    <w:rsid w:val="007E5B5D"/>
    <w:rsid w:val="007E5D23"/>
    <w:rsid w:val="007E5D69"/>
    <w:rsid w:val="007E62C5"/>
    <w:rsid w:val="007E659A"/>
    <w:rsid w:val="007E69FD"/>
    <w:rsid w:val="007E6E27"/>
    <w:rsid w:val="007E7360"/>
    <w:rsid w:val="007E7642"/>
    <w:rsid w:val="007F009A"/>
    <w:rsid w:val="007F00EC"/>
    <w:rsid w:val="007F0130"/>
    <w:rsid w:val="007F014D"/>
    <w:rsid w:val="007F0213"/>
    <w:rsid w:val="007F02C0"/>
    <w:rsid w:val="007F02FC"/>
    <w:rsid w:val="007F0396"/>
    <w:rsid w:val="007F075E"/>
    <w:rsid w:val="007F114E"/>
    <w:rsid w:val="007F1CD4"/>
    <w:rsid w:val="007F21E6"/>
    <w:rsid w:val="007F2C8D"/>
    <w:rsid w:val="007F2CDE"/>
    <w:rsid w:val="007F2E2B"/>
    <w:rsid w:val="007F2E5C"/>
    <w:rsid w:val="007F32F2"/>
    <w:rsid w:val="007F33CA"/>
    <w:rsid w:val="007F34C9"/>
    <w:rsid w:val="007F39D8"/>
    <w:rsid w:val="007F3C3D"/>
    <w:rsid w:val="007F3C5D"/>
    <w:rsid w:val="007F444D"/>
    <w:rsid w:val="007F4562"/>
    <w:rsid w:val="007F469F"/>
    <w:rsid w:val="007F478C"/>
    <w:rsid w:val="007F4AD6"/>
    <w:rsid w:val="007F4EF6"/>
    <w:rsid w:val="007F51E1"/>
    <w:rsid w:val="007F5570"/>
    <w:rsid w:val="007F5863"/>
    <w:rsid w:val="007F591E"/>
    <w:rsid w:val="007F65BF"/>
    <w:rsid w:val="007F65C8"/>
    <w:rsid w:val="007F66C2"/>
    <w:rsid w:val="007F6C57"/>
    <w:rsid w:val="007F6F88"/>
    <w:rsid w:val="007F73B2"/>
    <w:rsid w:val="007F74B5"/>
    <w:rsid w:val="007F75AB"/>
    <w:rsid w:val="007F7895"/>
    <w:rsid w:val="007F7AC9"/>
    <w:rsid w:val="007F7FFA"/>
    <w:rsid w:val="00800230"/>
    <w:rsid w:val="008011DB"/>
    <w:rsid w:val="008013F4"/>
    <w:rsid w:val="00801879"/>
    <w:rsid w:val="00801CCE"/>
    <w:rsid w:val="00801E74"/>
    <w:rsid w:val="00801EF1"/>
    <w:rsid w:val="008020CC"/>
    <w:rsid w:val="008021DA"/>
    <w:rsid w:val="0080255D"/>
    <w:rsid w:val="0080256C"/>
    <w:rsid w:val="008026EF"/>
    <w:rsid w:val="0080289A"/>
    <w:rsid w:val="00802EB6"/>
    <w:rsid w:val="00802F13"/>
    <w:rsid w:val="0080349D"/>
    <w:rsid w:val="00803513"/>
    <w:rsid w:val="008038FF"/>
    <w:rsid w:val="00803989"/>
    <w:rsid w:val="008039A6"/>
    <w:rsid w:val="00803C43"/>
    <w:rsid w:val="00803C85"/>
    <w:rsid w:val="0080413D"/>
    <w:rsid w:val="0080417F"/>
    <w:rsid w:val="008048C3"/>
    <w:rsid w:val="0080497E"/>
    <w:rsid w:val="00804E0D"/>
    <w:rsid w:val="00804E59"/>
    <w:rsid w:val="00805371"/>
    <w:rsid w:val="00805678"/>
    <w:rsid w:val="00806153"/>
    <w:rsid w:val="008066A9"/>
    <w:rsid w:val="0080676C"/>
    <w:rsid w:val="00806A5C"/>
    <w:rsid w:val="0080708F"/>
    <w:rsid w:val="008070C0"/>
    <w:rsid w:val="008070FD"/>
    <w:rsid w:val="008072BC"/>
    <w:rsid w:val="0080733A"/>
    <w:rsid w:val="008073AF"/>
    <w:rsid w:val="00807B62"/>
    <w:rsid w:val="00807E2D"/>
    <w:rsid w:val="0081009B"/>
    <w:rsid w:val="00810693"/>
    <w:rsid w:val="008107FD"/>
    <w:rsid w:val="0081081E"/>
    <w:rsid w:val="00811960"/>
    <w:rsid w:val="00811A2B"/>
    <w:rsid w:val="00811D3A"/>
    <w:rsid w:val="00812A23"/>
    <w:rsid w:val="00812A37"/>
    <w:rsid w:val="00812A70"/>
    <w:rsid w:val="00812B24"/>
    <w:rsid w:val="0081307B"/>
    <w:rsid w:val="00813399"/>
    <w:rsid w:val="00813C60"/>
    <w:rsid w:val="00813D84"/>
    <w:rsid w:val="00813F48"/>
    <w:rsid w:val="00814252"/>
    <w:rsid w:val="00814950"/>
    <w:rsid w:val="00814EC4"/>
    <w:rsid w:val="00815D2D"/>
    <w:rsid w:val="00815EEB"/>
    <w:rsid w:val="00815F18"/>
    <w:rsid w:val="008161BB"/>
    <w:rsid w:val="008165F7"/>
    <w:rsid w:val="008168CF"/>
    <w:rsid w:val="00816F7A"/>
    <w:rsid w:val="008172B0"/>
    <w:rsid w:val="008178A9"/>
    <w:rsid w:val="00817BCE"/>
    <w:rsid w:val="0082076D"/>
    <w:rsid w:val="008207D6"/>
    <w:rsid w:val="00820B95"/>
    <w:rsid w:val="008214D8"/>
    <w:rsid w:val="00821727"/>
    <w:rsid w:val="008218C0"/>
    <w:rsid w:val="00821FA9"/>
    <w:rsid w:val="00822054"/>
    <w:rsid w:val="00822297"/>
    <w:rsid w:val="0082268B"/>
    <w:rsid w:val="00822B9C"/>
    <w:rsid w:val="00822C0C"/>
    <w:rsid w:val="00822DB1"/>
    <w:rsid w:val="0082320F"/>
    <w:rsid w:val="00823D6B"/>
    <w:rsid w:val="00823DBE"/>
    <w:rsid w:val="00823F78"/>
    <w:rsid w:val="0082418E"/>
    <w:rsid w:val="00824608"/>
    <w:rsid w:val="00824959"/>
    <w:rsid w:val="00824F2F"/>
    <w:rsid w:val="0082501C"/>
    <w:rsid w:val="00825029"/>
    <w:rsid w:val="00825079"/>
    <w:rsid w:val="008250A9"/>
    <w:rsid w:val="008251CE"/>
    <w:rsid w:val="0082568D"/>
    <w:rsid w:val="008259CB"/>
    <w:rsid w:val="00825B03"/>
    <w:rsid w:val="008268A4"/>
    <w:rsid w:val="00827733"/>
    <w:rsid w:val="00827B0A"/>
    <w:rsid w:val="0083039A"/>
    <w:rsid w:val="008303E2"/>
    <w:rsid w:val="008305DA"/>
    <w:rsid w:val="008309F6"/>
    <w:rsid w:val="00830A88"/>
    <w:rsid w:val="00830EB6"/>
    <w:rsid w:val="00831433"/>
    <w:rsid w:val="00831473"/>
    <w:rsid w:val="00831AA0"/>
    <w:rsid w:val="00831BF6"/>
    <w:rsid w:val="00831FF7"/>
    <w:rsid w:val="00832483"/>
    <w:rsid w:val="0083285B"/>
    <w:rsid w:val="00833094"/>
    <w:rsid w:val="008332E9"/>
    <w:rsid w:val="00833775"/>
    <w:rsid w:val="0083379C"/>
    <w:rsid w:val="00833B9B"/>
    <w:rsid w:val="00833D09"/>
    <w:rsid w:val="0083450A"/>
    <w:rsid w:val="00834573"/>
    <w:rsid w:val="0083475E"/>
    <w:rsid w:val="00834778"/>
    <w:rsid w:val="00834BFC"/>
    <w:rsid w:val="00834DEE"/>
    <w:rsid w:val="00835160"/>
    <w:rsid w:val="008352E2"/>
    <w:rsid w:val="00835521"/>
    <w:rsid w:val="008355A5"/>
    <w:rsid w:val="008356FD"/>
    <w:rsid w:val="00835ECD"/>
    <w:rsid w:val="0083638A"/>
    <w:rsid w:val="0083656F"/>
    <w:rsid w:val="008366D7"/>
    <w:rsid w:val="00836F15"/>
    <w:rsid w:val="008370FD"/>
    <w:rsid w:val="008372B5"/>
    <w:rsid w:val="00840071"/>
    <w:rsid w:val="008405D5"/>
    <w:rsid w:val="008407D7"/>
    <w:rsid w:val="0084080C"/>
    <w:rsid w:val="00840BD2"/>
    <w:rsid w:val="00840C6F"/>
    <w:rsid w:val="00840D3A"/>
    <w:rsid w:val="00840EBE"/>
    <w:rsid w:val="008411FC"/>
    <w:rsid w:val="008414A2"/>
    <w:rsid w:val="008414CF"/>
    <w:rsid w:val="00841D63"/>
    <w:rsid w:val="00841D9A"/>
    <w:rsid w:val="008424B4"/>
    <w:rsid w:val="0084263F"/>
    <w:rsid w:val="0084279A"/>
    <w:rsid w:val="00842931"/>
    <w:rsid w:val="00842F7C"/>
    <w:rsid w:val="0084320D"/>
    <w:rsid w:val="00843257"/>
    <w:rsid w:val="008433B9"/>
    <w:rsid w:val="00843553"/>
    <w:rsid w:val="00843D12"/>
    <w:rsid w:val="008440E2"/>
    <w:rsid w:val="00844677"/>
    <w:rsid w:val="00844733"/>
    <w:rsid w:val="00844759"/>
    <w:rsid w:val="00844963"/>
    <w:rsid w:val="00844A91"/>
    <w:rsid w:val="00844C2C"/>
    <w:rsid w:val="00845268"/>
    <w:rsid w:val="008454CD"/>
    <w:rsid w:val="0084566E"/>
    <w:rsid w:val="00845FF6"/>
    <w:rsid w:val="0084648F"/>
    <w:rsid w:val="00846666"/>
    <w:rsid w:val="00846777"/>
    <w:rsid w:val="008467EA"/>
    <w:rsid w:val="008468A8"/>
    <w:rsid w:val="00846F5B"/>
    <w:rsid w:val="00846F6C"/>
    <w:rsid w:val="008473EB"/>
    <w:rsid w:val="0084740E"/>
    <w:rsid w:val="00847743"/>
    <w:rsid w:val="00847B2F"/>
    <w:rsid w:val="00847BE7"/>
    <w:rsid w:val="00847DA6"/>
    <w:rsid w:val="00847F4B"/>
    <w:rsid w:val="00850001"/>
    <w:rsid w:val="00850217"/>
    <w:rsid w:val="008502F9"/>
    <w:rsid w:val="008506A2"/>
    <w:rsid w:val="008507FB"/>
    <w:rsid w:val="00850A53"/>
    <w:rsid w:val="00851292"/>
    <w:rsid w:val="008515A1"/>
    <w:rsid w:val="008517D6"/>
    <w:rsid w:val="00851B42"/>
    <w:rsid w:val="00851BD4"/>
    <w:rsid w:val="00851DA8"/>
    <w:rsid w:val="00852083"/>
    <w:rsid w:val="00853289"/>
    <w:rsid w:val="008536B5"/>
    <w:rsid w:val="008536C9"/>
    <w:rsid w:val="00853E80"/>
    <w:rsid w:val="00853FEC"/>
    <w:rsid w:val="0085402B"/>
    <w:rsid w:val="00854249"/>
    <w:rsid w:val="00854512"/>
    <w:rsid w:val="0085455D"/>
    <w:rsid w:val="008546EB"/>
    <w:rsid w:val="00854F50"/>
    <w:rsid w:val="00855760"/>
    <w:rsid w:val="00855A6A"/>
    <w:rsid w:val="00856099"/>
    <w:rsid w:val="008560AB"/>
    <w:rsid w:val="008562FF"/>
    <w:rsid w:val="008566FB"/>
    <w:rsid w:val="00856806"/>
    <w:rsid w:val="00856B2C"/>
    <w:rsid w:val="008572F7"/>
    <w:rsid w:val="0085730C"/>
    <w:rsid w:val="008601EC"/>
    <w:rsid w:val="008606E9"/>
    <w:rsid w:val="00860EF3"/>
    <w:rsid w:val="00860F31"/>
    <w:rsid w:val="00861CB3"/>
    <w:rsid w:val="008622BC"/>
    <w:rsid w:val="0086269D"/>
    <w:rsid w:val="00862CC5"/>
    <w:rsid w:val="00862DBC"/>
    <w:rsid w:val="0086328D"/>
    <w:rsid w:val="008635BD"/>
    <w:rsid w:val="00863BF2"/>
    <w:rsid w:val="00863C40"/>
    <w:rsid w:val="00863D1C"/>
    <w:rsid w:val="00863E24"/>
    <w:rsid w:val="00863F51"/>
    <w:rsid w:val="008640DB"/>
    <w:rsid w:val="00864730"/>
    <w:rsid w:val="00864737"/>
    <w:rsid w:val="00864B00"/>
    <w:rsid w:val="00864C85"/>
    <w:rsid w:val="0086508C"/>
    <w:rsid w:val="008655F2"/>
    <w:rsid w:val="008657C6"/>
    <w:rsid w:val="00865EFF"/>
    <w:rsid w:val="008661D5"/>
    <w:rsid w:val="00866751"/>
    <w:rsid w:val="008669E9"/>
    <w:rsid w:val="00866A4E"/>
    <w:rsid w:val="00866ADF"/>
    <w:rsid w:val="00866B13"/>
    <w:rsid w:val="00866C85"/>
    <w:rsid w:val="008670F0"/>
    <w:rsid w:val="00867544"/>
    <w:rsid w:val="0086796B"/>
    <w:rsid w:val="0086798A"/>
    <w:rsid w:val="00867EA2"/>
    <w:rsid w:val="00867F9E"/>
    <w:rsid w:val="008707A1"/>
    <w:rsid w:val="00870949"/>
    <w:rsid w:val="0087116E"/>
    <w:rsid w:val="00871650"/>
    <w:rsid w:val="008718FD"/>
    <w:rsid w:val="00871D4C"/>
    <w:rsid w:val="00871E23"/>
    <w:rsid w:val="00871E59"/>
    <w:rsid w:val="00872525"/>
    <w:rsid w:val="00872A10"/>
    <w:rsid w:val="00872CC4"/>
    <w:rsid w:val="008738E9"/>
    <w:rsid w:val="00873C76"/>
    <w:rsid w:val="00874242"/>
    <w:rsid w:val="0087434D"/>
    <w:rsid w:val="008746BB"/>
    <w:rsid w:val="008748A4"/>
    <w:rsid w:val="00874C9B"/>
    <w:rsid w:val="00874E7C"/>
    <w:rsid w:val="008757E1"/>
    <w:rsid w:val="00875921"/>
    <w:rsid w:val="008759E3"/>
    <w:rsid w:val="00875A76"/>
    <w:rsid w:val="00875B59"/>
    <w:rsid w:val="00875F9A"/>
    <w:rsid w:val="00875FF7"/>
    <w:rsid w:val="0087667E"/>
    <w:rsid w:val="008767E5"/>
    <w:rsid w:val="00876837"/>
    <w:rsid w:val="00876926"/>
    <w:rsid w:val="00876FD6"/>
    <w:rsid w:val="008771D2"/>
    <w:rsid w:val="0087773C"/>
    <w:rsid w:val="008778C9"/>
    <w:rsid w:val="00877A96"/>
    <w:rsid w:val="00877D8C"/>
    <w:rsid w:val="00877E09"/>
    <w:rsid w:val="0088017A"/>
    <w:rsid w:val="008801B0"/>
    <w:rsid w:val="0088089A"/>
    <w:rsid w:val="008808D8"/>
    <w:rsid w:val="00880D9A"/>
    <w:rsid w:val="00880E5E"/>
    <w:rsid w:val="0088126D"/>
    <w:rsid w:val="0088151D"/>
    <w:rsid w:val="00881ACE"/>
    <w:rsid w:val="00881F41"/>
    <w:rsid w:val="00881F59"/>
    <w:rsid w:val="008821E5"/>
    <w:rsid w:val="008822E1"/>
    <w:rsid w:val="008829B0"/>
    <w:rsid w:val="00882AE3"/>
    <w:rsid w:val="0088355F"/>
    <w:rsid w:val="008837F1"/>
    <w:rsid w:val="00883882"/>
    <w:rsid w:val="00883B46"/>
    <w:rsid w:val="00883C7C"/>
    <w:rsid w:val="00883F29"/>
    <w:rsid w:val="00884702"/>
    <w:rsid w:val="00884A21"/>
    <w:rsid w:val="00884C50"/>
    <w:rsid w:val="00885179"/>
    <w:rsid w:val="0088534A"/>
    <w:rsid w:val="00885924"/>
    <w:rsid w:val="00885AA8"/>
    <w:rsid w:val="00885AF7"/>
    <w:rsid w:val="00886412"/>
    <w:rsid w:val="00886A40"/>
    <w:rsid w:val="00886E5C"/>
    <w:rsid w:val="00887193"/>
    <w:rsid w:val="008875FE"/>
    <w:rsid w:val="008876D4"/>
    <w:rsid w:val="00887894"/>
    <w:rsid w:val="0088795C"/>
    <w:rsid w:val="00887A3C"/>
    <w:rsid w:val="00887E9F"/>
    <w:rsid w:val="00887ECC"/>
    <w:rsid w:val="008901DE"/>
    <w:rsid w:val="00890ABA"/>
    <w:rsid w:val="00890BD6"/>
    <w:rsid w:val="00891762"/>
    <w:rsid w:val="00891CFE"/>
    <w:rsid w:val="0089209A"/>
    <w:rsid w:val="00892136"/>
    <w:rsid w:val="008921F8"/>
    <w:rsid w:val="00892B6F"/>
    <w:rsid w:val="008932B1"/>
    <w:rsid w:val="00893355"/>
    <w:rsid w:val="008933E6"/>
    <w:rsid w:val="008934F3"/>
    <w:rsid w:val="0089408C"/>
    <w:rsid w:val="00894178"/>
    <w:rsid w:val="00894229"/>
    <w:rsid w:val="00894596"/>
    <w:rsid w:val="00894959"/>
    <w:rsid w:val="00894FB8"/>
    <w:rsid w:val="00894FDF"/>
    <w:rsid w:val="0089577A"/>
    <w:rsid w:val="00895A8A"/>
    <w:rsid w:val="00895AD8"/>
    <w:rsid w:val="008961F3"/>
    <w:rsid w:val="0089693D"/>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2ED7"/>
    <w:rsid w:val="008A3630"/>
    <w:rsid w:val="008A3863"/>
    <w:rsid w:val="008A39DB"/>
    <w:rsid w:val="008A3FD6"/>
    <w:rsid w:val="008A41F7"/>
    <w:rsid w:val="008A42AB"/>
    <w:rsid w:val="008A4358"/>
    <w:rsid w:val="008A488A"/>
    <w:rsid w:val="008A4D64"/>
    <w:rsid w:val="008A5405"/>
    <w:rsid w:val="008A5660"/>
    <w:rsid w:val="008A59EA"/>
    <w:rsid w:val="008A5F80"/>
    <w:rsid w:val="008A61A7"/>
    <w:rsid w:val="008A6A4B"/>
    <w:rsid w:val="008A794D"/>
    <w:rsid w:val="008A7A70"/>
    <w:rsid w:val="008A7B91"/>
    <w:rsid w:val="008B0070"/>
    <w:rsid w:val="008B015B"/>
    <w:rsid w:val="008B01C1"/>
    <w:rsid w:val="008B07B6"/>
    <w:rsid w:val="008B0B4E"/>
    <w:rsid w:val="008B0BF3"/>
    <w:rsid w:val="008B0CA6"/>
    <w:rsid w:val="008B1159"/>
    <w:rsid w:val="008B11A3"/>
    <w:rsid w:val="008B1236"/>
    <w:rsid w:val="008B12EA"/>
    <w:rsid w:val="008B15BE"/>
    <w:rsid w:val="008B162E"/>
    <w:rsid w:val="008B252C"/>
    <w:rsid w:val="008B2557"/>
    <w:rsid w:val="008B2804"/>
    <w:rsid w:val="008B2EB2"/>
    <w:rsid w:val="008B30D8"/>
    <w:rsid w:val="008B31B8"/>
    <w:rsid w:val="008B3278"/>
    <w:rsid w:val="008B352B"/>
    <w:rsid w:val="008B3909"/>
    <w:rsid w:val="008B3EBE"/>
    <w:rsid w:val="008B3F82"/>
    <w:rsid w:val="008B440F"/>
    <w:rsid w:val="008B44A1"/>
    <w:rsid w:val="008B48C2"/>
    <w:rsid w:val="008B48CF"/>
    <w:rsid w:val="008B4EEC"/>
    <w:rsid w:val="008B54AF"/>
    <w:rsid w:val="008B5528"/>
    <w:rsid w:val="008B5995"/>
    <w:rsid w:val="008B5AB2"/>
    <w:rsid w:val="008B5C1E"/>
    <w:rsid w:val="008B5D7E"/>
    <w:rsid w:val="008B5F22"/>
    <w:rsid w:val="008B5FA5"/>
    <w:rsid w:val="008B6E0E"/>
    <w:rsid w:val="008B70FB"/>
    <w:rsid w:val="008B718B"/>
    <w:rsid w:val="008B78EA"/>
    <w:rsid w:val="008B7BC1"/>
    <w:rsid w:val="008B7F6D"/>
    <w:rsid w:val="008C05A8"/>
    <w:rsid w:val="008C0632"/>
    <w:rsid w:val="008C0BC2"/>
    <w:rsid w:val="008C0CE4"/>
    <w:rsid w:val="008C0EEE"/>
    <w:rsid w:val="008C10BC"/>
    <w:rsid w:val="008C13D2"/>
    <w:rsid w:val="008C15E8"/>
    <w:rsid w:val="008C16B2"/>
    <w:rsid w:val="008C1A68"/>
    <w:rsid w:val="008C1C7C"/>
    <w:rsid w:val="008C1D57"/>
    <w:rsid w:val="008C1FAB"/>
    <w:rsid w:val="008C20C1"/>
    <w:rsid w:val="008C2C5C"/>
    <w:rsid w:val="008C2CA2"/>
    <w:rsid w:val="008C2D4F"/>
    <w:rsid w:val="008C305E"/>
    <w:rsid w:val="008C3202"/>
    <w:rsid w:val="008C369F"/>
    <w:rsid w:val="008C4089"/>
    <w:rsid w:val="008C420A"/>
    <w:rsid w:val="008C4404"/>
    <w:rsid w:val="008C45D2"/>
    <w:rsid w:val="008C4935"/>
    <w:rsid w:val="008C499C"/>
    <w:rsid w:val="008C4BB5"/>
    <w:rsid w:val="008C4D03"/>
    <w:rsid w:val="008C5007"/>
    <w:rsid w:val="008C51F0"/>
    <w:rsid w:val="008C53F0"/>
    <w:rsid w:val="008C5545"/>
    <w:rsid w:val="008C5746"/>
    <w:rsid w:val="008C5B02"/>
    <w:rsid w:val="008C5C4B"/>
    <w:rsid w:val="008C5F02"/>
    <w:rsid w:val="008C6348"/>
    <w:rsid w:val="008C6886"/>
    <w:rsid w:val="008C6942"/>
    <w:rsid w:val="008C69EC"/>
    <w:rsid w:val="008C6ACD"/>
    <w:rsid w:val="008C6B30"/>
    <w:rsid w:val="008C7169"/>
    <w:rsid w:val="008C7241"/>
    <w:rsid w:val="008C788B"/>
    <w:rsid w:val="008C7949"/>
    <w:rsid w:val="008C7A06"/>
    <w:rsid w:val="008C7E49"/>
    <w:rsid w:val="008C7FE9"/>
    <w:rsid w:val="008D056A"/>
    <w:rsid w:val="008D0789"/>
    <w:rsid w:val="008D1193"/>
    <w:rsid w:val="008D1333"/>
    <w:rsid w:val="008D1A6B"/>
    <w:rsid w:val="008D1C17"/>
    <w:rsid w:val="008D22AF"/>
    <w:rsid w:val="008D23F7"/>
    <w:rsid w:val="008D2913"/>
    <w:rsid w:val="008D2C5C"/>
    <w:rsid w:val="008D2FBA"/>
    <w:rsid w:val="008D311E"/>
    <w:rsid w:val="008D335E"/>
    <w:rsid w:val="008D351C"/>
    <w:rsid w:val="008D3785"/>
    <w:rsid w:val="008D379B"/>
    <w:rsid w:val="008D399A"/>
    <w:rsid w:val="008D3F40"/>
    <w:rsid w:val="008D4535"/>
    <w:rsid w:val="008D4847"/>
    <w:rsid w:val="008D4C46"/>
    <w:rsid w:val="008D5C58"/>
    <w:rsid w:val="008D5DA1"/>
    <w:rsid w:val="008D6182"/>
    <w:rsid w:val="008D63AA"/>
    <w:rsid w:val="008D6E70"/>
    <w:rsid w:val="008D79CB"/>
    <w:rsid w:val="008D7A41"/>
    <w:rsid w:val="008D7AE5"/>
    <w:rsid w:val="008D7C50"/>
    <w:rsid w:val="008D7E66"/>
    <w:rsid w:val="008D7F95"/>
    <w:rsid w:val="008E0059"/>
    <w:rsid w:val="008E022A"/>
    <w:rsid w:val="008E0CF5"/>
    <w:rsid w:val="008E1658"/>
    <w:rsid w:val="008E17B0"/>
    <w:rsid w:val="008E18C8"/>
    <w:rsid w:val="008E1985"/>
    <w:rsid w:val="008E3324"/>
    <w:rsid w:val="008E358A"/>
    <w:rsid w:val="008E3FF2"/>
    <w:rsid w:val="008E40C6"/>
    <w:rsid w:val="008E44D1"/>
    <w:rsid w:val="008E49A9"/>
    <w:rsid w:val="008E4B49"/>
    <w:rsid w:val="008E4B5A"/>
    <w:rsid w:val="008E5180"/>
    <w:rsid w:val="008E5426"/>
    <w:rsid w:val="008E5501"/>
    <w:rsid w:val="008E5638"/>
    <w:rsid w:val="008E5ACD"/>
    <w:rsid w:val="008E5D33"/>
    <w:rsid w:val="008E5F0D"/>
    <w:rsid w:val="008E5F62"/>
    <w:rsid w:val="008E6314"/>
    <w:rsid w:val="008E65C2"/>
    <w:rsid w:val="008E6BB0"/>
    <w:rsid w:val="008E6C24"/>
    <w:rsid w:val="008E6D54"/>
    <w:rsid w:val="008E6D73"/>
    <w:rsid w:val="008E6E22"/>
    <w:rsid w:val="008E6FA5"/>
    <w:rsid w:val="008E7383"/>
    <w:rsid w:val="008E76D5"/>
    <w:rsid w:val="008E79AE"/>
    <w:rsid w:val="008E7A67"/>
    <w:rsid w:val="008E7ABE"/>
    <w:rsid w:val="008F0061"/>
    <w:rsid w:val="008F0DCF"/>
    <w:rsid w:val="008F1411"/>
    <w:rsid w:val="008F1877"/>
    <w:rsid w:val="008F18DA"/>
    <w:rsid w:val="008F1929"/>
    <w:rsid w:val="008F1AC8"/>
    <w:rsid w:val="008F1B94"/>
    <w:rsid w:val="008F269E"/>
    <w:rsid w:val="008F2940"/>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73"/>
    <w:rsid w:val="008F61AB"/>
    <w:rsid w:val="008F6444"/>
    <w:rsid w:val="008F6565"/>
    <w:rsid w:val="008F66CE"/>
    <w:rsid w:val="008F6A01"/>
    <w:rsid w:val="008F6DD6"/>
    <w:rsid w:val="008F7363"/>
    <w:rsid w:val="008F7675"/>
    <w:rsid w:val="008F7AC8"/>
    <w:rsid w:val="008F7BE3"/>
    <w:rsid w:val="008F7CE8"/>
    <w:rsid w:val="008F7FD2"/>
    <w:rsid w:val="00900880"/>
    <w:rsid w:val="00900FC5"/>
    <w:rsid w:val="009014DF"/>
    <w:rsid w:val="00901A58"/>
    <w:rsid w:val="00902195"/>
    <w:rsid w:val="009022C0"/>
    <w:rsid w:val="00902CE0"/>
    <w:rsid w:val="00903140"/>
    <w:rsid w:val="009031EE"/>
    <w:rsid w:val="0090329C"/>
    <w:rsid w:val="0090381E"/>
    <w:rsid w:val="009047AB"/>
    <w:rsid w:val="00904C62"/>
    <w:rsid w:val="0090515B"/>
    <w:rsid w:val="009051DE"/>
    <w:rsid w:val="009051EB"/>
    <w:rsid w:val="0090564C"/>
    <w:rsid w:val="00905689"/>
    <w:rsid w:val="00905B68"/>
    <w:rsid w:val="00906486"/>
    <w:rsid w:val="009067DE"/>
    <w:rsid w:val="00906BBD"/>
    <w:rsid w:val="00906D7D"/>
    <w:rsid w:val="00906D92"/>
    <w:rsid w:val="00907647"/>
    <w:rsid w:val="009076E6"/>
    <w:rsid w:val="00907EA8"/>
    <w:rsid w:val="009100C3"/>
    <w:rsid w:val="0091072D"/>
    <w:rsid w:val="00910D65"/>
    <w:rsid w:val="00910FF2"/>
    <w:rsid w:val="009111C2"/>
    <w:rsid w:val="009112E4"/>
    <w:rsid w:val="009112ED"/>
    <w:rsid w:val="00911553"/>
    <w:rsid w:val="00911695"/>
    <w:rsid w:val="00911DC1"/>
    <w:rsid w:val="00911DCE"/>
    <w:rsid w:val="009120C2"/>
    <w:rsid w:val="0091243D"/>
    <w:rsid w:val="0091284F"/>
    <w:rsid w:val="0091293D"/>
    <w:rsid w:val="00912B38"/>
    <w:rsid w:val="00912CCA"/>
    <w:rsid w:val="00912D47"/>
    <w:rsid w:val="00912E89"/>
    <w:rsid w:val="00913271"/>
    <w:rsid w:val="00913601"/>
    <w:rsid w:val="00913E0B"/>
    <w:rsid w:val="00914052"/>
    <w:rsid w:val="009140DE"/>
    <w:rsid w:val="00914B18"/>
    <w:rsid w:val="00914B26"/>
    <w:rsid w:val="00914C00"/>
    <w:rsid w:val="00915325"/>
    <w:rsid w:val="009155CE"/>
    <w:rsid w:val="009159A9"/>
    <w:rsid w:val="009163CE"/>
    <w:rsid w:val="00916626"/>
    <w:rsid w:val="00916A29"/>
    <w:rsid w:val="0091738D"/>
    <w:rsid w:val="00917D39"/>
    <w:rsid w:val="00920127"/>
    <w:rsid w:val="0092012D"/>
    <w:rsid w:val="009201B3"/>
    <w:rsid w:val="0092034D"/>
    <w:rsid w:val="009206C8"/>
    <w:rsid w:val="009209D7"/>
    <w:rsid w:val="00920DE1"/>
    <w:rsid w:val="00921092"/>
    <w:rsid w:val="009216CE"/>
    <w:rsid w:val="00921FFC"/>
    <w:rsid w:val="00922332"/>
    <w:rsid w:val="009226A6"/>
    <w:rsid w:val="009229FA"/>
    <w:rsid w:val="00922D32"/>
    <w:rsid w:val="009230A5"/>
    <w:rsid w:val="009234D7"/>
    <w:rsid w:val="009236DC"/>
    <w:rsid w:val="009236F1"/>
    <w:rsid w:val="00924627"/>
    <w:rsid w:val="00924D44"/>
    <w:rsid w:val="00924E1F"/>
    <w:rsid w:val="00925037"/>
    <w:rsid w:val="00925259"/>
    <w:rsid w:val="00925574"/>
    <w:rsid w:val="00925970"/>
    <w:rsid w:val="00925A30"/>
    <w:rsid w:val="00925C48"/>
    <w:rsid w:val="00925CBE"/>
    <w:rsid w:val="00925D05"/>
    <w:rsid w:val="00925E57"/>
    <w:rsid w:val="00925EFB"/>
    <w:rsid w:val="00925F5D"/>
    <w:rsid w:val="00925F64"/>
    <w:rsid w:val="00926216"/>
    <w:rsid w:val="0092628F"/>
    <w:rsid w:val="0092647E"/>
    <w:rsid w:val="00926654"/>
    <w:rsid w:val="00926779"/>
    <w:rsid w:val="00926AC4"/>
    <w:rsid w:val="00926D0D"/>
    <w:rsid w:val="00926ED0"/>
    <w:rsid w:val="00926FC5"/>
    <w:rsid w:val="00927AFF"/>
    <w:rsid w:val="00927EA2"/>
    <w:rsid w:val="009301CD"/>
    <w:rsid w:val="0093044B"/>
    <w:rsid w:val="00930457"/>
    <w:rsid w:val="009307A2"/>
    <w:rsid w:val="00930C11"/>
    <w:rsid w:val="00930D94"/>
    <w:rsid w:val="009311CE"/>
    <w:rsid w:val="009313CE"/>
    <w:rsid w:val="00931630"/>
    <w:rsid w:val="0093179B"/>
    <w:rsid w:val="00931942"/>
    <w:rsid w:val="00931A00"/>
    <w:rsid w:val="00931F07"/>
    <w:rsid w:val="009321A8"/>
    <w:rsid w:val="00932217"/>
    <w:rsid w:val="009325A3"/>
    <w:rsid w:val="0093265E"/>
    <w:rsid w:val="00932D95"/>
    <w:rsid w:val="00932F2E"/>
    <w:rsid w:val="00933F19"/>
    <w:rsid w:val="0093472D"/>
    <w:rsid w:val="0093487C"/>
    <w:rsid w:val="00934BF1"/>
    <w:rsid w:val="00934F59"/>
    <w:rsid w:val="00934FA0"/>
    <w:rsid w:val="00935E7A"/>
    <w:rsid w:val="00935E8A"/>
    <w:rsid w:val="00936186"/>
    <w:rsid w:val="00936610"/>
    <w:rsid w:val="009367A8"/>
    <w:rsid w:val="00936AE2"/>
    <w:rsid w:val="00936D94"/>
    <w:rsid w:val="00936EA5"/>
    <w:rsid w:val="00936F31"/>
    <w:rsid w:val="009371B0"/>
    <w:rsid w:val="0093767E"/>
    <w:rsid w:val="00937688"/>
    <w:rsid w:val="0093770F"/>
    <w:rsid w:val="00937988"/>
    <w:rsid w:val="00937B07"/>
    <w:rsid w:val="00937B31"/>
    <w:rsid w:val="00940386"/>
    <w:rsid w:val="009403D6"/>
    <w:rsid w:val="009404DD"/>
    <w:rsid w:val="009404F6"/>
    <w:rsid w:val="00940E19"/>
    <w:rsid w:val="00940EA3"/>
    <w:rsid w:val="009411BC"/>
    <w:rsid w:val="0094146E"/>
    <w:rsid w:val="009414DB"/>
    <w:rsid w:val="00941678"/>
    <w:rsid w:val="0094242A"/>
    <w:rsid w:val="00943148"/>
    <w:rsid w:val="0094324E"/>
    <w:rsid w:val="009437D1"/>
    <w:rsid w:val="0094440C"/>
    <w:rsid w:val="00945344"/>
    <w:rsid w:val="00945768"/>
    <w:rsid w:val="009457C0"/>
    <w:rsid w:val="00945B54"/>
    <w:rsid w:val="00945DE4"/>
    <w:rsid w:val="00945F53"/>
    <w:rsid w:val="009462CA"/>
    <w:rsid w:val="0094659E"/>
    <w:rsid w:val="00946C39"/>
    <w:rsid w:val="0094756F"/>
    <w:rsid w:val="0094776D"/>
    <w:rsid w:val="009477CA"/>
    <w:rsid w:val="00947887"/>
    <w:rsid w:val="00947D66"/>
    <w:rsid w:val="00950094"/>
    <w:rsid w:val="0095057C"/>
    <w:rsid w:val="009516AD"/>
    <w:rsid w:val="009517D4"/>
    <w:rsid w:val="00951D1B"/>
    <w:rsid w:val="00951DAE"/>
    <w:rsid w:val="009522AA"/>
    <w:rsid w:val="009522C2"/>
    <w:rsid w:val="0095239A"/>
    <w:rsid w:val="0095270B"/>
    <w:rsid w:val="00952810"/>
    <w:rsid w:val="00952845"/>
    <w:rsid w:val="00953666"/>
    <w:rsid w:val="0095371D"/>
    <w:rsid w:val="00953B5C"/>
    <w:rsid w:val="00953EB4"/>
    <w:rsid w:val="00954D40"/>
    <w:rsid w:val="009550DC"/>
    <w:rsid w:val="0095518B"/>
    <w:rsid w:val="009551F9"/>
    <w:rsid w:val="00955581"/>
    <w:rsid w:val="00955973"/>
    <w:rsid w:val="00955AD4"/>
    <w:rsid w:val="00955F74"/>
    <w:rsid w:val="009561DB"/>
    <w:rsid w:val="009561F9"/>
    <w:rsid w:val="009569BE"/>
    <w:rsid w:val="009569EE"/>
    <w:rsid w:val="00956B5B"/>
    <w:rsid w:val="00956D3D"/>
    <w:rsid w:val="00956FAD"/>
    <w:rsid w:val="009570FC"/>
    <w:rsid w:val="00957196"/>
    <w:rsid w:val="00957560"/>
    <w:rsid w:val="00957D35"/>
    <w:rsid w:val="00957F28"/>
    <w:rsid w:val="00957FC4"/>
    <w:rsid w:val="00957FD7"/>
    <w:rsid w:val="00960268"/>
    <w:rsid w:val="009605EE"/>
    <w:rsid w:val="00961387"/>
    <w:rsid w:val="0096151E"/>
    <w:rsid w:val="0096164C"/>
    <w:rsid w:val="009617E3"/>
    <w:rsid w:val="009618C2"/>
    <w:rsid w:val="00961B25"/>
    <w:rsid w:val="00961D53"/>
    <w:rsid w:val="00961F25"/>
    <w:rsid w:val="0096216A"/>
    <w:rsid w:val="00962170"/>
    <w:rsid w:val="009622A0"/>
    <w:rsid w:val="009622CB"/>
    <w:rsid w:val="009622E8"/>
    <w:rsid w:val="009630F5"/>
    <w:rsid w:val="0096316A"/>
    <w:rsid w:val="009631EE"/>
    <w:rsid w:val="00963768"/>
    <w:rsid w:val="00963DA6"/>
    <w:rsid w:val="00963DAD"/>
    <w:rsid w:val="00964046"/>
    <w:rsid w:val="0096467A"/>
    <w:rsid w:val="00964927"/>
    <w:rsid w:val="00964A3C"/>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892"/>
    <w:rsid w:val="00967D82"/>
    <w:rsid w:val="009707FB"/>
    <w:rsid w:val="00970B72"/>
    <w:rsid w:val="00970BF4"/>
    <w:rsid w:val="00970E5C"/>
    <w:rsid w:val="00971952"/>
    <w:rsid w:val="00971FAD"/>
    <w:rsid w:val="009722F9"/>
    <w:rsid w:val="0097239B"/>
    <w:rsid w:val="009723D0"/>
    <w:rsid w:val="00972688"/>
    <w:rsid w:val="009726BE"/>
    <w:rsid w:val="00972911"/>
    <w:rsid w:val="00972B11"/>
    <w:rsid w:val="00972D30"/>
    <w:rsid w:val="009730B3"/>
    <w:rsid w:val="00973C3A"/>
    <w:rsid w:val="00973D65"/>
    <w:rsid w:val="00974015"/>
    <w:rsid w:val="00974046"/>
    <w:rsid w:val="0097410D"/>
    <w:rsid w:val="009745FE"/>
    <w:rsid w:val="009749C2"/>
    <w:rsid w:val="00975011"/>
    <w:rsid w:val="00975862"/>
    <w:rsid w:val="009758DE"/>
    <w:rsid w:val="00975B6A"/>
    <w:rsid w:val="00975D6F"/>
    <w:rsid w:val="009761A4"/>
    <w:rsid w:val="009762BD"/>
    <w:rsid w:val="00976414"/>
    <w:rsid w:val="00976463"/>
    <w:rsid w:val="00976BDB"/>
    <w:rsid w:val="00976DB2"/>
    <w:rsid w:val="00977300"/>
    <w:rsid w:val="009774E5"/>
    <w:rsid w:val="00977A3C"/>
    <w:rsid w:val="00977A8C"/>
    <w:rsid w:val="00980200"/>
    <w:rsid w:val="009804C5"/>
    <w:rsid w:val="00980B29"/>
    <w:rsid w:val="00981341"/>
    <w:rsid w:val="0098151E"/>
    <w:rsid w:val="00981588"/>
    <w:rsid w:val="00981B59"/>
    <w:rsid w:val="00981D76"/>
    <w:rsid w:val="00981D79"/>
    <w:rsid w:val="00981EF5"/>
    <w:rsid w:val="00981F56"/>
    <w:rsid w:val="00982D12"/>
    <w:rsid w:val="00982D62"/>
    <w:rsid w:val="00982E49"/>
    <w:rsid w:val="00982F91"/>
    <w:rsid w:val="00983269"/>
    <w:rsid w:val="009832E9"/>
    <w:rsid w:val="00983574"/>
    <w:rsid w:val="00983DBB"/>
    <w:rsid w:val="00983EC1"/>
    <w:rsid w:val="009841A4"/>
    <w:rsid w:val="009844EF"/>
    <w:rsid w:val="00984A0A"/>
    <w:rsid w:val="00985F2A"/>
    <w:rsid w:val="0098665F"/>
    <w:rsid w:val="00986BF7"/>
    <w:rsid w:val="00987B60"/>
    <w:rsid w:val="00987FCD"/>
    <w:rsid w:val="0099021C"/>
    <w:rsid w:val="00990226"/>
    <w:rsid w:val="009903D7"/>
    <w:rsid w:val="0099040C"/>
    <w:rsid w:val="009905E4"/>
    <w:rsid w:val="009905F5"/>
    <w:rsid w:val="0099063A"/>
    <w:rsid w:val="009908B8"/>
    <w:rsid w:val="009911D2"/>
    <w:rsid w:val="009912B3"/>
    <w:rsid w:val="009914CC"/>
    <w:rsid w:val="009914E4"/>
    <w:rsid w:val="00991792"/>
    <w:rsid w:val="009917AB"/>
    <w:rsid w:val="00991B6C"/>
    <w:rsid w:val="00991C6B"/>
    <w:rsid w:val="009922F3"/>
    <w:rsid w:val="00992B44"/>
    <w:rsid w:val="00992D40"/>
    <w:rsid w:val="00992E11"/>
    <w:rsid w:val="0099325E"/>
    <w:rsid w:val="00993528"/>
    <w:rsid w:val="00993978"/>
    <w:rsid w:val="00993A76"/>
    <w:rsid w:val="00994030"/>
    <w:rsid w:val="009940A8"/>
    <w:rsid w:val="00994186"/>
    <w:rsid w:val="0099469B"/>
    <w:rsid w:val="009946EF"/>
    <w:rsid w:val="00994A45"/>
    <w:rsid w:val="00994BD6"/>
    <w:rsid w:val="00994FF8"/>
    <w:rsid w:val="00995156"/>
    <w:rsid w:val="00995BF9"/>
    <w:rsid w:val="00995E5E"/>
    <w:rsid w:val="00995E90"/>
    <w:rsid w:val="00995ECD"/>
    <w:rsid w:val="00996075"/>
    <w:rsid w:val="009961BF"/>
    <w:rsid w:val="0099648B"/>
    <w:rsid w:val="00996711"/>
    <w:rsid w:val="00997013"/>
    <w:rsid w:val="009970AD"/>
    <w:rsid w:val="009972D1"/>
    <w:rsid w:val="0099787B"/>
    <w:rsid w:val="00997917"/>
    <w:rsid w:val="009979ED"/>
    <w:rsid w:val="00997B0A"/>
    <w:rsid w:val="00997B60"/>
    <w:rsid w:val="00997EBE"/>
    <w:rsid w:val="009A06BE"/>
    <w:rsid w:val="009A0795"/>
    <w:rsid w:val="009A0B1C"/>
    <w:rsid w:val="009A0DEA"/>
    <w:rsid w:val="009A18CD"/>
    <w:rsid w:val="009A1F29"/>
    <w:rsid w:val="009A200E"/>
    <w:rsid w:val="009A2010"/>
    <w:rsid w:val="009A20B2"/>
    <w:rsid w:val="009A214F"/>
    <w:rsid w:val="009A283D"/>
    <w:rsid w:val="009A2887"/>
    <w:rsid w:val="009A3A69"/>
    <w:rsid w:val="009A3F58"/>
    <w:rsid w:val="009A4329"/>
    <w:rsid w:val="009A4431"/>
    <w:rsid w:val="009A468D"/>
    <w:rsid w:val="009A4C7C"/>
    <w:rsid w:val="009A4D67"/>
    <w:rsid w:val="009A501F"/>
    <w:rsid w:val="009A5304"/>
    <w:rsid w:val="009A5A54"/>
    <w:rsid w:val="009A5B13"/>
    <w:rsid w:val="009A5B4F"/>
    <w:rsid w:val="009A5F21"/>
    <w:rsid w:val="009A5F71"/>
    <w:rsid w:val="009A66A7"/>
    <w:rsid w:val="009A6A62"/>
    <w:rsid w:val="009A6F26"/>
    <w:rsid w:val="009A76D6"/>
    <w:rsid w:val="009A799A"/>
    <w:rsid w:val="009A79E7"/>
    <w:rsid w:val="009A7B49"/>
    <w:rsid w:val="009A7C7F"/>
    <w:rsid w:val="009A7F69"/>
    <w:rsid w:val="009B09C5"/>
    <w:rsid w:val="009B0A8D"/>
    <w:rsid w:val="009B0F1D"/>
    <w:rsid w:val="009B16BE"/>
    <w:rsid w:val="009B179C"/>
    <w:rsid w:val="009B18DC"/>
    <w:rsid w:val="009B19A6"/>
    <w:rsid w:val="009B1BA9"/>
    <w:rsid w:val="009B1FD5"/>
    <w:rsid w:val="009B2588"/>
    <w:rsid w:val="009B298E"/>
    <w:rsid w:val="009B2EEF"/>
    <w:rsid w:val="009B393E"/>
    <w:rsid w:val="009B39BA"/>
    <w:rsid w:val="009B3B32"/>
    <w:rsid w:val="009B3BC2"/>
    <w:rsid w:val="009B3E30"/>
    <w:rsid w:val="009B3ED6"/>
    <w:rsid w:val="009B4760"/>
    <w:rsid w:val="009B4BBC"/>
    <w:rsid w:val="009B4C36"/>
    <w:rsid w:val="009B4DB4"/>
    <w:rsid w:val="009B4F0E"/>
    <w:rsid w:val="009B4F9A"/>
    <w:rsid w:val="009B537F"/>
    <w:rsid w:val="009B55E2"/>
    <w:rsid w:val="009B5C02"/>
    <w:rsid w:val="009B6367"/>
    <w:rsid w:val="009B6718"/>
    <w:rsid w:val="009B6844"/>
    <w:rsid w:val="009B6896"/>
    <w:rsid w:val="009B6EE2"/>
    <w:rsid w:val="009B7B7D"/>
    <w:rsid w:val="009C0441"/>
    <w:rsid w:val="009C0A91"/>
    <w:rsid w:val="009C0B5A"/>
    <w:rsid w:val="009C0C89"/>
    <w:rsid w:val="009C1092"/>
    <w:rsid w:val="009C11FF"/>
    <w:rsid w:val="009C139B"/>
    <w:rsid w:val="009C13DB"/>
    <w:rsid w:val="009C18B1"/>
    <w:rsid w:val="009C1A3C"/>
    <w:rsid w:val="009C1A55"/>
    <w:rsid w:val="009C1D89"/>
    <w:rsid w:val="009C1DA2"/>
    <w:rsid w:val="009C24EB"/>
    <w:rsid w:val="009C2EFA"/>
    <w:rsid w:val="009C2FF5"/>
    <w:rsid w:val="009C3105"/>
    <w:rsid w:val="009C321D"/>
    <w:rsid w:val="009C35D2"/>
    <w:rsid w:val="009C37C1"/>
    <w:rsid w:val="009C38F3"/>
    <w:rsid w:val="009C391A"/>
    <w:rsid w:val="009C3E45"/>
    <w:rsid w:val="009C426F"/>
    <w:rsid w:val="009C457F"/>
    <w:rsid w:val="009C4904"/>
    <w:rsid w:val="009C4BB8"/>
    <w:rsid w:val="009C4BB9"/>
    <w:rsid w:val="009C4C49"/>
    <w:rsid w:val="009C4C53"/>
    <w:rsid w:val="009C4D9A"/>
    <w:rsid w:val="009C4DCB"/>
    <w:rsid w:val="009C5050"/>
    <w:rsid w:val="009C546D"/>
    <w:rsid w:val="009C56F2"/>
    <w:rsid w:val="009C597E"/>
    <w:rsid w:val="009C5C6E"/>
    <w:rsid w:val="009C62A4"/>
    <w:rsid w:val="009C63E5"/>
    <w:rsid w:val="009C6430"/>
    <w:rsid w:val="009C6546"/>
    <w:rsid w:val="009C65D6"/>
    <w:rsid w:val="009C6B50"/>
    <w:rsid w:val="009C6FA5"/>
    <w:rsid w:val="009C759E"/>
    <w:rsid w:val="009C7858"/>
    <w:rsid w:val="009C78B1"/>
    <w:rsid w:val="009C78BD"/>
    <w:rsid w:val="009C79BE"/>
    <w:rsid w:val="009C7AA7"/>
    <w:rsid w:val="009C7C98"/>
    <w:rsid w:val="009C7E3B"/>
    <w:rsid w:val="009D02AE"/>
    <w:rsid w:val="009D0702"/>
    <w:rsid w:val="009D07FE"/>
    <w:rsid w:val="009D0A47"/>
    <w:rsid w:val="009D0C70"/>
    <w:rsid w:val="009D1060"/>
    <w:rsid w:val="009D1168"/>
    <w:rsid w:val="009D2302"/>
    <w:rsid w:val="009D2716"/>
    <w:rsid w:val="009D2D7F"/>
    <w:rsid w:val="009D31E0"/>
    <w:rsid w:val="009D375C"/>
    <w:rsid w:val="009D4602"/>
    <w:rsid w:val="009D4F50"/>
    <w:rsid w:val="009D5122"/>
    <w:rsid w:val="009D5483"/>
    <w:rsid w:val="009D5555"/>
    <w:rsid w:val="009D561D"/>
    <w:rsid w:val="009D56EB"/>
    <w:rsid w:val="009D56ED"/>
    <w:rsid w:val="009D5AB3"/>
    <w:rsid w:val="009D5D63"/>
    <w:rsid w:val="009D612C"/>
    <w:rsid w:val="009D638E"/>
    <w:rsid w:val="009D673A"/>
    <w:rsid w:val="009D6CA6"/>
    <w:rsid w:val="009D72DD"/>
    <w:rsid w:val="009D75B8"/>
    <w:rsid w:val="009D7659"/>
    <w:rsid w:val="009D7691"/>
    <w:rsid w:val="009D7B78"/>
    <w:rsid w:val="009D7D4C"/>
    <w:rsid w:val="009D7DE0"/>
    <w:rsid w:val="009E0259"/>
    <w:rsid w:val="009E0347"/>
    <w:rsid w:val="009E0561"/>
    <w:rsid w:val="009E057F"/>
    <w:rsid w:val="009E062A"/>
    <w:rsid w:val="009E0C81"/>
    <w:rsid w:val="009E1A69"/>
    <w:rsid w:val="009E1D6F"/>
    <w:rsid w:val="009E1D84"/>
    <w:rsid w:val="009E1DB0"/>
    <w:rsid w:val="009E2269"/>
    <w:rsid w:val="009E22B9"/>
    <w:rsid w:val="009E2CE2"/>
    <w:rsid w:val="009E3010"/>
    <w:rsid w:val="009E3E79"/>
    <w:rsid w:val="009E484E"/>
    <w:rsid w:val="009E4CA5"/>
    <w:rsid w:val="009E4CBE"/>
    <w:rsid w:val="009E4E5E"/>
    <w:rsid w:val="009E5220"/>
    <w:rsid w:val="009E52DA"/>
    <w:rsid w:val="009E5538"/>
    <w:rsid w:val="009E5556"/>
    <w:rsid w:val="009E579F"/>
    <w:rsid w:val="009E589A"/>
    <w:rsid w:val="009E58D6"/>
    <w:rsid w:val="009E5D4B"/>
    <w:rsid w:val="009E5D4D"/>
    <w:rsid w:val="009E5D7C"/>
    <w:rsid w:val="009E5D7D"/>
    <w:rsid w:val="009E5FD7"/>
    <w:rsid w:val="009E66CE"/>
    <w:rsid w:val="009E6791"/>
    <w:rsid w:val="009E70F6"/>
    <w:rsid w:val="009E71B8"/>
    <w:rsid w:val="009E71FD"/>
    <w:rsid w:val="009E7733"/>
    <w:rsid w:val="009E776C"/>
    <w:rsid w:val="009E78DE"/>
    <w:rsid w:val="009E7999"/>
    <w:rsid w:val="009E79F9"/>
    <w:rsid w:val="009E7D20"/>
    <w:rsid w:val="009E7D48"/>
    <w:rsid w:val="009E7E37"/>
    <w:rsid w:val="009F052D"/>
    <w:rsid w:val="009F0602"/>
    <w:rsid w:val="009F0B65"/>
    <w:rsid w:val="009F0D42"/>
    <w:rsid w:val="009F1475"/>
    <w:rsid w:val="009F1BFE"/>
    <w:rsid w:val="009F1CB7"/>
    <w:rsid w:val="009F21D3"/>
    <w:rsid w:val="009F2916"/>
    <w:rsid w:val="009F2D2D"/>
    <w:rsid w:val="009F2D4C"/>
    <w:rsid w:val="009F2EAC"/>
    <w:rsid w:val="009F4745"/>
    <w:rsid w:val="009F48CA"/>
    <w:rsid w:val="009F4F0A"/>
    <w:rsid w:val="009F4F52"/>
    <w:rsid w:val="009F4FC3"/>
    <w:rsid w:val="009F54BC"/>
    <w:rsid w:val="009F55A9"/>
    <w:rsid w:val="009F585A"/>
    <w:rsid w:val="009F5B4D"/>
    <w:rsid w:val="009F5D69"/>
    <w:rsid w:val="009F6759"/>
    <w:rsid w:val="009F6778"/>
    <w:rsid w:val="009F6B7F"/>
    <w:rsid w:val="009F6BCC"/>
    <w:rsid w:val="009F6C7F"/>
    <w:rsid w:val="009F71DB"/>
    <w:rsid w:val="009F76AF"/>
    <w:rsid w:val="00A000BB"/>
    <w:rsid w:val="00A00214"/>
    <w:rsid w:val="00A002D4"/>
    <w:rsid w:val="00A003A8"/>
    <w:rsid w:val="00A00CEF"/>
    <w:rsid w:val="00A01804"/>
    <w:rsid w:val="00A01BBD"/>
    <w:rsid w:val="00A01C06"/>
    <w:rsid w:val="00A01C2E"/>
    <w:rsid w:val="00A01F89"/>
    <w:rsid w:val="00A02016"/>
    <w:rsid w:val="00A0203D"/>
    <w:rsid w:val="00A022BF"/>
    <w:rsid w:val="00A023D1"/>
    <w:rsid w:val="00A0289E"/>
    <w:rsid w:val="00A02A1B"/>
    <w:rsid w:val="00A02C2D"/>
    <w:rsid w:val="00A02ECD"/>
    <w:rsid w:val="00A02FD8"/>
    <w:rsid w:val="00A0370C"/>
    <w:rsid w:val="00A03A2A"/>
    <w:rsid w:val="00A03AEC"/>
    <w:rsid w:val="00A03C36"/>
    <w:rsid w:val="00A03F76"/>
    <w:rsid w:val="00A04186"/>
    <w:rsid w:val="00A0425F"/>
    <w:rsid w:val="00A042EA"/>
    <w:rsid w:val="00A04F15"/>
    <w:rsid w:val="00A04F85"/>
    <w:rsid w:val="00A0510D"/>
    <w:rsid w:val="00A053D6"/>
    <w:rsid w:val="00A05583"/>
    <w:rsid w:val="00A05953"/>
    <w:rsid w:val="00A05DB1"/>
    <w:rsid w:val="00A06091"/>
    <w:rsid w:val="00A060B1"/>
    <w:rsid w:val="00A06696"/>
    <w:rsid w:val="00A0671A"/>
    <w:rsid w:val="00A067E0"/>
    <w:rsid w:val="00A06C66"/>
    <w:rsid w:val="00A074CF"/>
    <w:rsid w:val="00A075A0"/>
    <w:rsid w:val="00A0768A"/>
    <w:rsid w:val="00A07728"/>
    <w:rsid w:val="00A07E1F"/>
    <w:rsid w:val="00A107A1"/>
    <w:rsid w:val="00A10F13"/>
    <w:rsid w:val="00A1105F"/>
    <w:rsid w:val="00A1138B"/>
    <w:rsid w:val="00A115E5"/>
    <w:rsid w:val="00A116E5"/>
    <w:rsid w:val="00A11776"/>
    <w:rsid w:val="00A11BB7"/>
    <w:rsid w:val="00A11EA2"/>
    <w:rsid w:val="00A121E0"/>
    <w:rsid w:val="00A122E0"/>
    <w:rsid w:val="00A124D0"/>
    <w:rsid w:val="00A125B6"/>
    <w:rsid w:val="00A127A2"/>
    <w:rsid w:val="00A12D04"/>
    <w:rsid w:val="00A12DAC"/>
    <w:rsid w:val="00A135CA"/>
    <w:rsid w:val="00A1370E"/>
    <w:rsid w:val="00A13DB5"/>
    <w:rsid w:val="00A13E04"/>
    <w:rsid w:val="00A14062"/>
    <w:rsid w:val="00A14164"/>
    <w:rsid w:val="00A141EB"/>
    <w:rsid w:val="00A1426F"/>
    <w:rsid w:val="00A1436B"/>
    <w:rsid w:val="00A1444B"/>
    <w:rsid w:val="00A14B0F"/>
    <w:rsid w:val="00A14C99"/>
    <w:rsid w:val="00A1519E"/>
    <w:rsid w:val="00A153CC"/>
    <w:rsid w:val="00A15519"/>
    <w:rsid w:val="00A1555D"/>
    <w:rsid w:val="00A16192"/>
    <w:rsid w:val="00A16595"/>
    <w:rsid w:val="00A166A8"/>
    <w:rsid w:val="00A169D6"/>
    <w:rsid w:val="00A16A45"/>
    <w:rsid w:val="00A16B43"/>
    <w:rsid w:val="00A171AD"/>
    <w:rsid w:val="00A172C0"/>
    <w:rsid w:val="00A17397"/>
    <w:rsid w:val="00A176DE"/>
    <w:rsid w:val="00A17792"/>
    <w:rsid w:val="00A17CC8"/>
    <w:rsid w:val="00A17F04"/>
    <w:rsid w:val="00A2041B"/>
    <w:rsid w:val="00A209DE"/>
    <w:rsid w:val="00A20D90"/>
    <w:rsid w:val="00A20DBD"/>
    <w:rsid w:val="00A210EA"/>
    <w:rsid w:val="00A216B5"/>
    <w:rsid w:val="00A21DE5"/>
    <w:rsid w:val="00A22391"/>
    <w:rsid w:val="00A22743"/>
    <w:rsid w:val="00A22C7A"/>
    <w:rsid w:val="00A23074"/>
    <w:rsid w:val="00A23199"/>
    <w:rsid w:val="00A237BA"/>
    <w:rsid w:val="00A2388B"/>
    <w:rsid w:val="00A23C09"/>
    <w:rsid w:val="00A23DC6"/>
    <w:rsid w:val="00A24194"/>
    <w:rsid w:val="00A24514"/>
    <w:rsid w:val="00A24520"/>
    <w:rsid w:val="00A2464E"/>
    <w:rsid w:val="00A249C9"/>
    <w:rsid w:val="00A24D06"/>
    <w:rsid w:val="00A252DA"/>
    <w:rsid w:val="00A254DD"/>
    <w:rsid w:val="00A25585"/>
    <w:rsid w:val="00A258C7"/>
    <w:rsid w:val="00A26556"/>
    <w:rsid w:val="00A26618"/>
    <w:rsid w:val="00A2661C"/>
    <w:rsid w:val="00A2695B"/>
    <w:rsid w:val="00A269C8"/>
    <w:rsid w:val="00A26B16"/>
    <w:rsid w:val="00A2712B"/>
    <w:rsid w:val="00A274A2"/>
    <w:rsid w:val="00A27605"/>
    <w:rsid w:val="00A27650"/>
    <w:rsid w:val="00A27D35"/>
    <w:rsid w:val="00A30652"/>
    <w:rsid w:val="00A3069F"/>
    <w:rsid w:val="00A30738"/>
    <w:rsid w:val="00A30991"/>
    <w:rsid w:val="00A30AB8"/>
    <w:rsid w:val="00A30ABB"/>
    <w:rsid w:val="00A30BFC"/>
    <w:rsid w:val="00A30E75"/>
    <w:rsid w:val="00A317A2"/>
    <w:rsid w:val="00A31AF3"/>
    <w:rsid w:val="00A31EA7"/>
    <w:rsid w:val="00A323D3"/>
    <w:rsid w:val="00A325DB"/>
    <w:rsid w:val="00A327A0"/>
    <w:rsid w:val="00A32B18"/>
    <w:rsid w:val="00A32C1B"/>
    <w:rsid w:val="00A32E99"/>
    <w:rsid w:val="00A33956"/>
    <w:rsid w:val="00A33D31"/>
    <w:rsid w:val="00A33F34"/>
    <w:rsid w:val="00A33F74"/>
    <w:rsid w:val="00A3443D"/>
    <w:rsid w:val="00A345DE"/>
    <w:rsid w:val="00A34A6C"/>
    <w:rsid w:val="00A34FAC"/>
    <w:rsid w:val="00A350EB"/>
    <w:rsid w:val="00A3514D"/>
    <w:rsid w:val="00A359EE"/>
    <w:rsid w:val="00A35E7C"/>
    <w:rsid w:val="00A364FB"/>
    <w:rsid w:val="00A366AF"/>
    <w:rsid w:val="00A36758"/>
    <w:rsid w:val="00A36B74"/>
    <w:rsid w:val="00A36BC4"/>
    <w:rsid w:val="00A36CEA"/>
    <w:rsid w:val="00A36F3E"/>
    <w:rsid w:val="00A37251"/>
    <w:rsid w:val="00A375B4"/>
    <w:rsid w:val="00A37D93"/>
    <w:rsid w:val="00A40546"/>
    <w:rsid w:val="00A40947"/>
    <w:rsid w:val="00A40B40"/>
    <w:rsid w:val="00A41886"/>
    <w:rsid w:val="00A41B1B"/>
    <w:rsid w:val="00A41C31"/>
    <w:rsid w:val="00A41C51"/>
    <w:rsid w:val="00A42162"/>
    <w:rsid w:val="00A424BD"/>
    <w:rsid w:val="00A426A9"/>
    <w:rsid w:val="00A42C6B"/>
    <w:rsid w:val="00A42D02"/>
    <w:rsid w:val="00A42EB7"/>
    <w:rsid w:val="00A42EB9"/>
    <w:rsid w:val="00A42FBF"/>
    <w:rsid w:val="00A439A9"/>
    <w:rsid w:val="00A43A57"/>
    <w:rsid w:val="00A43CF5"/>
    <w:rsid w:val="00A44047"/>
    <w:rsid w:val="00A441F9"/>
    <w:rsid w:val="00A45362"/>
    <w:rsid w:val="00A454BB"/>
    <w:rsid w:val="00A4558B"/>
    <w:rsid w:val="00A455A7"/>
    <w:rsid w:val="00A456EE"/>
    <w:rsid w:val="00A459DB"/>
    <w:rsid w:val="00A45C54"/>
    <w:rsid w:val="00A45F1D"/>
    <w:rsid w:val="00A45F66"/>
    <w:rsid w:val="00A46CEE"/>
    <w:rsid w:val="00A472AD"/>
    <w:rsid w:val="00A47384"/>
    <w:rsid w:val="00A47CA0"/>
    <w:rsid w:val="00A47D35"/>
    <w:rsid w:val="00A47D47"/>
    <w:rsid w:val="00A504A9"/>
    <w:rsid w:val="00A5052D"/>
    <w:rsid w:val="00A50DDD"/>
    <w:rsid w:val="00A50F81"/>
    <w:rsid w:val="00A5115F"/>
    <w:rsid w:val="00A511F0"/>
    <w:rsid w:val="00A51FB7"/>
    <w:rsid w:val="00A521C1"/>
    <w:rsid w:val="00A52241"/>
    <w:rsid w:val="00A528B5"/>
    <w:rsid w:val="00A52BBE"/>
    <w:rsid w:val="00A5304E"/>
    <w:rsid w:val="00A53668"/>
    <w:rsid w:val="00A53BB2"/>
    <w:rsid w:val="00A53CFB"/>
    <w:rsid w:val="00A53D23"/>
    <w:rsid w:val="00A53D25"/>
    <w:rsid w:val="00A54957"/>
    <w:rsid w:val="00A54BD3"/>
    <w:rsid w:val="00A54FD5"/>
    <w:rsid w:val="00A554A5"/>
    <w:rsid w:val="00A554CB"/>
    <w:rsid w:val="00A55A3C"/>
    <w:rsid w:val="00A55A89"/>
    <w:rsid w:val="00A55B5D"/>
    <w:rsid w:val="00A55B77"/>
    <w:rsid w:val="00A55C2A"/>
    <w:rsid w:val="00A55C5D"/>
    <w:rsid w:val="00A55D9A"/>
    <w:rsid w:val="00A56255"/>
    <w:rsid w:val="00A56614"/>
    <w:rsid w:val="00A56643"/>
    <w:rsid w:val="00A56F17"/>
    <w:rsid w:val="00A57395"/>
    <w:rsid w:val="00A579FF"/>
    <w:rsid w:val="00A57BB5"/>
    <w:rsid w:val="00A602A0"/>
    <w:rsid w:val="00A604B0"/>
    <w:rsid w:val="00A605C0"/>
    <w:rsid w:val="00A607B1"/>
    <w:rsid w:val="00A60976"/>
    <w:rsid w:val="00A60C76"/>
    <w:rsid w:val="00A60F2B"/>
    <w:rsid w:val="00A60FE8"/>
    <w:rsid w:val="00A61475"/>
    <w:rsid w:val="00A619F0"/>
    <w:rsid w:val="00A61D9E"/>
    <w:rsid w:val="00A623EC"/>
    <w:rsid w:val="00A625AD"/>
    <w:rsid w:val="00A625BC"/>
    <w:rsid w:val="00A62F24"/>
    <w:rsid w:val="00A63258"/>
    <w:rsid w:val="00A63FD2"/>
    <w:rsid w:val="00A647E9"/>
    <w:rsid w:val="00A64865"/>
    <w:rsid w:val="00A64D40"/>
    <w:rsid w:val="00A6519A"/>
    <w:rsid w:val="00A651B6"/>
    <w:rsid w:val="00A65700"/>
    <w:rsid w:val="00A659C8"/>
    <w:rsid w:val="00A65A03"/>
    <w:rsid w:val="00A65C96"/>
    <w:rsid w:val="00A66135"/>
    <w:rsid w:val="00A666A2"/>
    <w:rsid w:val="00A667A7"/>
    <w:rsid w:val="00A6702C"/>
    <w:rsid w:val="00A6717D"/>
    <w:rsid w:val="00A677F3"/>
    <w:rsid w:val="00A67A8B"/>
    <w:rsid w:val="00A67C26"/>
    <w:rsid w:val="00A67C49"/>
    <w:rsid w:val="00A67F44"/>
    <w:rsid w:val="00A7055A"/>
    <w:rsid w:val="00A70E81"/>
    <w:rsid w:val="00A70EF7"/>
    <w:rsid w:val="00A71101"/>
    <w:rsid w:val="00A7113E"/>
    <w:rsid w:val="00A7134A"/>
    <w:rsid w:val="00A714E6"/>
    <w:rsid w:val="00A71977"/>
    <w:rsid w:val="00A71C1F"/>
    <w:rsid w:val="00A71E23"/>
    <w:rsid w:val="00A7221D"/>
    <w:rsid w:val="00A7352B"/>
    <w:rsid w:val="00A73586"/>
    <w:rsid w:val="00A736FF"/>
    <w:rsid w:val="00A739AF"/>
    <w:rsid w:val="00A739B8"/>
    <w:rsid w:val="00A73F44"/>
    <w:rsid w:val="00A74621"/>
    <w:rsid w:val="00A74813"/>
    <w:rsid w:val="00A749C1"/>
    <w:rsid w:val="00A749C4"/>
    <w:rsid w:val="00A74F77"/>
    <w:rsid w:val="00A75614"/>
    <w:rsid w:val="00A75655"/>
    <w:rsid w:val="00A75916"/>
    <w:rsid w:val="00A75CAB"/>
    <w:rsid w:val="00A75E65"/>
    <w:rsid w:val="00A75EB2"/>
    <w:rsid w:val="00A76722"/>
    <w:rsid w:val="00A76730"/>
    <w:rsid w:val="00A767B9"/>
    <w:rsid w:val="00A76AEA"/>
    <w:rsid w:val="00A76D2D"/>
    <w:rsid w:val="00A76DC2"/>
    <w:rsid w:val="00A76FA2"/>
    <w:rsid w:val="00A76FDC"/>
    <w:rsid w:val="00A7711C"/>
    <w:rsid w:val="00A771E6"/>
    <w:rsid w:val="00A77248"/>
    <w:rsid w:val="00A773B5"/>
    <w:rsid w:val="00A774E3"/>
    <w:rsid w:val="00A77594"/>
    <w:rsid w:val="00A775CF"/>
    <w:rsid w:val="00A77802"/>
    <w:rsid w:val="00A77AD9"/>
    <w:rsid w:val="00A77D26"/>
    <w:rsid w:val="00A77E8F"/>
    <w:rsid w:val="00A800DF"/>
    <w:rsid w:val="00A800EF"/>
    <w:rsid w:val="00A808A4"/>
    <w:rsid w:val="00A81421"/>
    <w:rsid w:val="00A815D0"/>
    <w:rsid w:val="00A81686"/>
    <w:rsid w:val="00A81B8B"/>
    <w:rsid w:val="00A8244E"/>
    <w:rsid w:val="00A8268E"/>
    <w:rsid w:val="00A835D3"/>
    <w:rsid w:val="00A83692"/>
    <w:rsid w:val="00A837CF"/>
    <w:rsid w:val="00A83846"/>
    <w:rsid w:val="00A83A46"/>
    <w:rsid w:val="00A83AB1"/>
    <w:rsid w:val="00A845C6"/>
    <w:rsid w:val="00A8491B"/>
    <w:rsid w:val="00A84A77"/>
    <w:rsid w:val="00A84B6A"/>
    <w:rsid w:val="00A84D71"/>
    <w:rsid w:val="00A84F75"/>
    <w:rsid w:val="00A85C09"/>
    <w:rsid w:val="00A86604"/>
    <w:rsid w:val="00A86E5D"/>
    <w:rsid w:val="00A86EA2"/>
    <w:rsid w:val="00A87073"/>
    <w:rsid w:val="00A87409"/>
    <w:rsid w:val="00A8756C"/>
    <w:rsid w:val="00A875DE"/>
    <w:rsid w:val="00A876FC"/>
    <w:rsid w:val="00A87D00"/>
    <w:rsid w:val="00A87FC0"/>
    <w:rsid w:val="00A90078"/>
    <w:rsid w:val="00A906C2"/>
    <w:rsid w:val="00A9079F"/>
    <w:rsid w:val="00A9081A"/>
    <w:rsid w:val="00A90A8A"/>
    <w:rsid w:val="00A90C9F"/>
    <w:rsid w:val="00A90F81"/>
    <w:rsid w:val="00A9110E"/>
    <w:rsid w:val="00A91629"/>
    <w:rsid w:val="00A91B24"/>
    <w:rsid w:val="00A91CA6"/>
    <w:rsid w:val="00A91D72"/>
    <w:rsid w:val="00A9212A"/>
    <w:rsid w:val="00A92794"/>
    <w:rsid w:val="00A9284A"/>
    <w:rsid w:val="00A92965"/>
    <w:rsid w:val="00A92B7B"/>
    <w:rsid w:val="00A92B7E"/>
    <w:rsid w:val="00A92CA0"/>
    <w:rsid w:val="00A93153"/>
    <w:rsid w:val="00A93953"/>
    <w:rsid w:val="00A939D2"/>
    <w:rsid w:val="00A93D2E"/>
    <w:rsid w:val="00A93DD2"/>
    <w:rsid w:val="00A93E15"/>
    <w:rsid w:val="00A941BE"/>
    <w:rsid w:val="00A94D1B"/>
    <w:rsid w:val="00A9568C"/>
    <w:rsid w:val="00A95A0B"/>
    <w:rsid w:val="00A95B30"/>
    <w:rsid w:val="00A95E14"/>
    <w:rsid w:val="00A95FC4"/>
    <w:rsid w:val="00A962D8"/>
    <w:rsid w:val="00A963E4"/>
    <w:rsid w:val="00A967E3"/>
    <w:rsid w:val="00A96977"/>
    <w:rsid w:val="00A96E14"/>
    <w:rsid w:val="00A96E94"/>
    <w:rsid w:val="00A96FF3"/>
    <w:rsid w:val="00A975DD"/>
    <w:rsid w:val="00A97F3D"/>
    <w:rsid w:val="00A97F8B"/>
    <w:rsid w:val="00AA0109"/>
    <w:rsid w:val="00AA054C"/>
    <w:rsid w:val="00AA0586"/>
    <w:rsid w:val="00AA1106"/>
    <w:rsid w:val="00AA1225"/>
    <w:rsid w:val="00AA13CD"/>
    <w:rsid w:val="00AA1538"/>
    <w:rsid w:val="00AA1626"/>
    <w:rsid w:val="00AA1924"/>
    <w:rsid w:val="00AA1928"/>
    <w:rsid w:val="00AA1B3E"/>
    <w:rsid w:val="00AA1C69"/>
    <w:rsid w:val="00AA22A5"/>
    <w:rsid w:val="00AA23A3"/>
    <w:rsid w:val="00AA253D"/>
    <w:rsid w:val="00AA2B79"/>
    <w:rsid w:val="00AA2E55"/>
    <w:rsid w:val="00AA2FA8"/>
    <w:rsid w:val="00AA3130"/>
    <w:rsid w:val="00AA34D0"/>
    <w:rsid w:val="00AA3A4C"/>
    <w:rsid w:val="00AA3B99"/>
    <w:rsid w:val="00AA3FAF"/>
    <w:rsid w:val="00AA4240"/>
    <w:rsid w:val="00AA4425"/>
    <w:rsid w:val="00AA470F"/>
    <w:rsid w:val="00AA4BD1"/>
    <w:rsid w:val="00AA4EC6"/>
    <w:rsid w:val="00AA5101"/>
    <w:rsid w:val="00AA540C"/>
    <w:rsid w:val="00AA59C0"/>
    <w:rsid w:val="00AA5A3F"/>
    <w:rsid w:val="00AA5F33"/>
    <w:rsid w:val="00AA6133"/>
    <w:rsid w:val="00AA61BF"/>
    <w:rsid w:val="00AA62A7"/>
    <w:rsid w:val="00AA64B2"/>
    <w:rsid w:val="00AA66FA"/>
    <w:rsid w:val="00AA6B61"/>
    <w:rsid w:val="00AA74EC"/>
    <w:rsid w:val="00AA7761"/>
    <w:rsid w:val="00AA7834"/>
    <w:rsid w:val="00AA788C"/>
    <w:rsid w:val="00AA7C8B"/>
    <w:rsid w:val="00AA7EFB"/>
    <w:rsid w:val="00AB042A"/>
    <w:rsid w:val="00AB087F"/>
    <w:rsid w:val="00AB0F54"/>
    <w:rsid w:val="00AB0FF0"/>
    <w:rsid w:val="00AB10CC"/>
    <w:rsid w:val="00AB19C4"/>
    <w:rsid w:val="00AB1A5F"/>
    <w:rsid w:val="00AB1B9D"/>
    <w:rsid w:val="00AB2557"/>
    <w:rsid w:val="00AB2F9E"/>
    <w:rsid w:val="00AB395B"/>
    <w:rsid w:val="00AB3A3F"/>
    <w:rsid w:val="00AB3CCA"/>
    <w:rsid w:val="00AB3F07"/>
    <w:rsid w:val="00AB40AD"/>
    <w:rsid w:val="00AB43C5"/>
    <w:rsid w:val="00AB46DE"/>
    <w:rsid w:val="00AB4792"/>
    <w:rsid w:val="00AB4D48"/>
    <w:rsid w:val="00AB4DE1"/>
    <w:rsid w:val="00AB4EA9"/>
    <w:rsid w:val="00AB52F3"/>
    <w:rsid w:val="00AB5638"/>
    <w:rsid w:val="00AB5786"/>
    <w:rsid w:val="00AB57D0"/>
    <w:rsid w:val="00AB5E55"/>
    <w:rsid w:val="00AB5F99"/>
    <w:rsid w:val="00AB6451"/>
    <w:rsid w:val="00AB694C"/>
    <w:rsid w:val="00AB6AFC"/>
    <w:rsid w:val="00AB6EC0"/>
    <w:rsid w:val="00AB7A37"/>
    <w:rsid w:val="00AC02E8"/>
    <w:rsid w:val="00AC03AC"/>
    <w:rsid w:val="00AC0426"/>
    <w:rsid w:val="00AC0466"/>
    <w:rsid w:val="00AC04D1"/>
    <w:rsid w:val="00AC0576"/>
    <w:rsid w:val="00AC0D6F"/>
    <w:rsid w:val="00AC0E2A"/>
    <w:rsid w:val="00AC12B7"/>
    <w:rsid w:val="00AC12BF"/>
    <w:rsid w:val="00AC163F"/>
    <w:rsid w:val="00AC19B7"/>
    <w:rsid w:val="00AC1C63"/>
    <w:rsid w:val="00AC2022"/>
    <w:rsid w:val="00AC213C"/>
    <w:rsid w:val="00AC2362"/>
    <w:rsid w:val="00AC2A46"/>
    <w:rsid w:val="00AC2B0B"/>
    <w:rsid w:val="00AC2D47"/>
    <w:rsid w:val="00AC31C6"/>
    <w:rsid w:val="00AC3486"/>
    <w:rsid w:val="00AC3D2C"/>
    <w:rsid w:val="00AC430B"/>
    <w:rsid w:val="00AC454C"/>
    <w:rsid w:val="00AC4823"/>
    <w:rsid w:val="00AC5413"/>
    <w:rsid w:val="00AC5547"/>
    <w:rsid w:val="00AC5745"/>
    <w:rsid w:val="00AC598B"/>
    <w:rsid w:val="00AC5AFF"/>
    <w:rsid w:val="00AC5C62"/>
    <w:rsid w:val="00AC624B"/>
    <w:rsid w:val="00AC64C7"/>
    <w:rsid w:val="00AC6A0A"/>
    <w:rsid w:val="00AC6BF6"/>
    <w:rsid w:val="00AC6DA0"/>
    <w:rsid w:val="00AC7046"/>
    <w:rsid w:val="00AC7416"/>
    <w:rsid w:val="00AC761A"/>
    <w:rsid w:val="00AC7675"/>
    <w:rsid w:val="00AC77FB"/>
    <w:rsid w:val="00AC79CA"/>
    <w:rsid w:val="00AC7C25"/>
    <w:rsid w:val="00AC7F78"/>
    <w:rsid w:val="00AD09D5"/>
    <w:rsid w:val="00AD09FB"/>
    <w:rsid w:val="00AD0D65"/>
    <w:rsid w:val="00AD1269"/>
    <w:rsid w:val="00AD1366"/>
    <w:rsid w:val="00AD1A1D"/>
    <w:rsid w:val="00AD1B1E"/>
    <w:rsid w:val="00AD22F3"/>
    <w:rsid w:val="00AD23AD"/>
    <w:rsid w:val="00AD2A4D"/>
    <w:rsid w:val="00AD3484"/>
    <w:rsid w:val="00AD39A0"/>
    <w:rsid w:val="00AD3BB6"/>
    <w:rsid w:val="00AD3C97"/>
    <w:rsid w:val="00AD3ED4"/>
    <w:rsid w:val="00AD40EE"/>
    <w:rsid w:val="00AD4500"/>
    <w:rsid w:val="00AD47A4"/>
    <w:rsid w:val="00AD4D06"/>
    <w:rsid w:val="00AD4E6B"/>
    <w:rsid w:val="00AD4E98"/>
    <w:rsid w:val="00AD515E"/>
    <w:rsid w:val="00AD519B"/>
    <w:rsid w:val="00AD5289"/>
    <w:rsid w:val="00AD545E"/>
    <w:rsid w:val="00AD5657"/>
    <w:rsid w:val="00AD5764"/>
    <w:rsid w:val="00AD5BF9"/>
    <w:rsid w:val="00AD5DF8"/>
    <w:rsid w:val="00AD5EDA"/>
    <w:rsid w:val="00AD66B0"/>
    <w:rsid w:val="00AD7536"/>
    <w:rsid w:val="00AD7996"/>
    <w:rsid w:val="00AD7FEA"/>
    <w:rsid w:val="00AE006B"/>
    <w:rsid w:val="00AE0A09"/>
    <w:rsid w:val="00AE0E6C"/>
    <w:rsid w:val="00AE0F23"/>
    <w:rsid w:val="00AE1692"/>
    <w:rsid w:val="00AE19F0"/>
    <w:rsid w:val="00AE30FC"/>
    <w:rsid w:val="00AE3AAB"/>
    <w:rsid w:val="00AE3BA9"/>
    <w:rsid w:val="00AE3C64"/>
    <w:rsid w:val="00AE488A"/>
    <w:rsid w:val="00AE4BC2"/>
    <w:rsid w:val="00AE5080"/>
    <w:rsid w:val="00AE515D"/>
    <w:rsid w:val="00AE532F"/>
    <w:rsid w:val="00AE5394"/>
    <w:rsid w:val="00AE557D"/>
    <w:rsid w:val="00AE55B7"/>
    <w:rsid w:val="00AE56EF"/>
    <w:rsid w:val="00AE5A41"/>
    <w:rsid w:val="00AE5BC3"/>
    <w:rsid w:val="00AE601D"/>
    <w:rsid w:val="00AE60F7"/>
    <w:rsid w:val="00AE6498"/>
    <w:rsid w:val="00AE68E2"/>
    <w:rsid w:val="00AE6BB4"/>
    <w:rsid w:val="00AE6F00"/>
    <w:rsid w:val="00AE70AE"/>
    <w:rsid w:val="00AE758A"/>
    <w:rsid w:val="00AE7937"/>
    <w:rsid w:val="00AE7B5C"/>
    <w:rsid w:val="00AF0459"/>
    <w:rsid w:val="00AF11F7"/>
    <w:rsid w:val="00AF1273"/>
    <w:rsid w:val="00AF13D5"/>
    <w:rsid w:val="00AF141B"/>
    <w:rsid w:val="00AF1467"/>
    <w:rsid w:val="00AF1662"/>
    <w:rsid w:val="00AF1D11"/>
    <w:rsid w:val="00AF1DA5"/>
    <w:rsid w:val="00AF1E0C"/>
    <w:rsid w:val="00AF1E22"/>
    <w:rsid w:val="00AF1FB1"/>
    <w:rsid w:val="00AF2198"/>
    <w:rsid w:val="00AF2C07"/>
    <w:rsid w:val="00AF2D07"/>
    <w:rsid w:val="00AF30B9"/>
    <w:rsid w:val="00AF3171"/>
    <w:rsid w:val="00AF3255"/>
    <w:rsid w:val="00AF3719"/>
    <w:rsid w:val="00AF3AD0"/>
    <w:rsid w:val="00AF417D"/>
    <w:rsid w:val="00AF4366"/>
    <w:rsid w:val="00AF43FA"/>
    <w:rsid w:val="00AF4DDB"/>
    <w:rsid w:val="00AF55C7"/>
    <w:rsid w:val="00AF57EA"/>
    <w:rsid w:val="00AF5CF3"/>
    <w:rsid w:val="00AF6299"/>
    <w:rsid w:val="00AF6A5B"/>
    <w:rsid w:val="00AF725C"/>
    <w:rsid w:val="00AF7550"/>
    <w:rsid w:val="00AF7A55"/>
    <w:rsid w:val="00AF7C82"/>
    <w:rsid w:val="00AF7E1A"/>
    <w:rsid w:val="00AF7ED8"/>
    <w:rsid w:val="00AF7F22"/>
    <w:rsid w:val="00AF7F5F"/>
    <w:rsid w:val="00B00270"/>
    <w:rsid w:val="00B005F5"/>
    <w:rsid w:val="00B019A1"/>
    <w:rsid w:val="00B01C2D"/>
    <w:rsid w:val="00B01F40"/>
    <w:rsid w:val="00B01F70"/>
    <w:rsid w:val="00B02230"/>
    <w:rsid w:val="00B023FD"/>
    <w:rsid w:val="00B02528"/>
    <w:rsid w:val="00B0295F"/>
    <w:rsid w:val="00B02F4C"/>
    <w:rsid w:val="00B03066"/>
    <w:rsid w:val="00B03C15"/>
    <w:rsid w:val="00B03C69"/>
    <w:rsid w:val="00B03FA5"/>
    <w:rsid w:val="00B04019"/>
    <w:rsid w:val="00B047D7"/>
    <w:rsid w:val="00B04822"/>
    <w:rsid w:val="00B048E9"/>
    <w:rsid w:val="00B04BF4"/>
    <w:rsid w:val="00B04E1A"/>
    <w:rsid w:val="00B04E2A"/>
    <w:rsid w:val="00B051A5"/>
    <w:rsid w:val="00B057B4"/>
    <w:rsid w:val="00B05E25"/>
    <w:rsid w:val="00B05FBD"/>
    <w:rsid w:val="00B060B1"/>
    <w:rsid w:val="00B062DD"/>
    <w:rsid w:val="00B063B4"/>
    <w:rsid w:val="00B06851"/>
    <w:rsid w:val="00B068AA"/>
    <w:rsid w:val="00B068D7"/>
    <w:rsid w:val="00B06DDE"/>
    <w:rsid w:val="00B06EC0"/>
    <w:rsid w:val="00B06F28"/>
    <w:rsid w:val="00B0713C"/>
    <w:rsid w:val="00B07264"/>
    <w:rsid w:val="00B0743B"/>
    <w:rsid w:val="00B0767E"/>
    <w:rsid w:val="00B076F0"/>
    <w:rsid w:val="00B07C2E"/>
    <w:rsid w:val="00B10582"/>
    <w:rsid w:val="00B10772"/>
    <w:rsid w:val="00B110CA"/>
    <w:rsid w:val="00B111DF"/>
    <w:rsid w:val="00B11212"/>
    <w:rsid w:val="00B11B25"/>
    <w:rsid w:val="00B11BBF"/>
    <w:rsid w:val="00B11D2D"/>
    <w:rsid w:val="00B1203A"/>
    <w:rsid w:val="00B12286"/>
    <w:rsid w:val="00B12307"/>
    <w:rsid w:val="00B1232B"/>
    <w:rsid w:val="00B1250E"/>
    <w:rsid w:val="00B126A2"/>
    <w:rsid w:val="00B129B4"/>
    <w:rsid w:val="00B12C69"/>
    <w:rsid w:val="00B12F69"/>
    <w:rsid w:val="00B12F7F"/>
    <w:rsid w:val="00B12FB1"/>
    <w:rsid w:val="00B13234"/>
    <w:rsid w:val="00B13A5A"/>
    <w:rsid w:val="00B13D19"/>
    <w:rsid w:val="00B13D1C"/>
    <w:rsid w:val="00B13D56"/>
    <w:rsid w:val="00B1437B"/>
    <w:rsid w:val="00B14826"/>
    <w:rsid w:val="00B14982"/>
    <w:rsid w:val="00B14AF3"/>
    <w:rsid w:val="00B14C86"/>
    <w:rsid w:val="00B14DA0"/>
    <w:rsid w:val="00B152DA"/>
    <w:rsid w:val="00B15F57"/>
    <w:rsid w:val="00B16204"/>
    <w:rsid w:val="00B1664F"/>
    <w:rsid w:val="00B16666"/>
    <w:rsid w:val="00B16854"/>
    <w:rsid w:val="00B16B21"/>
    <w:rsid w:val="00B17011"/>
    <w:rsid w:val="00B172CC"/>
    <w:rsid w:val="00B173A5"/>
    <w:rsid w:val="00B17961"/>
    <w:rsid w:val="00B17C3C"/>
    <w:rsid w:val="00B20036"/>
    <w:rsid w:val="00B2044A"/>
    <w:rsid w:val="00B205ED"/>
    <w:rsid w:val="00B208D1"/>
    <w:rsid w:val="00B20F4A"/>
    <w:rsid w:val="00B21279"/>
    <w:rsid w:val="00B21524"/>
    <w:rsid w:val="00B217D7"/>
    <w:rsid w:val="00B2258B"/>
    <w:rsid w:val="00B225A2"/>
    <w:rsid w:val="00B2260E"/>
    <w:rsid w:val="00B229D9"/>
    <w:rsid w:val="00B22A44"/>
    <w:rsid w:val="00B22B35"/>
    <w:rsid w:val="00B22C36"/>
    <w:rsid w:val="00B23AEE"/>
    <w:rsid w:val="00B23CF4"/>
    <w:rsid w:val="00B23E0B"/>
    <w:rsid w:val="00B24372"/>
    <w:rsid w:val="00B2474C"/>
    <w:rsid w:val="00B2480B"/>
    <w:rsid w:val="00B24BC2"/>
    <w:rsid w:val="00B24CC0"/>
    <w:rsid w:val="00B24E07"/>
    <w:rsid w:val="00B24FB6"/>
    <w:rsid w:val="00B2553D"/>
    <w:rsid w:val="00B259F5"/>
    <w:rsid w:val="00B25A17"/>
    <w:rsid w:val="00B25B51"/>
    <w:rsid w:val="00B26206"/>
    <w:rsid w:val="00B262AA"/>
    <w:rsid w:val="00B263E1"/>
    <w:rsid w:val="00B2652F"/>
    <w:rsid w:val="00B2667D"/>
    <w:rsid w:val="00B267EE"/>
    <w:rsid w:val="00B26BA1"/>
    <w:rsid w:val="00B27BD6"/>
    <w:rsid w:val="00B27E55"/>
    <w:rsid w:val="00B30022"/>
    <w:rsid w:val="00B30279"/>
    <w:rsid w:val="00B30561"/>
    <w:rsid w:val="00B3067D"/>
    <w:rsid w:val="00B30A6F"/>
    <w:rsid w:val="00B30AAB"/>
    <w:rsid w:val="00B30C68"/>
    <w:rsid w:val="00B31286"/>
    <w:rsid w:val="00B312FA"/>
    <w:rsid w:val="00B31A35"/>
    <w:rsid w:val="00B31C38"/>
    <w:rsid w:val="00B320ED"/>
    <w:rsid w:val="00B32380"/>
    <w:rsid w:val="00B32448"/>
    <w:rsid w:val="00B326C5"/>
    <w:rsid w:val="00B3292E"/>
    <w:rsid w:val="00B32A6E"/>
    <w:rsid w:val="00B32BAA"/>
    <w:rsid w:val="00B32D50"/>
    <w:rsid w:val="00B32EB0"/>
    <w:rsid w:val="00B331A6"/>
    <w:rsid w:val="00B335D7"/>
    <w:rsid w:val="00B33C08"/>
    <w:rsid w:val="00B33CBA"/>
    <w:rsid w:val="00B34ABB"/>
    <w:rsid w:val="00B34AE4"/>
    <w:rsid w:val="00B34EEA"/>
    <w:rsid w:val="00B35073"/>
    <w:rsid w:val="00B35241"/>
    <w:rsid w:val="00B35520"/>
    <w:rsid w:val="00B35BC2"/>
    <w:rsid w:val="00B35D71"/>
    <w:rsid w:val="00B361B3"/>
    <w:rsid w:val="00B36454"/>
    <w:rsid w:val="00B36669"/>
    <w:rsid w:val="00B36CB4"/>
    <w:rsid w:val="00B3743E"/>
    <w:rsid w:val="00B37C13"/>
    <w:rsid w:val="00B37F85"/>
    <w:rsid w:val="00B400D2"/>
    <w:rsid w:val="00B400E8"/>
    <w:rsid w:val="00B401BF"/>
    <w:rsid w:val="00B40255"/>
    <w:rsid w:val="00B403DE"/>
    <w:rsid w:val="00B4066D"/>
    <w:rsid w:val="00B40879"/>
    <w:rsid w:val="00B40E0B"/>
    <w:rsid w:val="00B417E6"/>
    <w:rsid w:val="00B4184A"/>
    <w:rsid w:val="00B41875"/>
    <w:rsid w:val="00B41B89"/>
    <w:rsid w:val="00B41F3E"/>
    <w:rsid w:val="00B425D5"/>
    <w:rsid w:val="00B42735"/>
    <w:rsid w:val="00B431F3"/>
    <w:rsid w:val="00B433AC"/>
    <w:rsid w:val="00B433EB"/>
    <w:rsid w:val="00B4384E"/>
    <w:rsid w:val="00B43B2F"/>
    <w:rsid w:val="00B43CD0"/>
    <w:rsid w:val="00B43D0D"/>
    <w:rsid w:val="00B442F1"/>
    <w:rsid w:val="00B445BC"/>
    <w:rsid w:val="00B451DA"/>
    <w:rsid w:val="00B45AC8"/>
    <w:rsid w:val="00B45C3C"/>
    <w:rsid w:val="00B45FA1"/>
    <w:rsid w:val="00B4610E"/>
    <w:rsid w:val="00B461D8"/>
    <w:rsid w:val="00B4624C"/>
    <w:rsid w:val="00B4634B"/>
    <w:rsid w:val="00B46354"/>
    <w:rsid w:val="00B463F0"/>
    <w:rsid w:val="00B46F5A"/>
    <w:rsid w:val="00B4718A"/>
    <w:rsid w:val="00B47431"/>
    <w:rsid w:val="00B47727"/>
    <w:rsid w:val="00B47968"/>
    <w:rsid w:val="00B47AA5"/>
    <w:rsid w:val="00B47BF6"/>
    <w:rsid w:val="00B47ED7"/>
    <w:rsid w:val="00B501B6"/>
    <w:rsid w:val="00B502D8"/>
    <w:rsid w:val="00B50605"/>
    <w:rsid w:val="00B5078B"/>
    <w:rsid w:val="00B50D6D"/>
    <w:rsid w:val="00B514CE"/>
    <w:rsid w:val="00B5229B"/>
    <w:rsid w:val="00B527CA"/>
    <w:rsid w:val="00B52998"/>
    <w:rsid w:val="00B52A57"/>
    <w:rsid w:val="00B52DAF"/>
    <w:rsid w:val="00B52DE0"/>
    <w:rsid w:val="00B53210"/>
    <w:rsid w:val="00B5338A"/>
    <w:rsid w:val="00B5389F"/>
    <w:rsid w:val="00B539DB"/>
    <w:rsid w:val="00B53AE9"/>
    <w:rsid w:val="00B53F01"/>
    <w:rsid w:val="00B54073"/>
    <w:rsid w:val="00B5425E"/>
    <w:rsid w:val="00B545E6"/>
    <w:rsid w:val="00B5471E"/>
    <w:rsid w:val="00B549EA"/>
    <w:rsid w:val="00B54C09"/>
    <w:rsid w:val="00B553E3"/>
    <w:rsid w:val="00B55AC3"/>
    <w:rsid w:val="00B55C1A"/>
    <w:rsid w:val="00B565D3"/>
    <w:rsid w:val="00B56D28"/>
    <w:rsid w:val="00B56DD7"/>
    <w:rsid w:val="00B57298"/>
    <w:rsid w:val="00B576F7"/>
    <w:rsid w:val="00B57702"/>
    <w:rsid w:val="00B577E3"/>
    <w:rsid w:val="00B602D9"/>
    <w:rsid w:val="00B60ECD"/>
    <w:rsid w:val="00B60EDE"/>
    <w:rsid w:val="00B611C2"/>
    <w:rsid w:val="00B6158A"/>
    <w:rsid w:val="00B6207B"/>
    <w:rsid w:val="00B62445"/>
    <w:rsid w:val="00B62807"/>
    <w:rsid w:val="00B6354E"/>
    <w:rsid w:val="00B63941"/>
    <w:rsid w:val="00B63B5B"/>
    <w:rsid w:val="00B63F20"/>
    <w:rsid w:val="00B643D2"/>
    <w:rsid w:val="00B6470F"/>
    <w:rsid w:val="00B648C9"/>
    <w:rsid w:val="00B64B0D"/>
    <w:rsid w:val="00B6500E"/>
    <w:rsid w:val="00B650B1"/>
    <w:rsid w:val="00B65391"/>
    <w:rsid w:val="00B65A57"/>
    <w:rsid w:val="00B65CEE"/>
    <w:rsid w:val="00B6606D"/>
    <w:rsid w:val="00B66141"/>
    <w:rsid w:val="00B66273"/>
    <w:rsid w:val="00B663CC"/>
    <w:rsid w:val="00B66BBE"/>
    <w:rsid w:val="00B66BE1"/>
    <w:rsid w:val="00B67189"/>
    <w:rsid w:val="00B672B2"/>
    <w:rsid w:val="00B70065"/>
    <w:rsid w:val="00B70759"/>
    <w:rsid w:val="00B70A2C"/>
    <w:rsid w:val="00B70BF4"/>
    <w:rsid w:val="00B70FCD"/>
    <w:rsid w:val="00B71236"/>
    <w:rsid w:val="00B717C0"/>
    <w:rsid w:val="00B7180D"/>
    <w:rsid w:val="00B71950"/>
    <w:rsid w:val="00B719AE"/>
    <w:rsid w:val="00B71E65"/>
    <w:rsid w:val="00B71E90"/>
    <w:rsid w:val="00B7252B"/>
    <w:rsid w:val="00B7253B"/>
    <w:rsid w:val="00B72E5C"/>
    <w:rsid w:val="00B73197"/>
    <w:rsid w:val="00B7322A"/>
    <w:rsid w:val="00B733ED"/>
    <w:rsid w:val="00B735E8"/>
    <w:rsid w:val="00B73CFD"/>
    <w:rsid w:val="00B73EF4"/>
    <w:rsid w:val="00B743DC"/>
    <w:rsid w:val="00B74D72"/>
    <w:rsid w:val="00B74EFF"/>
    <w:rsid w:val="00B74F8E"/>
    <w:rsid w:val="00B752DD"/>
    <w:rsid w:val="00B756B8"/>
    <w:rsid w:val="00B75D5A"/>
    <w:rsid w:val="00B7614D"/>
    <w:rsid w:val="00B76549"/>
    <w:rsid w:val="00B766CB"/>
    <w:rsid w:val="00B767C4"/>
    <w:rsid w:val="00B76BCE"/>
    <w:rsid w:val="00B76F8A"/>
    <w:rsid w:val="00B772F2"/>
    <w:rsid w:val="00B77449"/>
    <w:rsid w:val="00B77B0C"/>
    <w:rsid w:val="00B77C0D"/>
    <w:rsid w:val="00B77C4D"/>
    <w:rsid w:val="00B77F41"/>
    <w:rsid w:val="00B80226"/>
    <w:rsid w:val="00B807D7"/>
    <w:rsid w:val="00B80ADD"/>
    <w:rsid w:val="00B80DB1"/>
    <w:rsid w:val="00B8118E"/>
    <w:rsid w:val="00B81551"/>
    <w:rsid w:val="00B81C7F"/>
    <w:rsid w:val="00B81DAF"/>
    <w:rsid w:val="00B81E79"/>
    <w:rsid w:val="00B81F8D"/>
    <w:rsid w:val="00B8207A"/>
    <w:rsid w:val="00B82080"/>
    <w:rsid w:val="00B823FD"/>
    <w:rsid w:val="00B82456"/>
    <w:rsid w:val="00B827AE"/>
    <w:rsid w:val="00B82B09"/>
    <w:rsid w:val="00B82B3B"/>
    <w:rsid w:val="00B82BA9"/>
    <w:rsid w:val="00B82D66"/>
    <w:rsid w:val="00B82DCB"/>
    <w:rsid w:val="00B835BF"/>
    <w:rsid w:val="00B836A6"/>
    <w:rsid w:val="00B840D5"/>
    <w:rsid w:val="00B8430A"/>
    <w:rsid w:val="00B847F3"/>
    <w:rsid w:val="00B84988"/>
    <w:rsid w:val="00B84A2E"/>
    <w:rsid w:val="00B84AA0"/>
    <w:rsid w:val="00B84C8D"/>
    <w:rsid w:val="00B84EB0"/>
    <w:rsid w:val="00B84EE9"/>
    <w:rsid w:val="00B85274"/>
    <w:rsid w:val="00B85740"/>
    <w:rsid w:val="00B857C7"/>
    <w:rsid w:val="00B85D21"/>
    <w:rsid w:val="00B86056"/>
    <w:rsid w:val="00B8611D"/>
    <w:rsid w:val="00B864F1"/>
    <w:rsid w:val="00B86EF2"/>
    <w:rsid w:val="00B8776C"/>
    <w:rsid w:val="00B8777B"/>
    <w:rsid w:val="00B87BB5"/>
    <w:rsid w:val="00B9004E"/>
    <w:rsid w:val="00B903FE"/>
    <w:rsid w:val="00B906AB"/>
    <w:rsid w:val="00B908BA"/>
    <w:rsid w:val="00B909A5"/>
    <w:rsid w:val="00B90BC9"/>
    <w:rsid w:val="00B90D1B"/>
    <w:rsid w:val="00B91765"/>
    <w:rsid w:val="00B917BE"/>
    <w:rsid w:val="00B91BAB"/>
    <w:rsid w:val="00B91BD5"/>
    <w:rsid w:val="00B91DFC"/>
    <w:rsid w:val="00B923CF"/>
    <w:rsid w:val="00B924C0"/>
    <w:rsid w:val="00B940B7"/>
    <w:rsid w:val="00B940BD"/>
    <w:rsid w:val="00B9420D"/>
    <w:rsid w:val="00B942A7"/>
    <w:rsid w:val="00B94A1E"/>
    <w:rsid w:val="00B94BBA"/>
    <w:rsid w:val="00B94E6B"/>
    <w:rsid w:val="00B95822"/>
    <w:rsid w:val="00B95EB6"/>
    <w:rsid w:val="00B95EC5"/>
    <w:rsid w:val="00B95ED9"/>
    <w:rsid w:val="00B96291"/>
    <w:rsid w:val="00B9637F"/>
    <w:rsid w:val="00B96B9D"/>
    <w:rsid w:val="00B96DD5"/>
    <w:rsid w:val="00B96E18"/>
    <w:rsid w:val="00B972F1"/>
    <w:rsid w:val="00B974B6"/>
    <w:rsid w:val="00B977EE"/>
    <w:rsid w:val="00B979B3"/>
    <w:rsid w:val="00B97D53"/>
    <w:rsid w:val="00BA0189"/>
    <w:rsid w:val="00BA121A"/>
    <w:rsid w:val="00BA126D"/>
    <w:rsid w:val="00BA174F"/>
    <w:rsid w:val="00BA1857"/>
    <w:rsid w:val="00BA1AA0"/>
    <w:rsid w:val="00BA1E26"/>
    <w:rsid w:val="00BA1F1E"/>
    <w:rsid w:val="00BA23C7"/>
    <w:rsid w:val="00BA2507"/>
    <w:rsid w:val="00BA26A4"/>
    <w:rsid w:val="00BA2B16"/>
    <w:rsid w:val="00BA2EC9"/>
    <w:rsid w:val="00BA322E"/>
    <w:rsid w:val="00BA358F"/>
    <w:rsid w:val="00BA3B8C"/>
    <w:rsid w:val="00BA3C2C"/>
    <w:rsid w:val="00BA3DDC"/>
    <w:rsid w:val="00BA3E49"/>
    <w:rsid w:val="00BA4383"/>
    <w:rsid w:val="00BA43D9"/>
    <w:rsid w:val="00BA4620"/>
    <w:rsid w:val="00BA4708"/>
    <w:rsid w:val="00BA4A58"/>
    <w:rsid w:val="00BA4C5B"/>
    <w:rsid w:val="00BA4C96"/>
    <w:rsid w:val="00BA51DA"/>
    <w:rsid w:val="00BA59B2"/>
    <w:rsid w:val="00BA5CDF"/>
    <w:rsid w:val="00BA64CA"/>
    <w:rsid w:val="00BA6703"/>
    <w:rsid w:val="00BA672A"/>
    <w:rsid w:val="00BA6823"/>
    <w:rsid w:val="00BA6848"/>
    <w:rsid w:val="00BA69CB"/>
    <w:rsid w:val="00BA6BD9"/>
    <w:rsid w:val="00BA7376"/>
    <w:rsid w:val="00BA7919"/>
    <w:rsid w:val="00BA7BE4"/>
    <w:rsid w:val="00BA7FCD"/>
    <w:rsid w:val="00BB0151"/>
    <w:rsid w:val="00BB1DA5"/>
    <w:rsid w:val="00BB1E82"/>
    <w:rsid w:val="00BB1F2E"/>
    <w:rsid w:val="00BB2611"/>
    <w:rsid w:val="00BB2B58"/>
    <w:rsid w:val="00BB2BB6"/>
    <w:rsid w:val="00BB2C0D"/>
    <w:rsid w:val="00BB2E28"/>
    <w:rsid w:val="00BB3458"/>
    <w:rsid w:val="00BB38AE"/>
    <w:rsid w:val="00BB38E0"/>
    <w:rsid w:val="00BB3D68"/>
    <w:rsid w:val="00BB4AB2"/>
    <w:rsid w:val="00BB4C68"/>
    <w:rsid w:val="00BB4C9F"/>
    <w:rsid w:val="00BB50CD"/>
    <w:rsid w:val="00BB51A1"/>
    <w:rsid w:val="00BB5305"/>
    <w:rsid w:val="00BB544C"/>
    <w:rsid w:val="00BB55C9"/>
    <w:rsid w:val="00BB564C"/>
    <w:rsid w:val="00BB57FB"/>
    <w:rsid w:val="00BB5B31"/>
    <w:rsid w:val="00BB68E9"/>
    <w:rsid w:val="00BB7281"/>
    <w:rsid w:val="00BB74AF"/>
    <w:rsid w:val="00BB787F"/>
    <w:rsid w:val="00BB7B10"/>
    <w:rsid w:val="00BB7C53"/>
    <w:rsid w:val="00BB7FDF"/>
    <w:rsid w:val="00BC00CF"/>
    <w:rsid w:val="00BC059C"/>
    <w:rsid w:val="00BC06FE"/>
    <w:rsid w:val="00BC0F8D"/>
    <w:rsid w:val="00BC12F1"/>
    <w:rsid w:val="00BC159F"/>
    <w:rsid w:val="00BC1A1D"/>
    <w:rsid w:val="00BC1E53"/>
    <w:rsid w:val="00BC216E"/>
    <w:rsid w:val="00BC2CAB"/>
    <w:rsid w:val="00BC3A58"/>
    <w:rsid w:val="00BC3B0B"/>
    <w:rsid w:val="00BC3B7C"/>
    <w:rsid w:val="00BC3BE1"/>
    <w:rsid w:val="00BC3D69"/>
    <w:rsid w:val="00BC3F2B"/>
    <w:rsid w:val="00BC4447"/>
    <w:rsid w:val="00BC4B10"/>
    <w:rsid w:val="00BC53EA"/>
    <w:rsid w:val="00BC5418"/>
    <w:rsid w:val="00BC5848"/>
    <w:rsid w:val="00BC61A6"/>
    <w:rsid w:val="00BC6546"/>
    <w:rsid w:val="00BC69A4"/>
    <w:rsid w:val="00BC6D76"/>
    <w:rsid w:val="00BC70DD"/>
    <w:rsid w:val="00BC7334"/>
    <w:rsid w:val="00BC740D"/>
    <w:rsid w:val="00BC7493"/>
    <w:rsid w:val="00BC74E2"/>
    <w:rsid w:val="00BC770E"/>
    <w:rsid w:val="00BC7831"/>
    <w:rsid w:val="00BC7D0A"/>
    <w:rsid w:val="00BD01F7"/>
    <w:rsid w:val="00BD036D"/>
    <w:rsid w:val="00BD04FE"/>
    <w:rsid w:val="00BD06A9"/>
    <w:rsid w:val="00BD0710"/>
    <w:rsid w:val="00BD0D03"/>
    <w:rsid w:val="00BD110A"/>
    <w:rsid w:val="00BD1276"/>
    <w:rsid w:val="00BD12C2"/>
    <w:rsid w:val="00BD13F0"/>
    <w:rsid w:val="00BD1444"/>
    <w:rsid w:val="00BD1638"/>
    <w:rsid w:val="00BD1956"/>
    <w:rsid w:val="00BD1C06"/>
    <w:rsid w:val="00BD1E87"/>
    <w:rsid w:val="00BD20D4"/>
    <w:rsid w:val="00BD216A"/>
    <w:rsid w:val="00BD21E0"/>
    <w:rsid w:val="00BD2580"/>
    <w:rsid w:val="00BD2DF8"/>
    <w:rsid w:val="00BD35EC"/>
    <w:rsid w:val="00BD36C6"/>
    <w:rsid w:val="00BD3A93"/>
    <w:rsid w:val="00BD4182"/>
    <w:rsid w:val="00BD426D"/>
    <w:rsid w:val="00BD46D1"/>
    <w:rsid w:val="00BD490B"/>
    <w:rsid w:val="00BD4B3D"/>
    <w:rsid w:val="00BD56DA"/>
    <w:rsid w:val="00BD5B20"/>
    <w:rsid w:val="00BD5D04"/>
    <w:rsid w:val="00BD5DDD"/>
    <w:rsid w:val="00BD6048"/>
    <w:rsid w:val="00BD6184"/>
    <w:rsid w:val="00BD67DB"/>
    <w:rsid w:val="00BD69AD"/>
    <w:rsid w:val="00BD6AE3"/>
    <w:rsid w:val="00BD6BD5"/>
    <w:rsid w:val="00BD71F0"/>
    <w:rsid w:val="00BD7368"/>
    <w:rsid w:val="00BD7446"/>
    <w:rsid w:val="00BD770A"/>
    <w:rsid w:val="00BD7B8E"/>
    <w:rsid w:val="00BD7BCB"/>
    <w:rsid w:val="00BD7E85"/>
    <w:rsid w:val="00BE033F"/>
    <w:rsid w:val="00BE0412"/>
    <w:rsid w:val="00BE0633"/>
    <w:rsid w:val="00BE07B8"/>
    <w:rsid w:val="00BE08F9"/>
    <w:rsid w:val="00BE0AD6"/>
    <w:rsid w:val="00BE0F87"/>
    <w:rsid w:val="00BE11FA"/>
    <w:rsid w:val="00BE14E7"/>
    <w:rsid w:val="00BE16A5"/>
    <w:rsid w:val="00BE16C5"/>
    <w:rsid w:val="00BE1799"/>
    <w:rsid w:val="00BE1AA7"/>
    <w:rsid w:val="00BE1F37"/>
    <w:rsid w:val="00BE20E7"/>
    <w:rsid w:val="00BE2247"/>
    <w:rsid w:val="00BE23CA"/>
    <w:rsid w:val="00BE2DBE"/>
    <w:rsid w:val="00BE314C"/>
    <w:rsid w:val="00BE3495"/>
    <w:rsid w:val="00BE3A0C"/>
    <w:rsid w:val="00BE3A8B"/>
    <w:rsid w:val="00BE3AEC"/>
    <w:rsid w:val="00BE3C11"/>
    <w:rsid w:val="00BE40EE"/>
    <w:rsid w:val="00BE47AB"/>
    <w:rsid w:val="00BE4854"/>
    <w:rsid w:val="00BE4899"/>
    <w:rsid w:val="00BE4B0B"/>
    <w:rsid w:val="00BE4B59"/>
    <w:rsid w:val="00BE4DEA"/>
    <w:rsid w:val="00BE4F86"/>
    <w:rsid w:val="00BE4FDE"/>
    <w:rsid w:val="00BE56A8"/>
    <w:rsid w:val="00BE587C"/>
    <w:rsid w:val="00BE59DD"/>
    <w:rsid w:val="00BE5E4B"/>
    <w:rsid w:val="00BE6394"/>
    <w:rsid w:val="00BE6431"/>
    <w:rsid w:val="00BE6890"/>
    <w:rsid w:val="00BE68AF"/>
    <w:rsid w:val="00BE7560"/>
    <w:rsid w:val="00BE77F1"/>
    <w:rsid w:val="00BE7965"/>
    <w:rsid w:val="00BE7C0D"/>
    <w:rsid w:val="00BE7D2C"/>
    <w:rsid w:val="00BF0232"/>
    <w:rsid w:val="00BF0239"/>
    <w:rsid w:val="00BF02B5"/>
    <w:rsid w:val="00BF03A6"/>
    <w:rsid w:val="00BF0801"/>
    <w:rsid w:val="00BF0805"/>
    <w:rsid w:val="00BF0912"/>
    <w:rsid w:val="00BF092B"/>
    <w:rsid w:val="00BF0A10"/>
    <w:rsid w:val="00BF0AFF"/>
    <w:rsid w:val="00BF1362"/>
    <w:rsid w:val="00BF19B6"/>
    <w:rsid w:val="00BF1A13"/>
    <w:rsid w:val="00BF1B89"/>
    <w:rsid w:val="00BF2050"/>
    <w:rsid w:val="00BF213E"/>
    <w:rsid w:val="00BF23E5"/>
    <w:rsid w:val="00BF24D7"/>
    <w:rsid w:val="00BF251D"/>
    <w:rsid w:val="00BF3123"/>
    <w:rsid w:val="00BF31AA"/>
    <w:rsid w:val="00BF32B2"/>
    <w:rsid w:val="00BF3335"/>
    <w:rsid w:val="00BF33FD"/>
    <w:rsid w:val="00BF3611"/>
    <w:rsid w:val="00BF388B"/>
    <w:rsid w:val="00BF3DAD"/>
    <w:rsid w:val="00BF424C"/>
    <w:rsid w:val="00BF45AF"/>
    <w:rsid w:val="00BF47E7"/>
    <w:rsid w:val="00BF48A3"/>
    <w:rsid w:val="00BF4B6F"/>
    <w:rsid w:val="00BF4F11"/>
    <w:rsid w:val="00BF5455"/>
    <w:rsid w:val="00BF586F"/>
    <w:rsid w:val="00BF59BE"/>
    <w:rsid w:val="00BF5A5B"/>
    <w:rsid w:val="00BF5E94"/>
    <w:rsid w:val="00BF5ECA"/>
    <w:rsid w:val="00BF5F98"/>
    <w:rsid w:val="00BF63D0"/>
    <w:rsid w:val="00BF63E1"/>
    <w:rsid w:val="00BF661B"/>
    <w:rsid w:val="00BF671F"/>
    <w:rsid w:val="00BF68CF"/>
    <w:rsid w:val="00BF6B56"/>
    <w:rsid w:val="00BF6F4C"/>
    <w:rsid w:val="00BF7104"/>
    <w:rsid w:val="00BF790E"/>
    <w:rsid w:val="00BF7990"/>
    <w:rsid w:val="00BF7CFA"/>
    <w:rsid w:val="00C000FC"/>
    <w:rsid w:val="00C00597"/>
    <w:rsid w:val="00C01594"/>
    <w:rsid w:val="00C01BAD"/>
    <w:rsid w:val="00C01C56"/>
    <w:rsid w:val="00C01D9A"/>
    <w:rsid w:val="00C0236B"/>
    <w:rsid w:val="00C023E5"/>
    <w:rsid w:val="00C02798"/>
    <w:rsid w:val="00C02D5D"/>
    <w:rsid w:val="00C02E76"/>
    <w:rsid w:val="00C02FEB"/>
    <w:rsid w:val="00C030F1"/>
    <w:rsid w:val="00C031EA"/>
    <w:rsid w:val="00C0353A"/>
    <w:rsid w:val="00C03ADC"/>
    <w:rsid w:val="00C0407B"/>
    <w:rsid w:val="00C04483"/>
    <w:rsid w:val="00C04975"/>
    <w:rsid w:val="00C04A24"/>
    <w:rsid w:val="00C04DC9"/>
    <w:rsid w:val="00C050BA"/>
    <w:rsid w:val="00C051C0"/>
    <w:rsid w:val="00C0527F"/>
    <w:rsid w:val="00C05454"/>
    <w:rsid w:val="00C05956"/>
    <w:rsid w:val="00C05BAA"/>
    <w:rsid w:val="00C0606D"/>
    <w:rsid w:val="00C06326"/>
    <w:rsid w:val="00C0665A"/>
    <w:rsid w:val="00C06CD1"/>
    <w:rsid w:val="00C06D12"/>
    <w:rsid w:val="00C06DE4"/>
    <w:rsid w:val="00C06E9F"/>
    <w:rsid w:val="00C06F32"/>
    <w:rsid w:val="00C0717D"/>
    <w:rsid w:val="00C07258"/>
    <w:rsid w:val="00C072F7"/>
    <w:rsid w:val="00C07737"/>
    <w:rsid w:val="00C07AAF"/>
    <w:rsid w:val="00C07CF5"/>
    <w:rsid w:val="00C07D1E"/>
    <w:rsid w:val="00C109A3"/>
    <w:rsid w:val="00C11809"/>
    <w:rsid w:val="00C11B6A"/>
    <w:rsid w:val="00C124A4"/>
    <w:rsid w:val="00C1256C"/>
    <w:rsid w:val="00C127A8"/>
    <w:rsid w:val="00C12C72"/>
    <w:rsid w:val="00C13096"/>
    <w:rsid w:val="00C130E4"/>
    <w:rsid w:val="00C13149"/>
    <w:rsid w:val="00C137D0"/>
    <w:rsid w:val="00C139E0"/>
    <w:rsid w:val="00C13A6C"/>
    <w:rsid w:val="00C13C01"/>
    <w:rsid w:val="00C142B2"/>
    <w:rsid w:val="00C143E2"/>
    <w:rsid w:val="00C149B4"/>
    <w:rsid w:val="00C14ADD"/>
    <w:rsid w:val="00C14E5D"/>
    <w:rsid w:val="00C152C8"/>
    <w:rsid w:val="00C1560F"/>
    <w:rsid w:val="00C1578B"/>
    <w:rsid w:val="00C15FBD"/>
    <w:rsid w:val="00C16111"/>
    <w:rsid w:val="00C16392"/>
    <w:rsid w:val="00C16565"/>
    <w:rsid w:val="00C16692"/>
    <w:rsid w:val="00C16798"/>
    <w:rsid w:val="00C16BFD"/>
    <w:rsid w:val="00C16ED3"/>
    <w:rsid w:val="00C170B0"/>
    <w:rsid w:val="00C173E9"/>
    <w:rsid w:val="00C17433"/>
    <w:rsid w:val="00C176E2"/>
    <w:rsid w:val="00C17A06"/>
    <w:rsid w:val="00C17B45"/>
    <w:rsid w:val="00C17B89"/>
    <w:rsid w:val="00C2005B"/>
    <w:rsid w:val="00C20122"/>
    <w:rsid w:val="00C201DF"/>
    <w:rsid w:val="00C206FD"/>
    <w:rsid w:val="00C209BF"/>
    <w:rsid w:val="00C21029"/>
    <w:rsid w:val="00C2158D"/>
    <w:rsid w:val="00C215DC"/>
    <w:rsid w:val="00C217D9"/>
    <w:rsid w:val="00C2181D"/>
    <w:rsid w:val="00C21C9C"/>
    <w:rsid w:val="00C21CDF"/>
    <w:rsid w:val="00C21D6E"/>
    <w:rsid w:val="00C21EA0"/>
    <w:rsid w:val="00C22107"/>
    <w:rsid w:val="00C22189"/>
    <w:rsid w:val="00C221FE"/>
    <w:rsid w:val="00C22CD4"/>
    <w:rsid w:val="00C23196"/>
    <w:rsid w:val="00C231C4"/>
    <w:rsid w:val="00C234C7"/>
    <w:rsid w:val="00C23E1B"/>
    <w:rsid w:val="00C240DA"/>
    <w:rsid w:val="00C2445E"/>
    <w:rsid w:val="00C24912"/>
    <w:rsid w:val="00C24D6A"/>
    <w:rsid w:val="00C24DDF"/>
    <w:rsid w:val="00C24E33"/>
    <w:rsid w:val="00C25003"/>
    <w:rsid w:val="00C25191"/>
    <w:rsid w:val="00C25337"/>
    <w:rsid w:val="00C25381"/>
    <w:rsid w:val="00C25B7B"/>
    <w:rsid w:val="00C25D15"/>
    <w:rsid w:val="00C26188"/>
    <w:rsid w:val="00C2678B"/>
    <w:rsid w:val="00C268FB"/>
    <w:rsid w:val="00C27123"/>
    <w:rsid w:val="00C2727C"/>
    <w:rsid w:val="00C27CA3"/>
    <w:rsid w:val="00C3002A"/>
    <w:rsid w:val="00C30789"/>
    <w:rsid w:val="00C30B98"/>
    <w:rsid w:val="00C30BF5"/>
    <w:rsid w:val="00C30DAB"/>
    <w:rsid w:val="00C3113C"/>
    <w:rsid w:val="00C31224"/>
    <w:rsid w:val="00C313C4"/>
    <w:rsid w:val="00C31562"/>
    <w:rsid w:val="00C31768"/>
    <w:rsid w:val="00C31CFF"/>
    <w:rsid w:val="00C320E1"/>
    <w:rsid w:val="00C32282"/>
    <w:rsid w:val="00C3236E"/>
    <w:rsid w:val="00C324A1"/>
    <w:rsid w:val="00C3263C"/>
    <w:rsid w:val="00C32B59"/>
    <w:rsid w:val="00C32C9B"/>
    <w:rsid w:val="00C32CEF"/>
    <w:rsid w:val="00C330B4"/>
    <w:rsid w:val="00C330FE"/>
    <w:rsid w:val="00C3315A"/>
    <w:rsid w:val="00C3333C"/>
    <w:rsid w:val="00C33540"/>
    <w:rsid w:val="00C33556"/>
    <w:rsid w:val="00C3384C"/>
    <w:rsid w:val="00C3386D"/>
    <w:rsid w:val="00C339C0"/>
    <w:rsid w:val="00C33A0F"/>
    <w:rsid w:val="00C33B3F"/>
    <w:rsid w:val="00C3428D"/>
    <w:rsid w:val="00C344C8"/>
    <w:rsid w:val="00C345A8"/>
    <w:rsid w:val="00C3460F"/>
    <w:rsid w:val="00C346FB"/>
    <w:rsid w:val="00C34874"/>
    <w:rsid w:val="00C34BD7"/>
    <w:rsid w:val="00C34F2D"/>
    <w:rsid w:val="00C35096"/>
    <w:rsid w:val="00C35373"/>
    <w:rsid w:val="00C35DD2"/>
    <w:rsid w:val="00C369BF"/>
    <w:rsid w:val="00C36F0E"/>
    <w:rsid w:val="00C3758A"/>
    <w:rsid w:val="00C37A32"/>
    <w:rsid w:val="00C37A63"/>
    <w:rsid w:val="00C37AE7"/>
    <w:rsid w:val="00C37D40"/>
    <w:rsid w:val="00C37DD3"/>
    <w:rsid w:val="00C37F72"/>
    <w:rsid w:val="00C40887"/>
    <w:rsid w:val="00C409E5"/>
    <w:rsid w:val="00C40CA0"/>
    <w:rsid w:val="00C40E8D"/>
    <w:rsid w:val="00C412D9"/>
    <w:rsid w:val="00C413D0"/>
    <w:rsid w:val="00C4188A"/>
    <w:rsid w:val="00C418DC"/>
    <w:rsid w:val="00C41C1F"/>
    <w:rsid w:val="00C425DF"/>
    <w:rsid w:val="00C42C19"/>
    <w:rsid w:val="00C42DF6"/>
    <w:rsid w:val="00C4319F"/>
    <w:rsid w:val="00C43846"/>
    <w:rsid w:val="00C440EB"/>
    <w:rsid w:val="00C4480C"/>
    <w:rsid w:val="00C4481A"/>
    <w:rsid w:val="00C449AA"/>
    <w:rsid w:val="00C44BED"/>
    <w:rsid w:val="00C4527D"/>
    <w:rsid w:val="00C45303"/>
    <w:rsid w:val="00C4546E"/>
    <w:rsid w:val="00C45636"/>
    <w:rsid w:val="00C45A9A"/>
    <w:rsid w:val="00C463D6"/>
    <w:rsid w:val="00C46744"/>
    <w:rsid w:val="00C46943"/>
    <w:rsid w:val="00C469FC"/>
    <w:rsid w:val="00C46B0B"/>
    <w:rsid w:val="00C46C1F"/>
    <w:rsid w:val="00C4706F"/>
    <w:rsid w:val="00C470C7"/>
    <w:rsid w:val="00C474AE"/>
    <w:rsid w:val="00C4760F"/>
    <w:rsid w:val="00C47C5D"/>
    <w:rsid w:val="00C47DD4"/>
    <w:rsid w:val="00C502E1"/>
    <w:rsid w:val="00C505FE"/>
    <w:rsid w:val="00C509C9"/>
    <w:rsid w:val="00C50D1C"/>
    <w:rsid w:val="00C50E28"/>
    <w:rsid w:val="00C50F25"/>
    <w:rsid w:val="00C51098"/>
    <w:rsid w:val="00C51292"/>
    <w:rsid w:val="00C51C06"/>
    <w:rsid w:val="00C51D91"/>
    <w:rsid w:val="00C51ED1"/>
    <w:rsid w:val="00C523E9"/>
    <w:rsid w:val="00C52584"/>
    <w:rsid w:val="00C529EA"/>
    <w:rsid w:val="00C52D7D"/>
    <w:rsid w:val="00C52F33"/>
    <w:rsid w:val="00C534F3"/>
    <w:rsid w:val="00C53550"/>
    <w:rsid w:val="00C5357D"/>
    <w:rsid w:val="00C5359B"/>
    <w:rsid w:val="00C536EA"/>
    <w:rsid w:val="00C5382F"/>
    <w:rsid w:val="00C53AC9"/>
    <w:rsid w:val="00C53BA1"/>
    <w:rsid w:val="00C540E5"/>
    <w:rsid w:val="00C545DA"/>
    <w:rsid w:val="00C5499C"/>
    <w:rsid w:val="00C54DC8"/>
    <w:rsid w:val="00C5525B"/>
    <w:rsid w:val="00C554F3"/>
    <w:rsid w:val="00C55689"/>
    <w:rsid w:val="00C556D9"/>
    <w:rsid w:val="00C556E4"/>
    <w:rsid w:val="00C5592A"/>
    <w:rsid w:val="00C55B1E"/>
    <w:rsid w:val="00C55F90"/>
    <w:rsid w:val="00C55FEE"/>
    <w:rsid w:val="00C56137"/>
    <w:rsid w:val="00C5615B"/>
    <w:rsid w:val="00C563C1"/>
    <w:rsid w:val="00C56C07"/>
    <w:rsid w:val="00C5701E"/>
    <w:rsid w:val="00C57073"/>
    <w:rsid w:val="00C60008"/>
    <w:rsid w:val="00C60142"/>
    <w:rsid w:val="00C618F9"/>
    <w:rsid w:val="00C61989"/>
    <w:rsid w:val="00C61B26"/>
    <w:rsid w:val="00C61BAA"/>
    <w:rsid w:val="00C6230B"/>
    <w:rsid w:val="00C62542"/>
    <w:rsid w:val="00C62DA2"/>
    <w:rsid w:val="00C6300D"/>
    <w:rsid w:val="00C630CA"/>
    <w:rsid w:val="00C6368A"/>
    <w:rsid w:val="00C63AD6"/>
    <w:rsid w:val="00C64370"/>
    <w:rsid w:val="00C646EB"/>
    <w:rsid w:val="00C64B0F"/>
    <w:rsid w:val="00C64D89"/>
    <w:rsid w:val="00C6505D"/>
    <w:rsid w:val="00C65263"/>
    <w:rsid w:val="00C6528E"/>
    <w:rsid w:val="00C659A8"/>
    <w:rsid w:val="00C65B6C"/>
    <w:rsid w:val="00C65B79"/>
    <w:rsid w:val="00C65C02"/>
    <w:rsid w:val="00C65D05"/>
    <w:rsid w:val="00C661D7"/>
    <w:rsid w:val="00C662F0"/>
    <w:rsid w:val="00C663F0"/>
    <w:rsid w:val="00C66B59"/>
    <w:rsid w:val="00C675C6"/>
    <w:rsid w:val="00C67632"/>
    <w:rsid w:val="00C67B4D"/>
    <w:rsid w:val="00C67C29"/>
    <w:rsid w:val="00C67D27"/>
    <w:rsid w:val="00C67FB0"/>
    <w:rsid w:val="00C7011E"/>
    <w:rsid w:val="00C70501"/>
    <w:rsid w:val="00C70B05"/>
    <w:rsid w:val="00C70B4E"/>
    <w:rsid w:val="00C70D22"/>
    <w:rsid w:val="00C70F74"/>
    <w:rsid w:val="00C70FE8"/>
    <w:rsid w:val="00C7130B"/>
    <w:rsid w:val="00C71375"/>
    <w:rsid w:val="00C71412"/>
    <w:rsid w:val="00C715AF"/>
    <w:rsid w:val="00C71A51"/>
    <w:rsid w:val="00C71C7F"/>
    <w:rsid w:val="00C71FC3"/>
    <w:rsid w:val="00C7212A"/>
    <w:rsid w:val="00C72405"/>
    <w:rsid w:val="00C72AEB"/>
    <w:rsid w:val="00C73332"/>
    <w:rsid w:val="00C733D5"/>
    <w:rsid w:val="00C73A78"/>
    <w:rsid w:val="00C73A89"/>
    <w:rsid w:val="00C73E43"/>
    <w:rsid w:val="00C744B4"/>
    <w:rsid w:val="00C74A95"/>
    <w:rsid w:val="00C75338"/>
    <w:rsid w:val="00C758C8"/>
    <w:rsid w:val="00C75A92"/>
    <w:rsid w:val="00C75DFC"/>
    <w:rsid w:val="00C760BE"/>
    <w:rsid w:val="00C765A4"/>
    <w:rsid w:val="00C767BD"/>
    <w:rsid w:val="00C76CE5"/>
    <w:rsid w:val="00C7713E"/>
    <w:rsid w:val="00C774BF"/>
    <w:rsid w:val="00C774FB"/>
    <w:rsid w:val="00C779EC"/>
    <w:rsid w:val="00C77D02"/>
    <w:rsid w:val="00C802E0"/>
    <w:rsid w:val="00C807EE"/>
    <w:rsid w:val="00C808D3"/>
    <w:rsid w:val="00C80BFD"/>
    <w:rsid w:val="00C81441"/>
    <w:rsid w:val="00C814F9"/>
    <w:rsid w:val="00C815F2"/>
    <w:rsid w:val="00C819C5"/>
    <w:rsid w:val="00C81D66"/>
    <w:rsid w:val="00C82535"/>
    <w:rsid w:val="00C82742"/>
    <w:rsid w:val="00C82BFF"/>
    <w:rsid w:val="00C82E2A"/>
    <w:rsid w:val="00C82E98"/>
    <w:rsid w:val="00C82F88"/>
    <w:rsid w:val="00C8334C"/>
    <w:rsid w:val="00C8375A"/>
    <w:rsid w:val="00C8380E"/>
    <w:rsid w:val="00C838B4"/>
    <w:rsid w:val="00C83B57"/>
    <w:rsid w:val="00C8402F"/>
    <w:rsid w:val="00C84675"/>
    <w:rsid w:val="00C8483D"/>
    <w:rsid w:val="00C84AC0"/>
    <w:rsid w:val="00C84DCF"/>
    <w:rsid w:val="00C8534C"/>
    <w:rsid w:val="00C85637"/>
    <w:rsid w:val="00C85723"/>
    <w:rsid w:val="00C85CC6"/>
    <w:rsid w:val="00C85CF9"/>
    <w:rsid w:val="00C85DB3"/>
    <w:rsid w:val="00C85E85"/>
    <w:rsid w:val="00C8613B"/>
    <w:rsid w:val="00C867AF"/>
    <w:rsid w:val="00C86A42"/>
    <w:rsid w:val="00C86D40"/>
    <w:rsid w:val="00C86E11"/>
    <w:rsid w:val="00C870FE"/>
    <w:rsid w:val="00C8719D"/>
    <w:rsid w:val="00C871FB"/>
    <w:rsid w:val="00C87303"/>
    <w:rsid w:val="00C8754F"/>
    <w:rsid w:val="00C877FA"/>
    <w:rsid w:val="00C879C6"/>
    <w:rsid w:val="00C87AE7"/>
    <w:rsid w:val="00C87C7F"/>
    <w:rsid w:val="00C87D04"/>
    <w:rsid w:val="00C904FC"/>
    <w:rsid w:val="00C90F20"/>
    <w:rsid w:val="00C913DE"/>
    <w:rsid w:val="00C91449"/>
    <w:rsid w:val="00C914D6"/>
    <w:rsid w:val="00C91BD9"/>
    <w:rsid w:val="00C91C55"/>
    <w:rsid w:val="00C91D0D"/>
    <w:rsid w:val="00C92105"/>
    <w:rsid w:val="00C92423"/>
    <w:rsid w:val="00C927C4"/>
    <w:rsid w:val="00C928AA"/>
    <w:rsid w:val="00C92A47"/>
    <w:rsid w:val="00C92F7B"/>
    <w:rsid w:val="00C933A0"/>
    <w:rsid w:val="00C93635"/>
    <w:rsid w:val="00C93D34"/>
    <w:rsid w:val="00C940C9"/>
    <w:rsid w:val="00C941B7"/>
    <w:rsid w:val="00C942D9"/>
    <w:rsid w:val="00C9435A"/>
    <w:rsid w:val="00C943C9"/>
    <w:rsid w:val="00C94876"/>
    <w:rsid w:val="00C94AEC"/>
    <w:rsid w:val="00C94D5C"/>
    <w:rsid w:val="00C94E20"/>
    <w:rsid w:val="00C95291"/>
    <w:rsid w:val="00C95486"/>
    <w:rsid w:val="00C95619"/>
    <w:rsid w:val="00C95686"/>
    <w:rsid w:val="00C957D2"/>
    <w:rsid w:val="00C95BF8"/>
    <w:rsid w:val="00C95CBC"/>
    <w:rsid w:val="00C960C7"/>
    <w:rsid w:val="00C9681C"/>
    <w:rsid w:val="00C96E57"/>
    <w:rsid w:val="00C96E88"/>
    <w:rsid w:val="00C971C9"/>
    <w:rsid w:val="00C972A1"/>
    <w:rsid w:val="00C9732A"/>
    <w:rsid w:val="00C97532"/>
    <w:rsid w:val="00C97687"/>
    <w:rsid w:val="00C9768F"/>
    <w:rsid w:val="00C97C1C"/>
    <w:rsid w:val="00C97F3B"/>
    <w:rsid w:val="00CA00FB"/>
    <w:rsid w:val="00CA025C"/>
    <w:rsid w:val="00CA0D19"/>
    <w:rsid w:val="00CA0D49"/>
    <w:rsid w:val="00CA0EB7"/>
    <w:rsid w:val="00CA0F5E"/>
    <w:rsid w:val="00CA1884"/>
    <w:rsid w:val="00CA1972"/>
    <w:rsid w:val="00CA19D3"/>
    <w:rsid w:val="00CA20D7"/>
    <w:rsid w:val="00CA2675"/>
    <w:rsid w:val="00CA268F"/>
    <w:rsid w:val="00CA29E6"/>
    <w:rsid w:val="00CA2EA9"/>
    <w:rsid w:val="00CA31DE"/>
    <w:rsid w:val="00CA3A97"/>
    <w:rsid w:val="00CA4063"/>
    <w:rsid w:val="00CA4512"/>
    <w:rsid w:val="00CA45E0"/>
    <w:rsid w:val="00CA4C70"/>
    <w:rsid w:val="00CA4CAD"/>
    <w:rsid w:val="00CA4D0A"/>
    <w:rsid w:val="00CA4E63"/>
    <w:rsid w:val="00CA5164"/>
    <w:rsid w:val="00CA51D5"/>
    <w:rsid w:val="00CA5396"/>
    <w:rsid w:val="00CA5421"/>
    <w:rsid w:val="00CA542E"/>
    <w:rsid w:val="00CA589D"/>
    <w:rsid w:val="00CA5C15"/>
    <w:rsid w:val="00CA618B"/>
    <w:rsid w:val="00CA661C"/>
    <w:rsid w:val="00CA6652"/>
    <w:rsid w:val="00CA68C2"/>
    <w:rsid w:val="00CA6BAE"/>
    <w:rsid w:val="00CA6E9C"/>
    <w:rsid w:val="00CA6F36"/>
    <w:rsid w:val="00CA7142"/>
    <w:rsid w:val="00CA7363"/>
    <w:rsid w:val="00CA74C7"/>
    <w:rsid w:val="00CA75E4"/>
    <w:rsid w:val="00CA7709"/>
    <w:rsid w:val="00CA7880"/>
    <w:rsid w:val="00CA7BBD"/>
    <w:rsid w:val="00CA7C72"/>
    <w:rsid w:val="00CB0273"/>
    <w:rsid w:val="00CB0352"/>
    <w:rsid w:val="00CB05F5"/>
    <w:rsid w:val="00CB0A48"/>
    <w:rsid w:val="00CB0B84"/>
    <w:rsid w:val="00CB10F9"/>
    <w:rsid w:val="00CB1686"/>
    <w:rsid w:val="00CB1694"/>
    <w:rsid w:val="00CB1793"/>
    <w:rsid w:val="00CB1B2F"/>
    <w:rsid w:val="00CB2668"/>
    <w:rsid w:val="00CB2827"/>
    <w:rsid w:val="00CB29EF"/>
    <w:rsid w:val="00CB2ED9"/>
    <w:rsid w:val="00CB2FE9"/>
    <w:rsid w:val="00CB33CA"/>
    <w:rsid w:val="00CB3439"/>
    <w:rsid w:val="00CB4056"/>
    <w:rsid w:val="00CB407B"/>
    <w:rsid w:val="00CB44B7"/>
    <w:rsid w:val="00CB450F"/>
    <w:rsid w:val="00CB520F"/>
    <w:rsid w:val="00CB5EFA"/>
    <w:rsid w:val="00CB605A"/>
    <w:rsid w:val="00CB62D0"/>
    <w:rsid w:val="00CB655D"/>
    <w:rsid w:val="00CB656C"/>
    <w:rsid w:val="00CB6704"/>
    <w:rsid w:val="00CB6A0F"/>
    <w:rsid w:val="00CB6EF0"/>
    <w:rsid w:val="00CB6F52"/>
    <w:rsid w:val="00CB6F76"/>
    <w:rsid w:val="00CB747C"/>
    <w:rsid w:val="00CB7720"/>
    <w:rsid w:val="00CB7901"/>
    <w:rsid w:val="00CB7A54"/>
    <w:rsid w:val="00CB7D31"/>
    <w:rsid w:val="00CC0302"/>
    <w:rsid w:val="00CC0A9C"/>
    <w:rsid w:val="00CC0C89"/>
    <w:rsid w:val="00CC134F"/>
    <w:rsid w:val="00CC1645"/>
    <w:rsid w:val="00CC1A77"/>
    <w:rsid w:val="00CC1BB9"/>
    <w:rsid w:val="00CC1C13"/>
    <w:rsid w:val="00CC1F96"/>
    <w:rsid w:val="00CC201B"/>
    <w:rsid w:val="00CC258D"/>
    <w:rsid w:val="00CC278B"/>
    <w:rsid w:val="00CC28E8"/>
    <w:rsid w:val="00CC2C16"/>
    <w:rsid w:val="00CC2EB6"/>
    <w:rsid w:val="00CC2FE1"/>
    <w:rsid w:val="00CC317E"/>
    <w:rsid w:val="00CC388A"/>
    <w:rsid w:val="00CC3AB5"/>
    <w:rsid w:val="00CC3DFD"/>
    <w:rsid w:val="00CC413C"/>
    <w:rsid w:val="00CC415B"/>
    <w:rsid w:val="00CC45F6"/>
    <w:rsid w:val="00CC480D"/>
    <w:rsid w:val="00CC4B43"/>
    <w:rsid w:val="00CC5773"/>
    <w:rsid w:val="00CC58EB"/>
    <w:rsid w:val="00CC59CF"/>
    <w:rsid w:val="00CC5D6F"/>
    <w:rsid w:val="00CC6619"/>
    <w:rsid w:val="00CC6761"/>
    <w:rsid w:val="00CC6DF1"/>
    <w:rsid w:val="00CC74EB"/>
    <w:rsid w:val="00CC759E"/>
    <w:rsid w:val="00CC7CB8"/>
    <w:rsid w:val="00CC7DA8"/>
    <w:rsid w:val="00CC7DE7"/>
    <w:rsid w:val="00CD01B3"/>
    <w:rsid w:val="00CD0225"/>
    <w:rsid w:val="00CD0303"/>
    <w:rsid w:val="00CD08A9"/>
    <w:rsid w:val="00CD0A80"/>
    <w:rsid w:val="00CD0C8B"/>
    <w:rsid w:val="00CD0FEA"/>
    <w:rsid w:val="00CD1666"/>
    <w:rsid w:val="00CD16EA"/>
    <w:rsid w:val="00CD19E4"/>
    <w:rsid w:val="00CD1E5C"/>
    <w:rsid w:val="00CD2027"/>
    <w:rsid w:val="00CD2831"/>
    <w:rsid w:val="00CD2DA6"/>
    <w:rsid w:val="00CD33A1"/>
    <w:rsid w:val="00CD3604"/>
    <w:rsid w:val="00CD36B5"/>
    <w:rsid w:val="00CD38BB"/>
    <w:rsid w:val="00CD4228"/>
    <w:rsid w:val="00CD4488"/>
    <w:rsid w:val="00CD519A"/>
    <w:rsid w:val="00CD534D"/>
    <w:rsid w:val="00CD566E"/>
    <w:rsid w:val="00CD5830"/>
    <w:rsid w:val="00CD586B"/>
    <w:rsid w:val="00CD58E9"/>
    <w:rsid w:val="00CD5A68"/>
    <w:rsid w:val="00CD5AE8"/>
    <w:rsid w:val="00CD5B0D"/>
    <w:rsid w:val="00CD5F72"/>
    <w:rsid w:val="00CD63A4"/>
    <w:rsid w:val="00CD63BD"/>
    <w:rsid w:val="00CD6A34"/>
    <w:rsid w:val="00CD6F41"/>
    <w:rsid w:val="00CD6FA9"/>
    <w:rsid w:val="00CD7534"/>
    <w:rsid w:val="00CD793A"/>
    <w:rsid w:val="00CE026E"/>
    <w:rsid w:val="00CE08D0"/>
    <w:rsid w:val="00CE0C3E"/>
    <w:rsid w:val="00CE0CBC"/>
    <w:rsid w:val="00CE0E62"/>
    <w:rsid w:val="00CE120F"/>
    <w:rsid w:val="00CE1211"/>
    <w:rsid w:val="00CE14B3"/>
    <w:rsid w:val="00CE1688"/>
    <w:rsid w:val="00CE17D2"/>
    <w:rsid w:val="00CE17E3"/>
    <w:rsid w:val="00CE1983"/>
    <w:rsid w:val="00CE226E"/>
    <w:rsid w:val="00CE2620"/>
    <w:rsid w:val="00CE2A2C"/>
    <w:rsid w:val="00CE3176"/>
    <w:rsid w:val="00CE37D7"/>
    <w:rsid w:val="00CE3DA0"/>
    <w:rsid w:val="00CE3E44"/>
    <w:rsid w:val="00CE3F0E"/>
    <w:rsid w:val="00CE40BE"/>
    <w:rsid w:val="00CE40EF"/>
    <w:rsid w:val="00CE458D"/>
    <w:rsid w:val="00CE473E"/>
    <w:rsid w:val="00CE4812"/>
    <w:rsid w:val="00CE4D2D"/>
    <w:rsid w:val="00CE4DBB"/>
    <w:rsid w:val="00CE4E50"/>
    <w:rsid w:val="00CE5428"/>
    <w:rsid w:val="00CE56B3"/>
    <w:rsid w:val="00CE5BCE"/>
    <w:rsid w:val="00CE5BFF"/>
    <w:rsid w:val="00CE5C1E"/>
    <w:rsid w:val="00CE5F42"/>
    <w:rsid w:val="00CE6286"/>
    <w:rsid w:val="00CE6881"/>
    <w:rsid w:val="00CE6E1D"/>
    <w:rsid w:val="00CE6E4C"/>
    <w:rsid w:val="00CE6F08"/>
    <w:rsid w:val="00CE6F37"/>
    <w:rsid w:val="00CE76EB"/>
    <w:rsid w:val="00CF0033"/>
    <w:rsid w:val="00CF017F"/>
    <w:rsid w:val="00CF032E"/>
    <w:rsid w:val="00CF08A9"/>
    <w:rsid w:val="00CF09C3"/>
    <w:rsid w:val="00CF0A33"/>
    <w:rsid w:val="00CF0A43"/>
    <w:rsid w:val="00CF0E99"/>
    <w:rsid w:val="00CF0F3C"/>
    <w:rsid w:val="00CF18B9"/>
    <w:rsid w:val="00CF2329"/>
    <w:rsid w:val="00CF253E"/>
    <w:rsid w:val="00CF257B"/>
    <w:rsid w:val="00CF2620"/>
    <w:rsid w:val="00CF2A40"/>
    <w:rsid w:val="00CF2A4A"/>
    <w:rsid w:val="00CF2BC3"/>
    <w:rsid w:val="00CF2DB0"/>
    <w:rsid w:val="00CF2E43"/>
    <w:rsid w:val="00CF3A4C"/>
    <w:rsid w:val="00CF4198"/>
    <w:rsid w:val="00CF4377"/>
    <w:rsid w:val="00CF465E"/>
    <w:rsid w:val="00CF4694"/>
    <w:rsid w:val="00CF470A"/>
    <w:rsid w:val="00CF487E"/>
    <w:rsid w:val="00CF4B3C"/>
    <w:rsid w:val="00CF4B98"/>
    <w:rsid w:val="00CF4C98"/>
    <w:rsid w:val="00CF4E83"/>
    <w:rsid w:val="00CF5442"/>
    <w:rsid w:val="00CF5491"/>
    <w:rsid w:val="00CF54AF"/>
    <w:rsid w:val="00CF5522"/>
    <w:rsid w:val="00CF5641"/>
    <w:rsid w:val="00CF58F6"/>
    <w:rsid w:val="00CF59D8"/>
    <w:rsid w:val="00CF5F91"/>
    <w:rsid w:val="00CF61ED"/>
    <w:rsid w:val="00CF639E"/>
    <w:rsid w:val="00CF6467"/>
    <w:rsid w:val="00CF68BB"/>
    <w:rsid w:val="00CF6BA6"/>
    <w:rsid w:val="00CF6CFB"/>
    <w:rsid w:val="00CF6ED9"/>
    <w:rsid w:val="00CF7065"/>
    <w:rsid w:val="00CF707E"/>
    <w:rsid w:val="00CF760D"/>
    <w:rsid w:val="00CF7BE1"/>
    <w:rsid w:val="00CF7EE5"/>
    <w:rsid w:val="00CF7FD3"/>
    <w:rsid w:val="00D00293"/>
    <w:rsid w:val="00D005B9"/>
    <w:rsid w:val="00D005D9"/>
    <w:rsid w:val="00D00860"/>
    <w:rsid w:val="00D009EC"/>
    <w:rsid w:val="00D00E64"/>
    <w:rsid w:val="00D014FD"/>
    <w:rsid w:val="00D01DDE"/>
    <w:rsid w:val="00D020B8"/>
    <w:rsid w:val="00D02149"/>
    <w:rsid w:val="00D023A6"/>
    <w:rsid w:val="00D02650"/>
    <w:rsid w:val="00D026D2"/>
    <w:rsid w:val="00D027BE"/>
    <w:rsid w:val="00D0293E"/>
    <w:rsid w:val="00D0293F"/>
    <w:rsid w:val="00D02AC2"/>
    <w:rsid w:val="00D0328D"/>
    <w:rsid w:val="00D033B4"/>
    <w:rsid w:val="00D0341D"/>
    <w:rsid w:val="00D03F15"/>
    <w:rsid w:val="00D03FCC"/>
    <w:rsid w:val="00D03FE0"/>
    <w:rsid w:val="00D03FEE"/>
    <w:rsid w:val="00D0427E"/>
    <w:rsid w:val="00D0429A"/>
    <w:rsid w:val="00D042C2"/>
    <w:rsid w:val="00D042E8"/>
    <w:rsid w:val="00D04617"/>
    <w:rsid w:val="00D047D7"/>
    <w:rsid w:val="00D04A1B"/>
    <w:rsid w:val="00D04B2B"/>
    <w:rsid w:val="00D04FDA"/>
    <w:rsid w:val="00D052D2"/>
    <w:rsid w:val="00D052F9"/>
    <w:rsid w:val="00D0566F"/>
    <w:rsid w:val="00D05830"/>
    <w:rsid w:val="00D05AAD"/>
    <w:rsid w:val="00D05D0C"/>
    <w:rsid w:val="00D05E80"/>
    <w:rsid w:val="00D06368"/>
    <w:rsid w:val="00D06601"/>
    <w:rsid w:val="00D068EC"/>
    <w:rsid w:val="00D06AFD"/>
    <w:rsid w:val="00D06BF9"/>
    <w:rsid w:val="00D06CB9"/>
    <w:rsid w:val="00D06F4B"/>
    <w:rsid w:val="00D0708D"/>
    <w:rsid w:val="00D070B2"/>
    <w:rsid w:val="00D077D9"/>
    <w:rsid w:val="00D10248"/>
    <w:rsid w:val="00D1065D"/>
    <w:rsid w:val="00D106C6"/>
    <w:rsid w:val="00D10D01"/>
    <w:rsid w:val="00D10E08"/>
    <w:rsid w:val="00D10EE4"/>
    <w:rsid w:val="00D10FDA"/>
    <w:rsid w:val="00D11B11"/>
    <w:rsid w:val="00D11EBE"/>
    <w:rsid w:val="00D1200B"/>
    <w:rsid w:val="00D12133"/>
    <w:rsid w:val="00D12753"/>
    <w:rsid w:val="00D12CD3"/>
    <w:rsid w:val="00D12E3E"/>
    <w:rsid w:val="00D13422"/>
    <w:rsid w:val="00D138DA"/>
    <w:rsid w:val="00D139B2"/>
    <w:rsid w:val="00D13AC1"/>
    <w:rsid w:val="00D14263"/>
    <w:rsid w:val="00D147A4"/>
    <w:rsid w:val="00D147C9"/>
    <w:rsid w:val="00D14CCB"/>
    <w:rsid w:val="00D15035"/>
    <w:rsid w:val="00D15917"/>
    <w:rsid w:val="00D160AA"/>
    <w:rsid w:val="00D165A7"/>
    <w:rsid w:val="00D169D5"/>
    <w:rsid w:val="00D175BD"/>
    <w:rsid w:val="00D178ED"/>
    <w:rsid w:val="00D17D56"/>
    <w:rsid w:val="00D17ED0"/>
    <w:rsid w:val="00D203FE"/>
    <w:rsid w:val="00D2064B"/>
    <w:rsid w:val="00D208E6"/>
    <w:rsid w:val="00D20AAB"/>
    <w:rsid w:val="00D2130C"/>
    <w:rsid w:val="00D214C3"/>
    <w:rsid w:val="00D21677"/>
    <w:rsid w:val="00D21736"/>
    <w:rsid w:val="00D2179F"/>
    <w:rsid w:val="00D21914"/>
    <w:rsid w:val="00D21D6D"/>
    <w:rsid w:val="00D21F15"/>
    <w:rsid w:val="00D21FEC"/>
    <w:rsid w:val="00D2245A"/>
    <w:rsid w:val="00D2257A"/>
    <w:rsid w:val="00D2276D"/>
    <w:rsid w:val="00D23149"/>
    <w:rsid w:val="00D234AA"/>
    <w:rsid w:val="00D234D8"/>
    <w:rsid w:val="00D23791"/>
    <w:rsid w:val="00D23E19"/>
    <w:rsid w:val="00D23E41"/>
    <w:rsid w:val="00D24001"/>
    <w:rsid w:val="00D24141"/>
    <w:rsid w:val="00D2542C"/>
    <w:rsid w:val="00D2556D"/>
    <w:rsid w:val="00D2625F"/>
    <w:rsid w:val="00D26335"/>
    <w:rsid w:val="00D26751"/>
    <w:rsid w:val="00D269AF"/>
    <w:rsid w:val="00D26AE2"/>
    <w:rsid w:val="00D26B80"/>
    <w:rsid w:val="00D26ED6"/>
    <w:rsid w:val="00D273FD"/>
    <w:rsid w:val="00D275F3"/>
    <w:rsid w:val="00D27725"/>
    <w:rsid w:val="00D278A4"/>
    <w:rsid w:val="00D27C09"/>
    <w:rsid w:val="00D30291"/>
    <w:rsid w:val="00D30327"/>
    <w:rsid w:val="00D30846"/>
    <w:rsid w:val="00D30BB1"/>
    <w:rsid w:val="00D30EAA"/>
    <w:rsid w:val="00D30F2A"/>
    <w:rsid w:val="00D31048"/>
    <w:rsid w:val="00D3171F"/>
    <w:rsid w:val="00D31981"/>
    <w:rsid w:val="00D31A9A"/>
    <w:rsid w:val="00D31D9E"/>
    <w:rsid w:val="00D320DD"/>
    <w:rsid w:val="00D32135"/>
    <w:rsid w:val="00D32338"/>
    <w:rsid w:val="00D323F8"/>
    <w:rsid w:val="00D32911"/>
    <w:rsid w:val="00D329DC"/>
    <w:rsid w:val="00D32BE6"/>
    <w:rsid w:val="00D334E4"/>
    <w:rsid w:val="00D33503"/>
    <w:rsid w:val="00D336EE"/>
    <w:rsid w:val="00D339D1"/>
    <w:rsid w:val="00D33C9F"/>
    <w:rsid w:val="00D34056"/>
    <w:rsid w:val="00D34380"/>
    <w:rsid w:val="00D348AA"/>
    <w:rsid w:val="00D34A99"/>
    <w:rsid w:val="00D34AD7"/>
    <w:rsid w:val="00D34E81"/>
    <w:rsid w:val="00D34FF2"/>
    <w:rsid w:val="00D35135"/>
    <w:rsid w:val="00D35E0D"/>
    <w:rsid w:val="00D3645C"/>
    <w:rsid w:val="00D36828"/>
    <w:rsid w:val="00D36B68"/>
    <w:rsid w:val="00D36E4F"/>
    <w:rsid w:val="00D36EC8"/>
    <w:rsid w:val="00D371D5"/>
    <w:rsid w:val="00D37435"/>
    <w:rsid w:val="00D37680"/>
    <w:rsid w:val="00D37F89"/>
    <w:rsid w:val="00D400C9"/>
    <w:rsid w:val="00D40267"/>
    <w:rsid w:val="00D4054C"/>
    <w:rsid w:val="00D40749"/>
    <w:rsid w:val="00D40DC3"/>
    <w:rsid w:val="00D40E52"/>
    <w:rsid w:val="00D41143"/>
    <w:rsid w:val="00D4133D"/>
    <w:rsid w:val="00D41437"/>
    <w:rsid w:val="00D41C90"/>
    <w:rsid w:val="00D420B2"/>
    <w:rsid w:val="00D42145"/>
    <w:rsid w:val="00D42DC4"/>
    <w:rsid w:val="00D42E11"/>
    <w:rsid w:val="00D432A5"/>
    <w:rsid w:val="00D43564"/>
    <w:rsid w:val="00D435DA"/>
    <w:rsid w:val="00D4371B"/>
    <w:rsid w:val="00D439E8"/>
    <w:rsid w:val="00D43BAC"/>
    <w:rsid w:val="00D43CEA"/>
    <w:rsid w:val="00D43E18"/>
    <w:rsid w:val="00D43E4E"/>
    <w:rsid w:val="00D443FA"/>
    <w:rsid w:val="00D44473"/>
    <w:rsid w:val="00D44E83"/>
    <w:rsid w:val="00D456CD"/>
    <w:rsid w:val="00D45CF4"/>
    <w:rsid w:val="00D45D16"/>
    <w:rsid w:val="00D45E05"/>
    <w:rsid w:val="00D46028"/>
    <w:rsid w:val="00D46D04"/>
    <w:rsid w:val="00D46E64"/>
    <w:rsid w:val="00D472A3"/>
    <w:rsid w:val="00D4798A"/>
    <w:rsid w:val="00D47C35"/>
    <w:rsid w:val="00D501F9"/>
    <w:rsid w:val="00D50371"/>
    <w:rsid w:val="00D50CF1"/>
    <w:rsid w:val="00D51305"/>
    <w:rsid w:val="00D5134B"/>
    <w:rsid w:val="00D519E9"/>
    <w:rsid w:val="00D5252F"/>
    <w:rsid w:val="00D5275F"/>
    <w:rsid w:val="00D53068"/>
    <w:rsid w:val="00D533B1"/>
    <w:rsid w:val="00D53569"/>
    <w:rsid w:val="00D5394F"/>
    <w:rsid w:val="00D53E1D"/>
    <w:rsid w:val="00D53E39"/>
    <w:rsid w:val="00D54525"/>
    <w:rsid w:val="00D547E6"/>
    <w:rsid w:val="00D54B64"/>
    <w:rsid w:val="00D55055"/>
    <w:rsid w:val="00D556C6"/>
    <w:rsid w:val="00D556EC"/>
    <w:rsid w:val="00D558EF"/>
    <w:rsid w:val="00D55925"/>
    <w:rsid w:val="00D55F38"/>
    <w:rsid w:val="00D55FE4"/>
    <w:rsid w:val="00D5621B"/>
    <w:rsid w:val="00D5634F"/>
    <w:rsid w:val="00D563FD"/>
    <w:rsid w:val="00D5641B"/>
    <w:rsid w:val="00D56BEB"/>
    <w:rsid w:val="00D56E13"/>
    <w:rsid w:val="00D56F1A"/>
    <w:rsid w:val="00D56F98"/>
    <w:rsid w:val="00D573FA"/>
    <w:rsid w:val="00D57789"/>
    <w:rsid w:val="00D57D50"/>
    <w:rsid w:val="00D57F08"/>
    <w:rsid w:val="00D60104"/>
    <w:rsid w:val="00D603B2"/>
    <w:rsid w:val="00D605BD"/>
    <w:rsid w:val="00D605E9"/>
    <w:rsid w:val="00D607A6"/>
    <w:rsid w:val="00D609F0"/>
    <w:rsid w:val="00D60BCC"/>
    <w:rsid w:val="00D60D3C"/>
    <w:rsid w:val="00D61120"/>
    <w:rsid w:val="00D61603"/>
    <w:rsid w:val="00D61723"/>
    <w:rsid w:val="00D61F6E"/>
    <w:rsid w:val="00D62771"/>
    <w:rsid w:val="00D629D1"/>
    <w:rsid w:val="00D62B99"/>
    <w:rsid w:val="00D62CD1"/>
    <w:rsid w:val="00D62D85"/>
    <w:rsid w:val="00D63171"/>
    <w:rsid w:val="00D631E0"/>
    <w:rsid w:val="00D63355"/>
    <w:rsid w:val="00D63C0E"/>
    <w:rsid w:val="00D63D8D"/>
    <w:rsid w:val="00D641A7"/>
    <w:rsid w:val="00D648A1"/>
    <w:rsid w:val="00D64971"/>
    <w:rsid w:val="00D64ADC"/>
    <w:rsid w:val="00D650F8"/>
    <w:rsid w:val="00D65351"/>
    <w:rsid w:val="00D654A1"/>
    <w:rsid w:val="00D662FF"/>
    <w:rsid w:val="00D66713"/>
    <w:rsid w:val="00D66827"/>
    <w:rsid w:val="00D66EDA"/>
    <w:rsid w:val="00D67372"/>
    <w:rsid w:val="00D673E5"/>
    <w:rsid w:val="00D6747E"/>
    <w:rsid w:val="00D67A98"/>
    <w:rsid w:val="00D67CFF"/>
    <w:rsid w:val="00D67D7A"/>
    <w:rsid w:val="00D67E8C"/>
    <w:rsid w:val="00D67EFF"/>
    <w:rsid w:val="00D70047"/>
    <w:rsid w:val="00D702D6"/>
    <w:rsid w:val="00D707E1"/>
    <w:rsid w:val="00D7101E"/>
    <w:rsid w:val="00D711A5"/>
    <w:rsid w:val="00D711FE"/>
    <w:rsid w:val="00D712EF"/>
    <w:rsid w:val="00D71302"/>
    <w:rsid w:val="00D71803"/>
    <w:rsid w:val="00D71F53"/>
    <w:rsid w:val="00D728DF"/>
    <w:rsid w:val="00D72D6C"/>
    <w:rsid w:val="00D72E13"/>
    <w:rsid w:val="00D73753"/>
    <w:rsid w:val="00D73B6C"/>
    <w:rsid w:val="00D742A4"/>
    <w:rsid w:val="00D7499F"/>
    <w:rsid w:val="00D74BBF"/>
    <w:rsid w:val="00D74BFF"/>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336B"/>
    <w:rsid w:val="00D8346C"/>
    <w:rsid w:val="00D84128"/>
    <w:rsid w:val="00D845A2"/>
    <w:rsid w:val="00D84662"/>
    <w:rsid w:val="00D84FE9"/>
    <w:rsid w:val="00D85194"/>
    <w:rsid w:val="00D856BC"/>
    <w:rsid w:val="00D856C0"/>
    <w:rsid w:val="00D85CBB"/>
    <w:rsid w:val="00D85F37"/>
    <w:rsid w:val="00D85F67"/>
    <w:rsid w:val="00D86455"/>
    <w:rsid w:val="00D865C2"/>
    <w:rsid w:val="00D86881"/>
    <w:rsid w:val="00D86AC1"/>
    <w:rsid w:val="00D87251"/>
    <w:rsid w:val="00D8751F"/>
    <w:rsid w:val="00D8758A"/>
    <w:rsid w:val="00D87B09"/>
    <w:rsid w:val="00D87EBB"/>
    <w:rsid w:val="00D87F66"/>
    <w:rsid w:val="00D87FD6"/>
    <w:rsid w:val="00D87FE4"/>
    <w:rsid w:val="00D90ADB"/>
    <w:rsid w:val="00D90C50"/>
    <w:rsid w:val="00D912DC"/>
    <w:rsid w:val="00D91460"/>
    <w:rsid w:val="00D914DB"/>
    <w:rsid w:val="00D91B99"/>
    <w:rsid w:val="00D91C14"/>
    <w:rsid w:val="00D91C41"/>
    <w:rsid w:val="00D91ED7"/>
    <w:rsid w:val="00D9267C"/>
    <w:rsid w:val="00D9324C"/>
    <w:rsid w:val="00D93375"/>
    <w:rsid w:val="00D93880"/>
    <w:rsid w:val="00D93D59"/>
    <w:rsid w:val="00D93EFF"/>
    <w:rsid w:val="00D93F72"/>
    <w:rsid w:val="00D942E7"/>
    <w:rsid w:val="00D9460D"/>
    <w:rsid w:val="00D9474E"/>
    <w:rsid w:val="00D94ACD"/>
    <w:rsid w:val="00D94EBE"/>
    <w:rsid w:val="00D956EF"/>
    <w:rsid w:val="00D95F00"/>
    <w:rsid w:val="00D96313"/>
    <w:rsid w:val="00D96499"/>
    <w:rsid w:val="00D9676F"/>
    <w:rsid w:val="00D96A0F"/>
    <w:rsid w:val="00D96CB4"/>
    <w:rsid w:val="00D9711B"/>
    <w:rsid w:val="00D97CAE"/>
    <w:rsid w:val="00DA0552"/>
    <w:rsid w:val="00DA0765"/>
    <w:rsid w:val="00DA0B8A"/>
    <w:rsid w:val="00DA10D0"/>
    <w:rsid w:val="00DA11B2"/>
    <w:rsid w:val="00DA1AD0"/>
    <w:rsid w:val="00DA1BA7"/>
    <w:rsid w:val="00DA20B5"/>
    <w:rsid w:val="00DA22CF"/>
    <w:rsid w:val="00DA22DA"/>
    <w:rsid w:val="00DA23DD"/>
    <w:rsid w:val="00DA2423"/>
    <w:rsid w:val="00DA287B"/>
    <w:rsid w:val="00DA2A96"/>
    <w:rsid w:val="00DA3080"/>
    <w:rsid w:val="00DA30A2"/>
    <w:rsid w:val="00DA337B"/>
    <w:rsid w:val="00DA38C5"/>
    <w:rsid w:val="00DA390D"/>
    <w:rsid w:val="00DA3961"/>
    <w:rsid w:val="00DA436C"/>
    <w:rsid w:val="00DA44A8"/>
    <w:rsid w:val="00DA44CF"/>
    <w:rsid w:val="00DA47A3"/>
    <w:rsid w:val="00DA4C33"/>
    <w:rsid w:val="00DA5076"/>
    <w:rsid w:val="00DA5D0B"/>
    <w:rsid w:val="00DA5F76"/>
    <w:rsid w:val="00DA60A5"/>
    <w:rsid w:val="00DA60D6"/>
    <w:rsid w:val="00DA60F5"/>
    <w:rsid w:val="00DA6D26"/>
    <w:rsid w:val="00DA76EE"/>
    <w:rsid w:val="00DA79C8"/>
    <w:rsid w:val="00DB01BA"/>
    <w:rsid w:val="00DB01EA"/>
    <w:rsid w:val="00DB03AE"/>
    <w:rsid w:val="00DB03F6"/>
    <w:rsid w:val="00DB08CB"/>
    <w:rsid w:val="00DB0963"/>
    <w:rsid w:val="00DB0B52"/>
    <w:rsid w:val="00DB0FA3"/>
    <w:rsid w:val="00DB16C1"/>
    <w:rsid w:val="00DB196A"/>
    <w:rsid w:val="00DB1C29"/>
    <w:rsid w:val="00DB1D88"/>
    <w:rsid w:val="00DB2595"/>
    <w:rsid w:val="00DB28C7"/>
    <w:rsid w:val="00DB303F"/>
    <w:rsid w:val="00DB321D"/>
    <w:rsid w:val="00DB3421"/>
    <w:rsid w:val="00DB3635"/>
    <w:rsid w:val="00DB3649"/>
    <w:rsid w:val="00DB3707"/>
    <w:rsid w:val="00DB3C08"/>
    <w:rsid w:val="00DB4006"/>
    <w:rsid w:val="00DB42EF"/>
    <w:rsid w:val="00DB462A"/>
    <w:rsid w:val="00DB4B61"/>
    <w:rsid w:val="00DB55CE"/>
    <w:rsid w:val="00DB55F6"/>
    <w:rsid w:val="00DB5FF8"/>
    <w:rsid w:val="00DB60D1"/>
    <w:rsid w:val="00DB64F5"/>
    <w:rsid w:val="00DB68E9"/>
    <w:rsid w:val="00DB6CAF"/>
    <w:rsid w:val="00DB7164"/>
    <w:rsid w:val="00DB7235"/>
    <w:rsid w:val="00DB729B"/>
    <w:rsid w:val="00DB72CE"/>
    <w:rsid w:val="00DB7400"/>
    <w:rsid w:val="00DB7EB1"/>
    <w:rsid w:val="00DC0114"/>
    <w:rsid w:val="00DC02FC"/>
    <w:rsid w:val="00DC0347"/>
    <w:rsid w:val="00DC051E"/>
    <w:rsid w:val="00DC092A"/>
    <w:rsid w:val="00DC0ADA"/>
    <w:rsid w:val="00DC0CF6"/>
    <w:rsid w:val="00DC0FE9"/>
    <w:rsid w:val="00DC13C3"/>
    <w:rsid w:val="00DC1763"/>
    <w:rsid w:val="00DC1C03"/>
    <w:rsid w:val="00DC2212"/>
    <w:rsid w:val="00DC23B3"/>
    <w:rsid w:val="00DC252D"/>
    <w:rsid w:val="00DC2595"/>
    <w:rsid w:val="00DC2823"/>
    <w:rsid w:val="00DC2C47"/>
    <w:rsid w:val="00DC2DF4"/>
    <w:rsid w:val="00DC3062"/>
    <w:rsid w:val="00DC30E1"/>
    <w:rsid w:val="00DC3143"/>
    <w:rsid w:val="00DC31F2"/>
    <w:rsid w:val="00DC3339"/>
    <w:rsid w:val="00DC35F6"/>
    <w:rsid w:val="00DC3752"/>
    <w:rsid w:val="00DC3898"/>
    <w:rsid w:val="00DC4083"/>
    <w:rsid w:val="00DC48DF"/>
    <w:rsid w:val="00DC4C8A"/>
    <w:rsid w:val="00DC5631"/>
    <w:rsid w:val="00DC5D8A"/>
    <w:rsid w:val="00DC6572"/>
    <w:rsid w:val="00DC6E4A"/>
    <w:rsid w:val="00DC7650"/>
    <w:rsid w:val="00DC789A"/>
    <w:rsid w:val="00DC7912"/>
    <w:rsid w:val="00DC7AEF"/>
    <w:rsid w:val="00DD0D38"/>
    <w:rsid w:val="00DD0D67"/>
    <w:rsid w:val="00DD0D77"/>
    <w:rsid w:val="00DD0E2A"/>
    <w:rsid w:val="00DD15E7"/>
    <w:rsid w:val="00DD16E2"/>
    <w:rsid w:val="00DD1A0F"/>
    <w:rsid w:val="00DD1C3A"/>
    <w:rsid w:val="00DD1F5A"/>
    <w:rsid w:val="00DD2514"/>
    <w:rsid w:val="00DD25D6"/>
    <w:rsid w:val="00DD295E"/>
    <w:rsid w:val="00DD2C4F"/>
    <w:rsid w:val="00DD3364"/>
    <w:rsid w:val="00DD3CA2"/>
    <w:rsid w:val="00DD3E8E"/>
    <w:rsid w:val="00DD4038"/>
    <w:rsid w:val="00DD40B6"/>
    <w:rsid w:val="00DD426B"/>
    <w:rsid w:val="00DD42C3"/>
    <w:rsid w:val="00DD46E2"/>
    <w:rsid w:val="00DD485A"/>
    <w:rsid w:val="00DD4F01"/>
    <w:rsid w:val="00DD51F6"/>
    <w:rsid w:val="00DD595A"/>
    <w:rsid w:val="00DD5BB8"/>
    <w:rsid w:val="00DD685B"/>
    <w:rsid w:val="00DD6A64"/>
    <w:rsid w:val="00DD6C94"/>
    <w:rsid w:val="00DD711F"/>
    <w:rsid w:val="00DD7703"/>
    <w:rsid w:val="00DD787F"/>
    <w:rsid w:val="00DE0D16"/>
    <w:rsid w:val="00DE1001"/>
    <w:rsid w:val="00DE1838"/>
    <w:rsid w:val="00DE1CB1"/>
    <w:rsid w:val="00DE1E5B"/>
    <w:rsid w:val="00DE2409"/>
    <w:rsid w:val="00DE26CE"/>
    <w:rsid w:val="00DE339D"/>
    <w:rsid w:val="00DE34B3"/>
    <w:rsid w:val="00DE3604"/>
    <w:rsid w:val="00DE3621"/>
    <w:rsid w:val="00DE3788"/>
    <w:rsid w:val="00DE3D29"/>
    <w:rsid w:val="00DE3DC6"/>
    <w:rsid w:val="00DE3F28"/>
    <w:rsid w:val="00DE40E8"/>
    <w:rsid w:val="00DE41A5"/>
    <w:rsid w:val="00DE44B4"/>
    <w:rsid w:val="00DE51D4"/>
    <w:rsid w:val="00DE588F"/>
    <w:rsid w:val="00DE5E98"/>
    <w:rsid w:val="00DE63D0"/>
    <w:rsid w:val="00DE6534"/>
    <w:rsid w:val="00DE65A7"/>
    <w:rsid w:val="00DE67D6"/>
    <w:rsid w:val="00DE67EC"/>
    <w:rsid w:val="00DE68B4"/>
    <w:rsid w:val="00DE69D3"/>
    <w:rsid w:val="00DE6A43"/>
    <w:rsid w:val="00DE6D32"/>
    <w:rsid w:val="00DE6DF3"/>
    <w:rsid w:val="00DE7542"/>
    <w:rsid w:val="00DE77A1"/>
    <w:rsid w:val="00DE77C6"/>
    <w:rsid w:val="00DE7856"/>
    <w:rsid w:val="00DE79D6"/>
    <w:rsid w:val="00DF0045"/>
    <w:rsid w:val="00DF031D"/>
    <w:rsid w:val="00DF03B1"/>
    <w:rsid w:val="00DF04D2"/>
    <w:rsid w:val="00DF04F9"/>
    <w:rsid w:val="00DF0775"/>
    <w:rsid w:val="00DF083E"/>
    <w:rsid w:val="00DF0AD2"/>
    <w:rsid w:val="00DF11E3"/>
    <w:rsid w:val="00DF13B9"/>
    <w:rsid w:val="00DF17E4"/>
    <w:rsid w:val="00DF192E"/>
    <w:rsid w:val="00DF1D0B"/>
    <w:rsid w:val="00DF1FD5"/>
    <w:rsid w:val="00DF22CE"/>
    <w:rsid w:val="00DF23DF"/>
    <w:rsid w:val="00DF29F8"/>
    <w:rsid w:val="00DF3641"/>
    <w:rsid w:val="00DF366D"/>
    <w:rsid w:val="00DF37D4"/>
    <w:rsid w:val="00DF38AD"/>
    <w:rsid w:val="00DF3917"/>
    <w:rsid w:val="00DF3D97"/>
    <w:rsid w:val="00DF3F0D"/>
    <w:rsid w:val="00DF4271"/>
    <w:rsid w:val="00DF4521"/>
    <w:rsid w:val="00DF45B7"/>
    <w:rsid w:val="00DF497D"/>
    <w:rsid w:val="00DF4C0F"/>
    <w:rsid w:val="00DF5008"/>
    <w:rsid w:val="00DF50ED"/>
    <w:rsid w:val="00DF5240"/>
    <w:rsid w:val="00DF5322"/>
    <w:rsid w:val="00DF60B0"/>
    <w:rsid w:val="00DF61F5"/>
    <w:rsid w:val="00DF66C8"/>
    <w:rsid w:val="00DF67EC"/>
    <w:rsid w:val="00DF6C17"/>
    <w:rsid w:val="00DF707F"/>
    <w:rsid w:val="00DF75EA"/>
    <w:rsid w:val="00DF785E"/>
    <w:rsid w:val="00DF7966"/>
    <w:rsid w:val="00DF7B53"/>
    <w:rsid w:val="00DF7C49"/>
    <w:rsid w:val="00DF7E4A"/>
    <w:rsid w:val="00DF7F08"/>
    <w:rsid w:val="00E002A8"/>
    <w:rsid w:val="00E00596"/>
    <w:rsid w:val="00E009B3"/>
    <w:rsid w:val="00E00F89"/>
    <w:rsid w:val="00E015E4"/>
    <w:rsid w:val="00E01698"/>
    <w:rsid w:val="00E01943"/>
    <w:rsid w:val="00E01DC4"/>
    <w:rsid w:val="00E01F35"/>
    <w:rsid w:val="00E022E5"/>
    <w:rsid w:val="00E026D3"/>
    <w:rsid w:val="00E02848"/>
    <w:rsid w:val="00E028FF"/>
    <w:rsid w:val="00E02A18"/>
    <w:rsid w:val="00E02E9C"/>
    <w:rsid w:val="00E02FD4"/>
    <w:rsid w:val="00E03BC7"/>
    <w:rsid w:val="00E03ECC"/>
    <w:rsid w:val="00E03EE7"/>
    <w:rsid w:val="00E04230"/>
    <w:rsid w:val="00E04676"/>
    <w:rsid w:val="00E04ADB"/>
    <w:rsid w:val="00E04D1A"/>
    <w:rsid w:val="00E051CF"/>
    <w:rsid w:val="00E051E0"/>
    <w:rsid w:val="00E05662"/>
    <w:rsid w:val="00E0571C"/>
    <w:rsid w:val="00E060BA"/>
    <w:rsid w:val="00E0625D"/>
    <w:rsid w:val="00E062CB"/>
    <w:rsid w:val="00E063FD"/>
    <w:rsid w:val="00E065B4"/>
    <w:rsid w:val="00E0674D"/>
    <w:rsid w:val="00E06835"/>
    <w:rsid w:val="00E07183"/>
    <w:rsid w:val="00E071DA"/>
    <w:rsid w:val="00E07502"/>
    <w:rsid w:val="00E0770D"/>
    <w:rsid w:val="00E07776"/>
    <w:rsid w:val="00E07C68"/>
    <w:rsid w:val="00E07E8B"/>
    <w:rsid w:val="00E1026F"/>
    <w:rsid w:val="00E1047C"/>
    <w:rsid w:val="00E10699"/>
    <w:rsid w:val="00E10812"/>
    <w:rsid w:val="00E10AF6"/>
    <w:rsid w:val="00E11421"/>
    <w:rsid w:val="00E1166B"/>
    <w:rsid w:val="00E11FFD"/>
    <w:rsid w:val="00E12225"/>
    <w:rsid w:val="00E1228F"/>
    <w:rsid w:val="00E12A15"/>
    <w:rsid w:val="00E12CCC"/>
    <w:rsid w:val="00E12F6A"/>
    <w:rsid w:val="00E1321F"/>
    <w:rsid w:val="00E135D6"/>
    <w:rsid w:val="00E1369C"/>
    <w:rsid w:val="00E13807"/>
    <w:rsid w:val="00E13B1D"/>
    <w:rsid w:val="00E13BC7"/>
    <w:rsid w:val="00E13D11"/>
    <w:rsid w:val="00E13F43"/>
    <w:rsid w:val="00E14011"/>
    <w:rsid w:val="00E14176"/>
    <w:rsid w:val="00E144AC"/>
    <w:rsid w:val="00E14E05"/>
    <w:rsid w:val="00E1539A"/>
    <w:rsid w:val="00E1592F"/>
    <w:rsid w:val="00E15B70"/>
    <w:rsid w:val="00E15C72"/>
    <w:rsid w:val="00E1606C"/>
    <w:rsid w:val="00E16074"/>
    <w:rsid w:val="00E16931"/>
    <w:rsid w:val="00E16A6C"/>
    <w:rsid w:val="00E16ABA"/>
    <w:rsid w:val="00E16E41"/>
    <w:rsid w:val="00E17211"/>
    <w:rsid w:val="00E20246"/>
    <w:rsid w:val="00E2024A"/>
    <w:rsid w:val="00E202EC"/>
    <w:rsid w:val="00E209D7"/>
    <w:rsid w:val="00E20B38"/>
    <w:rsid w:val="00E20C45"/>
    <w:rsid w:val="00E2103F"/>
    <w:rsid w:val="00E210E8"/>
    <w:rsid w:val="00E2132A"/>
    <w:rsid w:val="00E21484"/>
    <w:rsid w:val="00E21AA0"/>
    <w:rsid w:val="00E21C0D"/>
    <w:rsid w:val="00E2232E"/>
    <w:rsid w:val="00E223F5"/>
    <w:rsid w:val="00E224BF"/>
    <w:rsid w:val="00E22686"/>
    <w:rsid w:val="00E22708"/>
    <w:rsid w:val="00E22D70"/>
    <w:rsid w:val="00E23C85"/>
    <w:rsid w:val="00E23D60"/>
    <w:rsid w:val="00E23E5D"/>
    <w:rsid w:val="00E23F4C"/>
    <w:rsid w:val="00E245F0"/>
    <w:rsid w:val="00E247E5"/>
    <w:rsid w:val="00E24D8A"/>
    <w:rsid w:val="00E24F38"/>
    <w:rsid w:val="00E24F54"/>
    <w:rsid w:val="00E2516F"/>
    <w:rsid w:val="00E25B4D"/>
    <w:rsid w:val="00E25BB7"/>
    <w:rsid w:val="00E261B9"/>
    <w:rsid w:val="00E263E0"/>
    <w:rsid w:val="00E26503"/>
    <w:rsid w:val="00E26ABB"/>
    <w:rsid w:val="00E26C5C"/>
    <w:rsid w:val="00E26CC1"/>
    <w:rsid w:val="00E27589"/>
    <w:rsid w:val="00E27B98"/>
    <w:rsid w:val="00E27F3C"/>
    <w:rsid w:val="00E30084"/>
    <w:rsid w:val="00E30488"/>
    <w:rsid w:val="00E3049E"/>
    <w:rsid w:val="00E304FD"/>
    <w:rsid w:val="00E30741"/>
    <w:rsid w:val="00E30B31"/>
    <w:rsid w:val="00E31BE7"/>
    <w:rsid w:val="00E31F42"/>
    <w:rsid w:val="00E320D0"/>
    <w:rsid w:val="00E322C9"/>
    <w:rsid w:val="00E3241F"/>
    <w:rsid w:val="00E32A87"/>
    <w:rsid w:val="00E32EA0"/>
    <w:rsid w:val="00E3369A"/>
    <w:rsid w:val="00E338C8"/>
    <w:rsid w:val="00E33F38"/>
    <w:rsid w:val="00E3465D"/>
    <w:rsid w:val="00E349A4"/>
    <w:rsid w:val="00E35154"/>
    <w:rsid w:val="00E3565C"/>
    <w:rsid w:val="00E3565D"/>
    <w:rsid w:val="00E35B26"/>
    <w:rsid w:val="00E35B99"/>
    <w:rsid w:val="00E35EEE"/>
    <w:rsid w:val="00E35F79"/>
    <w:rsid w:val="00E36F91"/>
    <w:rsid w:val="00E37058"/>
    <w:rsid w:val="00E3706C"/>
    <w:rsid w:val="00E37635"/>
    <w:rsid w:val="00E37E56"/>
    <w:rsid w:val="00E37E6C"/>
    <w:rsid w:val="00E37E6F"/>
    <w:rsid w:val="00E40384"/>
    <w:rsid w:val="00E4049E"/>
    <w:rsid w:val="00E4052A"/>
    <w:rsid w:val="00E407DD"/>
    <w:rsid w:val="00E408E3"/>
    <w:rsid w:val="00E40B5B"/>
    <w:rsid w:val="00E419AE"/>
    <w:rsid w:val="00E41B74"/>
    <w:rsid w:val="00E41CA3"/>
    <w:rsid w:val="00E41DB8"/>
    <w:rsid w:val="00E41E7E"/>
    <w:rsid w:val="00E41FCB"/>
    <w:rsid w:val="00E423C3"/>
    <w:rsid w:val="00E4268B"/>
    <w:rsid w:val="00E426DF"/>
    <w:rsid w:val="00E428C0"/>
    <w:rsid w:val="00E42B80"/>
    <w:rsid w:val="00E43152"/>
    <w:rsid w:val="00E434DF"/>
    <w:rsid w:val="00E437C3"/>
    <w:rsid w:val="00E438C9"/>
    <w:rsid w:val="00E439A2"/>
    <w:rsid w:val="00E439D0"/>
    <w:rsid w:val="00E43A84"/>
    <w:rsid w:val="00E43AB5"/>
    <w:rsid w:val="00E44055"/>
    <w:rsid w:val="00E449C2"/>
    <w:rsid w:val="00E44A96"/>
    <w:rsid w:val="00E44BE3"/>
    <w:rsid w:val="00E44E46"/>
    <w:rsid w:val="00E44ED4"/>
    <w:rsid w:val="00E45058"/>
    <w:rsid w:val="00E4511B"/>
    <w:rsid w:val="00E455F3"/>
    <w:rsid w:val="00E45D71"/>
    <w:rsid w:val="00E45E18"/>
    <w:rsid w:val="00E463DA"/>
    <w:rsid w:val="00E4643D"/>
    <w:rsid w:val="00E46DC7"/>
    <w:rsid w:val="00E47164"/>
    <w:rsid w:val="00E4733A"/>
    <w:rsid w:val="00E47789"/>
    <w:rsid w:val="00E47B32"/>
    <w:rsid w:val="00E47EF1"/>
    <w:rsid w:val="00E509B9"/>
    <w:rsid w:val="00E50F26"/>
    <w:rsid w:val="00E5153C"/>
    <w:rsid w:val="00E5191C"/>
    <w:rsid w:val="00E51D90"/>
    <w:rsid w:val="00E52A6D"/>
    <w:rsid w:val="00E52BAA"/>
    <w:rsid w:val="00E52E4E"/>
    <w:rsid w:val="00E52F7A"/>
    <w:rsid w:val="00E530B3"/>
    <w:rsid w:val="00E5316F"/>
    <w:rsid w:val="00E531F6"/>
    <w:rsid w:val="00E53746"/>
    <w:rsid w:val="00E537A4"/>
    <w:rsid w:val="00E53836"/>
    <w:rsid w:val="00E53A31"/>
    <w:rsid w:val="00E53B79"/>
    <w:rsid w:val="00E54117"/>
    <w:rsid w:val="00E54441"/>
    <w:rsid w:val="00E548B3"/>
    <w:rsid w:val="00E54E9D"/>
    <w:rsid w:val="00E5523A"/>
    <w:rsid w:val="00E55B2B"/>
    <w:rsid w:val="00E55DFF"/>
    <w:rsid w:val="00E560B2"/>
    <w:rsid w:val="00E56A1D"/>
    <w:rsid w:val="00E56AC0"/>
    <w:rsid w:val="00E56B77"/>
    <w:rsid w:val="00E57273"/>
    <w:rsid w:val="00E5737F"/>
    <w:rsid w:val="00E57B3F"/>
    <w:rsid w:val="00E6064A"/>
    <w:rsid w:val="00E6074C"/>
    <w:rsid w:val="00E607E0"/>
    <w:rsid w:val="00E60CD8"/>
    <w:rsid w:val="00E60D1A"/>
    <w:rsid w:val="00E60EA0"/>
    <w:rsid w:val="00E60FC7"/>
    <w:rsid w:val="00E6149B"/>
    <w:rsid w:val="00E61515"/>
    <w:rsid w:val="00E6151D"/>
    <w:rsid w:val="00E6155A"/>
    <w:rsid w:val="00E617F8"/>
    <w:rsid w:val="00E619A3"/>
    <w:rsid w:val="00E622A8"/>
    <w:rsid w:val="00E628CC"/>
    <w:rsid w:val="00E62926"/>
    <w:rsid w:val="00E62927"/>
    <w:rsid w:val="00E62C66"/>
    <w:rsid w:val="00E62DC6"/>
    <w:rsid w:val="00E637B9"/>
    <w:rsid w:val="00E638B3"/>
    <w:rsid w:val="00E63F60"/>
    <w:rsid w:val="00E6484D"/>
    <w:rsid w:val="00E64965"/>
    <w:rsid w:val="00E6509F"/>
    <w:rsid w:val="00E65133"/>
    <w:rsid w:val="00E651D8"/>
    <w:rsid w:val="00E652D5"/>
    <w:rsid w:val="00E65458"/>
    <w:rsid w:val="00E659DE"/>
    <w:rsid w:val="00E65A20"/>
    <w:rsid w:val="00E66062"/>
    <w:rsid w:val="00E6619D"/>
    <w:rsid w:val="00E662A0"/>
    <w:rsid w:val="00E6659E"/>
    <w:rsid w:val="00E666A6"/>
    <w:rsid w:val="00E6684C"/>
    <w:rsid w:val="00E668C9"/>
    <w:rsid w:val="00E67594"/>
    <w:rsid w:val="00E67841"/>
    <w:rsid w:val="00E67C94"/>
    <w:rsid w:val="00E67FD8"/>
    <w:rsid w:val="00E70614"/>
    <w:rsid w:val="00E7067A"/>
    <w:rsid w:val="00E7069F"/>
    <w:rsid w:val="00E70DA8"/>
    <w:rsid w:val="00E70EF9"/>
    <w:rsid w:val="00E71B3C"/>
    <w:rsid w:val="00E71CE6"/>
    <w:rsid w:val="00E720CC"/>
    <w:rsid w:val="00E72BFE"/>
    <w:rsid w:val="00E732B9"/>
    <w:rsid w:val="00E7413E"/>
    <w:rsid w:val="00E74797"/>
    <w:rsid w:val="00E74812"/>
    <w:rsid w:val="00E74B4E"/>
    <w:rsid w:val="00E74E4C"/>
    <w:rsid w:val="00E74F22"/>
    <w:rsid w:val="00E74F9D"/>
    <w:rsid w:val="00E75009"/>
    <w:rsid w:val="00E754E5"/>
    <w:rsid w:val="00E75576"/>
    <w:rsid w:val="00E7642E"/>
    <w:rsid w:val="00E76D59"/>
    <w:rsid w:val="00E76DC9"/>
    <w:rsid w:val="00E771C7"/>
    <w:rsid w:val="00E77537"/>
    <w:rsid w:val="00E775CE"/>
    <w:rsid w:val="00E77BB8"/>
    <w:rsid w:val="00E77D3B"/>
    <w:rsid w:val="00E803E8"/>
    <w:rsid w:val="00E80A0B"/>
    <w:rsid w:val="00E80A1D"/>
    <w:rsid w:val="00E80A39"/>
    <w:rsid w:val="00E80C56"/>
    <w:rsid w:val="00E81416"/>
    <w:rsid w:val="00E81AE7"/>
    <w:rsid w:val="00E81B71"/>
    <w:rsid w:val="00E81C52"/>
    <w:rsid w:val="00E82574"/>
    <w:rsid w:val="00E8291F"/>
    <w:rsid w:val="00E82DA4"/>
    <w:rsid w:val="00E832E5"/>
    <w:rsid w:val="00E834CB"/>
    <w:rsid w:val="00E83961"/>
    <w:rsid w:val="00E83AF3"/>
    <w:rsid w:val="00E83C11"/>
    <w:rsid w:val="00E84B5E"/>
    <w:rsid w:val="00E84FE5"/>
    <w:rsid w:val="00E850CB"/>
    <w:rsid w:val="00E855CA"/>
    <w:rsid w:val="00E85607"/>
    <w:rsid w:val="00E857B8"/>
    <w:rsid w:val="00E857CA"/>
    <w:rsid w:val="00E857D5"/>
    <w:rsid w:val="00E85E41"/>
    <w:rsid w:val="00E86143"/>
    <w:rsid w:val="00E8628F"/>
    <w:rsid w:val="00E867B0"/>
    <w:rsid w:val="00E86BE8"/>
    <w:rsid w:val="00E86CF3"/>
    <w:rsid w:val="00E86D30"/>
    <w:rsid w:val="00E8711A"/>
    <w:rsid w:val="00E8736B"/>
    <w:rsid w:val="00E87723"/>
    <w:rsid w:val="00E87731"/>
    <w:rsid w:val="00E87ACB"/>
    <w:rsid w:val="00E87C79"/>
    <w:rsid w:val="00E903B8"/>
    <w:rsid w:val="00E904FD"/>
    <w:rsid w:val="00E90B67"/>
    <w:rsid w:val="00E90DB4"/>
    <w:rsid w:val="00E90E37"/>
    <w:rsid w:val="00E90F78"/>
    <w:rsid w:val="00E913B9"/>
    <w:rsid w:val="00E914AE"/>
    <w:rsid w:val="00E92A47"/>
    <w:rsid w:val="00E92ABD"/>
    <w:rsid w:val="00E92C6C"/>
    <w:rsid w:val="00E93437"/>
    <w:rsid w:val="00E9374F"/>
    <w:rsid w:val="00E9376F"/>
    <w:rsid w:val="00E938A4"/>
    <w:rsid w:val="00E93982"/>
    <w:rsid w:val="00E93EEF"/>
    <w:rsid w:val="00E93F0E"/>
    <w:rsid w:val="00E940C7"/>
    <w:rsid w:val="00E941E5"/>
    <w:rsid w:val="00E94809"/>
    <w:rsid w:val="00E95001"/>
    <w:rsid w:val="00E9546D"/>
    <w:rsid w:val="00E95549"/>
    <w:rsid w:val="00E95C8E"/>
    <w:rsid w:val="00E95D30"/>
    <w:rsid w:val="00E95FB3"/>
    <w:rsid w:val="00E95FDF"/>
    <w:rsid w:val="00E9626E"/>
    <w:rsid w:val="00E964E7"/>
    <w:rsid w:val="00E9670C"/>
    <w:rsid w:val="00E96825"/>
    <w:rsid w:val="00E969FB"/>
    <w:rsid w:val="00E96A96"/>
    <w:rsid w:val="00E96B9E"/>
    <w:rsid w:val="00E977BC"/>
    <w:rsid w:val="00E978C5"/>
    <w:rsid w:val="00E9799F"/>
    <w:rsid w:val="00E97AF9"/>
    <w:rsid w:val="00E97E73"/>
    <w:rsid w:val="00EA05E7"/>
    <w:rsid w:val="00EA066A"/>
    <w:rsid w:val="00EA0C7F"/>
    <w:rsid w:val="00EA0D31"/>
    <w:rsid w:val="00EA0DAD"/>
    <w:rsid w:val="00EA1186"/>
    <w:rsid w:val="00EA1680"/>
    <w:rsid w:val="00EA183B"/>
    <w:rsid w:val="00EA21AD"/>
    <w:rsid w:val="00EA2393"/>
    <w:rsid w:val="00EA2D65"/>
    <w:rsid w:val="00EA2EEA"/>
    <w:rsid w:val="00EA2F66"/>
    <w:rsid w:val="00EA3982"/>
    <w:rsid w:val="00EA434B"/>
    <w:rsid w:val="00EA45B9"/>
    <w:rsid w:val="00EA4766"/>
    <w:rsid w:val="00EA481C"/>
    <w:rsid w:val="00EA4941"/>
    <w:rsid w:val="00EA4D30"/>
    <w:rsid w:val="00EA500C"/>
    <w:rsid w:val="00EA5106"/>
    <w:rsid w:val="00EA58FA"/>
    <w:rsid w:val="00EA5983"/>
    <w:rsid w:val="00EA5B48"/>
    <w:rsid w:val="00EA5E96"/>
    <w:rsid w:val="00EA5EF9"/>
    <w:rsid w:val="00EA5F30"/>
    <w:rsid w:val="00EA6927"/>
    <w:rsid w:val="00EA69BF"/>
    <w:rsid w:val="00EA6C58"/>
    <w:rsid w:val="00EA6DC0"/>
    <w:rsid w:val="00EA7048"/>
    <w:rsid w:val="00EA7395"/>
    <w:rsid w:val="00EA7A42"/>
    <w:rsid w:val="00EA7B4E"/>
    <w:rsid w:val="00EA7E70"/>
    <w:rsid w:val="00EA7E88"/>
    <w:rsid w:val="00EB00B9"/>
    <w:rsid w:val="00EB0319"/>
    <w:rsid w:val="00EB04DA"/>
    <w:rsid w:val="00EB0755"/>
    <w:rsid w:val="00EB07C1"/>
    <w:rsid w:val="00EB0885"/>
    <w:rsid w:val="00EB0AC1"/>
    <w:rsid w:val="00EB14CF"/>
    <w:rsid w:val="00EB1DC5"/>
    <w:rsid w:val="00EB229C"/>
    <w:rsid w:val="00EB237F"/>
    <w:rsid w:val="00EB2481"/>
    <w:rsid w:val="00EB271B"/>
    <w:rsid w:val="00EB2832"/>
    <w:rsid w:val="00EB29E1"/>
    <w:rsid w:val="00EB37D4"/>
    <w:rsid w:val="00EB3C88"/>
    <w:rsid w:val="00EB3EF5"/>
    <w:rsid w:val="00EB412C"/>
    <w:rsid w:val="00EB4430"/>
    <w:rsid w:val="00EB4734"/>
    <w:rsid w:val="00EB49DD"/>
    <w:rsid w:val="00EB4ACF"/>
    <w:rsid w:val="00EB4F5C"/>
    <w:rsid w:val="00EB5300"/>
    <w:rsid w:val="00EB5312"/>
    <w:rsid w:val="00EB568B"/>
    <w:rsid w:val="00EB614B"/>
    <w:rsid w:val="00EB614D"/>
    <w:rsid w:val="00EB617D"/>
    <w:rsid w:val="00EB625F"/>
    <w:rsid w:val="00EB6482"/>
    <w:rsid w:val="00EB6614"/>
    <w:rsid w:val="00EB676A"/>
    <w:rsid w:val="00EB6D92"/>
    <w:rsid w:val="00EB72DF"/>
    <w:rsid w:val="00EB7794"/>
    <w:rsid w:val="00EB7804"/>
    <w:rsid w:val="00EB7E0B"/>
    <w:rsid w:val="00EB7E6D"/>
    <w:rsid w:val="00EC015F"/>
    <w:rsid w:val="00EC0184"/>
    <w:rsid w:val="00EC0243"/>
    <w:rsid w:val="00EC0D5D"/>
    <w:rsid w:val="00EC0ECF"/>
    <w:rsid w:val="00EC1506"/>
    <w:rsid w:val="00EC16C8"/>
    <w:rsid w:val="00EC170B"/>
    <w:rsid w:val="00EC1C2C"/>
    <w:rsid w:val="00EC1CC5"/>
    <w:rsid w:val="00EC1E41"/>
    <w:rsid w:val="00EC1ED9"/>
    <w:rsid w:val="00EC1FEB"/>
    <w:rsid w:val="00EC2670"/>
    <w:rsid w:val="00EC2AC8"/>
    <w:rsid w:val="00EC2F83"/>
    <w:rsid w:val="00EC3215"/>
    <w:rsid w:val="00EC323A"/>
    <w:rsid w:val="00EC3438"/>
    <w:rsid w:val="00EC34F3"/>
    <w:rsid w:val="00EC380E"/>
    <w:rsid w:val="00EC43FB"/>
    <w:rsid w:val="00EC4637"/>
    <w:rsid w:val="00EC53A3"/>
    <w:rsid w:val="00EC604E"/>
    <w:rsid w:val="00EC640B"/>
    <w:rsid w:val="00EC6760"/>
    <w:rsid w:val="00EC686B"/>
    <w:rsid w:val="00EC699C"/>
    <w:rsid w:val="00EC6CB8"/>
    <w:rsid w:val="00EC6EDD"/>
    <w:rsid w:val="00EC6F6B"/>
    <w:rsid w:val="00EC706B"/>
    <w:rsid w:val="00EC712E"/>
    <w:rsid w:val="00EC7384"/>
    <w:rsid w:val="00EC7473"/>
    <w:rsid w:val="00EC754B"/>
    <w:rsid w:val="00ED05E7"/>
    <w:rsid w:val="00ED0702"/>
    <w:rsid w:val="00ED0998"/>
    <w:rsid w:val="00ED0A64"/>
    <w:rsid w:val="00ED0C89"/>
    <w:rsid w:val="00ED0E87"/>
    <w:rsid w:val="00ED1382"/>
    <w:rsid w:val="00ED157E"/>
    <w:rsid w:val="00ED1CD0"/>
    <w:rsid w:val="00ED1D38"/>
    <w:rsid w:val="00ED2504"/>
    <w:rsid w:val="00ED294F"/>
    <w:rsid w:val="00ED2A18"/>
    <w:rsid w:val="00ED311E"/>
    <w:rsid w:val="00ED340B"/>
    <w:rsid w:val="00ED3561"/>
    <w:rsid w:val="00ED48B7"/>
    <w:rsid w:val="00ED4B95"/>
    <w:rsid w:val="00ED5091"/>
    <w:rsid w:val="00ED51C6"/>
    <w:rsid w:val="00ED51E1"/>
    <w:rsid w:val="00ED550D"/>
    <w:rsid w:val="00ED5721"/>
    <w:rsid w:val="00ED5738"/>
    <w:rsid w:val="00ED5A3E"/>
    <w:rsid w:val="00ED5C6B"/>
    <w:rsid w:val="00ED5DDE"/>
    <w:rsid w:val="00ED62E3"/>
    <w:rsid w:val="00ED631F"/>
    <w:rsid w:val="00ED639D"/>
    <w:rsid w:val="00ED6839"/>
    <w:rsid w:val="00ED6990"/>
    <w:rsid w:val="00ED6A84"/>
    <w:rsid w:val="00ED6BF7"/>
    <w:rsid w:val="00ED6ED3"/>
    <w:rsid w:val="00ED724E"/>
    <w:rsid w:val="00ED7299"/>
    <w:rsid w:val="00ED731D"/>
    <w:rsid w:val="00ED7733"/>
    <w:rsid w:val="00ED7D57"/>
    <w:rsid w:val="00EE0161"/>
    <w:rsid w:val="00EE0CD7"/>
    <w:rsid w:val="00EE0E63"/>
    <w:rsid w:val="00EE1028"/>
    <w:rsid w:val="00EE1AB2"/>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2DB"/>
    <w:rsid w:val="00EE43A2"/>
    <w:rsid w:val="00EE44EF"/>
    <w:rsid w:val="00EE47B1"/>
    <w:rsid w:val="00EE4A15"/>
    <w:rsid w:val="00EE4AD9"/>
    <w:rsid w:val="00EE4F4E"/>
    <w:rsid w:val="00EE54A6"/>
    <w:rsid w:val="00EE5A5B"/>
    <w:rsid w:val="00EE5D9F"/>
    <w:rsid w:val="00EE5FB3"/>
    <w:rsid w:val="00EE613D"/>
    <w:rsid w:val="00EE61F7"/>
    <w:rsid w:val="00EE6240"/>
    <w:rsid w:val="00EE6754"/>
    <w:rsid w:val="00EE694F"/>
    <w:rsid w:val="00EE69A6"/>
    <w:rsid w:val="00EE7214"/>
    <w:rsid w:val="00EE7881"/>
    <w:rsid w:val="00EE78D6"/>
    <w:rsid w:val="00EE7967"/>
    <w:rsid w:val="00EE79F7"/>
    <w:rsid w:val="00EE7D68"/>
    <w:rsid w:val="00EF013D"/>
    <w:rsid w:val="00EF0927"/>
    <w:rsid w:val="00EF0E51"/>
    <w:rsid w:val="00EF0E5D"/>
    <w:rsid w:val="00EF1608"/>
    <w:rsid w:val="00EF1A22"/>
    <w:rsid w:val="00EF1B0A"/>
    <w:rsid w:val="00EF1C38"/>
    <w:rsid w:val="00EF3CC3"/>
    <w:rsid w:val="00EF3F84"/>
    <w:rsid w:val="00EF4219"/>
    <w:rsid w:val="00EF42EF"/>
    <w:rsid w:val="00EF47D9"/>
    <w:rsid w:val="00EF4B98"/>
    <w:rsid w:val="00EF4C13"/>
    <w:rsid w:val="00EF4CE5"/>
    <w:rsid w:val="00EF5176"/>
    <w:rsid w:val="00EF52DE"/>
    <w:rsid w:val="00EF584B"/>
    <w:rsid w:val="00EF5EBC"/>
    <w:rsid w:val="00EF634B"/>
    <w:rsid w:val="00EF6605"/>
    <w:rsid w:val="00EF6C7F"/>
    <w:rsid w:val="00EF6EE0"/>
    <w:rsid w:val="00EF74BC"/>
    <w:rsid w:val="00EF75EA"/>
    <w:rsid w:val="00EF7BCF"/>
    <w:rsid w:val="00EF7E31"/>
    <w:rsid w:val="00EF7EF6"/>
    <w:rsid w:val="00F0009E"/>
    <w:rsid w:val="00F00771"/>
    <w:rsid w:val="00F00BF4"/>
    <w:rsid w:val="00F00C49"/>
    <w:rsid w:val="00F00FB3"/>
    <w:rsid w:val="00F010F1"/>
    <w:rsid w:val="00F01340"/>
    <w:rsid w:val="00F019E5"/>
    <w:rsid w:val="00F01A09"/>
    <w:rsid w:val="00F01A4E"/>
    <w:rsid w:val="00F01C34"/>
    <w:rsid w:val="00F02504"/>
    <w:rsid w:val="00F0271D"/>
    <w:rsid w:val="00F02872"/>
    <w:rsid w:val="00F02D73"/>
    <w:rsid w:val="00F03044"/>
    <w:rsid w:val="00F0308A"/>
    <w:rsid w:val="00F0332A"/>
    <w:rsid w:val="00F03393"/>
    <w:rsid w:val="00F03CA2"/>
    <w:rsid w:val="00F03FDA"/>
    <w:rsid w:val="00F04410"/>
    <w:rsid w:val="00F04AC3"/>
    <w:rsid w:val="00F04B90"/>
    <w:rsid w:val="00F04BDE"/>
    <w:rsid w:val="00F04EC6"/>
    <w:rsid w:val="00F04F80"/>
    <w:rsid w:val="00F05B4C"/>
    <w:rsid w:val="00F05BAD"/>
    <w:rsid w:val="00F05D30"/>
    <w:rsid w:val="00F06266"/>
    <w:rsid w:val="00F0672B"/>
    <w:rsid w:val="00F06D44"/>
    <w:rsid w:val="00F06E5D"/>
    <w:rsid w:val="00F074E2"/>
    <w:rsid w:val="00F0768C"/>
    <w:rsid w:val="00F102B2"/>
    <w:rsid w:val="00F10896"/>
    <w:rsid w:val="00F109F5"/>
    <w:rsid w:val="00F10AC3"/>
    <w:rsid w:val="00F10E28"/>
    <w:rsid w:val="00F10F3F"/>
    <w:rsid w:val="00F114AC"/>
    <w:rsid w:val="00F11EEA"/>
    <w:rsid w:val="00F1254A"/>
    <w:rsid w:val="00F1292A"/>
    <w:rsid w:val="00F12D5D"/>
    <w:rsid w:val="00F13426"/>
    <w:rsid w:val="00F13545"/>
    <w:rsid w:val="00F13BDA"/>
    <w:rsid w:val="00F13F6D"/>
    <w:rsid w:val="00F14F2A"/>
    <w:rsid w:val="00F15167"/>
    <w:rsid w:val="00F153FA"/>
    <w:rsid w:val="00F1567C"/>
    <w:rsid w:val="00F158C0"/>
    <w:rsid w:val="00F15E4E"/>
    <w:rsid w:val="00F161FA"/>
    <w:rsid w:val="00F16255"/>
    <w:rsid w:val="00F1654F"/>
    <w:rsid w:val="00F167BF"/>
    <w:rsid w:val="00F16C8E"/>
    <w:rsid w:val="00F16EF9"/>
    <w:rsid w:val="00F16F07"/>
    <w:rsid w:val="00F17144"/>
    <w:rsid w:val="00F1719A"/>
    <w:rsid w:val="00F17275"/>
    <w:rsid w:val="00F179C7"/>
    <w:rsid w:val="00F17DAA"/>
    <w:rsid w:val="00F17DEF"/>
    <w:rsid w:val="00F17F1E"/>
    <w:rsid w:val="00F2038B"/>
    <w:rsid w:val="00F209AB"/>
    <w:rsid w:val="00F20BDA"/>
    <w:rsid w:val="00F20DB6"/>
    <w:rsid w:val="00F20F65"/>
    <w:rsid w:val="00F20FC5"/>
    <w:rsid w:val="00F212ED"/>
    <w:rsid w:val="00F21343"/>
    <w:rsid w:val="00F2172B"/>
    <w:rsid w:val="00F21CF9"/>
    <w:rsid w:val="00F21DD0"/>
    <w:rsid w:val="00F22393"/>
    <w:rsid w:val="00F223EE"/>
    <w:rsid w:val="00F22AF2"/>
    <w:rsid w:val="00F22D51"/>
    <w:rsid w:val="00F22DB6"/>
    <w:rsid w:val="00F22E38"/>
    <w:rsid w:val="00F2306B"/>
    <w:rsid w:val="00F2338B"/>
    <w:rsid w:val="00F23600"/>
    <w:rsid w:val="00F2362D"/>
    <w:rsid w:val="00F23A95"/>
    <w:rsid w:val="00F23ACF"/>
    <w:rsid w:val="00F23D3F"/>
    <w:rsid w:val="00F23EB0"/>
    <w:rsid w:val="00F244B8"/>
    <w:rsid w:val="00F24808"/>
    <w:rsid w:val="00F24EAE"/>
    <w:rsid w:val="00F2515E"/>
    <w:rsid w:val="00F2543C"/>
    <w:rsid w:val="00F25B8B"/>
    <w:rsid w:val="00F25C8B"/>
    <w:rsid w:val="00F25EA9"/>
    <w:rsid w:val="00F25F17"/>
    <w:rsid w:val="00F26070"/>
    <w:rsid w:val="00F2627D"/>
    <w:rsid w:val="00F26481"/>
    <w:rsid w:val="00F268D5"/>
    <w:rsid w:val="00F27094"/>
    <w:rsid w:val="00F27299"/>
    <w:rsid w:val="00F2756F"/>
    <w:rsid w:val="00F275DF"/>
    <w:rsid w:val="00F276AE"/>
    <w:rsid w:val="00F27775"/>
    <w:rsid w:val="00F278E3"/>
    <w:rsid w:val="00F27A6B"/>
    <w:rsid w:val="00F27ABE"/>
    <w:rsid w:val="00F27C71"/>
    <w:rsid w:val="00F27D67"/>
    <w:rsid w:val="00F3065F"/>
    <w:rsid w:val="00F30699"/>
    <w:rsid w:val="00F30902"/>
    <w:rsid w:val="00F3092B"/>
    <w:rsid w:val="00F3093B"/>
    <w:rsid w:val="00F312BB"/>
    <w:rsid w:val="00F318F0"/>
    <w:rsid w:val="00F31ACE"/>
    <w:rsid w:val="00F31B62"/>
    <w:rsid w:val="00F31FA6"/>
    <w:rsid w:val="00F32BE4"/>
    <w:rsid w:val="00F32C7E"/>
    <w:rsid w:val="00F32E03"/>
    <w:rsid w:val="00F331EE"/>
    <w:rsid w:val="00F33698"/>
    <w:rsid w:val="00F33794"/>
    <w:rsid w:val="00F339D9"/>
    <w:rsid w:val="00F33B83"/>
    <w:rsid w:val="00F33CCB"/>
    <w:rsid w:val="00F33CFD"/>
    <w:rsid w:val="00F33F31"/>
    <w:rsid w:val="00F33FD6"/>
    <w:rsid w:val="00F3400E"/>
    <w:rsid w:val="00F348D0"/>
    <w:rsid w:val="00F349C9"/>
    <w:rsid w:val="00F34D26"/>
    <w:rsid w:val="00F34EFF"/>
    <w:rsid w:val="00F35656"/>
    <w:rsid w:val="00F35DCC"/>
    <w:rsid w:val="00F362DF"/>
    <w:rsid w:val="00F36874"/>
    <w:rsid w:val="00F36A74"/>
    <w:rsid w:val="00F36BC0"/>
    <w:rsid w:val="00F36D00"/>
    <w:rsid w:val="00F37053"/>
    <w:rsid w:val="00F372E2"/>
    <w:rsid w:val="00F3776E"/>
    <w:rsid w:val="00F37782"/>
    <w:rsid w:val="00F37947"/>
    <w:rsid w:val="00F37A3D"/>
    <w:rsid w:val="00F37F6D"/>
    <w:rsid w:val="00F40026"/>
    <w:rsid w:val="00F4012B"/>
    <w:rsid w:val="00F4055C"/>
    <w:rsid w:val="00F40754"/>
    <w:rsid w:val="00F407AE"/>
    <w:rsid w:val="00F40A86"/>
    <w:rsid w:val="00F40C40"/>
    <w:rsid w:val="00F40D46"/>
    <w:rsid w:val="00F40ED6"/>
    <w:rsid w:val="00F40FF8"/>
    <w:rsid w:val="00F41006"/>
    <w:rsid w:val="00F4114A"/>
    <w:rsid w:val="00F411CD"/>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FB7"/>
    <w:rsid w:val="00F432EA"/>
    <w:rsid w:val="00F43634"/>
    <w:rsid w:val="00F439EF"/>
    <w:rsid w:val="00F4402F"/>
    <w:rsid w:val="00F44151"/>
    <w:rsid w:val="00F443CA"/>
    <w:rsid w:val="00F4478C"/>
    <w:rsid w:val="00F447C8"/>
    <w:rsid w:val="00F44D08"/>
    <w:rsid w:val="00F44E6B"/>
    <w:rsid w:val="00F45256"/>
    <w:rsid w:val="00F45357"/>
    <w:rsid w:val="00F453ED"/>
    <w:rsid w:val="00F45807"/>
    <w:rsid w:val="00F45903"/>
    <w:rsid w:val="00F45AB4"/>
    <w:rsid w:val="00F45ABF"/>
    <w:rsid w:val="00F45B05"/>
    <w:rsid w:val="00F45FAA"/>
    <w:rsid w:val="00F46332"/>
    <w:rsid w:val="00F463EE"/>
    <w:rsid w:val="00F468CF"/>
    <w:rsid w:val="00F47072"/>
    <w:rsid w:val="00F47679"/>
    <w:rsid w:val="00F477B9"/>
    <w:rsid w:val="00F47CDD"/>
    <w:rsid w:val="00F47DE5"/>
    <w:rsid w:val="00F50283"/>
    <w:rsid w:val="00F50318"/>
    <w:rsid w:val="00F50637"/>
    <w:rsid w:val="00F506B3"/>
    <w:rsid w:val="00F50738"/>
    <w:rsid w:val="00F509C3"/>
    <w:rsid w:val="00F50B4A"/>
    <w:rsid w:val="00F50D21"/>
    <w:rsid w:val="00F50E1A"/>
    <w:rsid w:val="00F50EEE"/>
    <w:rsid w:val="00F51486"/>
    <w:rsid w:val="00F51531"/>
    <w:rsid w:val="00F51632"/>
    <w:rsid w:val="00F51C56"/>
    <w:rsid w:val="00F521FD"/>
    <w:rsid w:val="00F52216"/>
    <w:rsid w:val="00F52385"/>
    <w:rsid w:val="00F52558"/>
    <w:rsid w:val="00F52691"/>
    <w:rsid w:val="00F528E1"/>
    <w:rsid w:val="00F52D02"/>
    <w:rsid w:val="00F52E30"/>
    <w:rsid w:val="00F52E92"/>
    <w:rsid w:val="00F53135"/>
    <w:rsid w:val="00F535CC"/>
    <w:rsid w:val="00F53EBA"/>
    <w:rsid w:val="00F53F2D"/>
    <w:rsid w:val="00F540E8"/>
    <w:rsid w:val="00F54156"/>
    <w:rsid w:val="00F542C1"/>
    <w:rsid w:val="00F54302"/>
    <w:rsid w:val="00F5473B"/>
    <w:rsid w:val="00F54BAB"/>
    <w:rsid w:val="00F54D6D"/>
    <w:rsid w:val="00F555F0"/>
    <w:rsid w:val="00F5565E"/>
    <w:rsid w:val="00F556FA"/>
    <w:rsid w:val="00F55B2E"/>
    <w:rsid w:val="00F55DB6"/>
    <w:rsid w:val="00F56279"/>
    <w:rsid w:val="00F56336"/>
    <w:rsid w:val="00F563D6"/>
    <w:rsid w:val="00F566E0"/>
    <w:rsid w:val="00F5677D"/>
    <w:rsid w:val="00F5686A"/>
    <w:rsid w:val="00F56B85"/>
    <w:rsid w:val="00F56E0B"/>
    <w:rsid w:val="00F57717"/>
    <w:rsid w:val="00F578EE"/>
    <w:rsid w:val="00F6010F"/>
    <w:rsid w:val="00F60281"/>
    <w:rsid w:val="00F60788"/>
    <w:rsid w:val="00F607BE"/>
    <w:rsid w:val="00F608B9"/>
    <w:rsid w:val="00F60A2D"/>
    <w:rsid w:val="00F60E13"/>
    <w:rsid w:val="00F60EB2"/>
    <w:rsid w:val="00F610AD"/>
    <w:rsid w:val="00F615DC"/>
    <w:rsid w:val="00F6174C"/>
    <w:rsid w:val="00F6193C"/>
    <w:rsid w:val="00F61A8C"/>
    <w:rsid w:val="00F61BBA"/>
    <w:rsid w:val="00F62099"/>
    <w:rsid w:val="00F6214C"/>
    <w:rsid w:val="00F621A0"/>
    <w:rsid w:val="00F62477"/>
    <w:rsid w:val="00F625EC"/>
    <w:rsid w:val="00F6291C"/>
    <w:rsid w:val="00F6345A"/>
    <w:rsid w:val="00F63464"/>
    <w:rsid w:val="00F637BB"/>
    <w:rsid w:val="00F63991"/>
    <w:rsid w:val="00F63C55"/>
    <w:rsid w:val="00F6497B"/>
    <w:rsid w:val="00F64B34"/>
    <w:rsid w:val="00F64C09"/>
    <w:rsid w:val="00F6507E"/>
    <w:rsid w:val="00F650A5"/>
    <w:rsid w:val="00F6511F"/>
    <w:rsid w:val="00F651EC"/>
    <w:rsid w:val="00F65604"/>
    <w:rsid w:val="00F656DB"/>
    <w:rsid w:val="00F6576B"/>
    <w:rsid w:val="00F658CC"/>
    <w:rsid w:val="00F6615B"/>
    <w:rsid w:val="00F662AE"/>
    <w:rsid w:val="00F668B7"/>
    <w:rsid w:val="00F66984"/>
    <w:rsid w:val="00F66CB0"/>
    <w:rsid w:val="00F676F8"/>
    <w:rsid w:val="00F67775"/>
    <w:rsid w:val="00F679F2"/>
    <w:rsid w:val="00F67B0E"/>
    <w:rsid w:val="00F67E49"/>
    <w:rsid w:val="00F701CA"/>
    <w:rsid w:val="00F7088E"/>
    <w:rsid w:val="00F712E9"/>
    <w:rsid w:val="00F722A3"/>
    <w:rsid w:val="00F72EAA"/>
    <w:rsid w:val="00F7301E"/>
    <w:rsid w:val="00F7367E"/>
    <w:rsid w:val="00F73881"/>
    <w:rsid w:val="00F73F12"/>
    <w:rsid w:val="00F741A7"/>
    <w:rsid w:val="00F742F8"/>
    <w:rsid w:val="00F74468"/>
    <w:rsid w:val="00F74857"/>
    <w:rsid w:val="00F748EA"/>
    <w:rsid w:val="00F74F7D"/>
    <w:rsid w:val="00F75065"/>
    <w:rsid w:val="00F75095"/>
    <w:rsid w:val="00F75737"/>
    <w:rsid w:val="00F757AF"/>
    <w:rsid w:val="00F75ADC"/>
    <w:rsid w:val="00F76408"/>
    <w:rsid w:val="00F7666F"/>
    <w:rsid w:val="00F76BE7"/>
    <w:rsid w:val="00F7716E"/>
    <w:rsid w:val="00F7741E"/>
    <w:rsid w:val="00F77932"/>
    <w:rsid w:val="00F77ED9"/>
    <w:rsid w:val="00F801DB"/>
    <w:rsid w:val="00F80454"/>
    <w:rsid w:val="00F806A0"/>
    <w:rsid w:val="00F807D8"/>
    <w:rsid w:val="00F80AEA"/>
    <w:rsid w:val="00F811DB"/>
    <w:rsid w:val="00F81D31"/>
    <w:rsid w:val="00F826A6"/>
    <w:rsid w:val="00F8275F"/>
    <w:rsid w:val="00F82763"/>
    <w:rsid w:val="00F82F24"/>
    <w:rsid w:val="00F8309D"/>
    <w:rsid w:val="00F8314A"/>
    <w:rsid w:val="00F83E96"/>
    <w:rsid w:val="00F8406A"/>
    <w:rsid w:val="00F84103"/>
    <w:rsid w:val="00F845C4"/>
    <w:rsid w:val="00F845C6"/>
    <w:rsid w:val="00F84A0B"/>
    <w:rsid w:val="00F84E22"/>
    <w:rsid w:val="00F84FCB"/>
    <w:rsid w:val="00F8563D"/>
    <w:rsid w:val="00F85A86"/>
    <w:rsid w:val="00F85F25"/>
    <w:rsid w:val="00F865E8"/>
    <w:rsid w:val="00F86DCE"/>
    <w:rsid w:val="00F87930"/>
    <w:rsid w:val="00F87CFF"/>
    <w:rsid w:val="00F903BE"/>
    <w:rsid w:val="00F907A8"/>
    <w:rsid w:val="00F907E5"/>
    <w:rsid w:val="00F90807"/>
    <w:rsid w:val="00F90A06"/>
    <w:rsid w:val="00F90A0A"/>
    <w:rsid w:val="00F90C72"/>
    <w:rsid w:val="00F90CF2"/>
    <w:rsid w:val="00F910D2"/>
    <w:rsid w:val="00F916A4"/>
    <w:rsid w:val="00F919DF"/>
    <w:rsid w:val="00F91A51"/>
    <w:rsid w:val="00F91E1D"/>
    <w:rsid w:val="00F91F0C"/>
    <w:rsid w:val="00F92250"/>
    <w:rsid w:val="00F928A8"/>
    <w:rsid w:val="00F92ADD"/>
    <w:rsid w:val="00F92C05"/>
    <w:rsid w:val="00F92C7C"/>
    <w:rsid w:val="00F92D63"/>
    <w:rsid w:val="00F93010"/>
    <w:rsid w:val="00F934FD"/>
    <w:rsid w:val="00F93CDA"/>
    <w:rsid w:val="00F93DAC"/>
    <w:rsid w:val="00F93ED7"/>
    <w:rsid w:val="00F93FC9"/>
    <w:rsid w:val="00F94190"/>
    <w:rsid w:val="00F941F2"/>
    <w:rsid w:val="00F94534"/>
    <w:rsid w:val="00F94744"/>
    <w:rsid w:val="00F94CE4"/>
    <w:rsid w:val="00F94DD3"/>
    <w:rsid w:val="00F951A9"/>
    <w:rsid w:val="00F952E3"/>
    <w:rsid w:val="00F9554F"/>
    <w:rsid w:val="00F95E69"/>
    <w:rsid w:val="00F9680E"/>
    <w:rsid w:val="00F968E2"/>
    <w:rsid w:val="00F96A0C"/>
    <w:rsid w:val="00F96B7A"/>
    <w:rsid w:val="00F96D0D"/>
    <w:rsid w:val="00F96ECE"/>
    <w:rsid w:val="00F972E0"/>
    <w:rsid w:val="00F9738E"/>
    <w:rsid w:val="00F9746C"/>
    <w:rsid w:val="00F9757F"/>
    <w:rsid w:val="00F979C4"/>
    <w:rsid w:val="00FA0242"/>
    <w:rsid w:val="00FA028E"/>
    <w:rsid w:val="00FA0BBC"/>
    <w:rsid w:val="00FA0D03"/>
    <w:rsid w:val="00FA0EAB"/>
    <w:rsid w:val="00FA1250"/>
    <w:rsid w:val="00FA166F"/>
    <w:rsid w:val="00FA16ED"/>
    <w:rsid w:val="00FA1898"/>
    <w:rsid w:val="00FA19C2"/>
    <w:rsid w:val="00FA1FDE"/>
    <w:rsid w:val="00FA21B3"/>
    <w:rsid w:val="00FA246F"/>
    <w:rsid w:val="00FA26D3"/>
    <w:rsid w:val="00FA2779"/>
    <w:rsid w:val="00FA2866"/>
    <w:rsid w:val="00FA297E"/>
    <w:rsid w:val="00FA2B05"/>
    <w:rsid w:val="00FA2EEB"/>
    <w:rsid w:val="00FA3AAB"/>
    <w:rsid w:val="00FA3BCB"/>
    <w:rsid w:val="00FA3DAE"/>
    <w:rsid w:val="00FA4124"/>
    <w:rsid w:val="00FA45D6"/>
    <w:rsid w:val="00FA4ACA"/>
    <w:rsid w:val="00FA4D7F"/>
    <w:rsid w:val="00FA4D9A"/>
    <w:rsid w:val="00FA514F"/>
    <w:rsid w:val="00FA5B63"/>
    <w:rsid w:val="00FA5C13"/>
    <w:rsid w:val="00FA6518"/>
    <w:rsid w:val="00FA699D"/>
    <w:rsid w:val="00FA6BFA"/>
    <w:rsid w:val="00FA6F68"/>
    <w:rsid w:val="00FA718D"/>
    <w:rsid w:val="00FA71CF"/>
    <w:rsid w:val="00FA7B13"/>
    <w:rsid w:val="00FB00D5"/>
    <w:rsid w:val="00FB0310"/>
    <w:rsid w:val="00FB0466"/>
    <w:rsid w:val="00FB064C"/>
    <w:rsid w:val="00FB0999"/>
    <w:rsid w:val="00FB0A50"/>
    <w:rsid w:val="00FB0DF1"/>
    <w:rsid w:val="00FB11D0"/>
    <w:rsid w:val="00FB13CC"/>
    <w:rsid w:val="00FB1B43"/>
    <w:rsid w:val="00FB278F"/>
    <w:rsid w:val="00FB3860"/>
    <w:rsid w:val="00FB4034"/>
    <w:rsid w:val="00FB4124"/>
    <w:rsid w:val="00FB41EA"/>
    <w:rsid w:val="00FB4505"/>
    <w:rsid w:val="00FB458E"/>
    <w:rsid w:val="00FB4E26"/>
    <w:rsid w:val="00FB4F97"/>
    <w:rsid w:val="00FB5009"/>
    <w:rsid w:val="00FB5520"/>
    <w:rsid w:val="00FB581D"/>
    <w:rsid w:val="00FB5FA6"/>
    <w:rsid w:val="00FB6278"/>
    <w:rsid w:val="00FB6606"/>
    <w:rsid w:val="00FB691E"/>
    <w:rsid w:val="00FB69D2"/>
    <w:rsid w:val="00FB6C43"/>
    <w:rsid w:val="00FB7207"/>
    <w:rsid w:val="00FB7293"/>
    <w:rsid w:val="00FB73B5"/>
    <w:rsid w:val="00FB7491"/>
    <w:rsid w:val="00FB74EE"/>
    <w:rsid w:val="00FB7915"/>
    <w:rsid w:val="00FB7A01"/>
    <w:rsid w:val="00FB7AE4"/>
    <w:rsid w:val="00FC0422"/>
    <w:rsid w:val="00FC0F41"/>
    <w:rsid w:val="00FC104E"/>
    <w:rsid w:val="00FC10AB"/>
    <w:rsid w:val="00FC1204"/>
    <w:rsid w:val="00FC1857"/>
    <w:rsid w:val="00FC1C68"/>
    <w:rsid w:val="00FC1EC4"/>
    <w:rsid w:val="00FC1ECF"/>
    <w:rsid w:val="00FC2237"/>
    <w:rsid w:val="00FC2360"/>
    <w:rsid w:val="00FC2511"/>
    <w:rsid w:val="00FC25B9"/>
    <w:rsid w:val="00FC292E"/>
    <w:rsid w:val="00FC2C44"/>
    <w:rsid w:val="00FC2CAA"/>
    <w:rsid w:val="00FC2D3D"/>
    <w:rsid w:val="00FC2F33"/>
    <w:rsid w:val="00FC3717"/>
    <w:rsid w:val="00FC39AA"/>
    <w:rsid w:val="00FC3ECC"/>
    <w:rsid w:val="00FC416F"/>
    <w:rsid w:val="00FC4480"/>
    <w:rsid w:val="00FC48E4"/>
    <w:rsid w:val="00FC4D21"/>
    <w:rsid w:val="00FC51D0"/>
    <w:rsid w:val="00FC521F"/>
    <w:rsid w:val="00FC5490"/>
    <w:rsid w:val="00FC5C5A"/>
    <w:rsid w:val="00FC61FB"/>
    <w:rsid w:val="00FC6C78"/>
    <w:rsid w:val="00FC6ED0"/>
    <w:rsid w:val="00FC6FC5"/>
    <w:rsid w:val="00FC70F5"/>
    <w:rsid w:val="00FC770B"/>
    <w:rsid w:val="00FC7830"/>
    <w:rsid w:val="00FC794E"/>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2A1A"/>
    <w:rsid w:val="00FD2D89"/>
    <w:rsid w:val="00FD336B"/>
    <w:rsid w:val="00FD4095"/>
    <w:rsid w:val="00FD43E0"/>
    <w:rsid w:val="00FD468D"/>
    <w:rsid w:val="00FD48E7"/>
    <w:rsid w:val="00FD4B1C"/>
    <w:rsid w:val="00FD4BE0"/>
    <w:rsid w:val="00FD4BFA"/>
    <w:rsid w:val="00FD4DC7"/>
    <w:rsid w:val="00FD4EC5"/>
    <w:rsid w:val="00FD5303"/>
    <w:rsid w:val="00FD56D9"/>
    <w:rsid w:val="00FD59A1"/>
    <w:rsid w:val="00FD5A2D"/>
    <w:rsid w:val="00FD628F"/>
    <w:rsid w:val="00FD6459"/>
    <w:rsid w:val="00FD64E1"/>
    <w:rsid w:val="00FD66FF"/>
    <w:rsid w:val="00FD6A9B"/>
    <w:rsid w:val="00FD70C3"/>
    <w:rsid w:val="00FD7353"/>
    <w:rsid w:val="00FD754E"/>
    <w:rsid w:val="00FD7BED"/>
    <w:rsid w:val="00FE0772"/>
    <w:rsid w:val="00FE07BB"/>
    <w:rsid w:val="00FE08B5"/>
    <w:rsid w:val="00FE0921"/>
    <w:rsid w:val="00FE0A69"/>
    <w:rsid w:val="00FE10CA"/>
    <w:rsid w:val="00FE146F"/>
    <w:rsid w:val="00FE1BD8"/>
    <w:rsid w:val="00FE1DE4"/>
    <w:rsid w:val="00FE21CE"/>
    <w:rsid w:val="00FE229E"/>
    <w:rsid w:val="00FE2660"/>
    <w:rsid w:val="00FE2D84"/>
    <w:rsid w:val="00FE2E29"/>
    <w:rsid w:val="00FE3126"/>
    <w:rsid w:val="00FE3921"/>
    <w:rsid w:val="00FE3954"/>
    <w:rsid w:val="00FE3A51"/>
    <w:rsid w:val="00FE3BBA"/>
    <w:rsid w:val="00FE3C08"/>
    <w:rsid w:val="00FE3E6A"/>
    <w:rsid w:val="00FE4165"/>
    <w:rsid w:val="00FE4299"/>
    <w:rsid w:val="00FE46C0"/>
    <w:rsid w:val="00FE4F49"/>
    <w:rsid w:val="00FE4FB6"/>
    <w:rsid w:val="00FE5068"/>
    <w:rsid w:val="00FE57F9"/>
    <w:rsid w:val="00FE60C9"/>
    <w:rsid w:val="00FE66B3"/>
    <w:rsid w:val="00FE6A9C"/>
    <w:rsid w:val="00FE7079"/>
    <w:rsid w:val="00FE723F"/>
    <w:rsid w:val="00FE7374"/>
    <w:rsid w:val="00FE75DA"/>
    <w:rsid w:val="00FE784B"/>
    <w:rsid w:val="00FE795F"/>
    <w:rsid w:val="00FE7A65"/>
    <w:rsid w:val="00FF01DF"/>
    <w:rsid w:val="00FF0245"/>
    <w:rsid w:val="00FF046F"/>
    <w:rsid w:val="00FF051F"/>
    <w:rsid w:val="00FF0899"/>
    <w:rsid w:val="00FF1280"/>
    <w:rsid w:val="00FF18B1"/>
    <w:rsid w:val="00FF1A6D"/>
    <w:rsid w:val="00FF1D13"/>
    <w:rsid w:val="00FF20B9"/>
    <w:rsid w:val="00FF28D6"/>
    <w:rsid w:val="00FF2D78"/>
    <w:rsid w:val="00FF36AF"/>
    <w:rsid w:val="00FF36BA"/>
    <w:rsid w:val="00FF37C6"/>
    <w:rsid w:val="00FF3898"/>
    <w:rsid w:val="00FF3A16"/>
    <w:rsid w:val="00FF3E53"/>
    <w:rsid w:val="00FF407A"/>
    <w:rsid w:val="00FF466D"/>
    <w:rsid w:val="00FF4E65"/>
    <w:rsid w:val="00FF4F74"/>
    <w:rsid w:val="00FF5257"/>
    <w:rsid w:val="00FF5322"/>
    <w:rsid w:val="00FF5542"/>
    <w:rsid w:val="00FF5B46"/>
    <w:rsid w:val="00FF5D58"/>
    <w:rsid w:val="00FF5F90"/>
    <w:rsid w:val="00FF68B1"/>
    <w:rsid w:val="00FF6B01"/>
    <w:rsid w:val="00FF6C35"/>
    <w:rsid w:val="00FF6D0E"/>
    <w:rsid w:val="00FF6D58"/>
    <w:rsid w:val="00FF6ED4"/>
    <w:rsid w:val="00FF703B"/>
    <w:rsid w:val="00FF7085"/>
    <w:rsid w:val="00FF7444"/>
    <w:rsid w:val="00FF7630"/>
    <w:rsid w:val="00FF7646"/>
    <w:rsid w:val="00FF7A90"/>
    <w:rsid w:val="00FF7B5E"/>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4C18CA29"/>
  <w15:docId w15:val="{7FC832A0-08DE-41F1-94EE-E31BA53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2"/>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3"/>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 w:type="character" w:styleId="UnresolvedMention">
    <w:name w:val="Unresolved Mention"/>
    <w:basedOn w:val="DefaultParagraphFont"/>
    <w:uiPriority w:val="99"/>
    <w:semiHidden/>
    <w:unhideWhenUsed/>
    <w:rsid w:val="00340EF0"/>
    <w:rPr>
      <w:color w:val="808080"/>
      <w:shd w:val="clear" w:color="auto" w:fill="E6E6E6"/>
    </w:rPr>
  </w:style>
  <w:style w:type="paragraph" w:styleId="Bibliography">
    <w:name w:val="Bibliography"/>
    <w:basedOn w:val="Normal"/>
    <w:next w:val="Normal"/>
    <w:uiPriority w:val="37"/>
    <w:semiHidden/>
    <w:unhideWhenUsed/>
    <w:rsid w:val="00367110"/>
  </w:style>
  <w:style w:type="paragraph" w:styleId="BlockText">
    <w:name w:val="Block Text"/>
    <w:basedOn w:val="Normal"/>
    <w:uiPriority w:val="99"/>
    <w:semiHidden/>
    <w:unhideWhenUsed/>
    <w:locked/>
    <w:rsid w:val="003671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367110"/>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367110"/>
    <w:rPr>
      <w:rFonts w:ascii="ZapfCalligr BT" w:hAnsi="ZapfCalligr BT" w:cs="ZapfCalligr BT"/>
      <w:sz w:val="20"/>
      <w:szCs w:val="20"/>
    </w:rPr>
  </w:style>
  <w:style w:type="paragraph" w:styleId="BodyTextFirstIndent2">
    <w:name w:val="Body Text First Indent 2"/>
    <w:basedOn w:val="BodyTextIndent"/>
    <w:link w:val="BodyTextFirstIndent2Char"/>
    <w:uiPriority w:val="99"/>
    <w:semiHidden/>
    <w:unhideWhenUsed/>
    <w:locked/>
    <w:rsid w:val="00367110"/>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367110"/>
    <w:rPr>
      <w:rFonts w:ascii="ZapfCalligr BT" w:hAnsi="ZapfCalligr BT" w:cs="ZapfCalligr BT"/>
      <w:sz w:val="20"/>
      <w:szCs w:val="20"/>
    </w:rPr>
  </w:style>
  <w:style w:type="paragraph" w:styleId="Caption">
    <w:name w:val="caption"/>
    <w:basedOn w:val="Normal"/>
    <w:next w:val="Normal"/>
    <w:uiPriority w:val="35"/>
    <w:semiHidden/>
    <w:unhideWhenUsed/>
    <w:qFormat/>
    <w:locked/>
    <w:rsid w:val="0036711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367110"/>
    <w:pPr>
      <w:ind w:left="4252"/>
    </w:pPr>
  </w:style>
  <w:style w:type="character" w:customStyle="1" w:styleId="ClosingChar">
    <w:name w:val="Closing Char"/>
    <w:basedOn w:val="DefaultParagraphFont"/>
    <w:link w:val="Closing"/>
    <w:uiPriority w:val="99"/>
    <w:semiHidden/>
    <w:rsid w:val="00367110"/>
    <w:rPr>
      <w:rFonts w:ascii="ZapfCalligr BT" w:hAnsi="ZapfCalligr BT" w:cs="ZapfCalligr BT"/>
    </w:rPr>
  </w:style>
  <w:style w:type="paragraph" w:styleId="Date">
    <w:name w:val="Date"/>
    <w:basedOn w:val="Normal"/>
    <w:next w:val="Normal"/>
    <w:link w:val="DateChar"/>
    <w:uiPriority w:val="99"/>
    <w:semiHidden/>
    <w:unhideWhenUsed/>
    <w:locked/>
    <w:rsid w:val="00367110"/>
  </w:style>
  <w:style w:type="character" w:customStyle="1" w:styleId="DateChar">
    <w:name w:val="Date Char"/>
    <w:basedOn w:val="DefaultParagraphFont"/>
    <w:link w:val="Date"/>
    <w:uiPriority w:val="99"/>
    <w:semiHidden/>
    <w:rsid w:val="00367110"/>
    <w:rPr>
      <w:rFonts w:ascii="ZapfCalligr BT" w:hAnsi="ZapfCalligr BT" w:cs="ZapfCalligr BT"/>
    </w:rPr>
  </w:style>
  <w:style w:type="paragraph" w:styleId="DocumentMap">
    <w:name w:val="Document Map"/>
    <w:basedOn w:val="Normal"/>
    <w:link w:val="DocumentMapChar"/>
    <w:uiPriority w:val="99"/>
    <w:semiHidden/>
    <w:unhideWhenUsed/>
    <w:locked/>
    <w:rsid w:val="0036711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6711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367110"/>
  </w:style>
  <w:style w:type="character" w:customStyle="1" w:styleId="E-mailSignatureChar">
    <w:name w:val="E-mail Signature Char"/>
    <w:basedOn w:val="DefaultParagraphFont"/>
    <w:link w:val="E-mailSignature"/>
    <w:uiPriority w:val="99"/>
    <w:semiHidden/>
    <w:rsid w:val="00367110"/>
    <w:rPr>
      <w:rFonts w:ascii="ZapfCalligr BT" w:hAnsi="ZapfCalligr BT" w:cs="ZapfCalligr BT"/>
    </w:rPr>
  </w:style>
  <w:style w:type="paragraph" w:styleId="EndnoteText">
    <w:name w:val="endnote text"/>
    <w:basedOn w:val="Normal"/>
    <w:link w:val="EndnoteTextChar"/>
    <w:uiPriority w:val="99"/>
    <w:semiHidden/>
    <w:unhideWhenUsed/>
    <w:locked/>
    <w:rsid w:val="00367110"/>
    <w:rPr>
      <w:sz w:val="20"/>
      <w:szCs w:val="20"/>
    </w:rPr>
  </w:style>
  <w:style w:type="character" w:customStyle="1" w:styleId="EndnoteTextChar">
    <w:name w:val="Endnote Text Char"/>
    <w:basedOn w:val="DefaultParagraphFont"/>
    <w:link w:val="EndnoteText"/>
    <w:uiPriority w:val="99"/>
    <w:semiHidden/>
    <w:rsid w:val="00367110"/>
    <w:rPr>
      <w:rFonts w:ascii="ZapfCalligr BT" w:hAnsi="ZapfCalligr BT" w:cs="ZapfCalligr BT"/>
      <w:sz w:val="20"/>
      <w:szCs w:val="20"/>
    </w:rPr>
  </w:style>
  <w:style w:type="paragraph" w:styleId="EnvelopeAddress">
    <w:name w:val="envelope address"/>
    <w:basedOn w:val="Normal"/>
    <w:uiPriority w:val="99"/>
    <w:semiHidden/>
    <w:unhideWhenUsed/>
    <w:locked/>
    <w:rsid w:val="003671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36711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367110"/>
    <w:rPr>
      <w:sz w:val="20"/>
      <w:szCs w:val="20"/>
    </w:rPr>
  </w:style>
  <w:style w:type="character" w:customStyle="1" w:styleId="FootnoteTextChar">
    <w:name w:val="Footnote Text Char"/>
    <w:basedOn w:val="DefaultParagraphFont"/>
    <w:link w:val="FootnoteText"/>
    <w:uiPriority w:val="99"/>
    <w:semiHidden/>
    <w:rsid w:val="00367110"/>
    <w:rPr>
      <w:rFonts w:ascii="ZapfCalligr BT" w:hAnsi="ZapfCalligr BT" w:cs="ZapfCalligr BT"/>
      <w:sz w:val="20"/>
      <w:szCs w:val="20"/>
    </w:rPr>
  </w:style>
  <w:style w:type="paragraph" w:styleId="HTMLAddress">
    <w:name w:val="HTML Address"/>
    <w:basedOn w:val="Normal"/>
    <w:link w:val="HTMLAddressChar"/>
    <w:uiPriority w:val="99"/>
    <w:semiHidden/>
    <w:unhideWhenUsed/>
    <w:locked/>
    <w:rsid w:val="00367110"/>
    <w:rPr>
      <w:i/>
      <w:iCs/>
    </w:rPr>
  </w:style>
  <w:style w:type="character" w:customStyle="1" w:styleId="HTMLAddressChar">
    <w:name w:val="HTML Address Char"/>
    <w:basedOn w:val="DefaultParagraphFont"/>
    <w:link w:val="HTMLAddress"/>
    <w:uiPriority w:val="99"/>
    <w:semiHidden/>
    <w:rsid w:val="00367110"/>
    <w:rPr>
      <w:rFonts w:ascii="ZapfCalligr BT" w:hAnsi="ZapfCalligr BT" w:cs="ZapfCalligr BT"/>
      <w:i/>
      <w:iCs/>
    </w:rPr>
  </w:style>
  <w:style w:type="paragraph" w:styleId="HTMLPreformatted">
    <w:name w:val="HTML Preformatted"/>
    <w:basedOn w:val="Normal"/>
    <w:link w:val="HTMLPreformattedChar"/>
    <w:uiPriority w:val="99"/>
    <w:semiHidden/>
    <w:unhideWhenUsed/>
    <w:locked/>
    <w:rsid w:val="0036711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67110"/>
    <w:rPr>
      <w:rFonts w:ascii="Consolas" w:hAnsi="Consolas" w:cs="Consolas"/>
      <w:sz w:val="20"/>
      <w:szCs w:val="20"/>
    </w:rPr>
  </w:style>
  <w:style w:type="paragraph" w:styleId="Index1">
    <w:name w:val="index 1"/>
    <w:basedOn w:val="Normal"/>
    <w:next w:val="Normal"/>
    <w:autoRedefine/>
    <w:uiPriority w:val="99"/>
    <w:semiHidden/>
    <w:unhideWhenUsed/>
    <w:locked/>
    <w:rsid w:val="00367110"/>
    <w:pPr>
      <w:ind w:left="220" w:hanging="220"/>
    </w:pPr>
  </w:style>
  <w:style w:type="paragraph" w:styleId="Index2">
    <w:name w:val="index 2"/>
    <w:basedOn w:val="Normal"/>
    <w:next w:val="Normal"/>
    <w:autoRedefine/>
    <w:uiPriority w:val="99"/>
    <w:semiHidden/>
    <w:unhideWhenUsed/>
    <w:locked/>
    <w:rsid w:val="00367110"/>
    <w:pPr>
      <w:ind w:left="440" w:hanging="220"/>
    </w:pPr>
  </w:style>
  <w:style w:type="paragraph" w:styleId="Index3">
    <w:name w:val="index 3"/>
    <w:basedOn w:val="Normal"/>
    <w:next w:val="Normal"/>
    <w:autoRedefine/>
    <w:uiPriority w:val="99"/>
    <w:semiHidden/>
    <w:unhideWhenUsed/>
    <w:locked/>
    <w:rsid w:val="00367110"/>
    <w:pPr>
      <w:ind w:left="660" w:hanging="220"/>
    </w:pPr>
  </w:style>
  <w:style w:type="paragraph" w:styleId="Index4">
    <w:name w:val="index 4"/>
    <w:basedOn w:val="Normal"/>
    <w:next w:val="Normal"/>
    <w:autoRedefine/>
    <w:uiPriority w:val="99"/>
    <w:semiHidden/>
    <w:unhideWhenUsed/>
    <w:locked/>
    <w:rsid w:val="00367110"/>
    <w:pPr>
      <w:ind w:left="880" w:hanging="220"/>
    </w:pPr>
  </w:style>
  <w:style w:type="paragraph" w:styleId="Index5">
    <w:name w:val="index 5"/>
    <w:basedOn w:val="Normal"/>
    <w:next w:val="Normal"/>
    <w:autoRedefine/>
    <w:uiPriority w:val="99"/>
    <w:semiHidden/>
    <w:unhideWhenUsed/>
    <w:locked/>
    <w:rsid w:val="00367110"/>
    <w:pPr>
      <w:ind w:left="1100" w:hanging="220"/>
    </w:pPr>
  </w:style>
  <w:style w:type="paragraph" w:styleId="Index6">
    <w:name w:val="index 6"/>
    <w:basedOn w:val="Normal"/>
    <w:next w:val="Normal"/>
    <w:autoRedefine/>
    <w:uiPriority w:val="99"/>
    <w:semiHidden/>
    <w:unhideWhenUsed/>
    <w:locked/>
    <w:rsid w:val="00367110"/>
    <w:pPr>
      <w:ind w:left="1320" w:hanging="220"/>
    </w:pPr>
  </w:style>
  <w:style w:type="paragraph" w:styleId="Index7">
    <w:name w:val="index 7"/>
    <w:basedOn w:val="Normal"/>
    <w:next w:val="Normal"/>
    <w:autoRedefine/>
    <w:uiPriority w:val="99"/>
    <w:semiHidden/>
    <w:unhideWhenUsed/>
    <w:locked/>
    <w:rsid w:val="00367110"/>
    <w:pPr>
      <w:ind w:left="1540" w:hanging="220"/>
    </w:pPr>
  </w:style>
  <w:style w:type="paragraph" w:styleId="Index8">
    <w:name w:val="index 8"/>
    <w:basedOn w:val="Normal"/>
    <w:next w:val="Normal"/>
    <w:autoRedefine/>
    <w:uiPriority w:val="99"/>
    <w:semiHidden/>
    <w:unhideWhenUsed/>
    <w:locked/>
    <w:rsid w:val="00367110"/>
    <w:pPr>
      <w:ind w:left="1760" w:hanging="220"/>
    </w:pPr>
  </w:style>
  <w:style w:type="paragraph" w:styleId="Index9">
    <w:name w:val="index 9"/>
    <w:basedOn w:val="Normal"/>
    <w:next w:val="Normal"/>
    <w:autoRedefine/>
    <w:uiPriority w:val="99"/>
    <w:semiHidden/>
    <w:unhideWhenUsed/>
    <w:locked/>
    <w:rsid w:val="00367110"/>
    <w:pPr>
      <w:ind w:left="1980" w:hanging="220"/>
    </w:pPr>
  </w:style>
  <w:style w:type="paragraph" w:styleId="IndexHeading">
    <w:name w:val="index heading"/>
    <w:basedOn w:val="Normal"/>
    <w:next w:val="Index1"/>
    <w:uiPriority w:val="99"/>
    <w:semiHidden/>
    <w:unhideWhenUsed/>
    <w:locked/>
    <w:rsid w:val="003671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671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7110"/>
    <w:rPr>
      <w:rFonts w:ascii="ZapfCalligr BT" w:hAnsi="ZapfCalligr BT" w:cs="ZapfCalligr BT"/>
      <w:i/>
      <w:iCs/>
      <w:color w:val="4F81BD" w:themeColor="accent1"/>
    </w:rPr>
  </w:style>
  <w:style w:type="paragraph" w:styleId="List">
    <w:name w:val="List"/>
    <w:basedOn w:val="Normal"/>
    <w:uiPriority w:val="99"/>
    <w:semiHidden/>
    <w:unhideWhenUsed/>
    <w:locked/>
    <w:rsid w:val="00367110"/>
    <w:pPr>
      <w:ind w:left="283" w:hanging="283"/>
      <w:contextualSpacing/>
    </w:pPr>
  </w:style>
  <w:style w:type="paragraph" w:styleId="List2">
    <w:name w:val="List 2"/>
    <w:basedOn w:val="Normal"/>
    <w:uiPriority w:val="99"/>
    <w:semiHidden/>
    <w:unhideWhenUsed/>
    <w:locked/>
    <w:rsid w:val="00367110"/>
    <w:pPr>
      <w:ind w:left="566" w:hanging="283"/>
      <w:contextualSpacing/>
    </w:pPr>
  </w:style>
  <w:style w:type="paragraph" w:styleId="List3">
    <w:name w:val="List 3"/>
    <w:basedOn w:val="Normal"/>
    <w:uiPriority w:val="99"/>
    <w:semiHidden/>
    <w:unhideWhenUsed/>
    <w:locked/>
    <w:rsid w:val="00367110"/>
    <w:pPr>
      <w:ind w:left="849" w:hanging="283"/>
      <w:contextualSpacing/>
    </w:pPr>
  </w:style>
  <w:style w:type="paragraph" w:styleId="List4">
    <w:name w:val="List 4"/>
    <w:basedOn w:val="Normal"/>
    <w:uiPriority w:val="99"/>
    <w:semiHidden/>
    <w:unhideWhenUsed/>
    <w:locked/>
    <w:rsid w:val="00367110"/>
    <w:pPr>
      <w:ind w:left="1132" w:hanging="283"/>
      <w:contextualSpacing/>
    </w:pPr>
  </w:style>
  <w:style w:type="paragraph" w:styleId="List5">
    <w:name w:val="List 5"/>
    <w:basedOn w:val="Normal"/>
    <w:uiPriority w:val="99"/>
    <w:semiHidden/>
    <w:unhideWhenUsed/>
    <w:locked/>
    <w:rsid w:val="00367110"/>
    <w:pPr>
      <w:ind w:left="1415" w:hanging="283"/>
      <w:contextualSpacing/>
    </w:pPr>
  </w:style>
  <w:style w:type="paragraph" w:styleId="ListBullet">
    <w:name w:val="List Bullet"/>
    <w:basedOn w:val="Normal"/>
    <w:uiPriority w:val="99"/>
    <w:semiHidden/>
    <w:unhideWhenUsed/>
    <w:locked/>
    <w:rsid w:val="00367110"/>
    <w:pPr>
      <w:numPr>
        <w:numId w:val="9"/>
      </w:numPr>
      <w:contextualSpacing/>
    </w:pPr>
  </w:style>
  <w:style w:type="paragraph" w:styleId="ListBullet2">
    <w:name w:val="List Bullet 2"/>
    <w:basedOn w:val="Normal"/>
    <w:uiPriority w:val="99"/>
    <w:semiHidden/>
    <w:unhideWhenUsed/>
    <w:locked/>
    <w:rsid w:val="00367110"/>
    <w:pPr>
      <w:numPr>
        <w:numId w:val="10"/>
      </w:numPr>
      <w:contextualSpacing/>
    </w:pPr>
  </w:style>
  <w:style w:type="paragraph" w:styleId="ListBullet3">
    <w:name w:val="List Bullet 3"/>
    <w:basedOn w:val="Normal"/>
    <w:uiPriority w:val="99"/>
    <w:semiHidden/>
    <w:unhideWhenUsed/>
    <w:locked/>
    <w:rsid w:val="00367110"/>
    <w:pPr>
      <w:numPr>
        <w:numId w:val="11"/>
      </w:numPr>
      <w:contextualSpacing/>
    </w:pPr>
  </w:style>
  <w:style w:type="paragraph" w:styleId="ListBullet5">
    <w:name w:val="List Bullet 5"/>
    <w:basedOn w:val="Normal"/>
    <w:uiPriority w:val="99"/>
    <w:semiHidden/>
    <w:unhideWhenUsed/>
    <w:locked/>
    <w:rsid w:val="00367110"/>
    <w:pPr>
      <w:numPr>
        <w:numId w:val="12"/>
      </w:numPr>
      <w:contextualSpacing/>
    </w:pPr>
  </w:style>
  <w:style w:type="paragraph" w:styleId="ListContinue">
    <w:name w:val="List Continue"/>
    <w:basedOn w:val="Normal"/>
    <w:uiPriority w:val="99"/>
    <w:semiHidden/>
    <w:unhideWhenUsed/>
    <w:locked/>
    <w:rsid w:val="00367110"/>
    <w:pPr>
      <w:spacing w:after="120"/>
      <w:ind w:left="283"/>
      <w:contextualSpacing/>
    </w:pPr>
  </w:style>
  <w:style w:type="paragraph" w:styleId="ListContinue2">
    <w:name w:val="List Continue 2"/>
    <w:basedOn w:val="Normal"/>
    <w:uiPriority w:val="99"/>
    <w:semiHidden/>
    <w:unhideWhenUsed/>
    <w:locked/>
    <w:rsid w:val="00367110"/>
    <w:pPr>
      <w:spacing w:after="120"/>
      <w:ind w:left="566"/>
      <w:contextualSpacing/>
    </w:pPr>
  </w:style>
  <w:style w:type="paragraph" w:styleId="ListContinue3">
    <w:name w:val="List Continue 3"/>
    <w:basedOn w:val="Normal"/>
    <w:uiPriority w:val="99"/>
    <w:semiHidden/>
    <w:unhideWhenUsed/>
    <w:locked/>
    <w:rsid w:val="00367110"/>
    <w:pPr>
      <w:spacing w:after="120"/>
      <w:ind w:left="849"/>
      <w:contextualSpacing/>
    </w:pPr>
  </w:style>
  <w:style w:type="paragraph" w:styleId="ListContinue4">
    <w:name w:val="List Continue 4"/>
    <w:basedOn w:val="Normal"/>
    <w:uiPriority w:val="99"/>
    <w:semiHidden/>
    <w:unhideWhenUsed/>
    <w:locked/>
    <w:rsid w:val="00367110"/>
    <w:pPr>
      <w:spacing w:after="120"/>
      <w:ind w:left="1132"/>
      <w:contextualSpacing/>
    </w:pPr>
  </w:style>
  <w:style w:type="paragraph" w:styleId="ListContinue5">
    <w:name w:val="List Continue 5"/>
    <w:basedOn w:val="Normal"/>
    <w:uiPriority w:val="99"/>
    <w:semiHidden/>
    <w:unhideWhenUsed/>
    <w:locked/>
    <w:rsid w:val="00367110"/>
    <w:pPr>
      <w:spacing w:after="120"/>
      <w:ind w:left="1415"/>
      <w:contextualSpacing/>
    </w:pPr>
  </w:style>
  <w:style w:type="paragraph" w:styleId="ListNumber">
    <w:name w:val="List Number"/>
    <w:basedOn w:val="Normal"/>
    <w:uiPriority w:val="99"/>
    <w:semiHidden/>
    <w:unhideWhenUsed/>
    <w:locked/>
    <w:rsid w:val="00367110"/>
    <w:pPr>
      <w:numPr>
        <w:numId w:val="13"/>
      </w:numPr>
      <w:contextualSpacing/>
    </w:pPr>
  </w:style>
  <w:style w:type="paragraph" w:styleId="ListNumber2">
    <w:name w:val="List Number 2"/>
    <w:basedOn w:val="Normal"/>
    <w:uiPriority w:val="99"/>
    <w:semiHidden/>
    <w:unhideWhenUsed/>
    <w:locked/>
    <w:rsid w:val="00367110"/>
    <w:pPr>
      <w:numPr>
        <w:numId w:val="14"/>
      </w:numPr>
      <w:contextualSpacing/>
    </w:pPr>
  </w:style>
  <w:style w:type="paragraph" w:styleId="ListNumber3">
    <w:name w:val="List Number 3"/>
    <w:basedOn w:val="Normal"/>
    <w:uiPriority w:val="99"/>
    <w:semiHidden/>
    <w:unhideWhenUsed/>
    <w:locked/>
    <w:rsid w:val="00367110"/>
    <w:pPr>
      <w:numPr>
        <w:numId w:val="15"/>
      </w:numPr>
      <w:contextualSpacing/>
    </w:pPr>
  </w:style>
  <w:style w:type="paragraph" w:styleId="ListNumber4">
    <w:name w:val="List Number 4"/>
    <w:basedOn w:val="Normal"/>
    <w:uiPriority w:val="99"/>
    <w:semiHidden/>
    <w:unhideWhenUsed/>
    <w:locked/>
    <w:rsid w:val="00367110"/>
    <w:pPr>
      <w:numPr>
        <w:numId w:val="16"/>
      </w:numPr>
      <w:contextualSpacing/>
    </w:pPr>
  </w:style>
  <w:style w:type="paragraph" w:styleId="ListNumber5">
    <w:name w:val="List Number 5"/>
    <w:basedOn w:val="Normal"/>
    <w:uiPriority w:val="99"/>
    <w:semiHidden/>
    <w:unhideWhenUsed/>
    <w:locked/>
    <w:rsid w:val="00367110"/>
    <w:pPr>
      <w:numPr>
        <w:numId w:val="17"/>
      </w:numPr>
      <w:contextualSpacing/>
    </w:pPr>
  </w:style>
  <w:style w:type="paragraph" w:styleId="MacroText">
    <w:name w:val="macro"/>
    <w:link w:val="MacroTextChar"/>
    <w:uiPriority w:val="99"/>
    <w:semiHidden/>
    <w:unhideWhenUsed/>
    <w:locked/>
    <w:rsid w:val="0036711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67110"/>
    <w:rPr>
      <w:rFonts w:ascii="Consolas" w:hAnsi="Consolas" w:cs="Consolas"/>
      <w:sz w:val="20"/>
      <w:szCs w:val="20"/>
    </w:rPr>
  </w:style>
  <w:style w:type="paragraph" w:styleId="MessageHeader">
    <w:name w:val="Message Header"/>
    <w:basedOn w:val="Normal"/>
    <w:link w:val="MessageHeaderChar"/>
    <w:uiPriority w:val="99"/>
    <w:semiHidden/>
    <w:unhideWhenUsed/>
    <w:locked/>
    <w:rsid w:val="003671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6711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367110"/>
    <w:pPr>
      <w:ind w:left="720"/>
    </w:pPr>
  </w:style>
  <w:style w:type="paragraph" w:styleId="NoteHeading">
    <w:name w:val="Note Heading"/>
    <w:basedOn w:val="Normal"/>
    <w:next w:val="Normal"/>
    <w:link w:val="NoteHeadingChar"/>
    <w:uiPriority w:val="99"/>
    <w:semiHidden/>
    <w:unhideWhenUsed/>
    <w:locked/>
    <w:rsid w:val="00367110"/>
  </w:style>
  <w:style w:type="character" w:customStyle="1" w:styleId="NoteHeadingChar">
    <w:name w:val="Note Heading Char"/>
    <w:basedOn w:val="DefaultParagraphFont"/>
    <w:link w:val="NoteHeading"/>
    <w:uiPriority w:val="99"/>
    <w:semiHidden/>
    <w:rsid w:val="00367110"/>
    <w:rPr>
      <w:rFonts w:ascii="ZapfCalligr BT" w:hAnsi="ZapfCalligr BT" w:cs="ZapfCalligr BT"/>
    </w:rPr>
  </w:style>
  <w:style w:type="paragraph" w:styleId="Quote">
    <w:name w:val="Quote"/>
    <w:basedOn w:val="Normal"/>
    <w:next w:val="Normal"/>
    <w:link w:val="QuoteChar"/>
    <w:uiPriority w:val="29"/>
    <w:qFormat/>
    <w:rsid w:val="003671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7110"/>
    <w:rPr>
      <w:rFonts w:ascii="ZapfCalligr BT" w:hAnsi="ZapfCalligr BT" w:cs="ZapfCalligr BT"/>
      <w:i/>
      <w:iCs/>
      <w:color w:val="404040" w:themeColor="text1" w:themeTint="BF"/>
    </w:rPr>
  </w:style>
  <w:style w:type="paragraph" w:styleId="Salutation">
    <w:name w:val="Salutation"/>
    <w:basedOn w:val="Normal"/>
    <w:next w:val="Normal"/>
    <w:link w:val="SalutationChar"/>
    <w:uiPriority w:val="99"/>
    <w:semiHidden/>
    <w:unhideWhenUsed/>
    <w:locked/>
    <w:rsid w:val="00367110"/>
  </w:style>
  <w:style w:type="character" w:customStyle="1" w:styleId="SalutationChar">
    <w:name w:val="Salutation Char"/>
    <w:basedOn w:val="DefaultParagraphFont"/>
    <w:link w:val="Salutation"/>
    <w:uiPriority w:val="99"/>
    <w:semiHidden/>
    <w:rsid w:val="00367110"/>
    <w:rPr>
      <w:rFonts w:ascii="ZapfCalligr BT" w:hAnsi="ZapfCalligr BT" w:cs="ZapfCalligr BT"/>
    </w:rPr>
  </w:style>
  <w:style w:type="paragraph" w:styleId="Signature">
    <w:name w:val="Signature"/>
    <w:basedOn w:val="Normal"/>
    <w:link w:val="SignatureChar"/>
    <w:uiPriority w:val="99"/>
    <w:semiHidden/>
    <w:unhideWhenUsed/>
    <w:locked/>
    <w:rsid w:val="00367110"/>
    <w:pPr>
      <w:ind w:left="4252"/>
    </w:pPr>
  </w:style>
  <w:style w:type="character" w:customStyle="1" w:styleId="SignatureChar">
    <w:name w:val="Signature Char"/>
    <w:basedOn w:val="DefaultParagraphFont"/>
    <w:link w:val="Signature"/>
    <w:uiPriority w:val="99"/>
    <w:semiHidden/>
    <w:rsid w:val="00367110"/>
    <w:rPr>
      <w:rFonts w:ascii="ZapfCalligr BT" w:hAnsi="ZapfCalligr BT" w:cs="ZapfCalligr BT"/>
    </w:rPr>
  </w:style>
  <w:style w:type="paragraph" w:styleId="Subtitle">
    <w:name w:val="Subtitle"/>
    <w:basedOn w:val="Normal"/>
    <w:next w:val="Normal"/>
    <w:link w:val="SubtitleChar"/>
    <w:uiPriority w:val="11"/>
    <w:qFormat/>
    <w:locked/>
    <w:rsid w:val="0036711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67110"/>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locked/>
    <w:rsid w:val="00367110"/>
    <w:pPr>
      <w:ind w:left="220" w:hanging="220"/>
    </w:pPr>
  </w:style>
  <w:style w:type="paragraph" w:styleId="TableofFigures">
    <w:name w:val="table of figures"/>
    <w:basedOn w:val="Normal"/>
    <w:next w:val="Normal"/>
    <w:uiPriority w:val="99"/>
    <w:semiHidden/>
    <w:unhideWhenUsed/>
    <w:locked/>
    <w:rsid w:val="00367110"/>
  </w:style>
  <w:style w:type="paragraph" w:styleId="Title">
    <w:name w:val="Title"/>
    <w:basedOn w:val="Normal"/>
    <w:next w:val="Normal"/>
    <w:link w:val="TitleChar"/>
    <w:uiPriority w:val="10"/>
    <w:qFormat/>
    <w:locked/>
    <w:rsid w:val="003671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1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3671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367110"/>
    <w:pPr>
      <w:spacing w:after="100"/>
    </w:pPr>
  </w:style>
  <w:style w:type="paragraph" w:styleId="TOC2">
    <w:name w:val="toc 2"/>
    <w:basedOn w:val="Normal"/>
    <w:next w:val="Normal"/>
    <w:autoRedefine/>
    <w:uiPriority w:val="39"/>
    <w:semiHidden/>
    <w:unhideWhenUsed/>
    <w:locked/>
    <w:rsid w:val="00367110"/>
    <w:pPr>
      <w:spacing w:after="100"/>
      <w:ind w:left="220"/>
    </w:pPr>
  </w:style>
  <w:style w:type="paragraph" w:styleId="TOC3">
    <w:name w:val="toc 3"/>
    <w:basedOn w:val="Normal"/>
    <w:next w:val="Normal"/>
    <w:autoRedefine/>
    <w:uiPriority w:val="39"/>
    <w:semiHidden/>
    <w:unhideWhenUsed/>
    <w:locked/>
    <w:rsid w:val="00367110"/>
    <w:pPr>
      <w:spacing w:after="100"/>
      <w:ind w:left="440"/>
    </w:pPr>
  </w:style>
  <w:style w:type="paragraph" w:styleId="TOC4">
    <w:name w:val="toc 4"/>
    <w:basedOn w:val="Normal"/>
    <w:next w:val="Normal"/>
    <w:autoRedefine/>
    <w:uiPriority w:val="39"/>
    <w:semiHidden/>
    <w:unhideWhenUsed/>
    <w:locked/>
    <w:rsid w:val="00367110"/>
    <w:pPr>
      <w:spacing w:after="100"/>
      <w:ind w:left="660"/>
    </w:pPr>
  </w:style>
  <w:style w:type="paragraph" w:styleId="TOC5">
    <w:name w:val="toc 5"/>
    <w:basedOn w:val="Normal"/>
    <w:next w:val="Normal"/>
    <w:autoRedefine/>
    <w:uiPriority w:val="39"/>
    <w:semiHidden/>
    <w:unhideWhenUsed/>
    <w:locked/>
    <w:rsid w:val="00367110"/>
    <w:pPr>
      <w:spacing w:after="100"/>
      <w:ind w:left="880"/>
    </w:pPr>
  </w:style>
  <w:style w:type="paragraph" w:styleId="TOC6">
    <w:name w:val="toc 6"/>
    <w:basedOn w:val="Normal"/>
    <w:next w:val="Normal"/>
    <w:autoRedefine/>
    <w:uiPriority w:val="39"/>
    <w:semiHidden/>
    <w:unhideWhenUsed/>
    <w:locked/>
    <w:rsid w:val="00367110"/>
    <w:pPr>
      <w:spacing w:after="100"/>
      <w:ind w:left="1100"/>
    </w:pPr>
  </w:style>
  <w:style w:type="paragraph" w:styleId="TOC7">
    <w:name w:val="toc 7"/>
    <w:basedOn w:val="Normal"/>
    <w:next w:val="Normal"/>
    <w:autoRedefine/>
    <w:uiPriority w:val="39"/>
    <w:semiHidden/>
    <w:unhideWhenUsed/>
    <w:locked/>
    <w:rsid w:val="00367110"/>
    <w:pPr>
      <w:spacing w:after="100"/>
      <w:ind w:left="1320"/>
    </w:pPr>
  </w:style>
  <w:style w:type="paragraph" w:styleId="TOC8">
    <w:name w:val="toc 8"/>
    <w:basedOn w:val="Normal"/>
    <w:next w:val="Normal"/>
    <w:autoRedefine/>
    <w:uiPriority w:val="39"/>
    <w:semiHidden/>
    <w:unhideWhenUsed/>
    <w:locked/>
    <w:rsid w:val="00367110"/>
    <w:pPr>
      <w:spacing w:after="100"/>
      <w:ind w:left="1540"/>
    </w:pPr>
  </w:style>
  <w:style w:type="paragraph" w:styleId="TOC9">
    <w:name w:val="toc 9"/>
    <w:basedOn w:val="Normal"/>
    <w:next w:val="Normal"/>
    <w:autoRedefine/>
    <w:uiPriority w:val="39"/>
    <w:semiHidden/>
    <w:unhideWhenUsed/>
    <w:locked/>
    <w:rsid w:val="00367110"/>
    <w:pPr>
      <w:spacing w:after="100"/>
      <w:ind w:left="1760"/>
    </w:pPr>
  </w:style>
  <w:style w:type="paragraph" w:styleId="TOCHeading">
    <w:name w:val="TOC Heading"/>
    <w:basedOn w:val="Heading1"/>
    <w:next w:val="Normal"/>
    <w:uiPriority w:val="39"/>
    <w:semiHidden/>
    <w:unhideWhenUsed/>
    <w:qFormat/>
    <w:rsid w:val="0036711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89">
      <w:bodyDiv w:val="1"/>
      <w:marLeft w:val="0"/>
      <w:marRight w:val="0"/>
      <w:marTop w:val="0"/>
      <w:marBottom w:val="0"/>
      <w:divBdr>
        <w:top w:val="none" w:sz="0" w:space="0" w:color="auto"/>
        <w:left w:val="none" w:sz="0" w:space="0" w:color="auto"/>
        <w:bottom w:val="none" w:sz="0" w:space="0" w:color="auto"/>
        <w:right w:val="none" w:sz="0" w:space="0" w:color="auto"/>
      </w:divBdr>
    </w:div>
    <w:div w:id="8258184">
      <w:bodyDiv w:val="1"/>
      <w:marLeft w:val="0"/>
      <w:marRight w:val="0"/>
      <w:marTop w:val="0"/>
      <w:marBottom w:val="0"/>
      <w:divBdr>
        <w:top w:val="none" w:sz="0" w:space="0" w:color="auto"/>
        <w:left w:val="none" w:sz="0" w:space="0" w:color="auto"/>
        <w:bottom w:val="none" w:sz="0" w:space="0" w:color="auto"/>
        <w:right w:val="none" w:sz="0" w:space="0" w:color="auto"/>
      </w:divBdr>
    </w:div>
    <w:div w:id="56629233">
      <w:bodyDiv w:val="1"/>
      <w:marLeft w:val="0"/>
      <w:marRight w:val="0"/>
      <w:marTop w:val="0"/>
      <w:marBottom w:val="0"/>
      <w:divBdr>
        <w:top w:val="none" w:sz="0" w:space="0" w:color="auto"/>
        <w:left w:val="none" w:sz="0" w:space="0" w:color="auto"/>
        <w:bottom w:val="none" w:sz="0" w:space="0" w:color="auto"/>
        <w:right w:val="none" w:sz="0" w:space="0" w:color="auto"/>
      </w:divBdr>
      <w:divsChild>
        <w:div w:id="1393774611">
          <w:marLeft w:val="446"/>
          <w:marRight w:val="0"/>
          <w:marTop w:val="0"/>
          <w:marBottom w:val="60"/>
          <w:divBdr>
            <w:top w:val="none" w:sz="0" w:space="0" w:color="auto"/>
            <w:left w:val="none" w:sz="0" w:space="0" w:color="auto"/>
            <w:bottom w:val="none" w:sz="0" w:space="0" w:color="auto"/>
            <w:right w:val="none" w:sz="0" w:space="0" w:color="auto"/>
          </w:divBdr>
        </w:div>
      </w:divsChild>
    </w:div>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2404634">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07453629">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29392980">
      <w:bodyDiv w:val="1"/>
      <w:marLeft w:val="0"/>
      <w:marRight w:val="0"/>
      <w:marTop w:val="0"/>
      <w:marBottom w:val="0"/>
      <w:divBdr>
        <w:top w:val="none" w:sz="0" w:space="0" w:color="auto"/>
        <w:left w:val="none" w:sz="0" w:space="0" w:color="auto"/>
        <w:bottom w:val="none" w:sz="0" w:space="0" w:color="auto"/>
        <w:right w:val="none" w:sz="0" w:space="0" w:color="auto"/>
      </w:divBdr>
    </w:div>
    <w:div w:id="247423903">
      <w:bodyDiv w:val="1"/>
      <w:marLeft w:val="0"/>
      <w:marRight w:val="0"/>
      <w:marTop w:val="0"/>
      <w:marBottom w:val="0"/>
      <w:divBdr>
        <w:top w:val="none" w:sz="0" w:space="0" w:color="auto"/>
        <w:left w:val="none" w:sz="0" w:space="0" w:color="auto"/>
        <w:bottom w:val="none" w:sz="0" w:space="0" w:color="auto"/>
        <w:right w:val="none" w:sz="0" w:space="0" w:color="auto"/>
      </w:divBdr>
      <w:divsChild>
        <w:div w:id="1920865832">
          <w:marLeft w:val="475"/>
          <w:marRight w:val="0"/>
          <w:marTop w:val="120"/>
          <w:marBottom w:val="0"/>
          <w:divBdr>
            <w:top w:val="none" w:sz="0" w:space="0" w:color="auto"/>
            <w:left w:val="none" w:sz="0" w:space="0" w:color="auto"/>
            <w:bottom w:val="none" w:sz="0" w:space="0" w:color="auto"/>
            <w:right w:val="none" w:sz="0" w:space="0" w:color="auto"/>
          </w:divBdr>
        </w:div>
      </w:divsChild>
    </w:div>
    <w:div w:id="254704495">
      <w:bodyDiv w:val="1"/>
      <w:marLeft w:val="0"/>
      <w:marRight w:val="0"/>
      <w:marTop w:val="0"/>
      <w:marBottom w:val="0"/>
      <w:divBdr>
        <w:top w:val="none" w:sz="0" w:space="0" w:color="auto"/>
        <w:left w:val="none" w:sz="0" w:space="0" w:color="auto"/>
        <w:bottom w:val="none" w:sz="0" w:space="0" w:color="auto"/>
        <w:right w:val="none" w:sz="0" w:space="0" w:color="auto"/>
      </w:divBdr>
      <w:divsChild>
        <w:div w:id="1689335372">
          <w:marLeft w:val="605"/>
          <w:marRight w:val="0"/>
          <w:marTop w:val="53"/>
          <w:marBottom w:val="60"/>
          <w:divBdr>
            <w:top w:val="none" w:sz="0" w:space="0" w:color="auto"/>
            <w:left w:val="none" w:sz="0" w:space="0" w:color="auto"/>
            <w:bottom w:val="none" w:sz="0" w:space="0" w:color="auto"/>
            <w:right w:val="none" w:sz="0" w:space="0" w:color="auto"/>
          </w:divBdr>
        </w:div>
        <w:div w:id="1871259561">
          <w:marLeft w:val="605"/>
          <w:marRight w:val="0"/>
          <w:marTop w:val="53"/>
          <w:marBottom w:val="6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274021546">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332148205">
      <w:bodyDiv w:val="1"/>
      <w:marLeft w:val="0"/>
      <w:marRight w:val="0"/>
      <w:marTop w:val="0"/>
      <w:marBottom w:val="0"/>
      <w:divBdr>
        <w:top w:val="none" w:sz="0" w:space="0" w:color="auto"/>
        <w:left w:val="none" w:sz="0" w:space="0" w:color="auto"/>
        <w:bottom w:val="none" w:sz="0" w:space="0" w:color="auto"/>
        <w:right w:val="none" w:sz="0" w:space="0" w:color="auto"/>
      </w:divBdr>
    </w:div>
    <w:div w:id="367268798">
      <w:bodyDiv w:val="1"/>
      <w:marLeft w:val="0"/>
      <w:marRight w:val="0"/>
      <w:marTop w:val="0"/>
      <w:marBottom w:val="0"/>
      <w:divBdr>
        <w:top w:val="none" w:sz="0" w:space="0" w:color="auto"/>
        <w:left w:val="none" w:sz="0" w:space="0" w:color="auto"/>
        <w:bottom w:val="none" w:sz="0" w:space="0" w:color="auto"/>
        <w:right w:val="none" w:sz="0" w:space="0" w:color="auto"/>
      </w:divBdr>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42118007">
      <w:bodyDiv w:val="1"/>
      <w:marLeft w:val="0"/>
      <w:marRight w:val="0"/>
      <w:marTop w:val="0"/>
      <w:marBottom w:val="0"/>
      <w:divBdr>
        <w:top w:val="none" w:sz="0" w:space="0" w:color="auto"/>
        <w:left w:val="none" w:sz="0" w:space="0" w:color="auto"/>
        <w:bottom w:val="none" w:sz="0" w:space="0" w:color="auto"/>
        <w:right w:val="none" w:sz="0" w:space="0" w:color="auto"/>
      </w:divBdr>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sChild>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592477569">
      <w:bodyDiv w:val="1"/>
      <w:marLeft w:val="0"/>
      <w:marRight w:val="0"/>
      <w:marTop w:val="0"/>
      <w:marBottom w:val="0"/>
      <w:divBdr>
        <w:top w:val="none" w:sz="0" w:space="0" w:color="auto"/>
        <w:left w:val="none" w:sz="0" w:space="0" w:color="auto"/>
        <w:bottom w:val="none" w:sz="0" w:space="0" w:color="auto"/>
        <w:right w:val="none" w:sz="0" w:space="0" w:color="auto"/>
      </w:divBdr>
    </w:div>
    <w:div w:id="618806203">
      <w:bodyDiv w:val="1"/>
      <w:marLeft w:val="0"/>
      <w:marRight w:val="0"/>
      <w:marTop w:val="0"/>
      <w:marBottom w:val="0"/>
      <w:divBdr>
        <w:top w:val="none" w:sz="0" w:space="0" w:color="auto"/>
        <w:left w:val="none" w:sz="0" w:space="0" w:color="auto"/>
        <w:bottom w:val="none" w:sz="0" w:space="0" w:color="auto"/>
        <w:right w:val="none" w:sz="0" w:space="0" w:color="auto"/>
      </w:divBdr>
    </w:div>
    <w:div w:id="633486865">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2321391">
      <w:bodyDiv w:val="1"/>
      <w:marLeft w:val="0"/>
      <w:marRight w:val="0"/>
      <w:marTop w:val="0"/>
      <w:marBottom w:val="0"/>
      <w:divBdr>
        <w:top w:val="none" w:sz="0" w:space="0" w:color="auto"/>
        <w:left w:val="none" w:sz="0" w:space="0" w:color="auto"/>
        <w:bottom w:val="none" w:sz="0" w:space="0" w:color="auto"/>
        <w:right w:val="none" w:sz="0" w:space="0" w:color="auto"/>
      </w:divBdr>
      <w:divsChild>
        <w:div w:id="1060252933">
          <w:marLeft w:val="446"/>
          <w:marRight w:val="0"/>
          <w:marTop w:val="0"/>
          <w:marBottom w:val="6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690375493">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06319117">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51725629">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985358703">
      <w:bodyDiv w:val="1"/>
      <w:marLeft w:val="0"/>
      <w:marRight w:val="0"/>
      <w:marTop w:val="0"/>
      <w:marBottom w:val="0"/>
      <w:divBdr>
        <w:top w:val="none" w:sz="0" w:space="0" w:color="auto"/>
        <w:left w:val="none" w:sz="0" w:space="0" w:color="auto"/>
        <w:bottom w:val="none" w:sz="0" w:space="0" w:color="auto"/>
        <w:right w:val="none" w:sz="0" w:space="0" w:color="auto"/>
      </w:divBdr>
    </w:div>
    <w:div w:id="1002272554">
      <w:bodyDiv w:val="1"/>
      <w:marLeft w:val="0"/>
      <w:marRight w:val="0"/>
      <w:marTop w:val="0"/>
      <w:marBottom w:val="0"/>
      <w:divBdr>
        <w:top w:val="none" w:sz="0" w:space="0" w:color="auto"/>
        <w:left w:val="none" w:sz="0" w:space="0" w:color="auto"/>
        <w:bottom w:val="none" w:sz="0" w:space="0" w:color="auto"/>
        <w:right w:val="none" w:sz="0" w:space="0" w:color="auto"/>
      </w:divBdr>
    </w:div>
    <w:div w:id="1009984965">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098136465">
      <w:bodyDiv w:val="1"/>
      <w:marLeft w:val="0"/>
      <w:marRight w:val="0"/>
      <w:marTop w:val="0"/>
      <w:marBottom w:val="0"/>
      <w:divBdr>
        <w:top w:val="none" w:sz="0" w:space="0" w:color="auto"/>
        <w:left w:val="none" w:sz="0" w:space="0" w:color="auto"/>
        <w:bottom w:val="none" w:sz="0" w:space="0" w:color="auto"/>
        <w:right w:val="none" w:sz="0" w:space="0" w:color="auto"/>
      </w:divBdr>
    </w:div>
    <w:div w:id="1136529322">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28877555">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48686365">
      <w:bodyDiv w:val="1"/>
      <w:marLeft w:val="0"/>
      <w:marRight w:val="0"/>
      <w:marTop w:val="0"/>
      <w:marBottom w:val="0"/>
      <w:divBdr>
        <w:top w:val="none" w:sz="0" w:space="0" w:color="auto"/>
        <w:left w:val="none" w:sz="0" w:space="0" w:color="auto"/>
        <w:bottom w:val="none" w:sz="0" w:space="0" w:color="auto"/>
        <w:right w:val="none" w:sz="0" w:space="0" w:color="auto"/>
      </w:divBdr>
    </w:div>
    <w:div w:id="1257713409">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4789591">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76850084">
      <w:bodyDiv w:val="1"/>
      <w:marLeft w:val="0"/>
      <w:marRight w:val="0"/>
      <w:marTop w:val="0"/>
      <w:marBottom w:val="0"/>
      <w:divBdr>
        <w:top w:val="none" w:sz="0" w:space="0" w:color="auto"/>
        <w:left w:val="none" w:sz="0" w:space="0" w:color="auto"/>
        <w:bottom w:val="none" w:sz="0" w:space="0" w:color="auto"/>
        <w:right w:val="none" w:sz="0" w:space="0" w:color="auto"/>
      </w:divBdr>
    </w:div>
    <w:div w:id="1379664649">
      <w:bodyDiv w:val="1"/>
      <w:marLeft w:val="0"/>
      <w:marRight w:val="0"/>
      <w:marTop w:val="0"/>
      <w:marBottom w:val="0"/>
      <w:divBdr>
        <w:top w:val="none" w:sz="0" w:space="0" w:color="auto"/>
        <w:left w:val="none" w:sz="0" w:space="0" w:color="auto"/>
        <w:bottom w:val="none" w:sz="0" w:space="0" w:color="auto"/>
        <w:right w:val="none" w:sz="0" w:space="0" w:color="auto"/>
      </w:divBdr>
    </w:div>
    <w:div w:id="1380130012">
      <w:bodyDiv w:val="1"/>
      <w:marLeft w:val="0"/>
      <w:marRight w:val="0"/>
      <w:marTop w:val="0"/>
      <w:marBottom w:val="0"/>
      <w:divBdr>
        <w:top w:val="none" w:sz="0" w:space="0" w:color="auto"/>
        <w:left w:val="none" w:sz="0" w:space="0" w:color="auto"/>
        <w:bottom w:val="none" w:sz="0" w:space="0" w:color="auto"/>
        <w:right w:val="none" w:sz="0" w:space="0" w:color="auto"/>
      </w:divBdr>
    </w:div>
    <w:div w:id="1386753027">
      <w:bodyDiv w:val="1"/>
      <w:marLeft w:val="0"/>
      <w:marRight w:val="0"/>
      <w:marTop w:val="0"/>
      <w:marBottom w:val="0"/>
      <w:divBdr>
        <w:top w:val="none" w:sz="0" w:space="0" w:color="auto"/>
        <w:left w:val="none" w:sz="0" w:space="0" w:color="auto"/>
        <w:bottom w:val="none" w:sz="0" w:space="0" w:color="auto"/>
        <w:right w:val="none" w:sz="0" w:space="0" w:color="auto"/>
      </w:divBdr>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2143031993">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109403163">
          <w:marLeft w:val="1166"/>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7267089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17619507">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62016192">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65497764">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786195111">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1900438174">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4184588">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16321267">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fisher.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fish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ebstat.banque-france.fr/en/browse.do?node=53843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enquiries@kingfisher.com" TargetMode="External"/><Relationship Id="rId5" Type="http://schemas.openxmlformats.org/officeDocument/2006/relationships/numbering" Target="numbering.xml"/><Relationship Id="rId15" Type="http://schemas.openxmlformats.org/officeDocument/2006/relationships/hyperlink" Target="http://www.kingfisher.com/index.asp?pageid=7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tcmarkets.com/stock/KGFHY/qu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C3D0A05BD9D4E8D6A7672631F5DF1" ma:contentTypeVersion="11" ma:contentTypeDescription="Create a new document." ma:contentTypeScope="" ma:versionID="63dfba6193ba2b2acd2134ccbecd7149">
  <xsd:schema xmlns:xsd="http://www.w3.org/2001/XMLSchema" xmlns:xs="http://www.w3.org/2001/XMLSchema" xmlns:p="http://schemas.microsoft.com/office/2006/metadata/properties" xmlns:ns3="c8d71ec3-9016-4c93-8238-763896966633" xmlns:ns4="d7c4a33e-2188-46e3-9122-e0ad85c68a11" targetNamespace="http://schemas.microsoft.com/office/2006/metadata/properties" ma:root="true" ma:fieldsID="79720e095ddc5e7c0a33055f045a5989" ns3:_="" ns4:_="">
    <xsd:import namespace="c8d71ec3-9016-4c93-8238-763896966633"/>
    <xsd:import namespace="d7c4a33e-2188-46e3-9122-e0ad85c68a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1ec3-9016-4c93-8238-7638969666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a33e-2188-46e3-9122-e0ad85c68a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A87E-2B1F-4EF7-8F6F-9262D1094854}">
  <ds:schemaRefs>
    <ds:schemaRef ds:uri="http://schemas.microsoft.com/sharepoint/v3/contenttype/forms"/>
  </ds:schemaRefs>
</ds:datastoreItem>
</file>

<file path=customXml/itemProps2.xml><?xml version="1.0" encoding="utf-8"?>
<ds:datastoreItem xmlns:ds="http://schemas.openxmlformats.org/officeDocument/2006/customXml" ds:itemID="{C4207ABA-7102-4322-A647-43484A44E53F}">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c8d71ec3-9016-4c93-8238-763896966633"/>
    <ds:schemaRef ds:uri="http://schemas.microsoft.com/office/2006/metadata/properties"/>
    <ds:schemaRef ds:uri="d7c4a33e-2188-46e3-9122-e0ad85c68a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02498DF-23D7-490F-97C8-971AE43C5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1ec3-9016-4c93-8238-763896966633"/>
    <ds:schemaRef ds:uri="d7c4a33e-2188-46e3-9122-e0ad85c68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8AEFA-B7D1-4913-A539-EB6D1C00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10162</Words>
  <Characters>53554</Characters>
  <Application>Microsoft Office Word</Application>
  <DocSecurity>0</DocSecurity>
  <Lines>4868</Lines>
  <Paragraphs>3353</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60363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woodward</dc:creator>
  <cp:lastModifiedBy>Georgios Michaelides</cp:lastModifiedBy>
  <cp:revision>3</cp:revision>
  <cp:lastPrinted>2019-09-13T16:30:00Z</cp:lastPrinted>
  <dcterms:created xsi:type="dcterms:W3CDTF">2019-09-17T19:12:00Z</dcterms:created>
  <dcterms:modified xsi:type="dcterms:W3CDTF">2019-09-17T19:17:00Z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y fmtid="{D5CDD505-2E9C-101B-9397-08002B2CF9AE}" pid="3" name="ContentTypeId">
    <vt:lpwstr>0x010100558C3D0A05BD9D4E8D6A7672631F5DF1</vt:lpwstr>
  </property>
</Properties>
</file>