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8ECD" w14:textId="24FEC659" w:rsidR="00C52B32" w:rsidRPr="00EB4495" w:rsidRDefault="00A2307C" w:rsidP="00C52B32">
      <w:pPr>
        <w:jc w:val="center"/>
        <w:rPr>
          <w:rFonts w:ascii="Arial" w:hAnsi="Arial" w:cs="Arial"/>
          <w:b/>
          <w:color w:val="0070C0"/>
          <w:sz w:val="24"/>
          <w:szCs w:val="20"/>
        </w:rPr>
      </w:pPr>
      <w:r w:rsidRPr="00EB4495">
        <w:rPr>
          <w:rFonts w:ascii="Arial" w:hAnsi="Arial" w:cs="Arial"/>
          <w:b/>
          <w:color w:val="0070C0"/>
          <w:sz w:val="24"/>
          <w:szCs w:val="20"/>
        </w:rPr>
        <w:t>Final</w:t>
      </w:r>
      <w:r w:rsidR="00C52B32" w:rsidRPr="00EB4495">
        <w:rPr>
          <w:rFonts w:ascii="Arial" w:hAnsi="Arial" w:cs="Arial"/>
          <w:b/>
          <w:color w:val="0070C0"/>
          <w:sz w:val="24"/>
          <w:szCs w:val="20"/>
        </w:rPr>
        <w:t xml:space="preserve"> results for the </w:t>
      </w:r>
      <w:r w:rsidRPr="00EB4495">
        <w:rPr>
          <w:rFonts w:ascii="Arial" w:hAnsi="Arial" w:cs="Arial"/>
          <w:b/>
          <w:color w:val="0070C0"/>
          <w:sz w:val="24"/>
          <w:szCs w:val="20"/>
        </w:rPr>
        <w:t>year</w:t>
      </w:r>
      <w:r w:rsidR="00C52B32" w:rsidRPr="00EB4495">
        <w:rPr>
          <w:rFonts w:ascii="Arial" w:hAnsi="Arial" w:cs="Arial"/>
          <w:b/>
          <w:color w:val="0070C0"/>
          <w:sz w:val="24"/>
          <w:szCs w:val="20"/>
        </w:rPr>
        <w:t xml:space="preserve"> ended 31 J</w:t>
      </w:r>
      <w:r w:rsidRPr="00EB4495">
        <w:rPr>
          <w:rFonts w:ascii="Arial" w:hAnsi="Arial" w:cs="Arial"/>
          <w:b/>
          <w:color w:val="0070C0"/>
          <w:sz w:val="24"/>
          <w:szCs w:val="20"/>
        </w:rPr>
        <w:t>anuar</w:t>
      </w:r>
      <w:r w:rsidR="00C52B32" w:rsidRPr="00EB4495">
        <w:rPr>
          <w:rFonts w:ascii="Arial" w:hAnsi="Arial" w:cs="Arial"/>
          <w:b/>
          <w:color w:val="0070C0"/>
          <w:sz w:val="24"/>
          <w:szCs w:val="20"/>
        </w:rPr>
        <w:t>y 202</w:t>
      </w:r>
      <w:r w:rsidR="00221BB9" w:rsidRPr="00EB4495">
        <w:rPr>
          <w:rFonts w:ascii="Arial" w:hAnsi="Arial" w:cs="Arial"/>
          <w:b/>
          <w:color w:val="0070C0"/>
          <w:sz w:val="24"/>
          <w:szCs w:val="20"/>
        </w:rPr>
        <w:t>2</w:t>
      </w:r>
    </w:p>
    <w:p w14:paraId="112B3E6B" w14:textId="77777777" w:rsidR="00C52B32" w:rsidRPr="00EB4495" w:rsidRDefault="00C52B32" w:rsidP="00C52B32">
      <w:pPr>
        <w:jc w:val="center"/>
        <w:rPr>
          <w:rFonts w:ascii="Arial" w:hAnsi="Arial" w:cs="Arial"/>
          <w:b/>
          <w:color w:val="0070C0"/>
          <w:sz w:val="24"/>
          <w:szCs w:val="20"/>
        </w:rPr>
      </w:pPr>
      <w:r w:rsidRPr="00EB4495">
        <w:rPr>
          <w:rFonts w:ascii="Arial" w:hAnsi="Arial" w:cs="Arial"/>
          <w:b/>
          <w:color w:val="0070C0"/>
          <w:sz w:val="24"/>
          <w:szCs w:val="20"/>
        </w:rPr>
        <w:t xml:space="preserve"> </w:t>
      </w:r>
    </w:p>
    <w:tbl>
      <w:tblPr>
        <w:tblStyle w:val="TableGrid"/>
        <w:tblW w:w="10086" w:type="dxa"/>
        <w:tblLayout w:type="fixed"/>
        <w:tblLook w:val="04A0" w:firstRow="1" w:lastRow="0" w:firstColumn="1" w:lastColumn="0" w:noHBand="0" w:noVBand="1"/>
      </w:tblPr>
      <w:tblGrid>
        <w:gridCol w:w="10086"/>
      </w:tblGrid>
      <w:tr w:rsidR="00C52B32" w:rsidRPr="00EB4495" w14:paraId="49A4A651" w14:textId="77777777" w:rsidTr="00810FD1">
        <w:tc>
          <w:tcPr>
            <w:tcW w:w="10086" w:type="dxa"/>
          </w:tcPr>
          <w:tbl>
            <w:tblPr>
              <w:tblStyle w:val="TableGrid"/>
              <w:tblW w:w="10006" w:type="dxa"/>
              <w:tblLayout w:type="fixed"/>
              <w:tblLook w:val="04A0" w:firstRow="1" w:lastRow="0" w:firstColumn="1" w:lastColumn="0" w:noHBand="0" w:noVBand="1"/>
            </w:tblPr>
            <w:tblGrid>
              <w:gridCol w:w="3458"/>
              <w:gridCol w:w="1327"/>
              <w:gridCol w:w="1327"/>
              <w:gridCol w:w="1298"/>
              <w:gridCol w:w="1298"/>
              <w:gridCol w:w="1298"/>
            </w:tblGrid>
            <w:tr w:rsidR="00C52B32" w:rsidRPr="00EB4495" w14:paraId="0AFB704A" w14:textId="77777777" w:rsidTr="007D6F54">
              <w:trPr>
                <w:trHeight w:val="539"/>
              </w:trPr>
              <w:tc>
                <w:tcPr>
                  <w:tcW w:w="3458" w:type="dxa"/>
                  <w:tcBorders>
                    <w:top w:val="nil"/>
                    <w:left w:val="nil"/>
                    <w:bottom w:val="nil"/>
                    <w:right w:val="nil"/>
                  </w:tcBorders>
                  <w:vAlign w:val="center"/>
                </w:tcPr>
                <w:p w14:paraId="43065095" w14:textId="77777777" w:rsidR="00C52B32" w:rsidRPr="00EB4495" w:rsidRDefault="00C52B32" w:rsidP="006F23A9">
                  <w:pPr>
                    <w:jc w:val="left"/>
                    <w:rPr>
                      <w:rFonts w:ascii="Arial" w:hAnsi="Arial" w:cs="Arial"/>
                      <w:sz w:val="22"/>
                      <w:szCs w:val="22"/>
                    </w:rPr>
                  </w:pPr>
                  <w:bookmarkStart w:id="0" w:name="_Hlk80965152"/>
                  <w:bookmarkStart w:id="1" w:name="_Hlk524465105"/>
                  <w:r w:rsidRPr="00EB4495">
                    <w:rPr>
                      <w:rFonts w:ascii="Arial" w:hAnsi="Arial" w:cs="Arial"/>
                      <w:b/>
                      <w:bCs/>
                      <w:sz w:val="22"/>
                      <w:szCs w:val="22"/>
                    </w:rPr>
                    <w:t>Financial summary</w:t>
                  </w:r>
                </w:p>
              </w:tc>
              <w:tc>
                <w:tcPr>
                  <w:tcW w:w="1327" w:type="dxa"/>
                  <w:tcBorders>
                    <w:top w:val="nil"/>
                    <w:left w:val="nil"/>
                    <w:bottom w:val="nil"/>
                    <w:right w:val="nil"/>
                  </w:tcBorders>
                  <w:vAlign w:val="center"/>
                </w:tcPr>
                <w:p w14:paraId="644E496E" w14:textId="77777777" w:rsidR="00C52B32" w:rsidRPr="00EB4495" w:rsidRDefault="00C52B32" w:rsidP="003D54FC">
                  <w:pPr>
                    <w:jc w:val="right"/>
                    <w:rPr>
                      <w:rFonts w:ascii="Arial" w:hAnsi="Arial" w:cs="Arial"/>
                      <w:sz w:val="22"/>
                      <w:szCs w:val="22"/>
                    </w:rPr>
                  </w:pPr>
                </w:p>
              </w:tc>
              <w:tc>
                <w:tcPr>
                  <w:tcW w:w="1327" w:type="dxa"/>
                  <w:tcBorders>
                    <w:top w:val="nil"/>
                    <w:left w:val="nil"/>
                    <w:bottom w:val="nil"/>
                    <w:right w:val="nil"/>
                  </w:tcBorders>
                  <w:vAlign w:val="center"/>
                </w:tcPr>
                <w:p w14:paraId="2A63F0FB" w14:textId="77777777" w:rsidR="00C52B32" w:rsidRPr="00EB4495" w:rsidRDefault="00C52B32" w:rsidP="003D54FC">
                  <w:pPr>
                    <w:jc w:val="right"/>
                    <w:rPr>
                      <w:rFonts w:ascii="Arial" w:hAnsi="Arial" w:cs="Arial"/>
                      <w:sz w:val="22"/>
                      <w:szCs w:val="22"/>
                    </w:rPr>
                  </w:pPr>
                </w:p>
              </w:tc>
              <w:tc>
                <w:tcPr>
                  <w:tcW w:w="1298" w:type="dxa"/>
                  <w:tcBorders>
                    <w:top w:val="nil"/>
                    <w:left w:val="nil"/>
                    <w:bottom w:val="single" w:sz="4" w:space="0" w:color="auto"/>
                    <w:right w:val="nil"/>
                  </w:tcBorders>
                  <w:vAlign w:val="center"/>
                </w:tcPr>
                <w:p w14:paraId="572095DD" w14:textId="77777777" w:rsidR="00C52B32" w:rsidRPr="00EB4495" w:rsidRDefault="00C52B32" w:rsidP="003D54FC">
                  <w:pPr>
                    <w:jc w:val="right"/>
                    <w:rPr>
                      <w:rFonts w:ascii="Arial" w:hAnsi="Arial" w:cs="Arial"/>
                      <w:sz w:val="22"/>
                      <w:szCs w:val="22"/>
                    </w:rPr>
                  </w:pPr>
                  <w:r w:rsidRPr="00EB4495">
                    <w:rPr>
                      <w:rFonts w:ascii="Arial" w:hAnsi="Arial" w:cs="Arial"/>
                      <w:b/>
                      <w:bCs/>
                      <w:sz w:val="22"/>
                      <w:szCs w:val="22"/>
                    </w:rPr>
                    <w:t>% Total Change</w:t>
                  </w:r>
                </w:p>
              </w:tc>
              <w:tc>
                <w:tcPr>
                  <w:tcW w:w="1298" w:type="dxa"/>
                  <w:tcBorders>
                    <w:top w:val="nil"/>
                    <w:left w:val="nil"/>
                    <w:bottom w:val="single" w:sz="4" w:space="0" w:color="auto"/>
                    <w:right w:val="nil"/>
                  </w:tcBorders>
                  <w:vAlign w:val="center"/>
                </w:tcPr>
                <w:p w14:paraId="18222078" w14:textId="77777777" w:rsidR="00C52B32" w:rsidRPr="00EB4495" w:rsidRDefault="00C52B32" w:rsidP="003D54FC">
                  <w:pPr>
                    <w:jc w:val="right"/>
                    <w:rPr>
                      <w:rFonts w:ascii="Arial" w:hAnsi="Arial" w:cs="Arial"/>
                      <w:sz w:val="22"/>
                      <w:szCs w:val="22"/>
                    </w:rPr>
                  </w:pPr>
                  <w:r w:rsidRPr="00EB4495">
                    <w:rPr>
                      <w:rFonts w:ascii="Arial" w:hAnsi="Arial" w:cs="Arial"/>
                      <w:b/>
                      <w:bCs/>
                      <w:sz w:val="22"/>
                      <w:szCs w:val="22"/>
                    </w:rPr>
                    <w:t>% Total Change</w:t>
                  </w:r>
                </w:p>
              </w:tc>
              <w:tc>
                <w:tcPr>
                  <w:tcW w:w="1298" w:type="dxa"/>
                  <w:tcBorders>
                    <w:top w:val="nil"/>
                    <w:left w:val="nil"/>
                    <w:bottom w:val="single" w:sz="4" w:space="0" w:color="auto"/>
                    <w:right w:val="nil"/>
                  </w:tcBorders>
                  <w:vAlign w:val="center"/>
                </w:tcPr>
                <w:p w14:paraId="7044659F" w14:textId="77777777" w:rsidR="00C52B32" w:rsidRPr="00EB4495" w:rsidRDefault="00C52B32" w:rsidP="003D54FC">
                  <w:pPr>
                    <w:jc w:val="right"/>
                    <w:rPr>
                      <w:rFonts w:ascii="Arial" w:hAnsi="Arial" w:cs="Arial"/>
                      <w:sz w:val="22"/>
                      <w:szCs w:val="22"/>
                    </w:rPr>
                  </w:pPr>
                  <w:r w:rsidRPr="00EB4495">
                    <w:rPr>
                      <w:rFonts w:ascii="Arial" w:hAnsi="Arial" w:cs="Arial"/>
                      <w:b/>
                      <w:bCs/>
                      <w:sz w:val="22"/>
                      <w:szCs w:val="22"/>
                    </w:rPr>
                    <w:t>% LFL* Change</w:t>
                  </w:r>
                </w:p>
              </w:tc>
            </w:tr>
            <w:tr w:rsidR="00C52B32" w:rsidRPr="00EB4495" w14:paraId="048A4ECA" w14:textId="77777777" w:rsidTr="007D6F54">
              <w:trPr>
                <w:trHeight w:val="539"/>
              </w:trPr>
              <w:tc>
                <w:tcPr>
                  <w:tcW w:w="3458" w:type="dxa"/>
                  <w:tcBorders>
                    <w:top w:val="nil"/>
                    <w:left w:val="nil"/>
                    <w:bottom w:val="single" w:sz="4" w:space="0" w:color="auto"/>
                    <w:right w:val="nil"/>
                  </w:tcBorders>
                  <w:vAlign w:val="center"/>
                </w:tcPr>
                <w:p w14:paraId="6B0F6D2B" w14:textId="77777777" w:rsidR="00C52B32" w:rsidRPr="00EB4495" w:rsidRDefault="00C52B32" w:rsidP="006F23A9">
                  <w:pPr>
                    <w:jc w:val="left"/>
                    <w:rPr>
                      <w:rFonts w:ascii="Arial" w:hAnsi="Arial" w:cs="Arial"/>
                      <w:sz w:val="22"/>
                      <w:szCs w:val="22"/>
                    </w:rPr>
                  </w:pPr>
                </w:p>
              </w:tc>
              <w:tc>
                <w:tcPr>
                  <w:tcW w:w="1327" w:type="dxa"/>
                  <w:tcBorders>
                    <w:top w:val="nil"/>
                    <w:left w:val="nil"/>
                    <w:bottom w:val="single" w:sz="4" w:space="0" w:color="auto"/>
                    <w:right w:val="nil"/>
                  </w:tcBorders>
                  <w:vAlign w:val="center"/>
                </w:tcPr>
                <w:p w14:paraId="49DC03DB" w14:textId="77777777" w:rsidR="00C52B32" w:rsidRPr="00EB4495" w:rsidRDefault="00C52B32" w:rsidP="003D54FC">
                  <w:pPr>
                    <w:jc w:val="right"/>
                    <w:rPr>
                      <w:rFonts w:ascii="Arial" w:hAnsi="Arial" w:cs="Arial"/>
                      <w:b/>
                      <w:bCs/>
                      <w:sz w:val="22"/>
                      <w:szCs w:val="22"/>
                    </w:rPr>
                  </w:pPr>
                  <w:r w:rsidRPr="00EB4495">
                    <w:rPr>
                      <w:rFonts w:ascii="Arial" w:hAnsi="Arial" w:cs="Arial"/>
                      <w:b/>
                      <w:bCs/>
                      <w:sz w:val="22"/>
                      <w:szCs w:val="22"/>
                    </w:rPr>
                    <w:t>2021/22</w:t>
                  </w:r>
                </w:p>
              </w:tc>
              <w:tc>
                <w:tcPr>
                  <w:tcW w:w="1327" w:type="dxa"/>
                  <w:tcBorders>
                    <w:top w:val="nil"/>
                    <w:left w:val="nil"/>
                    <w:bottom w:val="single" w:sz="4" w:space="0" w:color="auto"/>
                    <w:right w:val="nil"/>
                  </w:tcBorders>
                  <w:vAlign w:val="center"/>
                </w:tcPr>
                <w:p w14:paraId="188CBE81" w14:textId="77777777" w:rsidR="00C52B32" w:rsidRPr="00EB4495" w:rsidRDefault="00C52B32" w:rsidP="003D54FC">
                  <w:pPr>
                    <w:jc w:val="right"/>
                    <w:rPr>
                      <w:rFonts w:ascii="Arial" w:hAnsi="Arial" w:cs="Arial"/>
                      <w:b/>
                      <w:bCs/>
                      <w:sz w:val="22"/>
                      <w:szCs w:val="22"/>
                    </w:rPr>
                  </w:pPr>
                  <w:r w:rsidRPr="00EB4495">
                    <w:rPr>
                      <w:rFonts w:ascii="Arial" w:hAnsi="Arial" w:cs="Arial"/>
                      <w:b/>
                      <w:bCs/>
                      <w:sz w:val="22"/>
                      <w:szCs w:val="22"/>
                    </w:rPr>
                    <w:t>2020/21</w:t>
                  </w:r>
                </w:p>
              </w:tc>
              <w:tc>
                <w:tcPr>
                  <w:tcW w:w="1298" w:type="dxa"/>
                  <w:tcBorders>
                    <w:top w:val="single" w:sz="4" w:space="0" w:color="auto"/>
                    <w:left w:val="nil"/>
                    <w:bottom w:val="single" w:sz="4" w:space="0" w:color="auto"/>
                    <w:right w:val="nil"/>
                  </w:tcBorders>
                  <w:vAlign w:val="center"/>
                </w:tcPr>
                <w:p w14:paraId="6A751B73" w14:textId="77777777" w:rsidR="00C52B32" w:rsidRPr="00EB4495" w:rsidRDefault="00C52B32" w:rsidP="003D54FC">
                  <w:pPr>
                    <w:jc w:val="right"/>
                    <w:rPr>
                      <w:rFonts w:ascii="Arial" w:hAnsi="Arial" w:cs="Arial"/>
                      <w:b/>
                      <w:bCs/>
                      <w:sz w:val="22"/>
                      <w:szCs w:val="22"/>
                    </w:rPr>
                  </w:pPr>
                  <w:r w:rsidRPr="00EB4495">
                    <w:rPr>
                      <w:rFonts w:ascii="Arial" w:hAnsi="Arial" w:cs="Arial"/>
                      <w:b/>
                      <w:bCs/>
                      <w:sz w:val="22"/>
                      <w:szCs w:val="22"/>
                    </w:rPr>
                    <w:t>Reported</w:t>
                  </w:r>
                </w:p>
              </w:tc>
              <w:tc>
                <w:tcPr>
                  <w:tcW w:w="1298" w:type="dxa"/>
                  <w:tcBorders>
                    <w:top w:val="single" w:sz="4" w:space="0" w:color="auto"/>
                    <w:left w:val="nil"/>
                    <w:bottom w:val="single" w:sz="4" w:space="0" w:color="auto"/>
                    <w:right w:val="nil"/>
                  </w:tcBorders>
                  <w:vAlign w:val="center"/>
                </w:tcPr>
                <w:p w14:paraId="29AAFAA6" w14:textId="77777777" w:rsidR="00C52B32" w:rsidRPr="00EB4495" w:rsidRDefault="00C52B32" w:rsidP="003D54FC">
                  <w:pPr>
                    <w:jc w:val="right"/>
                    <w:rPr>
                      <w:rFonts w:ascii="Arial" w:hAnsi="Arial" w:cs="Arial"/>
                      <w:b/>
                      <w:bCs/>
                      <w:sz w:val="22"/>
                      <w:szCs w:val="22"/>
                    </w:rPr>
                  </w:pPr>
                  <w:r w:rsidRPr="00EB4495">
                    <w:rPr>
                      <w:rFonts w:ascii="Arial" w:hAnsi="Arial" w:cs="Arial"/>
                      <w:b/>
                      <w:bCs/>
                      <w:sz w:val="22"/>
                      <w:szCs w:val="22"/>
                    </w:rPr>
                    <w:t>Constant currency*</w:t>
                  </w:r>
                </w:p>
              </w:tc>
              <w:tc>
                <w:tcPr>
                  <w:tcW w:w="1298" w:type="dxa"/>
                  <w:tcBorders>
                    <w:top w:val="single" w:sz="4" w:space="0" w:color="auto"/>
                    <w:left w:val="nil"/>
                    <w:bottom w:val="single" w:sz="4" w:space="0" w:color="auto"/>
                    <w:right w:val="nil"/>
                  </w:tcBorders>
                  <w:vAlign w:val="center"/>
                </w:tcPr>
                <w:p w14:paraId="1F5E6D0D" w14:textId="77777777" w:rsidR="00C52B32" w:rsidRPr="00EB4495" w:rsidRDefault="00C52B32" w:rsidP="003D54FC">
                  <w:pPr>
                    <w:jc w:val="right"/>
                    <w:rPr>
                      <w:rFonts w:ascii="Arial" w:hAnsi="Arial" w:cs="Arial"/>
                      <w:b/>
                      <w:bCs/>
                      <w:sz w:val="22"/>
                      <w:szCs w:val="22"/>
                    </w:rPr>
                  </w:pPr>
                  <w:r w:rsidRPr="00EB4495">
                    <w:rPr>
                      <w:rFonts w:ascii="Arial" w:hAnsi="Arial" w:cs="Arial"/>
                      <w:b/>
                      <w:bCs/>
                      <w:sz w:val="22"/>
                      <w:szCs w:val="22"/>
                    </w:rPr>
                    <w:t>Constant currency</w:t>
                  </w:r>
                </w:p>
              </w:tc>
            </w:tr>
            <w:tr w:rsidR="00B273A9" w:rsidRPr="00EB4495" w14:paraId="24049999" w14:textId="77777777" w:rsidTr="007D6F54">
              <w:trPr>
                <w:trHeight w:val="269"/>
              </w:trPr>
              <w:tc>
                <w:tcPr>
                  <w:tcW w:w="3458" w:type="dxa"/>
                  <w:tcBorders>
                    <w:top w:val="single" w:sz="4" w:space="0" w:color="auto"/>
                    <w:left w:val="nil"/>
                    <w:bottom w:val="nil"/>
                    <w:right w:val="nil"/>
                  </w:tcBorders>
                  <w:vAlign w:val="center"/>
                </w:tcPr>
                <w:p w14:paraId="48FD3E4D" w14:textId="609E7440" w:rsidR="00B273A9" w:rsidRPr="00EB4495" w:rsidRDefault="00B273A9" w:rsidP="006F23A9">
                  <w:pPr>
                    <w:jc w:val="left"/>
                    <w:rPr>
                      <w:rFonts w:ascii="Arial" w:hAnsi="Arial" w:cs="Arial"/>
                      <w:sz w:val="22"/>
                      <w:szCs w:val="22"/>
                    </w:rPr>
                  </w:pPr>
                  <w:r w:rsidRPr="00EB4495">
                    <w:rPr>
                      <w:rFonts w:ascii="Arial" w:hAnsi="Arial" w:cs="Arial"/>
                      <w:sz w:val="22"/>
                      <w:szCs w:val="22"/>
                    </w:rPr>
                    <w:t>Sales</w:t>
                  </w:r>
                </w:p>
              </w:tc>
              <w:tc>
                <w:tcPr>
                  <w:tcW w:w="1327" w:type="dxa"/>
                  <w:tcBorders>
                    <w:top w:val="single" w:sz="4" w:space="0" w:color="auto"/>
                    <w:left w:val="nil"/>
                    <w:bottom w:val="nil"/>
                    <w:right w:val="nil"/>
                  </w:tcBorders>
                  <w:vAlign w:val="center"/>
                </w:tcPr>
                <w:p w14:paraId="364BDC2D" w14:textId="3E81D062" w:rsidR="00B273A9" w:rsidRPr="00EB4495" w:rsidRDefault="00B273A9" w:rsidP="003D54FC">
                  <w:pPr>
                    <w:jc w:val="right"/>
                    <w:rPr>
                      <w:rFonts w:ascii="Arial" w:hAnsi="Arial" w:cs="Arial"/>
                      <w:sz w:val="22"/>
                      <w:szCs w:val="22"/>
                    </w:rPr>
                  </w:pPr>
                  <w:r w:rsidRPr="00EB4495">
                    <w:rPr>
                      <w:rFonts w:ascii="Arial" w:hAnsi="Arial" w:cs="Arial"/>
                      <w:sz w:val="22"/>
                      <w:szCs w:val="22"/>
                    </w:rPr>
                    <w:t>£</w:t>
                  </w:r>
                  <w:r w:rsidR="0012229C" w:rsidRPr="00EB4495">
                    <w:rPr>
                      <w:rFonts w:ascii="Arial" w:hAnsi="Arial" w:cs="Arial"/>
                      <w:sz w:val="22"/>
                      <w:szCs w:val="22"/>
                    </w:rPr>
                    <w:t>13,183</w:t>
                  </w:r>
                  <w:r w:rsidRPr="00EB4495">
                    <w:rPr>
                      <w:rFonts w:ascii="Arial" w:hAnsi="Arial" w:cs="Arial"/>
                      <w:sz w:val="22"/>
                      <w:szCs w:val="22"/>
                    </w:rPr>
                    <w:t>m</w:t>
                  </w:r>
                </w:p>
              </w:tc>
              <w:tc>
                <w:tcPr>
                  <w:tcW w:w="1327" w:type="dxa"/>
                  <w:tcBorders>
                    <w:top w:val="single" w:sz="4" w:space="0" w:color="auto"/>
                    <w:left w:val="nil"/>
                    <w:bottom w:val="nil"/>
                    <w:right w:val="nil"/>
                  </w:tcBorders>
                  <w:shd w:val="clear" w:color="auto" w:fill="auto"/>
                  <w:vAlign w:val="center"/>
                </w:tcPr>
                <w:p w14:paraId="174A79C6" w14:textId="1E9DEAA8" w:rsidR="00B273A9" w:rsidRPr="00EB4495" w:rsidRDefault="00B273A9" w:rsidP="003D54FC">
                  <w:pPr>
                    <w:jc w:val="right"/>
                    <w:rPr>
                      <w:rFonts w:ascii="Arial" w:hAnsi="Arial" w:cs="Arial"/>
                      <w:sz w:val="22"/>
                      <w:szCs w:val="22"/>
                    </w:rPr>
                  </w:pPr>
                  <w:r w:rsidRPr="00EB4495">
                    <w:rPr>
                      <w:rFonts w:ascii="Arial" w:hAnsi="Arial" w:cs="Arial"/>
                      <w:sz w:val="22"/>
                      <w:szCs w:val="22"/>
                    </w:rPr>
                    <w:t>£12,343m</w:t>
                  </w:r>
                </w:p>
              </w:tc>
              <w:tc>
                <w:tcPr>
                  <w:tcW w:w="1298" w:type="dxa"/>
                  <w:tcBorders>
                    <w:top w:val="single" w:sz="4" w:space="0" w:color="auto"/>
                    <w:left w:val="nil"/>
                    <w:bottom w:val="nil"/>
                    <w:right w:val="nil"/>
                  </w:tcBorders>
                  <w:vAlign w:val="center"/>
                </w:tcPr>
                <w:p w14:paraId="1F2E6917" w14:textId="063D5ECA" w:rsidR="00B273A9" w:rsidRPr="00EB4495" w:rsidRDefault="00B273A9" w:rsidP="003D54FC">
                  <w:pPr>
                    <w:jc w:val="right"/>
                    <w:rPr>
                      <w:rFonts w:ascii="Arial" w:hAnsi="Arial" w:cs="Arial"/>
                      <w:sz w:val="22"/>
                      <w:szCs w:val="22"/>
                    </w:rPr>
                  </w:pPr>
                  <w:r w:rsidRPr="00EB4495">
                    <w:rPr>
                      <w:rFonts w:ascii="Arial" w:hAnsi="Arial" w:cs="Arial"/>
                      <w:sz w:val="22"/>
                      <w:szCs w:val="22"/>
                    </w:rPr>
                    <w:t>+</w:t>
                  </w:r>
                  <w:r w:rsidR="001E41AD" w:rsidRPr="00EB4495">
                    <w:rPr>
                      <w:rFonts w:ascii="Arial" w:hAnsi="Arial" w:cs="Arial"/>
                      <w:sz w:val="22"/>
                      <w:szCs w:val="22"/>
                    </w:rPr>
                    <w:t>6.8</w:t>
                  </w:r>
                  <w:r w:rsidRPr="00EB4495">
                    <w:rPr>
                      <w:rFonts w:ascii="Arial" w:hAnsi="Arial" w:cs="Arial"/>
                      <w:sz w:val="22"/>
                      <w:szCs w:val="22"/>
                    </w:rPr>
                    <w:t>%</w:t>
                  </w:r>
                </w:p>
              </w:tc>
              <w:tc>
                <w:tcPr>
                  <w:tcW w:w="1298" w:type="dxa"/>
                  <w:tcBorders>
                    <w:top w:val="single" w:sz="4" w:space="0" w:color="auto"/>
                    <w:left w:val="nil"/>
                    <w:bottom w:val="nil"/>
                    <w:right w:val="nil"/>
                  </w:tcBorders>
                  <w:vAlign w:val="center"/>
                </w:tcPr>
                <w:p w14:paraId="528247C2" w14:textId="41AD4774" w:rsidR="00B273A9" w:rsidRPr="00EB4495" w:rsidRDefault="00B273A9" w:rsidP="003D54FC">
                  <w:pPr>
                    <w:jc w:val="right"/>
                    <w:rPr>
                      <w:rFonts w:ascii="Arial" w:hAnsi="Arial" w:cs="Arial"/>
                      <w:sz w:val="22"/>
                      <w:szCs w:val="22"/>
                    </w:rPr>
                  </w:pPr>
                  <w:r w:rsidRPr="00EB4495">
                    <w:rPr>
                      <w:rFonts w:ascii="Arial" w:hAnsi="Arial" w:cs="Arial"/>
                      <w:sz w:val="22"/>
                      <w:szCs w:val="22"/>
                    </w:rPr>
                    <w:t>+</w:t>
                  </w:r>
                  <w:r w:rsidR="001E41AD" w:rsidRPr="00EB4495">
                    <w:rPr>
                      <w:rFonts w:ascii="Arial" w:hAnsi="Arial" w:cs="Arial"/>
                      <w:sz w:val="22"/>
                      <w:szCs w:val="22"/>
                    </w:rPr>
                    <w:t>9.7</w:t>
                  </w:r>
                  <w:r w:rsidRPr="00EB4495">
                    <w:rPr>
                      <w:rFonts w:ascii="Arial" w:hAnsi="Arial" w:cs="Arial"/>
                      <w:sz w:val="22"/>
                      <w:szCs w:val="22"/>
                    </w:rPr>
                    <w:t>%</w:t>
                  </w:r>
                </w:p>
              </w:tc>
              <w:tc>
                <w:tcPr>
                  <w:tcW w:w="1298" w:type="dxa"/>
                  <w:tcBorders>
                    <w:top w:val="single" w:sz="4" w:space="0" w:color="auto"/>
                    <w:left w:val="nil"/>
                    <w:bottom w:val="nil"/>
                    <w:right w:val="nil"/>
                  </w:tcBorders>
                  <w:vAlign w:val="center"/>
                </w:tcPr>
                <w:p w14:paraId="6B07C45A" w14:textId="03947D92" w:rsidR="00B273A9" w:rsidRPr="00EB4495" w:rsidRDefault="00B273A9" w:rsidP="003D54FC">
                  <w:pPr>
                    <w:jc w:val="right"/>
                    <w:rPr>
                      <w:rFonts w:ascii="Arial" w:hAnsi="Arial" w:cs="Arial"/>
                      <w:sz w:val="22"/>
                      <w:szCs w:val="22"/>
                    </w:rPr>
                  </w:pPr>
                  <w:r w:rsidRPr="00EB4495">
                    <w:rPr>
                      <w:rFonts w:ascii="Arial" w:hAnsi="Arial" w:cs="Arial"/>
                      <w:sz w:val="22"/>
                      <w:szCs w:val="22"/>
                    </w:rPr>
                    <w:t>+</w:t>
                  </w:r>
                  <w:r w:rsidR="001E41AD" w:rsidRPr="00EB4495">
                    <w:rPr>
                      <w:rFonts w:ascii="Arial" w:hAnsi="Arial" w:cs="Arial"/>
                      <w:sz w:val="22"/>
                      <w:szCs w:val="22"/>
                    </w:rPr>
                    <w:t>9.9</w:t>
                  </w:r>
                  <w:r w:rsidRPr="00EB4495">
                    <w:rPr>
                      <w:rFonts w:ascii="Arial" w:hAnsi="Arial" w:cs="Arial"/>
                      <w:sz w:val="22"/>
                      <w:szCs w:val="22"/>
                    </w:rPr>
                    <w:t>%</w:t>
                  </w:r>
                </w:p>
              </w:tc>
            </w:tr>
            <w:tr w:rsidR="000423A7" w:rsidRPr="00EB4495" w14:paraId="59E1770F" w14:textId="77777777" w:rsidTr="007D6F54">
              <w:trPr>
                <w:trHeight w:val="269"/>
              </w:trPr>
              <w:tc>
                <w:tcPr>
                  <w:tcW w:w="3458" w:type="dxa"/>
                  <w:tcBorders>
                    <w:top w:val="nil"/>
                    <w:left w:val="nil"/>
                    <w:bottom w:val="nil"/>
                    <w:right w:val="nil"/>
                  </w:tcBorders>
                  <w:vAlign w:val="center"/>
                </w:tcPr>
                <w:p w14:paraId="5F854172" w14:textId="77777777" w:rsidR="000423A7" w:rsidRPr="00EB4495" w:rsidRDefault="000423A7" w:rsidP="000423A7">
                  <w:pPr>
                    <w:jc w:val="left"/>
                    <w:rPr>
                      <w:rFonts w:ascii="Arial" w:hAnsi="Arial" w:cs="Arial"/>
                      <w:sz w:val="22"/>
                      <w:szCs w:val="22"/>
                    </w:rPr>
                  </w:pPr>
                  <w:r w:rsidRPr="00EB4495">
                    <w:rPr>
                      <w:rFonts w:ascii="Arial" w:hAnsi="Arial" w:cs="Arial"/>
                      <w:sz w:val="22"/>
                      <w:szCs w:val="22"/>
                    </w:rPr>
                    <w:t>Gross profit</w:t>
                  </w:r>
                </w:p>
              </w:tc>
              <w:tc>
                <w:tcPr>
                  <w:tcW w:w="1327" w:type="dxa"/>
                  <w:tcBorders>
                    <w:top w:val="nil"/>
                    <w:left w:val="nil"/>
                    <w:bottom w:val="nil"/>
                    <w:right w:val="nil"/>
                  </w:tcBorders>
                  <w:vAlign w:val="center"/>
                </w:tcPr>
                <w:p w14:paraId="162C9B77" w14:textId="03C2E1ED"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£4,935m</w:t>
                  </w:r>
                </w:p>
              </w:tc>
              <w:tc>
                <w:tcPr>
                  <w:tcW w:w="1327" w:type="dxa"/>
                  <w:tcBorders>
                    <w:top w:val="nil"/>
                    <w:left w:val="nil"/>
                    <w:bottom w:val="nil"/>
                    <w:right w:val="nil"/>
                  </w:tcBorders>
                  <w:shd w:val="clear" w:color="auto" w:fill="auto"/>
                  <w:vAlign w:val="center"/>
                </w:tcPr>
                <w:p w14:paraId="4854F108" w14:textId="4D5D0156" w:rsidR="000423A7" w:rsidRPr="00EB4495" w:rsidRDefault="000423A7" w:rsidP="000423A7">
                  <w:pPr>
                    <w:jc w:val="right"/>
                    <w:rPr>
                      <w:rFonts w:ascii="Arial" w:hAnsi="Arial" w:cs="Arial"/>
                      <w:sz w:val="22"/>
                      <w:szCs w:val="22"/>
                    </w:rPr>
                  </w:pPr>
                  <w:r w:rsidRPr="00EB4495">
                    <w:rPr>
                      <w:rFonts w:ascii="Arial" w:hAnsi="Arial" w:cs="Arial"/>
                      <w:sz w:val="22"/>
                      <w:szCs w:val="22"/>
                    </w:rPr>
                    <w:t>£4,573m</w:t>
                  </w:r>
                </w:p>
              </w:tc>
              <w:tc>
                <w:tcPr>
                  <w:tcW w:w="1298" w:type="dxa"/>
                  <w:tcBorders>
                    <w:top w:val="nil"/>
                    <w:left w:val="nil"/>
                    <w:bottom w:val="nil"/>
                    <w:right w:val="nil"/>
                  </w:tcBorders>
                  <w:vAlign w:val="center"/>
                </w:tcPr>
                <w:p w14:paraId="7DAFA0B6" w14:textId="17B14A7F"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+7.9%</w:t>
                  </w:r>
                </w:p>
              </w:tc>
              <w:tc>
                <w:tcPr>
                  <w:tcW w:w="1298" w:type="dxa"/>
                  <w:tcBorders>
                    <w:top w:val="nil"/>
                    <w:left w:val="nil"/>
                    <w:bottom w:val="nil"/>
                    <w:right w:val="nil"/>
                  </w:tcBorders>
                  <w:vAlign w:val="center"/>
                </w:tcPr>
                <w:p w14:paraId="55B55A08" w14:textId="04264C96"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+10.6%</w:t>
                  </w:r>
                </w:p>
              </w:tc>
              <w:tc>
                <w:tcPr>
                  <w:tcW w:w="1298" w:type="dxa"/>
                  <w:tcBorders>
                    <w:top w:val="nil"/>
                    <w:left w:val="nil"/>
                    <w:bottom w:val="nil"/>
                    <w:right w:val="nil"/>
                  </w:tcBorders>
                  <w:vAlign w:val="center"/>
                </w:tcPr>
                <w:p w14:paraId="294BBEBF" w14:textId="77777777" w:rsidR="000423A7" w:rsidRPr="00EB4495" w:rsidRDefault="000423A7" w:rsidP="000423A7">
                  <w:pPr>
                    <w:jc w:val="right"/>
                    <w:rPr>
                      <w:rFonts w:ascii="Arial" w:hAnsi="Arial" w:cs="Arial"/>
                      <w:sz w:val="22"/>
                      <w:szCs w:val="22"/>
                    </w:rPr>
                  </w:pPr>
                </w:p>
              </w:tc>
            </w:tr>
            <w:tr w:rsidR="000423A7" w:rsidRPr="00EB4495" w14:paraId="32989CA4" w14:textId="77777777" w:rsidTr="007D6F54">
              <w:trPr>
                <w:trHeight w:val="269"/>
              </w:trPr>
              <w:tc>
                <w:tcPr>
                  <w:tcW w:w="3458" w:type="dxa"/>
                  <w:tcBorders>
                    <w:top w:val="nil"/>
                    <w:left w:val="nil"/>
                    <w:bottom w:val="nil"/>
                    <w:right w:val="nil"/>
                  </w:tcBorders>
                  <w:vAlign w:val="center"/>
                </w:tcPr>
                <w:p w14:paraId="39A153D7" w14:textId="77777777" w:rsidR="000423A7" w:rsidRPr="00EB4495" w:rsidRDefault="000423A7" w:rsidP="000423A7">
                  <w:pPr>
                    <w:jc w:val="left"/>
                    <w:rPr>
                      <w:rFonts w:ascii="Arial" w:hAnsi="Arial" w:cs="Arial"/>
                      <w:sz w:val="22"/>
                      <w:szCs w:val="22"/>
                    </w:rPr>
                  </w:pPr>
                  <w:r w:rsidRPr="00EB4495">
                    <w:rPr>
                      <w:rFonts w:ascii="Arial" w:hAnsi="Arial" w:cs="Arial"/>
                      <w:sz w:val="22"/>
                      <w:szCs w:val="22"/>
                    </w:rPr>
                    <w:t>Gross margin %*</w:t>
                  </w:r>
                </w:p>
              </w:tc>
              <w:tc>
                <w:tcPr>
                  <w:tcW w:w="1327" w:type="dxa"/>
                  <w:tcBorders>
                    <w:top w:val="nil"/>
                    <w:left w:val="nil"/>
                    <w:bottom w:val="nil"/>
                    <w:right w:val="nil"/>
                  </w:tcBorders>
                  <w:vAlign w:val="center"/>
                </w:tcPr>
                <w:p w14:paraId="7D1A2D54" w14:textId="3C792CA6"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37.4%</w:t>
                  </w:r>
                </w:p>
              </w:tc>
              <w:tc>
                <w:tcPr>
                  <w:tcW w:w="1327" w:type="dxa"/>
                  <w:tcBorders>
                    <w:top w:val="nil"/>
                    <w:left w:val="nil"/>
                    <w:bottom w:val="nil"/>
                    <w:right w:val="nil"/>
                  </w:tcBorders>
                  <w:shd w:val="clear" w:color="auto" w:fill="auto"/>
                  <w:vAlign w:val="center"/>
                </w:tcPr>
                <w:p w14:paraId="7049E1A1" w14:textId="6E59B0DB" w:rsidR="000423A7" w:rsidRPr="00EB4495" w:rsidRDefault="000423A7" w:rsidP="000423A7">
                  <w:pPr>
                    <w:jc w:val="right"/>
                    <w:rPr>
                      <w:rFonts w:ascii="Arial" w:hAnsi="Arial" w:cs="Arial"/>
                      <w:sz w:val="22"/>
                      <w:szCs w:val="22"/>
                    </w:rPr>
                  </w:pPr>
                  <w:r w:rsidRPr="00EB4495">
                    <w:rPr>
                      <w:rFonts w:ascii="Arial" w:hAnsi="Arial" w:cs="Arial"/>
                      <w:sz w:val="22"/>
                      <w:szCs w:val="22"/>
                    </w:rPr>
                    <w:t>37.1%</w:t>
                  </w:r>
                </w:p>
              </w:tc>
              <w:tc>
                <w:tcPr>
                  <w:tcW w:w="1298" w:type="dxa"/>
                  <w:tcBorders>
                    <w:top w:val="nil"/>
                    <w:left w:val="nil"/>
                    <w:bottom w:val="nil"/>
                    <w:right w:val="nil"/>
                  </w:tcBorders>
                  <w:vAlign w:val="center"/>
                </w:tcPr>
                <w:p w14:paraId="5D61CFE7" w14:textId="6F9EDC05"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+30bps</w:t>
                  </w:r>
                </w:p>
              </w:tc>
              <w:tc>
                <w:tcPr>
                  <w:tcW w:w="1298" w:type="dxa"/>
                  <w:tcBorders>
                    <w:top w:val="nil"/>
                    <w:left w:val="nil"/>
                    <w:bottom w:val="nil"/>
                    <w:right w:val="nil"/>
                  </w:tcBorders>
                  <w:vAlign w:val="center"/>
                </w:tcPr>
                <w:p w14:paraId="0C71B8D9" w14:textId="67F0FFD2"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+30bps</w:t>
                  </w:r>
                </w:p>
              </w:tc>
              <w:tc>
                <w:tcPr>
                  <w:tcW w:w="1298" w:type="dxa"/>
                  <w:tcBorders>
                    <w:top w:val="nil"/>
                    <w:left w:val="nil"/>
                    <w:bottom w:val="nil"/>
                    <w:right w:val="nil"/>
                  </w:tcBorders>
                  <w:vAlign w:val="center"/>
                </w:tcPr>
                <w:p w14:paraId="01CD0DD7" w14:textId="77777777" w:rsidR="000423A7" w:rsidRPr="00EB4495" w:rsidRDefault="000423A7" w:rsidP="000423A7">
                  <w:pPr>
                    <w:jc w:val="right"/>
                    <w:rPr>
                      <w:rFonts w:ascii="Arial" w:hAnsi="Arial" w:cs="Arial"/>
                      <w:sz w:val="22"/>
                      <w:szCs w:val="22"/>
                    </w:rPr>
                  </w:pPr>
                </w:p>
              </w:tc>
            </w:tr>
            <w:tr w:rsidR="000423A7" w:rsidRPr="00EB4495" w14:paraId="00E44B36" w14:textId="77777777" w:rsidTr="007D6F54">
              <w:trPr>
                <w:trHeight w:val="269"/>
              </w:trPr>
              <w:tc>
                <w:tcPr>
                  <w:tcW w:w="3458" w:type="dxa"/>
                  <w:tcBorders>
                    <w:top w:val="nil"/>
                    <w:left w:val="nil"/>
                    <w:bottom w:val="nil"/>
                    <w:right w:val="nil"/>
                  </w:tcBorders>
                  <w:vAlign w:val="center"/>
                </w:tcPr>
                <w:p w14:paraId="23BE0784" w14:textId="77777777" w:rsidR="000423A7" w:rsidRPr="00EB4495" w:rsidRDefault="000423A7" w:rsidP="000423A7">
                  <w:pPr>
                    <w:jc w:val="left"/>
                    <w:rPr>
                      <w:rFonts w:ascii="Arial" w:hAnsi="Arial" w:cs="Arial"/>
                      <w:sz w:val="22"/>
                      <w:szCs w:val="22"/>
                    </w:rPr>
                  </w:pPr>
                  <w:r w:rsidRPr="00EB4495">
                    <w:rPr>
                      <w:rFonts w:ascii="Arial" w:hAnsi="Arial" w:cs="Arial"/>
                      <w:sz w:val="22"/>
                      <w:szCs w:val="22"/>
                    </w:rPr>
                    <w:t>Operating profit</w:t>
                  </w:r>
                </w:p>
              </w:tc>
              <w:tc>
                <w:tcPr>
                  <w:tcW w:w="1327" w:type="dxa"/>
                  <w:tcBorders>
                    <w:top w:val="nil"/>
                    <w:left w:val="nil"/>
                    <w:bottom w:val="nil"/>
                    <w:right w:val="nil"/>
                  </w:tcBorders>
                  <w:vAlign w:val="center"/>
                </w:tcPr>
                <w:p w14:paraId="4C330574" w14:textId="75B7BAC4"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£1,144m</w:t>
                  </w:r>
                </w:p>
              </w:tc>
              <w:tc>
                <w:tcPr>
                  <w:tcW w:w="1327" w:type="dxa"/>
                  <w:tcBorders>
                    <w:top w:val="nil"/>
                    <w:left w:val="nil"/>
                    <w:bottom w:val="nil"/>
                    <w:right w:val="nil"/>
                  </w:tcBorders>
                  <w:shd w:val="clear" w:color="auto" w:fill="auto"/>
                  <w:vAlign w:val="center"/>
                </w:tcPr>
                <w:p w14:paraId="5C651D50" w14:textId="71615C7B" w:rsidR="000423A7" w:rsidRPr="00EB4495" w:rsidRDefault="000423A7" w:rsidP="000423A7">
                  <w:pPr>
                    <w:jc w:val="right"/>
                    <w:rPr>
                      <w:rFonts w:ascii="Arial" w:hAnsi="Arial" w:cs="Arial"/>
                      <w:sz w:val="22"/>
                      <w:szCs w:val="22"/>
                    </w:rPr>
                  </w:pPr>
                  <w:r w:rsidRPr="00EB4495">
                    <w:rPr>
                      <w:rFonts w:ascii="Arial" w:hAnsi="Arial" w:cs="Arial"/>
                      <w:sz w:val="22"/>
                      <w:szCs w:val="22"/>
                    </w:rPr>
                    <w:t>£916m</w:t>
                  </w:r>
                </w:p>
              </w:tc>
              <w:tc>
                <w:tcPr>
                  <w:tcW w:w="1298" w:type="dxa"/>
                  <w:tcBorders>
                    <w:top w:val="nil"/>
                    <w:left w:val="nil"/>
                    <w:bottom w:val="nil"/>
                    <w:right w:val="nil"/>
                  </w:tcBorders>
                  <w:vAlign w:val="center"/>
                </w:tcPr>
                <w:p w14:paraId="2E226EAA" w14:textId="04716EBE"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+24.</w:t>
                  </w:r>
                  <w:r w:rsidR="00E12795">
                    <w:rPr>
                      <w:rFonts w:ascii="Arial" w:hAnsi="Arial" w:cs="Arial"/>
                      <w:sz w:val="22"/>
                      <w:szCs w:val="22"/>
                    </w:rPr>
                    <w:t>7</w:t>
                  </w:r>
                  <w:r w:rsidRPr="00EB4495">
                    <w:rPr>
                      <w:rFonts w:ascii="Arial" w:hAnsi="Arial" w:cs="Arial"/>
                      <w:sz w:val="22"/>
                      <w:szCs w:val="22"/>
                    </w:rPr>
                    <w:t>%</w:t>
                  </w:r>
                </w:p>
              </w:tc>
              <w:tc>
                <w:tcPr>
                  <w:tcW w:w="1298" w:type="dxa"/>
                  <w:tcBorders>
                    <w:top w:val="nil"/>
                    <w:left w:val="nil"/>
                    <w:bottom w:val="nil"/>
                    <w:right w:val="nil"/>
                  </w:tcBorders>
                  <w:vAlign w:val="center"/>
                </w:tcPr>
                <w:p w14:paraId="79FC391C" w14:textId="77777777" w:rsidR="000423A7" w:rsidRPr="00EB4495" w:rsidRDefault="000423A7" w:rsidP="000423A7">
                  <w:pPr>
                    <w:jc w:val="right"/>
                    <w:rPr>
                      <w:rFonts w:ascii="Arial" w:hAnsi="Arial" w:cs="Arial"/>
                      <w:sz w:val="22"/>
                      <w:szCs w:val="22"/>
                    </w:rPr>
                  </w:pPr>
                </w:p>
              </w:tc>
              <w:tc>
                <w:tcPr>
                  <w:tcW w:w="1298" w:type="dxa"/>
                  <w:tcBorders>
                    <w:top w:val="nil"/>
                    <w:left w:val="nil"/>
                    <w:bottom w:val="nil"/>
                    <w:right w:val="nil"/>
                  </w:tcBorders>
                  <w:vAlign w:val="center"/>
                </w:tcPr>
                <w:p w14:paraId="5C27E0B4" w14:textId="77777777" w:rsidR="000423A7" w:rsidRPr="00EB4495" w:rsidRDefault="000423A7" w:rsidP="000423A7">
                  <w:pPr>
                    <w:jc w:val="right"/>
                    <w:rPr>
                      <w:rFonts w:ascii="Arial" w:hAnsi="Arial" w:cs="Arial"/>
                      <w:sz w:val="22"/>
                      <w:szCs w:val="22"/>
                    </w:rPr>
                  </w:pPr>
                </w:p>
              </w:tc>
            </w:tr>
            <w:tr w:rsidR="000423A7" w:rsidRPr="00EB4495" w14:paraId="32B08C2D" w14:textId="77777777" w:rsidTr="007D6F54">
              <w:trPr>
                <w:trHeight w:val="269"/>
              </w:trPr>
              <w:tc>
                <w:tcPr>
                  <w:tcW w:w="3458" w:type="dxa"/>
                  <w:tcBorders>
                    <w:top w:val="nil"/>
                    <w:left w:val="nil"/>
                    <w:bottom w:val="nil"/>
                    <w:right w:val="nil"/>
                  </w:tcBorders>
                  <w:vAlign w:val="center"/>
                </w:tcPr>
                <w:p w14:paraId="512606B8" w14:textId="77777777" w:rsidR="000423A7" w:rsidRPr="00EB4495" w:rsidRDefault="000423A7" w:rsidP="000423A7">
                  <w:pPr>
                    <w:jc w:val="left"/>
                    <w:rPr>
                      <w:rFonts w:ascii="Arial" w:hAnsi="Arial" w:cs="Arial"/>
                      <w:sz w:val="22"/>
                      <w:szCs w:val="22"/>
                    </w:rPr>
                  </w:pPr>
                  <w:r w:rsidRPr="00EB4495">
                    <w:rPr>
                      <w:rFonts w:ascii="Arial" w:hAnsi="Arial" w:cs="Arial"/>
                      <w:sz w:val="22"/>
                      <w:szCs w:val="22"/>
                    </w:rPr>
                    <w:t>Statutory pre-tax profit</w:t>
                  </w:r>
                </w:p>
              </w:tc>
              <w:tc>
                <w:tcPr>
                  <w:tcW w:w="1327" w:type="dxa"/>
                  <w:tcBorders>
                    <w:top w:val="nil"/>
                    <w:left w:val="nil"/>
                    <w:bottom w:val="nil"/>
                    <w:right w:val="nil"/>
                  </w:tcBorders>
                  <w:vAlign w:val="center"/>
                </w:tcPr>
                <w:p w14:paraId="3ADCB236" w14:textId="6158204D" w:rsidR="000423A7" w:rsidRPr="00804101" w:rsidRDefault="000423A7" w:rsidP="000423A7">
                  <w:pPr>
                    <w:jc w:val="right"/>
                    <w:rPr>
                      <w:rFonts w:ascii="Arial" w:hAnsi="Arial" w:cs="Arial"/>
                      <w:sz w:val="22"/>
                      <w:szCs w:val="22"/>
                    </w:rPr>
                  </w:pPr>
                  <w:r w:rsidRPr="0056048C">
                    <w:rPr>
                      <w:rFonts w:ascii="Arial" w:hAnsi="Arial" w:cs="Arial"/>
                      <w:sz w:val="22"/>
                      <w:szCs w:val="22"/>
                    </w:rPr>
                    <w:t>£1,007m</w:t>
                  </w:r>
                </w:p>
              </w:tc>
              <w:tc>
                <w:tcPr>
                  <w:tcW w:w="1327" w:type="dxa"/>
                  <w:tcBorders>
                    <w:top w:val="nil"/>
                    <w:left w:val="nil"/>
                    <w:bottom w:val="nil"/>
                    <w:right w:val="nil"/>
                  </w:tcBorders>
                  <w:shd w:val="clear" w:color="auto" w:fill="auto"/>
                  <w:vAlign w:val="center"/>
                </w:tcPr>
                <w:p w14:paraId="3FADA01A" w14:textId="2842D6A0" w:rsidR="000423A7" w:rsidRPr="0056048C" w:rsidRDefault="000423A7" w:rsidP="000423A7">
                  <w:pPr>
                    <w:jc w:val="right"/>
                    <w:rPr>
                      <w:rFonts w:ascii="Arial" w:hAnsi="Arial" w:cs="Arial"/>
                      <w:sz w:val="22"/>
                      <w:szCs w:val="22"/>
                    </w:rPr>
                  </w:pPr>
                  <w:r w:rsidRPr="0056048C">
                    <w:rPr>
                      <w:rFonts w:ascii="Arial" w:hAnsi="Arial" w:cs="Arial"/>
                      <w:sz w:val="22"/>
                      <w:szCs w:val="22"/>
                    </w:rPr>
                    <w:t>£756m</w:t>
                  </w:r>
                </w:p>
              </w:tc>
              <w:tc>
                <w:tcPr>
                  <w:tcW w:w="1298" w:type="dxa"/>
                  <w:tcBorders>
                    <w:top w:val="nil"/>
                    <w:left w:val="nil"/>
                    <w:bottom w:val="nil"/>
                    <w:right w:val="nil"/>
                  </w:tcBorders>
                  <w:vAlign w:val="center"/>
                </w:tcPr>
                <w:p w14:paraId="02E3E129" w14:textId="0EB21983" w:rsidR="000423A7" w:rsidRPr="00804101" w:rsidRDefault="000423A7" w:rsidP="000423A7">
                  <w:pPr>
                    <w:jc w:val="right"/>
                    <w:rPr>
                      <w:rFonts w:ascii="Arial" w:hAnsi="Arial" w:cs="Arial"/>
                      <w:sz w:val="22"/>
                      <w:szCs w:val="22"/>
                    </w:rPr>
                  </w:pPr>
                  <w:r w:rsidRPr="0056048C">
                    <w:rPr>
                      <w:rFonts w:ascii="Arial" w:hAnsi="Arial" w:cs="Arial"/>
                      <w:sz w:val="22"/>
                      <w:szCs w:val="22"/>
                    </w:rPr>
                    <w:t>+33.</w:t>
                  </w:r>
                  <w:r w:rsidR="00E12795" w:rsidRPr="0056048C">
                    <w:rPr>
                      <w:rFonts w:ascii="Arial" w:hAnsi="Arial" w:cs="Arial"/>
                      <w:sz w:val="22"/>
                      <w:szCs w:val="22"/>
                    </w:rPr>
                    <w:t>1</w:t>
                  </w:r>
                  <w:r w:rsidRPr="0056048C">
                    <w:rPr>
                      <w:rFonts w:ascii="Arial" w:hAnsi="Arial" w:cs="Arial"/>
                      <w:sz w:val="22"/>
                      <w:szCs w:val="22"/>
                    </w:rPr>
                    <w:t>%</w:t>
                  </w:r>
                </w:p>
              </w:tc>
              <w:tc>
                <w:tcPr>
                  <w:tcW w:w="1298" w:type="dxa"/>
                  <w:tcBorders>
                    <w:top w:val="nil"/>
                    <w:left w:val="nil"/>
                    <w:bottom w:val="nil"/>
                    <w:right w:val="nil"/>
                  </w:tcBorders>
                  <w:vAlign w:val="center"/>
                </w:tcPr>
                <w:p w14:paraId="7B41A1F4" w14:textId="77777777" w:rsidR="000423A7" w:rsidRPr="00EB4495" w:rsidRDefault="000423A7" w:rsidP="000423A7">
                  <w:pPr>
                    <w:jc w:val="right"/>
                    <w:rPr>
                      <w:rFonts w:ascii="Arial" w:hAnsi="Arial" w:cs="Arial"/>
                      <w:sz w:val="22"/>
                      <w:szCs w:val="22"/>
                    </w:rPr>
                  </w:pPr>
                </w:p>
              </w:tc>
              <w:tc>
                <w:tcPr>
                  <w:tcW w:w="1298" w:type="dxa"/>
                  <w:tcBorders>
                    <w:top w:val="nil"/>
                    <w:left w:val="nil"/>
                    <w:bottom w:val="nil"/>
                    <w:right w:val="nil"/>
                  </w:tcBorders>
                  <w:vAlign w:val="center"/>
                </w:tcPr>
                <w:p w14:paraId="1FEF1976" w14:textId="77777777" w:rsidR="000423A7" w:rsidRPr="00EB4495" w:rsidRDefault="000423A7" w:rsidP="000423A7">
                  <w:pPr>
                    <w:jc w:val="right"/>
                    <w:rPr>
                      <w:rFonts w:ascii="Arial" w:hAnsi="Arial" w:cs="Arial"/>
                      <w:sz w:val="22"/>
                      <w:szCs w:val="22"/>
                    </w:rPr>
                  </w:pPr>
                </w:p>
              </w:tc>
            </w:tr>
            <w:tr w:rsidR="00B273A9" w:rsidRPr="00EB4495" w14:paraId="44DC88BA" w14:textId="77777777" w:rsidTr="007D6F54">
              <w:trPr>
                <w:trHeight w:val="269"/>
              </w:trPr>
              <w:tc>
                <w:tcPr>
                  <w:tcW w:w="3458" w:type="dxa"/>
                  <w:tcBorders>
                    <w:top w:val="nil"/>
                    <w:left w:val="nil"/>
                    <w:bottom w:val="nil"/>
                    <w:right w:val="nil"/>
                  </w:tcBorders>
                  <w:shd w:val="clear" w:color="auto" w:fill="auto"/>
                  <w:vAlign w:val="center"/>
                </w:tcPr>
                <w:p w14:paraId="39FE58B0" w14:textId="77777777" w:rsidR="00B273A9" w:rsidRPr="00EB4495" w:rsidRDefault="00B273A9" w:rsidP="006F23A9">
                  <w:pPr>
                    <w:jc w:val="left"/>
                    <w:rPr>
                      <w:rFonts w:ascii="Arial" w:hAnsi="Arial" w:cs="Arial"/>
                      <w:sz w:val="22"/>
                      <w:szCs w:val="22"/>
                    </w:rPr>
                  </w:pPr>
                  <w:r w:rsidRPr="00EB4495">
                    <w:rPr>
                      <w:rFonts w:ascii="Arial" w:hAnsi="Arial" w:cs="Arial"/>
                      <w:sz w:val="22"/>
                      <w:szCs w:val="22"/>
                    </w:rPr>
                    <w:t>Statutory post-tax profit</w:t>
                  </w:r>
                </w:p>
              </w:tc>
              <w:tc>
                <w:tcPr>
                  <w:tcW w:w="1327" w:type="dxa"/>
                  <w:tcBorders>
                    <w:top w:val="nil"/>
                    <w:left w:val="nil"/>
                    <w:bottom w:val="nil"/>
                    <w:right w:val="nil"/>
                  </w:tcBorders>
                  <w:vAlign w:val="center"/>
                </w:tcPr>
                <w:p w14:paraId="6D9D3692" w14:textId="4961B6BA" w:rsidR="00B273A9" w:rsidRPr="00804101" w:rsidRDefault="00B273A9" w:rsidP="003D54FC">
                  <w:pPr>
                    <w:jc w:val="right"/>
                    <w:rPr>
                      <w:rFonts w:ascii="Arial" w:hAnsi="Arial" w:cs="Arial"/>
                      <w:sz w:val="22"/>
                      <w:szCs w:val="22"/>
                    </w:rPr>
                  </w:pPr>
                  <w:r w:rsidRPr="00804101">
                    <w:rPr>
                      <w:rFonts w:ascii="Arial" w:hAnsi="Arial" w:cs="Arial"/>
                      <w:sz w:val="22"/>
                      <w:szCs w:val="22"/>
                    </w:rPr>
                    <w:t>£</w:t>
                  </w:r>
                  <w:r w:rsidR="00E12795" w:rsidRPr="00804101">
                    <w:rPr>
                      <w:rFonts w:ascii="Arial" w:hAnsi="Arial" w:cs="Arial"/>
                      <w:sz w:val="22"/>
                      <w:szCs w:val="22"/>
                    </w:rPr>
                    <w:t>843m</w:t>
                  </w:r>
                </w:p>
              </w:tc>
              <w:tc>
                <w:tcPr>
                  <w:tcW w:w="1327" w:type="dxa"/>
                  <w:tcBorders>
                    <w:top w:val="nil"/>
                    <w:left w:val="nil"/>
                    <w:bottom w:val="nil"/>
                    <w:right w:val="nil"/>
                  </w:tcBorders>
                  <w:shd w:val="clear" w:color="auto" w:fill="auto"/>
                  <w:vAlign w:val="center"/>
                </w:tcPr>
                <w:p w14:paraId="434368B0" w14:textId="09C78BA9" w:rsidR="00B273A9" w:rsidRPr="0056048C" w:rsidRDefault="00B273A9" w:rsidP="003D54FC">
                  <w:pPr>
                    <w:jc w:val="right"/>
                    <w:rPr>
                      <w:rFonts w:ascii="Arial" w:hAnsi="Arial" w:cs="Arial"/>
                      <w:sz w:val="22"/>
                      <w:szCs w:val="22"/>
                    </w:rPr>
                  </w:pPr>
                  <w:r w:rsidRPr="0056048C">
                    <w:rPr>
                      <w:rFonts w:ascii="Arial" w:hAnsi="Arial" w:cs="Arial"/>
                      <w:sz w:val="22"/>
                      <w:szCs w:val="22"/>
                    </w:rPr>
                    <w:t>£592m</w:t>
                  </w:r>
                </w:p>
              </w:tc>
              <w:tc>
                <w:tcPr>
                  <w:tcW w:w="1298" w:type="dxa"/>
                  <w:tcBorders>
                    <w:top w:val="nil"/>
                    <w:left w:val="nil"/>
                    <w:bottom w:val="nil"/>
                    <w:right w:val="nil"/>
                  </w:tcBorders>
                  <w:vAlign w:val="center"/>
                </w:tcPr>
                <w:p w14:paraId="0C140647" w14:textId="71C414B6" w:rsidR="00B273A9" w:rsidRPr="00804101" w:rsidRDefault="00B273A9" w:rsidP="003D54FC">
                  <w:pPr>
                    <w:jc w:val="right"/>
                    <w:rPr>
                      <w:rFonts w:ascii="Arial" w:hAnsi="Arial" w:cs="Arial"/>
                      <w:sz w:val="22"/>
                      <w:szCs w:val="22"/>
                    </w:rPr>
                  </w:pPr>
                  <w:r w:rsidRPr="00804101">
                    <w:rPr>
                      <w:rFonts w:ascii="Arial" w:hAnsi="Arial" w:cs="Arial"/>
                      <w:sz w:val="22"/>
                      <w:szCs w:val="22"/>
                    </w:rPr>
                    <w:t>+</w:t>
                  </w:r>
                  <w:r w:rsidR="00E12795" w:rsidRPr="00804101">
                    <w:rPr>
                      <w:rFonts w:ascii="Arial" w:hAnsi="Arial" w:cs="Arial"/>
                      <w:sz w:val="22"/>
                      <w:szCs w:val="22"/>
                    </w:rPr>
                    <w:t>42.3</w:t>
                  </w:r>
                  <w:r w:rsidRPr="00804101">
                    <w:rPr>
                      <w:rFonts w:ascii="Arial" w:hAnsi="Arial" w:cs="Arial"/>
                      <w:sz w:val="22"/>
                      <w:szCs w:val="22"/>
                    </w:rPr>
                    <w:t>%</w:t>
                  </w:r>
                </w:p>
              </w:tc>
              <w:tc>
                <w:tcPr>
                  <w:tcW w:w="1298" w:type="dxa"/>
                  <w:tcBorders>
                    <w:top w:val="nil"/>
                    <w:left w:val="nil"/>
                    <w:bottom w:val="nil"/>
                    <w:right w:val="nil"/>
                  </w:tcBorders>
                  <w:vAlign w:val="center"/>
                </w:tcPr>
                <w:p w14:paraId="77417934" w14:textId="77777777" w:rsidR="00B273A9" w:rsidRPr="00EB4495" w:rsidRDefault="00B273A9" w:rsidP="003D54FC">
                  <w:pPr>
                    <w:jc w:val="right"/>
                    <w:rPr>
                      <w:rFonts w:ascii="Arial" w:hAnsi="Arial" w:cs="Arial"/>
                      <w:sz w:val="22"/>
                      <w:szCs w:val="22"/>
                    </w:rPr>
                  </w:pPr>
                </w:p>
              </w:tc>
              <w:tc>
                <w:tcPr>
                  <w:tcW w:w="1298" w:type="dxa"/>
                  <w:tcBorders>
                    <w:top w:val="nil"/>
                    <w:left w:val="nil"/>
                    <w:bottom w:val="nil"/>
                    <w:right w:val="nil"/>
                  </w:tcBorders>
                  <w:vAlign w:val="center"/>
                </w:tcPr>
                <w:p w14:paraId="25D3AE90" w14:textId="77777777" w:rsidR="00B273A9" w:rsidRPr="00EB4495" w:rsidRDefault="00B273A9" w:rsidP="003D54FC">
                  <w:pPr>
                    <w:jc w:val="right"/>
                    <w:rPr>
                      <w:rFonts w:ascii="Arial" w:hAnsi="Arial" w:cs="Arial"/>
                      <w:sz w:val="22"/>
                      <w:szCs w:val="22"/>
                    </w:rPr>
                  </w:pPr>
                </w:p>
              </w:tc>
            </w:tr>
            <w:tr w:rsidR="00B273A9" w:rsidRPr="00EB4495" w14:paraId="070EDDA5" w14:textId="77777777" w:rsidTr="007D6F54">
              <w:trPr>
                <w:trHeight w:val="269"/>
              </w:trPr>
              <w:tc>
                <w:tcPr>
                  <w:tcW w:w="3458" w:type="dxa"/>
                  <w:tcBorders>
                    <w:top w:val="nil"/>
                    <w:left w:val="nil"/>
                    <w:bottom w:val="nil"/>
                    <w:right w:val="nil"/>
                  </w:tcBorders>
                  <w:shd w:val="clear" w:color="auto" w:fill="auto"/>
                  <w:vAlign w:val="center"/>
                </w:tcPr>
                <w:p w14:paraId="5B762D2C" w14:textId="77777777" w:rsidR="00B273A9" w:rsidRPr="009A4250" w:rsidRDefault="00B273A9" w:rsidP="006F23A9">
                  <w:pPr>
                    <w:jc w:val="left"/>
                    <w:rPr>
                      <w:rFonts w:ascii="Arial" w:hAnsi="Arial" w:cs="Arial"/>
                      <w:sz w:val="22"/>
                      <w:szCs w:val="22"/>
                    </w:rPr>
                  </w:pPr>
                  <w:r w:rsidRPr="009A4250">
                    <w:rPr>
                      <w:rFonts w:ascii="Arial" w:hAnsi="Arial" w:cs="Arial"/>
                      <w:sz w:val="22"/>
                      <w:szCs w:val="22"/>
                    </w:rPr>
                    <w:t>Statutory basic EPS</w:t>
                  </w:r>
                </w:p>
              </w:tc>
              <w:tc>
                <w:tcPr>
                  <w:tcW w:w="1327" w:type="dxa"/>
                  <w:tcBorders>
                    <w:top w:val="nil"/>
                    <w:left w:val="nil"/>
                    <w:bottom w:val="nil"/>
                    <w:right w:val="nil"/>
                  </w:tcBorders>
                  <w:vAlign w:val="center"/>
                </w:tcPr>
                <w:p w14:paraId="5FAFD683" w14:textId="6CDDFC7F" w:rsidR="00B273A9" w:rsidRPr="009A4250" w:rsidRDefault="0056048C" w:rsidP="003D54FC">
                  <w:pPr>
                    <w:jc w:val="right"/>
                    <w:rPr>
                      <w:rFonts w:ascii="Arial" w:hAnsi="Arial" w:cs="Arial"/>
                      <w:sz w:val="22"/>
                      <w:szCs w:val="22"/>
                    </w:rPr>
                  </w:pPr>
                  <w:r w:rsidRPr="009A4250">
                    <w:rPr>
                      <w:rFonts w:ascii="Arial" w:hAnsi="Arial" w:cs="Arial"/>
                      <w:sz w:val="22"/>
                      <w:szCs w:val="22"/>
                    </w:rPr>
                    <w:t>40.3</w:t>
                  </w:r>
                  <w:r w:rsidR="00B273A9" w:rsidRPr="009A4250">
                    <w:rPr>
                      <w:rFonts w:ascii="Arial" w:hAnsi="Arial" w:cs="Arial"/>
                      <w:sz w:val="22"/>
                      <w:szCs w:val="22"/>
                    </w:rPr>
                    <w:t>p</w:t>
                  </w:r>
                </w:p>
              </w:tc>
              <w:tc>
                <w:tcPr>
                  <w:tcW w:w="1327" w:type="dxa"/>
                  <w:tcBorders>
                    <w:top w:val="nil"/>
                    <w:left w:val="nil"/>
                    <w:bottom w:val="nil"/>
                    <w:right w:val="nil"/>
                  </w:tcBorders>
                  <w:shd w:val="clear" w:color="auto" w:fill="auto"/>
                  <w:vAlign w:val="center"/>
                </w:tcPr>
                <w:p w14:paraId="77C53E25" w14:textId="52A61CBE" w:rsidR="00B273A9" w:rsidRPr="009A4250" w:rsidRDefault="00B273A9" w:rsidP="003D54FC">
                  <w:pPr>
                    <w:jc w:val="right"/>
                    <w:rPr>
                      <w:rFonts w:ascii="Arial" w:hAnsi="Arial" w:cs="Arial"/>
                      <w:sz w:val="22"/>
                      <w:szCs w:val="22"/>
                    </w:rPr>
                  </w:pPr>
                  <w:r w:rsidRPr="009A4250">
                    <w:rPr>
                      <w:rFonts w:ascii="Arial" w:hAnsi="Arial" w:cs="Arial"/>
                      <w:sz w:val="22"/>
                      <w:szCs w:val="22"/>
                    </w:rPr>
                    <w:t>28.1p</w:t>
                  </w:r>
                </w:p>
              </w:tc>
              <w:tc>
                <w:tcPr>
                  <w:tcW w:w="1298" w:type="dxa"/>
                  <w:tcBorders>
                    <w:top w:val="nil"/>
                    <w:left w:val="nil"/>
                    <w:bottom w:val="nil"/>
                    <w:right w:val="nil"/>
                  </w:tcBorders>
                  <w:vAlign w:val="center"/>
                </w:tcPr>
                <w:p w14:paraId="64EE1A7C" w14:textId="7DDDBB2E" w:rsidR="00B273A9" w:rsidRPr="009A4250" w:rsidRDefault="00B273A9" w:rsidP="003D54FC">
                  <w:pPr>
                    <w:jc w:val="right"/>
                    <w:rPr>
                      <w:rFonts w:ascii="Arial" w:hAnsi="Arial" w:cs="Arial"/>
                      <w:sz w:val="22"/>
                      <w:szCs w:val="22"/>
                    </w:rPr>
                  </w:pPr>
                  <w:r w:rsidRPr="009A4250">
                    <w:rPr>
                      <w:rFonts w:ascii="Arial" w:hAnsi="Arial" w:cs="Arial"/>
                      <w:sz w:val="22"/>
                      <w:szCs w:val="22"/>
                    </w:rPr>
                    <w:t>+</w:t>
                  </w:r>
                  <w:r w:rsidR="0056048C" w:rsidRPr="009A4250">
                    <w:rPr>
                      <w:rFonts w:ascii="Arial" w:hAnsi="Arial" w:cs="Arial"/>
                      <w:sz w:val="22"/>
                      <w:szCs w:val="22"/>
                    </w:rPr>
                    <w:t>43.4</w:t>
                  </w:r>
                  <w:r w:rsidRPr="009A4250">
                    <w:rPr>
                      <w:rFonts w:ascii="Arial" w:hAnsi="Arial" w:cs="Arial"/>
                      <w:sz w:val="22"/>
                      <w:szCs w:val="22"/>
                    </w:rPr>
                    <w:t>%</w:t>
                  </w:r>
                </w:p>
              </w:tc>
              <w:tc>
                <w:tcPr>
                  <w:tcW w:w="1298" w:type="dxa"/>
                  <w:tcBorders>
                    <w:top w:val="nil"/>
                    <w:left w:val="nil"/>
                    <w:bottom w:val="nil"/>
                    <w:right w:val="nil"/>
                  </w:tcBorders>
                  <w:vAlign w:val="center"/>
                </w:tcPr>
                <w:p w14:paraId="1D7AE96E" w14:textId="77777777" w:rsidR="00B273A9" w:rsidRPr="00EB4495" w:rsidRDefault="00B273A9" w:rsidP="003D54FC">
                  <w:pPr>
                    <w:jc w:val="right"/>
                    <w:rPr>
                      <w:rFonts w:ascii="Arial" w:hAnsi="Arial" w:cs="Arial"/>
                      <w:sz w:val="22"/>
                      <w:szCs w:val="22"/>
                    </w:rPr>
                  </w:pPr>
                </w:p>
              </w:tc>
              <w:tc>
                <w:tcPr>
                  <w:tcW w:w="1298" w:type="dxa"/>
                  <w:tcBorders>
                    <w:top w:val="nil"/>
                    <w:left w:val="nil"/>
                    <w:bottom w:val="nil"/>
                    <w:right w:val="nil"/>
                  </w:tcBorders>
                  <w:vAlign w:val="center"/>
                </w:tcPr>
                <w:p w14:paraId="0F59E766" w14:textId="77777777" w:rsidR="00B273A9" w:rsidRPr="00EB4495" w:rsidRDefault="00B273A9" w:rsidP="003D54FC">
                  <w:pPr>
                    <w:jc w:val="right"/>
                    <w:rPr>
                      <w:rFonts w:ascii="Arial" w:hAnsi="Arial" w:cs="Arial"/>
                      <w:sz w:val="22"/>
                      <w:szCs w:val="22"/>
                    </w:rPr>
                  </w:pPr>
                </w:p>
              </w:tc>
            </w:tr>
            <w:tr w:rsidR="00B273A9" w:rsidRPr="00EB4495" w14:paraId="5F8CB974" w14:textId="77777777" w:rsidTr="007D6F54">
              <w:trPr>
                <w:trHeight w:val="269"/>
              </w:trPr>
              <w:tc>
                <w:tcPr>
                  <w:tcW w:w="3458" w:type="dxa"/>
                  <w:tcBorders>
                    <w:top w:val="nil"/>
                    <w:left w:val="nil"/>
                    <w:bottom w:val="nil"/>
                    <w:right w:val="nil"/>
                  </w:tcBorders>
                  <w:shd w:val="clear" w:color="auto" w:fill="auto"/>
                  <w:vAlign w:val="center"/>
                </w:tcPr>
                <w:p w14:paraId="6059AF26" w14:textId="683CE8B4" w:rsidR="00B273A9" w:rsidRPr="009A4250" w:rsidRDefault="00B273A9" w:rsidP="006F23A9">
                  <w:pPr>
                    <w:jc w:val="left"/>
                    <w:rPr>
                      <w:rFonts w:ascii="Arial" w:hAnsi="Arial" w:cs="Arial"/>
                      <w:sz w:val="22"/>
                      <w:szCs w:val="22"/>
                    </w:rPr>
                  </w:pPr>
                  <w:r w:rsidRPr="009A4250">
                    <w:rPr>
                      <w:rFonts w:ascii="Arial" w:hAnsi="Arial" w:cs="Arial"/>
                      <w:sz w:val="22"/>
                      <w:szCs w:val="22"/>
                    </w:rPr>
                    <w:t xml:space="preserve">Net </w:t>
                  </w:r>
                  <w:r w:rsidR="009A4250" w:rsidRPr="00AA693C">
                    <w:rPr>
                      <w:rFonts w:ascii="Arial" w:hAnsi="Arial" w:cs="Arial"/>
                      <w:sz w:val="22"/>
                      <w:szCs w:val="22"/>
                    </w:rPr>
                    <w:t>(</w:t>
                  </w:r>
                  <w:r w:rsidR="009A4250" w:rsidRPr="009A4250">
                    <w:rPr>
                      <w:rFonts w:ascii="Arial" w:hAnsi="Arial" w:cs="Arial"/>
                      <w:sz w:val="22"/>
                      <w:szCs w:val="22"/>
                    </w:rPr>
                    <w:t>decrease)/</w:t>
                  </w:r>
                  <w:r w:rsidRPr="009A4250">
                    <w:rPr>
                      <w:rFonts w:ascii="Arial" w:hAnsi="Arial" w:cs="Arial"/>
                      <w:sz w:val="22"/>
                      <w:szCs w:val="22"/>
                    </w:rPr>
                    <w:t>increase in cash</w:t>
                  </w:r>
                  <w:r w:rsidR="00BD4A25" w:rsidRPr="009A4250">
                    <w:rPr>
                      <w:rFonts w:ascii="Arial" w:hAnsi="Arial" w:cs="Arial"/>
                      <w:sz w:val="22"/>
                      <w:szCs w:val="22"/>
                      <w:vertAlign w:val="superscript"/>
                    </w:rPr>
                    <w:t>±</w:t>
                  </w:r>
                </w:p>
              </w:tc>
              <w:tc>
                <w:tcPr>
                  <w:tcW w:w="1327" w:type="dxa"/>
                  <w:tcBorders>
                    <w:top w:val="nil"/>
                    <w:left w:val="nil"/>
                    <w:bottom w:val="nil"/>
                    <w:right w:val="nil"/>
                  </w:tcBorders>
                  <w:vAlign w:val="center"/>
                </w:tcPr>
                <w:p w14:paraId="6BA12516" w14:textId="5BFA528D" w:rsidR="00B273A9" w:rsidRPr="00337BFB" w:rsidRDefault="00B273A9" w:rsidP="003D54FC">
                  <w:pPr>
                    <w:jc w:val="right"/>
                    <w:rPr>
                      <w:rFonts w:ascii="Arial" w:hAnsi="Arial" w:cs="Arial"/>
                      <w:sz w:val="22"/>
                      <w:szCs w:val="22"/>
                    </w:rPr>
                  </w:pPr>
                  <w:r w:rsidRPr="00337BFB">
                    <w:rPr>
                      <w:rFonts w:ascii="Arial" w:hAnsi="Arial" w:cs="Arial"/>
                      <w:sz w:val="22"/>
                      <w:szCs w:val="22"/>
                    </w:rPr>
                    <w:t>£</w:t>
                  </w:r>
                  <w:r w:rsidR="009A4250" w:rsidRPr="00337BFB">
                    <w:rPr>
                      <w:rFonts w:ascii="Arial" w:hAnsi="Arial" w:cs="Arial"/>
                      <w:sz w:val="22"/>
                      <w:szCs w:val="22"/>
                    </w:rPr>
                    <w:t>(23</w:t>
                  </w:r>
                  <w:r w:rsidR="000E1790">
                    <w:rPr>
                      <w:rFonts w:ascii="Arial" w:hAnsi="Arial" w:cs="Arial"/>
                      <w:sz w:val="22"/>
                      <w:szCs w:val="22"/>
                    </w:rPr>
                    <w:t>7</w:t>
                  </w:r>
                  <w:r w:rsidR="009A4250" w:rsidRPr="00337BFB">
                    <w:rPr>
                      <w:rFonts w:ascii="Arial" w:hAnsi="Arial" w:cs="Arial"/>
                      <w:sz w:val="22"/>
                      <w:szCs w:val="22"/>
                    </w:rPr>
                    <w:t>)</w:t>
                  </w:r>
                  <w:r w:rsidRPr="00337BFB">
                    <w:rPr>
                      <w:rFonts w:ascii="Arial" w:hAnsi="Arial" w:cs="Arial"/>
                      <w:sz w:val="22"/>
                      <w:szCs w:val="22"/>
                    </w:rPr>
                    <w:t>m</w:t>
                  </w:r>
                </w:p>
              </w:tc>
              <w:tc>
                <w:tcPr>
                  <w:tcW w:w="1327" w:type="dxa"/>
                  <w:tcBorders>
                    <w:top w:val="nil"/>
                    <w:left w:val="nil"/>
                    <w:bottom w:val="nil"/>
                    <w:right w:val="nil"/>
                  </w:tcBorders>
                  <w:shd w:val="clear" w:color="auto" w:fill="auto"/>
                  <w:vAlign w:val="center"/>
                </w:tcPr>
                <w:p w14:paraId="2018A67E" w14:textId="5EBD9ABA" w:rsidR="00B273A9" w:rsidRPr="009A4250" w:rsidRDefault="00B273A9" w:rsidP="003D54FC">
                  <w:pPr>
                    <w:jc w:val="right"/>
                    <w:rPr>
                      <w:rFonts w:ascii="Arial" w:hAnsi="Arial" w:cs="Arial"/>
                      <w:sz w:val="22"/>
                      <w:szCs w:val="22"/>
                    </w:rPr>
                  </w:pPr>
                  <w:r w:rsidRPr="009A4250">
                    <w:rPr>
                      <w:rFonts w:ascii="Arial" w:hAnsi="Arial" w:cs="Arial"/>
                      <w:sz w:val="22"/>
                      <w:szCs w:val="22"/>
                    </w:rPr>
                    <w:t>£</w:t>
                  </w:r>
                  <w:r w:rsidR="00141A3D" w:rsidRPr="009A4250">
                    <w:rPr>
                      <w:rFonts w:ascii="Arial" w:hAnsi="Arial" w:cs="Arial"/>
                      <w:sz w:val="22"/>
                      <w:szCs w:val="22"/>
                    </w:rPr>
                    <w:t>881</w:t>
                  </w:r>
                  <w:r w:rsidRPr="009A4250">
                    <w:rPr>
                      <w:rFonts w:ascii="Arial" w:hAnsi="Arial" w:cs="Arial"/>
                      <w:sz w:val="22"/>
                      <w:szCs w:val="22"/>
                    </w:rPr>
                    <w:t>m</w:t>
                  </w:r>
                </w:p>
              </w:tc>
              <w:tc>
                <w:tcPr>
                  <w:tcW w:w="1298" w:type="dxa"/>
                  <w:tcBorders>
                    <w:top w:val="nil"/>
                    <w:left w:val="nil"/>
                    <w:bottom w:val="nil"/>
                    <w:right w:val="nil"/>
                  </w:tcBorders>
                  <w:vAlign w:val="center"/>
                </w:tcPr>
                <w:p w14:paraId="6CB80005" w14:textId="32F3E814" w:rsidR="00B273A9" w:rsidRPr="00337BFB" w:rsidRDefault="00AD7F9C" w:rsidP="003D54FC">
                  <w:pPr>
                    <w:jc w:val="right"/>
                    <w:rPr>
                      <w:rFonts w:ascii="Arial" w:hAnsi="Arial" w:cs="Arial"/>
                      <w:sz w:val="22"/>
                      <w:szCs w:val="22"/>
                    </w:rPr>
                  </w:pPr>
                  <w:r>
                    <w:rPr>
                      <w:rFonts w:ascii="Arial" w:hAnsi="Arial" w:cs="Arial"/>
                      <w:sz w:val="22"/>
                      <w:szCs w:val="22"/>
                    </w:rPr>
                    <w:t>n/a</w:t>
                  </w:r>
                </w:p>
              </w:tc>
              <w:tc>
                <w:tcPr>
                  <w:tcW w:w="1298" w:type="dxa"/>
                  <w:tcBorders>
                    <w:top w:val="nil"/>
                    <w:left w:val="nil"/>
                    <w:bottom w:val="nil"/>
                    <w:right w:val="nil"/>
                  </w:tcBorders>
                  <w:vAlign w:val="center"/>
                </w:tcPr>
                <w:p w14:paraId="69E5AE42" w14:textId="77777777" w:rsidR="00B273A9" w:rsidRPr="00EB4495" w:rsidRDefault="00B273A9" w:rsidP="003D54FC">
                  <w:pPr>
                    <w:jc w:val="right"/>
                    <w:rPr>
                      <w:rFonts w:ascii="Arial" w:hAnsi="Arial" w:cs="Arial"/>
                      <w:sz w:val="22"/>
                      <w:szCs w:val="22"/>
                    </w:rPr>
                  </w:pPr>
                </w:p>
              </w:tc>
              <w:tc>
                <w:tcPr>
                  <w:tcW w:w="1298" w:type="dxa"/>
                  <w:tcBorders>
                    <w:top w:val="nil"/>
                    <w:left w:val="nil"/>
                    <w:bottom w:val="nil"/>
                    <w:right w:val="nil"/>
                  </w:tcBorders>
                  <w:vAlign w:val="center"/>
                </w:tcPr>
                <w:p w14:paraId="2B5B104A" w14:textId="77777777" w:rsidR="00B273A9" w:rsidRPr="00EB4495" w:rsidRDefault="00B273A9" w:rsidP="003D54FC">
                  <w:pPr>
                    <w:jc w:val="right"/>
                    <w:rPr>
                      <w:rFonts w:ascii="Arial" w:hAnsi="Arial" w:cs="Arial"/>
                      <w:sz w:val="22"/>
                      <w:szCs w:val="22"/>
                    </w:rPr>
                  </w:pPr>
                </w:p>
              </w:tc>
            </w:tr>
            <w:tr w:rsidR="00B273A9" w:rsidRPr="00EB4495" w14:paraId="091161D3" w14:textId="77777777" w:rsidTr="007D6F54">
              <w:trPr>
                <w:trHeight w:val="269"/>
              </w:trPr>
              <w:tc>
                <w:tcPr>
                  <w:tcW w:w="3458" w:type="dxa"/>
                  <w:tcBorders>
                    <w:top w:val="nil"/>
                    <w:left w:val="nil"/>
                    <w:bottom w:val="nil"/>
                    <w:right w:val="nil"/>
                  </w:tcBorders>
                  <w:shd w:val="clear" w:color="auto" w:fill="auto"/>
                  <w:vAlign w:val="center"/>
                </w:tcPr>
                <w:p w14:paraId="34B3776D" w14:textId="2FA846C0" w:rsidR="00B273A9" w:rsidRPr="009A4250" w:rsidRDefault="00B273A9" w:rsidP="006F23A9">
                  <w:pPr>
                    <w:jc w:val="left"/>
                    <w:rPr>
                      <w:rFonts w:ascii="Arial" w:hAnsi="Arial" w:cs="Arial"/>
                      <w:sz w:val="22"/>
                      <w:szCs w:val="22"/>
                    </w:rPr>
                  </w:pPr>
                  <w:r w:rsidRPr="009A4250">
                    <w:rPr>
                      <w:rFonts w:ascii="Arial" w:hAnsi="Arial" w:cs="Arial"/>
                      <w:sz w:val="22"/>
                      <w:szCs w:val="22"/>
                    </w:rPr>
                    <w:t>Total dividend</w:t>
                  </w:r>
                  <w:r w:rsidR="007779CB" w:rsidRPr="009A4250">
                    <w:rPr>
                      <w:rFonts w:ascii="Arial" w:hAnsi="Arial" w:cs="Arial"/>
                      <w:sz w:val="22"/>
                      <w:szCs w:val="22"/>
                      <w:vertAlign w:val="superscript"/>
                    </w:rPr>
                    <w:t>(1)</w:t>
                  </w:r>
                </w:p>
              </w:tc>
              <w:tc>
                <w:tcPr>
                  <w:tcW w:w="1327" w:type="dxa"/>
                  <w:tcBorders>
                    <w:top w:val="nil"/>
                    <w:left w:val="nil"/>
                    <w:bottom w:val="nil"/>
                    <w:right w:val="nil"/>
                  </w:tcBorders>
                  <w:vAlign w:val="center"/>
                </w:tcPr>
                <w:p w14:paraId="63F953BB" w14:textId="45B2B5BE" w:rsidR="00B273A9" w:rsidRPr="009A4250" w:rsidRDefault="000423A7" w:rsidP="003D54FC">
                  <w:pPr>
                    <w:jc w:val="right"/>
                    <w:rPr>
                      <w:rFonts w:ascii="Arial" w:hAnsi="Arial" w:cs="Arial"/>
                      <w:sz w:val="22"/>
                      <w:szCs w:val="22"/>
                    </w:rPr>
                  </w:pPr>
                  <w:r w:rsidRPr="009A4250">
                    <w:rPr>
                      <w:rFonts w:ascii="Arial" w:hAnsi="Arial" w:cs="Arial"/>
                      <w:sz w:val="22"/>
                      <w:szCs w:val="22"/>
                    </w:rPr>
                    <w:t>12.40</w:t>
                  </w:r>
                  <w:r w:rsidR="00B273A9" w:rsidRPr="009A4250">
                    <w:rPr>
                      <w:rFonts w:ascii="Arial" w:hAnsi="Arial" w:cs="Arial"/>
                      <w:sz w:val="22"/>
                      <w:szCs w:val="22"/>
                    </w:rPr>
                    <w:t>p</w:t>
                  </w:r>
                </w:p>
              </w:tc>
              <w:tc>
                <w:tcPr>
                  <w:tcW w:w="1327" w:type="dxa"/>
                  <w:tcBorders>
                    <w:top w:val="nil"/>
                    <w:left w:val="nil"/>
                    <w:bottom w:val="nil"/>
                    <w:right w:val="nil"/>
                  </w:tcBorders>
                  <w:shd w:val="clear" w:color="auto" w:fill="auto"/>
                  <w:vAlign w:val="center"/>
                </w:tcPr>
                <w:p w14:paraId="6F0E238B" w14:textId="0FEEE533" w:rsidR="00B273A9" w:rsidRPr="009A4250" w:rsidRDefault="00B273A9" w:rsidP="003D54FC">
                  <w:pPr>
                    <w:jc w:val="right"/>
                    <w:rPr>
                      <w:rFonts w:ascii="Arial" w:hAnsi="Arial" w:cs="Arial"/>
                      <w:sz w:val="22"/>
                      <w:szCs w:val="22"/>
                    </w:rPr>
                  </w:pPr>
                  <w:r w:rsidRPr="009A4250">
                    <w:rPr>
                      <w:rFonts w:ascii="Arial" w:hAnsi="Arial" w:cs="Arial"/>
                      <w:sz w:val="22"/>
                      <w:szCs w:val="22"/>
                    </w:rPr>
                    <w:t>8.25p</w:t>
                  </w:r>
                </w:p>
              </w:tc>
              <w:tc>
                <w:tcPr>
                  <w:tcW w:w="1298" w:type="dxa"/>
                  <w:tcBorders>
                    <w:top w:val="nil"/>
                    <w:left w:val="nil"/>
                    <w:bottom w:val="nil"/>
                    <w:right w:val="nil"/>
                  </w:tcBorders>
                  <w:vAlign w:val="center"/>
                </w:tcPr>
                <w:p w14:paraId="0C7679F2" w14:textId="091152CE" w:rsidR="00B273A9" w:rsidRPr="009A4250" w:rsidRDefault="00B273A9" w:rsidP="003D54FC">
                  <w:pPr>
                    <w:jc w:val="right"/>
                    <w:rPr>
                      <w:rFonts w:ascii="Arial" w:hAnsi="Arial" w:cs="Arial"/>
                      <w:sz w:val="22"/>
                      <w:szCs w:val="22"/>
                    </w:rPr>
                  </w:pPr>
                  <w:r w:rsidRPr="009A4250">
                    <w:rPr>
                      <w:rFonts w:ascii="Arial" w:hAnsi="Arial" w:cs="Arial"/>
                      <w:sz w:val="22"/>
                      <w:szCs w:val="22"/>
                    </w:rPr>
                    <w:t>+</w:t>
                  </w:r>
                  <w:r w:rsidR="000423A7" w:rsidRPr="009A4250">
                    <w:rPr>
                      <w:rFonts w:ascii="Arial" w:hAnsi="Arial" w:cs="Arial"/>
                      <w:sz w:val="22"/>
                      <w:szCs w:val="22"/>
                    </w:rPr>
                    <w:t>50.3</w:t>
                  </w:r>
                  <w:r w:rsidRPr="009A4250">
                    <w:rPr>
                      <w:rFonts w:ascii="Arial" w:hAnsi="Arial" w:cs="Arial"/>
                      <w:sz w:val="22"/>
                      <w:szCs w:val="22"/>
                    </w:rPr>
                    <w:t>%</w:t>
                  </w:r>
                </w:p>
              </w:tc>
              <w:tc>
                <w:tcPr>
                  <w:tcW w:w="1298" w:type="dxa"/>
                  <w:tcBorders>
                    <w:top w:val="nil"/>
                    <w:left w:val="nil"/>
                    <w:bottom w:val="nil"/>
                    <w:right w:val="nil"/>
                  </w:tcBorders>
                  <w:vAlign w:val="center"/>
                </w:tcPr>
                <w:p w14:paraId="3830E280" w14:textId="77777777" w:rsidR="00B273A9" w:rsidRPr="004839A6" w:rsidRDefault="00B273A9" w:rsidP="003D54FC">
                  <w:pPr>
                    <w:jc w:val="right"/>
                    <w:rPr>
                      <w:rFonts w:ascii="Arial" w:hAnsi="Arial" w:cs="Arial"/>
                      <w:sz w:val="22"/>
                      <w:szCs w:val="22"/>
                    </w:rPr>
                  </w:pPr>
                </w:p>
              </w:tc>
              <w:tc>
                <w:tcPr>
                  <w:tcW w:w="1298" w:type="dxa"/>
                  <w:tcBorders>
                    <w:top w:val="nil"/>
                    <w:left w:val="nil"/>
                    <w:bottom w:val="nil"/>
                    <w:right w:val="nil"/>
                  </w:tcBorders>
                  <w:vAlign w:val="center"/>
                </w:tcPr>
                <w:p w14:paraId="466E1B12" w14:textId="77777777" w:rsidR="00B273A9" w:rsidRPr="00EB4495" w:rsidRDefault="00B273A9" w:rsidP="003D54FC">
                  <w:pPr>
                    <w:jc w:val="right"/>
                    <w:rPr>
                      <w:rFonts w:ascii="Arial" w:hAnsi="Arial" w:cs="Arial"/>
                      <w:sz w:val="22"/>
                      <w:szCs w:val="22"/>
                    </w:rPr>
                  </w:pPr>
                </w:p>
              </w:tc>
            </w:tr>
            <w:tr w:rsidR="00C52B32" w:rsidRPr="00EB4495" w14:paraId="6AF76A10" w14:textId="77777777" w:rsidTr="007D6F54">
              <w:trPr>
                <w:trHeight w:val="269"/>
              </w:trPr>
              <w:tc>
                <w:tcPr>
                  <w:tcW w:w="3458" w:type="dxa"/>
                  <w:tcBorders>
                    <w:top w:val="nil"/>
                    <w:left w:val="nil"/>
                    <w:bottom w:val="nil"/>
                    <w:right w:val="nil"/>
                  </w:tcBorders>
                  <w:shd w:val="clear" w:color="auto" w:fill="auto"/>
                  <w:vAlign w:val="center"/>
                </w:tcPr>
                <w:p w14:paraId="7AE29EC9" w14:textId="77777777" w:rsidR="00C52B32" w:rsidRPr="00EB4495" w:rsidRDefault="00C52B32" w:rsidP="006F23A9">
                  <w:pPr>
                    <w:jc w:val="left"/>
                    <w:rPr>
                      <w:rFonts w:ascii="Arial" w:hAnsi="Arial" w:cs="Arial"/>
                      <w:sz w:val="22"/>
                      <w:szCs w:val="22"/>
                    </w:rPr>
                  </w:pPr>
                </w:p>
              </w:tc>
              <w:tc>
                <w:tcPr>
                  <w:tcW w:w="1327" w:type="dxa"/>
                  <w:tcBorders>
                    <w:top w:val="nil"/>
                    <w:left w:val="nil"/>
                    <w:bottom w:val="nil"/>
                    <w:right w:val="nil"/>
                  </w:tcBorders>
                  <w:vAlign w:val="center"/>
                </w:tcPr>
                <w:p w14:paraId="62F27BA1" w14:textId="77777777" w:rsidR="00C52B32" w:rsidRPr="00EB4495" w:rsidRDefault="00C52B32" w:rsidP="003D54FC">
                  <w:pPr>
                    <w:jc w:val="right"/>
                    <w:rPr>
                      <w:rFonts w:ascii="Arial" w:hAnsi="Arial" w:cs="Arial"/>
                      <w:sz w:val="22"/>
                      <w:szCs w:val="22"/>
                    </w:rPr>
                  </w:pPr>
                </w:p>
              </w:tc>
              <w:tc>
                <w:tcPr>
                  <w:tcW w:w="1327" w:type="dxa"/>
                  <w:tcBorders>
                    <w:top w:val="nil"/>
                    <w:left w:val="nil"/>
                    <w:bottom w:val="nil"/>
                    <w:right w:val="nil"/>
                  </w:tcBorders>
                  <w:vAlign w:val="center"/>
                </w:tcPr>
                <w:p w14:paraId="0B7DBE03" w14:textId="77777777" w:rsidR="00C52B32" w:rsidRPr="00EB4495" w:rsidRDefault="00C52B32" w:rsidP="003D54FC">
                  <w:pPr>
                    <w:jc w:val="right"/>
                    <w:rPr>
                      <w:rFonts w:ascii="Arial" w:hAnsi="Arial" w:cs="Arial"/>
                      <w:sz w:val="22"/>
                      <w:szCs w:val="22"/>
                    </w:rPr>
                  </w:pPr>
                </w:p>
              </w:tc>
              <w:tc>
                <w:tcPr>
                  <w:tcW w:w="1298" w:type="dxa"/>
                  <w:tcBorders>
                    <w:top w:val="nil"/>
                    <w:left w:val="nil"/>
                    <w:bottom w:val="nil"/>
                    <w:right w:val="nil"/>
                  </w:tcBorders>
                  <w:vAlign w:val="center"/>
                </w:tcPr>
                <w:p w14:paraId="71EF297E" w14:textId="77777777" w:rsidR="00C52B32" w:rsidRPr="00EB4495" w:rsidRDefault="00C52B32" w:rsidP="003D54FC">
                  <w:pPr>
                    <w:jc w:val="right"/>
                    <w:rPr>
                      <w:rFonts w:ascii="Arial" w:hAnsi="Arial" w:cs="Arial"/>
                      <w:sz w:val="22"/>
                      <w:szCs w:val="22"/>
                    </w:rPr>
                  </w:pPr>
                </w:p>
              </w:tc>
              <w:tc>
                <w:tcPr>
                  <w:tcW w:w="1298" w:type="dxa"/>
                  <w:tcBorders>
                    <w:top w:val="nil"/>
                    <w:left w:val="nil"/>
                    <w:bottom w:val="nil"/>
                    <w:right w:val="nil"/>
                  </w:tcBorders>
                  <w:vAlign w:val="center"/>
                </w:tcPr>
                <w:p w14:paraId="7F17ADA5" w14:textId="77777777" w:rsidR="00C52B32" w:rsidRPr="00EB4495" w:rsidRDefault="00C52B32" w:rsidP="003D54FC">
                  <w:pPr>
                    <w:jc w:val="right"/>
                    <w:rPr>
                      <w:rFonts w:ascii="Arial" w:hAnsi="Arial" w:cs="Arial"/>
                      <w:sz w:val="22"/>
                      <w:szCs w:val="22"/>
                    </w:rPr>
                  </w:pPr>
                </w:p>
              </w:tc>
              <w:tc>
                <w:tcPr>
                  <w:tcW w:w="1298" w:type="dxa"/>
                  <w:tcBorders>
                    <w:top w:val="nil"/>
                    <w:left w:val="nil"/>
                    <w:bottom w:val="nil"/>
                    <w:right w:val="nil"/>
                  </w:tcBorders>
                  <w:vAlign w:val="center"/>
                </w:tcPr>
                <w:p w14:paraId="4A6DA247" w14:textId="77777777" w:rsidR="00C52B32" w:rsidRPr="00EB4495" w:rsidRDefault="00C52B32" w:rsidP="003D54FC">
                  <w:pPr>
                    <w:jc w:val="right"/>
                    <w:rPr>
                      <w:rFonts w:ascii="Arial" w:hAnsi="Arial" w:cs="Arial"/>
                      <w:sz w:val="22"/>
                      <w:szCs w:val="22"/>
                    </w:rPr>
                  </w:pPr>
                </w:p>
              </w:tc>
            </w:tr>
            <w:tr w:rsidR="00C52B32" w:rsidRPr="00EB4495" w14:paraId="5EEE272F" w14:textId="77777777" w:rsidTr="007D6F54">
              <w:trPr>
                <w:trHeight w:val="269"/>
              </w:trPr>
              <w:tc>
                <w:tcPr>
                  <w:tcW w:w="3458" w:type="dxa"/>
                  <w:tcBorders>
                    <w:top w:val="nil"/>
                    <w:left w:val="nil"/>
                    <w:bottom w:val="nil"/>
                    <w:right w:val="nil"/>
                  </w:tcBorders>
                  <w:shd w:val="clear" w:color="auto" w:fill="auto"/>
                  <w:vAlign w:val="center"/>
                </w:tcPr>
                <w:p w14:paraId="30ACD3B6" w14:textId="77777777" w:rsidR="00C52B32" w:rsidRPr="00EB4495" w:rsidRDefault="00C52B32" w:rsidP="006F23A9">
                  <w:pPr>
                    <w:jc w:val="left"/>
                    <w:rPr>
                      <w:rFonts w:ascii="Arial" w:hAnsi="Arial" w:cs="Arial"/>
                      <w:sz w:val="22"/>
                      <w:szCs w:val="22"/>
                    </w:rPr>
                  </w:pPr>
                  <w:r w:rsidRPr="00EB4495">
                    <w:rPr>
                      <w:rFonts w:ascii="Arial" w:hAnsi="Arial" w:cs="Arial"/>
                      <w:b/>
                      <w:bCs/>
                      <w:sz w:val="22"/>
                      <w:szCs w:val="22"/>
                      <w:u w:val="single"/>
                    </w:rPr>
                    <w:t>Adjusted metrics</w:t>
                  </w:r>
                </w:p>
              </w:tc>
              <w:tc>
                <w:tcPr>
                  <w:tcW w:w="1327" w:type="dxa"/>
                  <w:tcBorders>
                    <w:top w:val="nil"/>
                    <w:left w:val="nil"/>
                    <w:bottom w:val="nil"/>
                    <w:right w:val="nil"/>
                  </w:tcBorders>
                  <w:vAlign w:val="center"/>
                </w:tcPr>
                <w:p w14:paraId="7142B62B" w14:textId="77777777" w:rsidR="00C52B32" w:rsidRPr="00EB4495" w:rsidRDefault="00C52B32" w:rsidP="003D54FC">
                  <w:pPr>
                    <w:jc w:val="right"/>
                    <w:rPr>
                      <w:rFonts w:ascii="Arial" w:hAnsi="Arial" w:cs="Arial"/>
                      <w:sz w:val="22"/>
                      <w:szCs w:val="22"/>
                    </w:rPr>
                  </w:pPr>
                </w:p>
              </w:tc>
              <w:tc>
                <w:tcPr>
                  <w:tcW w:w="1327" w:type="dxa"/>
                  <w:tcBorders>
                    <w:top w:val="nil"/>
                    <w:left w:val="nil"/>
                    <w:bottom w:val="nil"/>
                    <w:right w:val="nil"/>
                  </w:tcBorders>
                  <w:vAlign w:val="center"/>
                </w:tcPr>
                <w:p w14:paraId="275393A6" w14:textId="77777777" w:rsidR="00C52B32" w:rsidRPr="00EB4495" w:rsidRDefault="00C52B32" w:rsidP="003D54FC">
                  <w:pPr>
                    <w:jc w:val="right"/>
                    <w:rPr>
                      <w:rFonts w:ascii="Arial" w:hAnsi="Arial" w:cs="Arial"/>
                      <w:sz w:val="22"/>
                      <w:szCs w:val="22"/>
                    </w:rPr>
                  </w:pPr>
                </w:p>
              </w:tc>
              <w:tc>
                <w:tcPr>
                  <w:tcW w:w="1298" w:type="dxa"/>
                  <w:tcBorders>
                    <w:top w:val="nil"/>
                    <w:left w:val="nil"/>
                    <w:bottom w:val="nil"/>
                    <w:right w:val="nil"/>
                  </w:tcBorders>
                  <w:vAlign w:val="center"/>
                </w:tcPr>
                <w:p w14:paraId="4C53FCE1" w14:textId="77777777" w:rsidR="00C52B32" w:rsidRPr="00EB4495" w:rsidRDefault="00C52B32" w:rsidP="003D54FC">
                  <w:pPr>
                    <w:jc w:val="right"/>
                    <w:rPr>
                      <w:rFonts w:ascii="Arial" w:hAnsi="Arial" w:cs="Arial"/>
                      <w:sz w:val="22"/>
                      <w:szCs w:val="22"/>
                    </w:rPr>
                  </w:pPr>
                </w:p>
              </w:tc>
              <w:tc>
                <w:tcPr>
                  <w:tcW w:w="1298" w:type="dxa"/>
                  <w:tcBorders>
                    <w:top w:val="nil"/>
                    <w:left w:val="nil"/>
                    <w:bottom w:val="nil"/>
                    <w:right w:val="nil"/>
                  </w:tcBorders>
                  <w:vAlign w:val="center"/>
                </w:tcPr>
                <w:p w14:paraId="4D1918B5" w14:textId="77777777" w:rsidR="00C52B32" w:rsidRPr="00EB4495" w:rsidRDefault="00C52B32" w:rsidP="003D54FC">
                  <w:pPr>
                    <w:jc w:val="right"/>
                    <w:rPr>
                      <w:rFonts w:ascii="Arial" w:hAnsi="Arial" w:cs="Arial"/>
                      <w:sz w:val="22"/>
                      <w:szCs w:val="22"/>
                    </w:rPr>
                  </w:pPr>
                </w:p>
              </w:tc>
              <w:tc>
                <w:tcPr>
                  <w:tcW w:w="1298" w:type="dxa"/>
                  <w:tcBorders>
                    <w:top w:val="nil"/>
                    <w:left w:val="nil"/>
                    <w:bottom w:val="nil"/>
                    <w:right w:val="nil"/>
                  </w:tcBorders>
                  <w:vAlign w:val="center"/>
                </w:tcPr>
                <w:p w14:paraId="56D5B0D8" w14:textId="77777777" w:rsidR="00C52B32" w:rsidRPr="00EB4495" w:rsidRDefault="00C52B32" w:rsidP="003D54FC">
                  <w:pPr>
                    <w:jc w:val="right"/>
                    <w:rPr>
                      <w:rFonts w:ascii="Arial" w:hAnsi="Arial" w:cs="Arial"/>
                      <w:sz w:val="22"/>
                      <w:szCs w:val="22"/>
                    </w:rPr>
                  </w:pPr>
                </w:p>
              </w:tc>
            </w:tr>
            <w:tr w:rsidR="000423A7" w:rsidRPr="00EB4495" w14:paraId="744D3D8E" w14:textId="77777777" w:rsidTr="007D6F54">
              <w:trPr>
                <w:trHeight w:val="269"/>
              </w:trPr>
              <w:tc>
                <w:tcPr>
                  <w:tcW w:w="3458" w:type="dxa"/>
                  <w:tcBorders>
                    <w:top w:val="nil"/>
                    <w:left w:val="nil"/>
                    <w:bottom w:val="nil"/>
                    <w:right w:val="nil"/>
                  </w:tcBorders>
                  <w:shd w:val="clear" w:color="auto" w:fill="auto"/>
                  <w:vAlign w:val="center"/>
                </w:tcPr>
                <w:p w14:paraId="7162124F" w14:textId="77777777" w:rsidR="000423A7" w:rsidRPr="00EB4495" w:rsidRDefault="000423A7" w:rsidP="000423A7">
                  <w:pPr>
                    <w:jc w:val="left"/>
                    <w:rPr>
                      <w:rFonts w:ascii="Arial" w:hAnsi="Arial" w:cs="Arial"/>
                      <w:sz w:val="22"/>
                      <w:szCs w:val="22"/>
                    </w:rPr>
                  </w:pPr>
                  <w:r w:rsidRPr="00EB4495">
                    <w:rPr>
                      <w:rFonts w:ascii="Arial" w:hAnsi="Arial" w:cs="Arial"/>
                      <w:sz w:val="22"/>
                      <w:szCs w:val="22"/>
                    </w:rPr>
                    <w:t>Retail profit*</w:t>
                  </w:r>
                </w:p>
              </w:tc>
              <w:tc>
                <w:tcPr>
                  <w:tcW w:w="1327" w:type="dxa"/>
                  <w:tcBorders>
                    <w:top w:val="nil"/>
                    <w:left w:val="nil"/>
                    <w:bottom w:val="nil"/>
                    <w:right w:val="nil"/>
                  </w:tcBorders>
                  <w:vAlign w:val="center"/>
                </w:tcPr>
                <w:p w14:paraId="5A65518A" w14:textId="3BD26468"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£1,148m</w:t>
                  </w:r>
                </w:p>
              </w:tc>
              <w:tc>
                <w:tcPr>
                  <w:tcW w:w="1327" w:type="dxa"/>
                  <w:tcBorders>
                    <w:top w:val="nil"/>
                    <w:left w:val="nil"/>
                    <w:bottom w:val="nil"/>
                    <w:right w:val="nil"/>
                  </w:tcBorders>
                  <w:vAlign w:val="center"/>
                </w:tcPr>
                <w:p w14:paraId="7BF60A40" w14:textId="037DC0A2" w:rsidR="000423A7" w:rsidRPr="00EB4495" w:rsidRDefault="000423A7" w:rsidP="000423A7">
                  <w:pPr>
                    <w:jc w:val="right"/>
                    <w:rPr>
                      <w:rFonts w:ascii="Arial" w:hAnsi="Arial" w:cs="Arial"/>
                      <w:sz w:val="22"/>
                      <w:szCs w:val="22"/>
                    </w:rPr>
                  </w:pPr>
                  <w:r w:rsidRPr="00EB4495">
                    <w:rPr>
                      <w:rFonts w:ascii="Arial" w:hAnsi="Arial" w:cs="Arial"/>
                      <w:sz w:val="22"/>
                      <w:szCs w:val="22"/>
                    </w:rPr>
                    <w:t>£1,003m</w:t>
                  </w:r>
                </w:p>
              </w:tc>
              <w:tc>
                <w:tcPr>
                  <w:tcW w:w="1298" w:type="dxa"/>
                  <w:tcBorders>
                    <w:top w:val="nil"/>
                    <w:left w:val="nil"/>
                    <w:bottom w:val="nil"/>
                    <w:right w:val="nil"/>
                  </w:tcBorders>
                  <w:vAlign w:val="center"/>
                </w:tcPr>
                <w:p w14:paraId="28F42167" w14:textId="3E93A4D0"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+14.5%</w:t>
                  </w:r>
                </w:p>
              </w:tc>
              <w:tc>
                <w:tcPr>
                  <w:tcW w:w="1298" w:type="dxa"/>
                  <w:tcBorders>
                    <w:top w:val="nil"/>
                    <w:left w:val="nil"/>
                    <w:bottom w:val="nil"/>
                    <w:right w:val="nil"/>
                  </w:tcBorders>
                  <w:vAlign w:val="center"/>
                </w:tcPr>
                <w:p w14:paraId="38B2327A" w14:textId="6FF05706"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+16.7%</w:t>
                  </w:r>
                </w:p>
              </w:tc>
              <w:tc>
                <w:tcPr>
                  <w:tcW w:w="1298" w:type="dxa"/>
                  <w:tcBorders>
                    <w:top w:val="nil"/>
                    <w:left w:val="nil"/>
                    <w:bottom w:val="nil"/>
                    <w:right w:val="nil"/>
                  </w:tcBorders>
                  <w:vAlign w:val="center"/>
                </w:tcPr>
                <w:p w14:paraId="274745CB" w14:textId="77777777" w:rsidR="000423A7" w:rsidRPr="00EB4495" w:rsidRDefault="000423A7" w:rsidP="000423A7">
                  <w:pPr>
                    <w:jc w:val="right"/>
                    <w:rPr>
                      <w:rFonts w:ascii="Arial" w:hAnsi="Arial" w:cs="Arial"/>
                      <w:sz w:val="22"/>
                      <w:szCs w:val="22"/>
                    </w:rPr>
                  </w:pPr>
                </w:p>
              </w:tc>
            </w:tr>
            <w:tr w:rsidR="000423A7" w:rsidRPr="00EB4495" w14:paraId="248CF565" w14:textId="77777777" w:rsidTr="007D6F54">
              <w:trPr>
                <w:trHeight w:val="269"/>
              </w:trPr>
              <w:tc>
                <w:tcPr>
                  <w:tcW w:w="3458" w:type="dxa"/>
                  <w:tcBorders>
                    <w:top w:val="nil"/>
                    <w:left w:val="nil"/>
                    <w:bottom w:val="nil"/>
                    <w:right w:val="nil"/>
                  </w:tcBorders>
                  <w:shd w:val="clear" w:color="auto" w:fill="auto"/>
                  <w:vAlign w:val="center"/>
                </w:tcPr>
                <w:p w14:paraId="523F755C" w14:textId="77777777" w:rsidR="000423A7" w:rsidRPr="00EB4495" w:rsidRDefault="000423A7" w:rsidP="000423A7">
                  <w:pPr>
                    <w:jc w:val="left"/>
                    <w:rPr>
                      <w:rFonts w:ascii="Arial" w:hAnsi="Arial" w:cs="Arial"/>
                      <w:sz w:val="22"/>
                      <w:szCs w:val="22"/>
                    </w:rPr>
                  </w:pPr>
                  <w:r w:rsidRPr="00EB4495">
                    <w:rPr>
                      <w:rFonts w:ascii="Arial" w:hAnsi="Arial" w:cs="Arial"/>
                      <w:sz w:val="22"/>
                      <w:szCs w:val="22"/>
                    </w:rPr>
                    <w:t>Retail profit margin %*</w:t>
                  </w:r>
                </w:p>
              </w:tc>
              <w:tc>
                <w:tcPr>
                  <w:tcW w:w="1327" w:type="dxa"/>
                  <w:tcBorders>
                    <w:top w:val="nil"/>
                    <w:left w:val="nil"/>
                    <w:bottom w:val="nil"/>
                    <w:right w:val="nil"/>
                  </w:tcBorders>
                  <w:vAlign w:val="center"/>
                </w:tcPr>
                <w:p w14:paraId="67861F2A" w14:textId="02BEE801"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8.7%</w:t>
                  </w:r>
                </w:p>
              </w:tc>
              <w:tc>
                <w:tcPr>
                  <w:tcW w:w="1327" w:type="dxa"/>
                  <w:tcBorders>
                    <w:top w:val="nil"/>
                    <w:left w:val="nil"/>
                    <w:bottom w:val="nil"/>
                    <w:right w:val="nil"/>
                  </w:tcBorders>
                  <w:shd w:val="clear" w:color="auto" w:fill="auto"/>
                  <w:vAlign w:val="center"/>
                </w:tcPr>
                <w:p w14:paraId="1F6678CF" w14:textId="46E6D3CB" w:rsidR="000423A7" w:rsidRPr="00EB4495" w:rsidRDefault="000423A7" w:rsidP="000423A7">
                  <w:pPr>
                    <w:jc w:val="right"/>
                    <w:rPr>
                      <w:rFonts w:ascii="Arial" w:hAnsi="Arial" w:cs="Arial"/>
                      <w:sz w:val="22"/>
                      <w:szCs w:val="22"/>
                    </w:rPr>
                  </w:pPr>
                  <w:r w:rsidRPr="00EB4495">
                    <w:rPr>
                      <w:rFonts w:ascii="Arial" w:hAnsi="Arial" w:cs="Arial"/>
                      <w:sz w:val="22"/>
                      <w:szCs w:val="22"/>
                    </w:rPr>
                    <w:t>8.1%</w:t>
                  </w:r>
                </w:p>
              </w:tc>
              <w:tc>
                <w:tcPr>
                  <w:tcW w:w="1298" w:type="dxa"/>
                  <w:tcBorders>
                    <w:top w:val="nil"/>
                    <w:left w:val="nil"/>
                    <w:bottom w:val="nil"/>
                    <w:right w:val="nil"/>
                  </w:tcBorders>
                  <w:vAlign w:val="center"/>
                </w:tcPr>
                <w:p w14:paraId="39355BEA" w14:textId="71FC28EA"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+60bps</w:t>
                  </w:r>
                </w:p>
              </w:tc>
              <w:tc>
                <w:tcPr>
                  <w:tcW w:w="1298" w:type="dxa"/>
                  <w:tcBorders>
                    <w:top w:val="nil"/>
                    <w:left w:val="nil"/>
                    <w:bottom w:val="nil"/>
                    <w:right w:val="nil"/>
                  </w:tcBorders>
                  <w:vAlign w:val="center"/>
                </w:tcPr>
                <w:p w14:paraId="4F13FB1F" w14:textId="52B9ED48"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+50bps</w:t>
                  </w:r>
                </w:p>
              </w:tc>
              <w:tc>
                <w:tcPr>
                  <w:tcW w:w="1298" w:type="dxa"/>
                  <w:tcBorders>
                    <w:top w:val="nil"/>
                    <w:left w:val="nil"/>
                    <w:bottom w:val="nil"/>
                    <w:right w:val="nil"/>
                  </w:tcBorders>
                  <w:vAlign w:val="center"/>
                </w:tcPr>
                <w:p w14:paraId="4C95A94E" w14:textId="77777777" w:rsidR="000423A7" w:rsidRPr="00EB4495" w:rsidRDefault="000423A7" w:rsidP="000423A7">
                  <w:pPr>
                    <w:jc w:val="right"/>
                    <w:rPr>
                      <w:rFonts w:ascii="Arial" w:hAnsi="Arial" w:cs="Arial"/>
                      <w:sz w:val="22"/>
                      <w:szCs w:val="22"/>
                    </w:rPr>
                  </w:pPr>
                </w:p>
              </w:tc>
            </w:tr>
            <w:tr w:rsidR="000423A7" w:rsidRPr="00EB4495" w14:paraId="5570937F" w14:textId="77777777" w:rsidTr="007D6F54">
              <w:trPr>
                <w:trHeight w:val="269"/>
              </w:trPr>
              <w:tc>
                <w:tcPr>
                  <w:tcW w:w="3458" w:type="dxa"/>
                  <w:tcBorders>
                    <w:top w:val="nil"/>
                    <w:left w:val="nil"/>
                    <w:bottom w:val="nil"/>
                    <w:right w:val="nil"/>
                  </w:tcBorders>
                  <w:shd w:val="clear" w:color="auto" w:fill="auto"/>
                  <w:vAlign w:val="center"/>
                </w:tcPr>
                <w:p w14:paraId="4EAEF849" w14:textId="77777777" w:rsidR="000423A7" w:rsidRPr="00EB4495" w:rsidRDefault="000423A7" w:rsidP="000423A7">
                  <w:pPr>
                    <w:jc w:val="left"/>
                    <w:rPr>
                      <w:rFonts w:ascii="Arial" w:hAnsi="Arial" w:cs="Arial"/>
                      <w:sz w:val="22"/>
                      <w:szCs w:val="22"/>
                    </w:rPr>
                  </w:pPr>
                  <w:r w:rsidRPr="00EB4495">
                    <w:rPr>
                      <w:rFonts w:ascii="Arial" w:hAnsi="Arial" w:cs="Arial"/>
                      <w:sz w:val="22"/>
                      <w:szCs w:val="22"/>
                    </w:rPr>
                    <w:t>Adjusted pre-tax profit*</w:t>
                  </w:r>
                </w:p>
              </w:tc>
              <w:tc>
                <w:tcPr>
                  <w:tcW w:w="1327" w:type="dxa"/>
                  <w:tcBorders>
                    <w:top w:val="nil"/>
                    <w:left w:val="nil"/>
                    <w:bottom w:val="nil"/>
                    <w:right w:val="nil"/>
                  </w:tcBorders>
                  <w:vAlign w:val="center"/>
                </w:tcPr>
                <w:p w14:paraId="2977E522" w14:textId="2A2DE5DC" w:rsidR="000423A7" w:rsidRPr="00804101" w:rsidRDefault="000423A7" w:rsidP="000423A7">
                  <w:pPr>
                    <w:jc w:val="right"/>
                    <w:rPr>
                      <w:rFonts w:ascii="Arial" w:hAnsi="Arial" w:cs="Arial"/>
                      <w:sz w:val="22"/>
                      <w:szCs w:val="22"/>
                    </w:rPr>
                  </w:pPr>
                  <w:r w:rsidRPr="0056048C">
                    <w:rPr>
                      <w:rFonts w:ascii="Arial" w:hAnsi="Arial" w:cs="Arial"/>
                      <w:sz w:val="22"/>
                      <w:szCs w:val="22"/>
                    </w:rPr>
                    <w:t>£949m</w:t>
                  </w:r>
                </w:p>
              </w:tc>
              <w:tc>
                <w:tcPr>
                  <w:tcW w:w="1327" w:type="dxa"/>
                  <w:tcBorders>
                    <w:top w:val="nil"/>
                    <w:left w:val="nil"/>
                    <w:bottom w:val="nil"/>
                    <w:right w:val="nil"/>
                  </w:tcBorders>
                  <w:shd w:val="clear" w:color="auto" w:fill="auto"/>
                  <w:vAlign w:val="center"/>
                </w:tcPr>
                <w:p w14:paraId="779E104E" w14:textId="69977717" w:rsidR="000423A7" w:rsidRPr="0056048C" w:rsidRDefault="000423A7" w:rsidP="000423A7">
                  <w:pPr>
                    <w:jc w:val="right"/>
                    <w:rPr>
                      <w:rFonts w:ascii="Arial" w:hAnsi="Arial" w:cs="Arial"/>
                      <w:sz w:val="22"/>
                      <w:szCs w:val="22"/>
                    </w:rPr>
                  </w:pPr>
                  <w:r w:rsidRPr="0056048C">
                    <w:rPr>
                      <w:rFonts w:ascii="Arial" w:hAnsi="Arial" w:cs="Arial"/>
                      <w:sz w:val="22"/>
                      <w:szCs w:val="22"/>
                    </w:rPr>
                    <w:t>£786m</w:t>
                  </w:r>
                </w:p>
              </w:tc>
              <w:tc>
                <w:tcPr>
                  <w:tcW w:w="1298" w:type="dxa"/>
                  <w:tcBorders>
                    <w:top w:val="nil"/>
                    <w:left w:val="nil"/>
                    <w:bottom w:val="nil"/>
                    <w:right w:val="nil"/>
                  </w:tcBorders>
                  <w:vAlign w:val="center"/>
                </w:tcPr>
                <w:p w14:paraId="05E48111" w14:textId="618969B0" w:rsidR="000423A7" w:rsidRPr="00804101" w:rsidRDefault="000423A7" w:rsidP="000423A7">
                  <w:pPr>
                    <w:jc w:val="right"/>
                    <w:rPr>
                      <w:rFonts w:ascii="Arial" w:hAnsi="Arial" w:cs="Arial"/>
                      <w:sz w:val="22"/>
                      <w:szCs w:val="22"/>
                    </w:rPr>
                  </w:pPr>
                  <w:r w:rsidRPr="0056048C">
                    <w:rPr>
                      <w:rFonts w:ascii="Arial" w:hAnsi="Arial" w:cs="Arial"/>
                      <w:sz w:val="22"/>
                      <w:szCs w:val="22"/>
                    </w:rPr>
                    <w:t>+20.</w:t>
                  </w:r>
                  <w:r w:rsidR="0056048C" w:rsidRPr="0056048C">
                    <w:rPr>
                      <w:rFonts w:ascii="Arial" w:hAnsi="Arial" w:cs="Arial"/>
                      <w:sz w:val="22"/>
                      <w:szCs w:val="22"/>
                    </w:rPr>
                    <w:t>9</w:t>
                  </w:r>
                  <w:r w:rsidRPr="0056048C">
                    <w:rPr>
                      <w:rFonts w:ascii="Arial" w:hAnsi="Arial" w:cs="Arial"/>
                      <w:sz w:val="22"/>
                      <w:szCs w:val="22"/>
                    </w:rPr>
                    <w:t>%</w:t>
                  </w:r>
                </w:p>
              </w:tc>
              <w:tc>
                <w:tcPr>
                  <w:tcW w:w="1298" w:type="dxa"/>
                  <w:tcBorders>
                    <w:top w:val="nil"/>
                    <w:left w:val="nil"/>
                    <w:bottom w:val="nil"/>
                    <w:right w:val="nil"/>
                  </w:tcBorders>
                  <w:vAlign w:val="center"/>
                </w:tcPr>
                <w:p w14:paraId="2A381F0D" w14:textId="77777777" w:rsidR="000423A7" w:rsidRPr="00EB4495" w:rsidRDefault="000423A7" w:rsidP="000423A7">
                  <w:pPr>
                    <w:jc w:val="right"/>
                    <w:rPr>
                      <w:rFonts w:ascii="Arial" w:hAnsi="Arial" w:cs="Arial"/>
                      <w:sz w:val="22"/>
                      <w:szCs w:val="22"/>
                    </w:rPr>
                  </w:pPr>
                </w:p>
              </w:tc>
              <w:tc>
                <w:tcPr>
                  <w:tcW w:w="1298" w:type="dxa"/>
                  <w:tcBorders>
                    <w:top w:val="nil"/>
                    <w:left w:val="nil"/>
                    <w:bottom w:val="nil"/>
                    <w:right w:val="nil"/>
                  </w:tcBorders>
                  <w:vAlign w:val="center"/>
                </w:tcPr>
                <w:p w14:paraId="460C0034" w14:textId="77777777" w:rsidR="000423A7" w:rsidRPr="00EB4495" w:rsidRDefault="000423A7" w:rsidP="000423A7">
                  <w:pPr>
                    <w:jc w:val="right"/>
                    <w:rPr>
                      <w:rFonts w:ascii="Arial" w:hAnsi="Arial" w:cs="Arial"/>
                      <w:sz w:val="22"/>
                      <w:szCs w:val="22"/>
                    </w:rPr>
                  </w:pPr>
                </w:p>
              </w:tc>
            </w:tr>
            <w:tr w:rsidR="00B273A9" w:rsidRPr="00EB4495" w14:paraId="359DA5F7" w14:textId="77777777" w:rsidTr="007D6F54">
              <w:trPr>
                <w:trHeight w:val="269"/>
              </w:trPr>
              <w:tc>
                <w:tcPr>
                  <w:tcW w:w="3458" w:type="dxa"/>
                  <w:tcBorders>
                    <w:top w:val="nil"/>
                    <w:left w:val="nil"/>
                    <w:bottom w:val="nil"/>
                    <w:right w:val="nil"/>
                  </w:tcBorders>
                  <w:shd w:val="clear" w:color="auto" w:fill="auto"/>
                  <w:vAlign w:val="center"/>
                </w:tcPr>
                <w:p w14:paraId="3B6CB088" w14:textId="77777777" w:rsidR="00B273A9" w:rsidRPr="00EB4495" w:rsidRDefault="00B273A9" w:rsidP="006F23A9">
                  <w:pPr>
                    <w:jc w:val="left"/>
                    <w:rPr>
                      <w:rFonts w:ascii="Arial" w:hAnsi="Arial" w:cs="Arial"/>
                      <w:sz w:val="22"/>
                      <w:szCs w:val="22"/>
                    </w:rPr>
                  </w:pPr>
                  <w:r w:rsidRPr="00EB4495">
                    <w:rPr>
                      <w:rFonts w:ascii="Arial" w:hAnsi="Arial" w:cs="Arial"/>
                      <w:sz w:val="22"/>
                      <w:szCs w:val="22"/>
                    </w:rPr>
                    <w:t>Adjusted post-tax profit*</w:t>
                  </w:r>
                </w:p>
              </w:tc>
              <w:tc>
                <w:tcPr>
                  <w:tcW w:w="1327" w:type="dxa"/>
                  <w:tcBorders>
                    <w:top w:val="nil"/>
                    <w:left w:val="nil"/>
                    <w:bottom w:val="nil"/>
                    <w:right w:val="nil"/>
                  </w:tcBorders>
                  <w:vAlign w:val="center"/>
                </w:tcPr>
                <w:p w14:paraId="53BD16B7" w14:textId="7358D673" w:rsidR="00B273A9" w:rsidRPr="00804101" w:rsidRDefault="00B273A9" w:rsidP="003D54FC">
                  <w:pPr>
                    <w:jc w:val="right"/>
                    <w:rPr>
                      <w:rFonts w:ascii="Arial" w:hAnsi="Arial" w:cs="Arial"/>
                      <w:sz w:val="22"/>
                      <w:szCs w:val="22"/>
                    </w:rPr>
                  </w:pPr>
                  <w:r w:rsidRPr="00804101">
                    <w:rPr>
                      <w:rFonts w:ascii="Arial" w:hAnsi="Arial" w:cs="Arial"/>
                      <w:sz w:val="22"/>
                      <w:szCs w:val="22"/>
                    </w:rPr>
                    <w:t>£</w:t>
                  </w:r>
                  <w:r w:rsidR="0056048C" w:rsidRPr="00804101">
                    <w:rPr>
                      <w:rFonts w:ascii="Arial" w:hAnsi="Arial" w:cs="Arial"/>
                      <w:sz w:val="22"/>
                      <w:szCs w:val="22"/>
                    </w:rPr>
                    <w:t>737m</w:t>
                  </w:r>
                </w:p>
              </w:tc>
              <w:tc>
                <w:tcPr>
                  <w:tcW w:w="1327" w:type="dxa"/>
                  <w:tcBorders>
                    <w:top w:val="nil"/>
                    <w:left w:val="nil"/>
                    <w:bottom w:val="nil"/>
                    <w:right w:val="nil"/>
                  </w:tcBorders>
                  <w:shd w:val="clear" w:color="auto" w:fill="auto"/>
                  <w:vAlign w:val="center"/>
                </w:tcPr>
                <w:p w14:paraId="181D44FF" w14:textId="2D441749" w:rsidR="00B273A9" w:rsidRPr="0056048C" w:rsidRDefault="00B273A9" w:rsidP="003D54FC">
                  <w:pPr>
                    <w:jc w:val="right"/>
                    <w:rPr>
                      <w:rFonts w:ascii="Arial" w:hAnsi="Arial" w:cs="Arial"/>
                      <w:sz w:val="22"/>
                      <w:szCs w:val="22"/>
                    </w:rPr>
                  </w:pPr>
                  <w:r w:rsidRPr="0056048C">
                    <w:rPr>
                      <w:rFonts w:ascii="Arial" w:hAnsi="Arial" w:cs="Arial"/>
                      <w:sz w:val="22"/>
                      <w:szCs w:val="22"/>
                    </w:rPr>
                    <w:t>£604m</w:t>
                  </w:r>
                </w:p>
              </w:tc>
              <w:tc>
                <w:tcPr>
                  <w:tcW w:w="1298" w:type="dxa"/>
                  <w:tcBorders>
                    <w:top w:val="nil"/>
                    <w:left w:val="nil"/>
                    <w:bottom w:val="nil"/>
                    <w:right w:val="nil"/>
                  </w:tcBorders>
                  <w:vAlign w:val="center"/>
                </w:tcPr>
                <w:p w14:paraId="35ECAE4C" w14:textId="0E125912" w:rsidR="00B273A9" w:rsidRPr="00804101" w:rsidRDefault="00B273A9" w:rsidP="003D54FC">
                  <w:pPr>
                    <w:jc w:val="right"/>
                    <w:rPr>
                      <w:rFonts w:ascii="Arial" w:hAnsi="Arial" w:cs="Arial"/>
                      <w:sz w:val="22"/>
                      <w:szCs w:val="22"/>
                    </w:rPr>
                  </w:pPr>
                  <w:r w:rsidRPr="00804101">
                    <w:rPr>
                      <w:rFonts w:ascii="Arial" w:hAnsi="Arial" w:cs="Arial"/>
                      <w:sz w:val="22"/>
                      <w:szCs w:val="22"/>
                    </w:rPr>
                    <w:t>+</w:t>
                  </w:r>
                  <w:r w:rsidR="0056048C" w:rsidRPr="00804101">
                    <w:rPr>
                      <w:rFonts w:ascii="Arial" w:hAnsi="Arial" w:cs="Arial"/>
                      <w:sz w:val="22"/>
                      <w:szCs w:val="22"/>
                    </w:rPr>
                    <w:t>22</w:t>
                  </w:r>
                  <w:r w:rsidR="00771507" w:rsidRPr="00804101">
                    <w:rPr>
                      <w:rFonts w:ascii="Arial" w:hAnsi="Arial" w:cs="Arial"/>
                      <w:sz w:val="22"/>
                      <w:szCs w:val="22"/>
                    </w:rPr>
                    <w:t>.</w:t>
                  </w:r>
                  <w:r w:rsidR="0056048C" w:rsidRPr="00804101">
                    <w:rPr>
                      <w:rFonts w:ascii="Arial" w:hAnsi="Arial" w:cs="Arial"/>
                      <w:sz w:val="22"/>
                      <w:szCs w:val="22"/>
                    </w:rPr>
                    <w:t>0</w:t>
                  </w:r>
                  <w:r w:rsidRPr="00804101">
                    <w:rPr>
                      <w:rFonts w:ascii="Arial" w:hAnsi="Arial" w:cs="Arial"/>
                      <w:sz w:val="22"/>
                      <w:szCs w:val="22"/>
                    </w:rPr>
                    <w:t>%</w:t>
                  </w:r>
                </w:p>
              </w:tc>
              <w:tc>
                <w:tcPr>
                  <w:tcW w:w="1298" w:type="dxa"/>
                  <w:tcBorders>
                    <w:top w:val="nil"/>
                    <w:left w:val="nil"/>
                    <w:bottom w:val="nil"/>
                    <w:right w:val="nil"/>
                  </w:tcBorders>
                  <w:vAlign w:val="center"/>
                </w:tcPr>
                <w:p w14:paraId="53E77446" w14:textId="77777777" w:rsidR="00B273A9" w:rsidRPr="00EB4495" w:rsidRDefault="00B273A9" w:rsidP="003D54FC">
                  <w:pPr>
                    <w:jc w:val="right"/>
                    <w:rPr>
                      <w:rFonts w:ascii="Arial" w:hAnsi="Arial" w:cs="Arial"/>
                      <w:sz w:val="22"/>
                      <w:szCs w:val="22"/>
                      <w:highlight w:val="yellow"/>
                    </w:rPr>
                  </w:pPr>
                </w:p>
              </w:tc>
              <w:tc>
                <w:tcPr>
                  <w:tcW w:w="1298" w:type="dxa"/>
                  <w:tcBorders>
                    <w:top w:val="nil"/>
                    <w:left w:val="nil"/>
                    <w:bottom w:val="nil"/>
                    <w:right w:val="nil"/>
                  </w:tcBorders>
                  <w:vAlign w:val="center"/>
                </w:tcPr>
                <w:p w14:paraId="71647306" w14:textId="77777777" w:rsidR="00B273A9" w:rsidRPr="00EB4495" w:rsidRDefault="00B273A9" w:rsidP="003D54FC">
                  <w:pPr>
                    <w:jc w:val="right"/>
                    <w:rPr>
                      <w:rFonts w:ascii="Arial" w:hAnsi="Arial" w:cs="Arial"/>
                      <w:sz w:val="22"/>
                      <w:szCs w:val="22"/>
                    </w:rPr>
                  </w:pPr>
                </w:p>
              </w:tc>
            </w:tr>
            <w:tr w:rsidR="00B273A9" w:rsidRPr="00EB4495" w14:paraId="54DEC3FF" w14:textId="77777777" w:rsidTr="007D6F54">
              <w:trPr>
                <w:trHeight w:val="269"/>
              </w:trPr>
              <w:tc>
                <w:tcPr>
                  <w:tcW w:w="3458" w:type="dxa"/>
                  <w:tcBorders>
                    <w:top w:val="nil"/>
                    <w:left w:val="nil"/>
                    <w:bottom w:val="nil"/>
                    <w:right w:val="nil"/>
                  </w:tcBorders>
                  <w:shd w:val="clear" w:color="auto" w:fill="auto"/>
                  <w:vAlign w:val="center"/>
                </w:tcPr>
                <w:p w14:paraId="7BF4C713" w14:textId="77777777" w:rsidR="00B273A9" w:rsidRPr="00EB4495" w:rsidRDefault="00B273A9" w:rsidP="006F23A9">
                  <w:pPr>
                    <w:jc w:val="left"/>
                    <w:rPr>
                      <w:rFonts w:ascii="Arial" w:hAnsi="Arial" w:cs="Arial"/>
                      <w:sz w:val="22"/>
                      <w:szCs w:val="22"/>
                    </w:rPr>
                  </w:pPr>
                  <w:r w:rsidRPr="00EB4495">
                    <w:rPr>
                      <w:rFonts w:ascii="Arial" w:hAnsi="Arial" w:cs="Arial"/>
                      <w:sz w:val="22"/>
                      <w:szCs w:val="22"/>
                    </w:rPr>
                    <w:t>Adjusted basic EPS*</w:t>
                  </w:r>
                  <w:r w:rsidRPr="00EB4495" w:rsidDel="00431AC5">
                    <w:rPr>
                      <w:rFonts w:ascii="Arial" w:hAnsi="Arial" w:cs="Arial"/>
                      <w:sz w:val="22"/>
                      <w:szCs w:val="22"/>
                      <w:vertAlign w:val="superscript"/>
                    </w:rPr>
                    <w:t xml:space="preserve"> </w:t>
                  </w:r>
                </w:p>
              </w:tc>
              <w:tc>
                <w:tcPr>
                  <w:tcW w:w="1327" w:type="dxa"/>
                  <w:tcBorders>
                    <w:top w:val="nil"/>
                    <w:left w:val="nil"/>
                    <w:bottom w:val="nil"/>
                    <w:right w:val="nil"/>
                  </w:tcBorders>
                  <w:vAlign w:val="center"/>
                </w:tcPr>
                <w:p w14:paraId="788615A4" w14:textId="0EFF1BDE" w:rsidR="00B273A9" w:rsidRPr="00804101" w:rsidRDefault="0056048C" w:rsidP="003D54FC">
                  <w:pPr>
                    <w:jc w:val="right"/>
                    <w:rPr>
                      <w:rFonts w:ascii="Arial" w:hAnsi="Arial" w:cs="Arial"/>
                      <w:sz w:val="22"/>
                      <w:szCs w:val="22"/>
                    </w:rPr>
                  </w:pPr>
                  <w:r w:rsidRPr="00804101">
                    <w:rPr>
                      <w:rFonts w:ascii="Arial" w:hAnsi="Arial" w:cs="Arial"/>
                      <w:sz w:val="22"/>
                      <w:szCs w:val="22"/>
                    </w:rPr>
                    <w:t>35.2</w:t>
                  </w:r>
                  <w:r w:rsidR="00B273A9" w:rsidRPr="00804101">
                    <w:rPr>
                      <w:rFonts w:ascii="Arial" w:hAnsi="Arial" w:cs="Arial"/>
                      <w:sz w:val="22"/>
                      <w:szCs w:val="22"/>
                    </w:rPr>
                    <w:t>p</w:t>
                  </w:r>
                </w:p>
              </w:tc>
              <w:tc>
                <w:tcPr>
                  <w:tcW w:w="1327" w:type="dxa"/>
                  <w:tcBorders>
                    <w:top w:val="nil"/>
                    <w:left w:val="nil"/>
                    <w:bottom w:val="nil"/>
                    <w:right w:val="nil"/>
                  </w:tcBorders>
                  <w:vAlign w:val="center"/>
                </w:tcPr>
                <w:p w14:paraId="4AF92A97" w14:textId="6F019C12" w:rsidR="00B273A9" w:rsidRPr="0056048C" w:rsidRDefault="00B273A9" w:rsidP="003D54FC">
                  <w:pPr>
                    <w:jc w:val="right"/>
                    <w:rPr>
                      <w:rFonts w:ascii="Arial" w:hAnsi="Arial" w:cs="Arial"/>
                      <w:sz w:val="22"/>
                      <w:szCs w:val="22"/>
                    </w:rPr>
                  </w:pPr>
                  <w:r w:rsidRPr="0056048C">
                    <w:rPr>
                      <w:rFonts w:ascii="Arial" w:hAnsi="Arial" w:cs="Arial"/>
                      <w:sz w:val="22"/>
                      <w:szCs w:val="22"/>
                    </w:rPr>
                    <w:t>28.7p</w:t>
                  </w:r>
                </w:p>
              </w:tc>
              <w:tc>
                <w:tcPr>
                  <w:tcW w:w="1298" w:type="dxa"/>
                  <w:tcBorders>
                    <w:top w:val="nil"/>
                    <w:left w:val="nil"/>
                    <w:bottom w:val="nil"/>
                    <w:right w:val="nil"/>
                  </w:tcBorders>
                  <w:vAlign w:val="center"/>
                </w:tcPr>
                <w:p w14:paraId="53E3BFFE" w14:textId="4AC031D6" w:rsidR="00B273A9" w:rsidRPr="00804101" w:rsidRDefault="00B273A9" w:rsidP="003D54FC">
                  <w:pPr>
                    <w:jc w:val="right"/>
                    <w:rPr>
                      <w:rFonts w:ascii="Arial" w:hAnsi="Arial" w:cs="Arial"/>
                      <w:sz w:val="22"/>
                      <w:szCs w:val="22"/>
                    </w:rPr>
                  </w:pPr>
                  <w:r w:rsidRPr="00804101">
                    <w:rPr>
                      <w:rFonts w:ascii="Arial" w:hAnsi="Arial" w:cs="Arial"/>
                      <w:sz w:val="22"/>
                      <w:szCs w:val="22"/>
                    </w:rPr>
                    <w:t>+</w:t>
                  </w:r>
                  <w:r w:rsidR="0056048C">
                    <w:rPr>
                      <w:rFonts w:ascii="Arial" w:hAnsi="Arial" w:cs="Arial"/>
                      <w:sz w:val="22"/>
                      <w:szCs w:val="22"/>
                    </w:rPr>
                    <w:t>22</w:t>
                  </w:r>
                  <w:r w:rsidR="00771507" w:rsidRPr="00804101">
                    <w:rPr>
                      <w:rFonts w:ascii="Arial" w:hAnsi="Arial" w:cs="Arial"/>
                      <w:sz w:val="22"/>
                      <w:szCs w:val="22"/>
                    </w:rPr>
                    <w:t>.</w:t>
                  </w:r>
                  <w:r w:rsidR="0056048C">
                    <w:rPr>
                      <w:rFonts w:ascii="Arial" w:hAnsi="Arial" w:cs="Arial"/>
                      <w:sz w:val="22"/>
                      <w:szCs w:val="22"/>
                    </w:rPr>
                    <w:t>6</w:t>
                  </w:r>
                  <w:r w:rsidRPr="00804101">
                    <w:rPr>
                      <w:rFonts w:ascii="Arial" w:hAnsi="Arial" w:cs="Arial"/>
                      <w:sz w:val="22"/>
                      <w:szCs w:val="22"/>
                    </w:rPr>
                    <w:t>%</w:t>
                  </w:r>
                </w:p>
              </w:tc>
              <w:tc>
                <w:tcPr>
                  <w:tcW w:w="1298" w:type="dxa"/>
                  <w:tcBorders>
                    <w:top w:val="nil"/>
                    <w:left w:val="nil"/>
                    <w:bottom w:val="nil"/>
                    <w:right w:val="nil"/>
                  </w:tcBorders>
                  <w:vAlign w:val="center"/>
                </w:tcPr>
                <w:p w14:paraId="634944A5" w14:textId="77777777" w:rsidR="00B273A9" w:rsidRPr="00EB4495" w:rsidRDefault="00B273A9" w:rsidP="003D54FC">
                  <w:pPr>
                    <w:jc w:val="right"/>
                    <w:rPr>
                      <w:rFonts w:ascii="Arial" w:hAnsi="Arial" w:cs="Arial"/>
                      <w:sz w:val="22"/>
                      <w:szCs w:val="22"/>
                      <w:highlight w:val="yellow"/>
                    </w:rPr>
                  </w:pPr>
                </w:p>
              </w:tc>
              <w:tc>
                <w:tcPr>
                  <w:tcW w:w="1298" w:type="dxa"/>
                  <w:tcBorders>
                    <w:top w:val="nil"/>
                    <w:left w:val="nil"/>
                    <w:bottom w:val="nil"/>
                    <w:right w:val="nil"/>
                  </w:tcBorders>
                  <w:vAlign w:val="center"/>
                </w:tcPr>
                <w:p w14:paraId="0CDB51D3" w14:textId="77777777" w:rsidR="00B273A9" w:rsidRPr="00EB4495" w:rsidRDefault="00B273A9" w:rsidP="003D54FC">
                  <w:pPr>
                    <w:jc w:val="right"/>
                    <w:rPr>
                      <w:rFonts w:ascii="Arial" w:hAnsi="Arial" w:cs="Arial"/>
                      <w:sz w:val="22"/>
                      <w:szCs w:val="22"/>
                    </w:rPr>
                  </w:pPr>
                </w:p>
              </w:tc>
            </w:tr>
            <w:tr w:rsidR="000423A7" w:rsidRPr="00EB4495" w14:paraId="67113E2F" w14:textId="77777777" w:rsidTr="007D6F54">
              <w:trPr>
                <w:trHeight w:val="269"/>
              </w:trPr>
              <w:tc>
                <w:tcPr>
                  <w:tcW w:w="3458" w:type="dxa"/>
                  <w:tcBorders>
                    <w:top w:val="nil"/>
                    <w:left w:val="nil"/>
                    <w:bottom w:val="nil"/>
                    <w:right w:val="nil"/>
                  </w:tcBorders>
                  <w:vAlign w:val="center"/>
                </w:tcPr>
                <w:p w14:paraId="0111FE42" w14:textId="77777777" w:rsidR="000423A7" w:rsidRPr="00EB4495" w:rsidRDefault="000423A7" w:rsidP="000423A7">
                  <w:pPr>
                    <w:jc w:val="left"/>
                    <w:rPr>
                      <w:rFonts w:ascii="Arial" w:hAnsi="Arial" w:cs="Arial"/>
                      <w:sz w:val="22"/>
                      <w:szCs w:val="22"/>
                    </w:rPr>
                  </w:pPr>
                  <w:r w:rsidRPr="00EB4495">
                    <w:rPr>
                      <w:rFonts w:ascii="Arial" w:hAnsi="Arial" w:cs="Arial"/>
                      <w:sz w:val="22"/>
                      <w:szCs w:val="22"/>
                    </w:rPr>
                    <w:t>Free cash flow*</w:t>
                  </w:r>
                </w:p>
              </w:tc>
              <w:tc>
                <w:tcPr>
                  <w:tcW w:w="1327" w:type="dxa"/>
                  <w:tcBorders>
                    <w:top w:val="nil"/>
                    <w:left w:val="nil"/>
                    <w:bottom w:val="nil"/>
                    <w:right w:val="nil"/>
                  </w:tcBorders>
                  <w:vAlign w:val="center"/>
                </w:tcPr>
                <w:p w14:paraId="2A53DDAE" w14:textId="4A533A08"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£385m</w:t>
                  </w:r>
                </w:p>
              </w:tc>
              <w:tc>
                <w:tcPr>
                  <w:tcW w:w="1327" w:type="dxa"/>
                  <w:tcBorders>
                    <w:top w:val="nil"/>
                    <w:left w:val="nil"/>
                    <w:bottom w:val="nil"/>
                    <w:right w:val="nil"/>
                  </w:tcBorders>
                  <w:vAlign w:val="center"/>
                </w:tcPr>
                <w:p w14:paraId="6E6C1C6C" w14:textId="13550F94" w:rsidR="000423A7" w:rsidRPr="00EB4495" w:rsidRDefault="000423A7" w:rsidP="000423A7">
                  <w:pPr>
                    <w:jc w:val="right"/>
                    <w:rPr>
                      <w:rFonts w:ascii="Arial" w:hAnsi="Arial" w:cs="Arial"/>
                      <w:sz w:val="22"/>
                      <w:szCs w:val="22"/>
                    </w:rPr>
                  </w:pPr>
                  <w:r w:rsidRPr="00EB4495">
                    <w:rPr>
                      <w:rFonts w:ascii="Arial" w:hAnsi="Arial" w:cs="Arial"/>
                      <w:sz w:val="22"/>
                      <w:szCs w:val="22"/>
                    </w:rPr>
                    <w:t>£938m</w:t>
                  </w:r>
                </w:p>
              </w:tc>
              <w:tc>
                <w:tcPr>
                  <w:tcW w:w="1298" w:type="dxa"/>
                  <w:tcBorders>
                    <w:top w:val="nil"/>
                    <w:left w:val="nil"/>
                    <w:bottom w:val="nil"/>
                    <w:right w:val="nil"/>
                  </w:tcBorders>
                  <w:vAlign w:val="center"/>
                </w:tcPr>
                <w:p w14:paraId="448B5A20" w14:textId="5D399A45"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(59.0)%</w:t>
                  </w:r>
                </w:p>
              </w:tc>
              <w:tc>
                <w:tcPr>
                  <w:tcW w:w="1298" w:type="dxa"/>
                  <w:tcBorders>
                    <w:top w:val="nil"/>
                    <w:left w:val="nil"/>
                    <w:bottom w:val="nil"/>
                    <w:right w:val="nil"/>
                  </w:tcBorders>
                  <w:vAlign w:val="center"/>
                </w:tcPr>
                <w:p w14:paraId="310D5BA9" w14:textId="77777777" w:rsidR="000423A7" w:rsidRPr="00EB4495" w:rsidRDefault="000423A7" w:rsidP="000423A7">
                  <w:pPr>
                    <w:jc w:val="right"/>
                    <w:rPr>
                      <w:rFonts w:ascii="Arial" w:hAnsi="Arial" w:cs="Arial"/>
                      <w:sz w:val="22"/>
                      <w:szCs w:val="22"/>
                      <w:highlight w:val="yellow"/>
                    </w:rPr>
                  </w:pPr>
                </w:p>
              </w:tc>
              <w:tc>
                <w:tcPr>
                  <w:tcW w:w="1298" w:type="dxa"/>
                  <w:tcBorders>
                    <w:top w:val="nil"/>
                    <w:left w:val="nil"/>
                    <w:bottom w:val="nil"/>
                    <w:right w:val="nil"/>
                  </w:tcBorders>
                  <w:vAlign w:val="center"/>
                </w:tcPr>
                <w:p w14:paraId="68823AA8" w14:textId="77777777" w:rsidR="000423A7" w:rsidRPr="00EB4495" w:rsidRDefault="000423A7" w:rsidP="000423A7">
                  <w:pPr>
                    <w:jc w:val="right"/>
                    <w:rPr>
                      <w:rFonts w:ascii="Arial" w:hAnsi="Arial" w:cs="Arial"/>
                      <w:sz w:val="22"/>
                      <w:szCs w:val="22"/>
                    </w:rPr>
                  </w:pPr>
                </w:p>
              </w:tc>
            </w:tr>
            <w:tr w:rsidR="000423A7" w:rsidRPr="00EB4495" w14:paraId="40026C68" w14:textId="77777777" w:rsidTr="007D6F54">
              <w:trPr>
                <w:trHeight w:val="269"/>
              </w:trPr>
              <w:tc>
                <w:tcPr>
                  <w:tcW w:w="3458" w:type="dxa"/>
                  <w:tcBorders>
                    <w:top w:val="nil"/>
                    <w:left w:val="nil"/>
                    <w:bottom w:val="nil"/>
                    <w:right w:val="nil"/>
                  </w:tcBorders>
                  <w:vAlign w:val="center"/>
                </w:tcPr>
                <w:p w14:paraId="1B8B7448" w14:textId="6571DCDB" w:rsidR="000423A7" w:rsidRPr="00EB4495" w:rsidRDefault="000423A7" w:rsidP="000423A7">
                  <w:pPr>
                    <w:jc w:val="left"/>
                    <w:rPr>
                      <w:rFonts w:ascii="Arial" w:hAnsi="Arial" w:cs="Arial"/>
                      <w:sz w:val="22"/>
                      <w:szCs w:val="22"/>
                    </w:rPr>
                  </w:pPr>
                  <w:r w:rsidRPr="00EB4495">
                    <w:rPr>
                      <w:rFonts w:ascii="Arial" w:hAnsi="Arial" w:cs="Arial"/>
                      <w:sz w:val="22"/>
                      <w:szCs w:val="22"/>
                    </w:rPr>
                    <w:t>Net debt*</w:t>
                  </w:r>
                  <w:r w:rsidRPr="00EB4495">
                    <w:rPr>
                      <w:rFonts w:ascii="Arial" w:hAnsi="Arial" w:cs="Arial"/>
                      <w:sz w:val="22"/>
                      <w:szCs w:val="22"/>
                      <w:vertAlign w:val="superscript"/>
                    </w:rPr>
                    <w:t>(2)</w:t>
                  </w:r>
                </w:p>
              </w:tc>
              <w:tc>
                <w:tcPr>
                  <w:tcW w:w="1327" w:type="dxa"/>
                  <w:tcBorders>
                    <w:top w:val="nil"/>
                    <w:left w:val="nil"/>
                    <w:bottom w:val="nil"/>
                    <w:right w:val="nil"/>
                  </w:tcBorders>
                  <w:vAlign w:val="center"/>
                </w:tcPr>
                <w:p w14:paraId="4FF8B483" w14:textId="6FA8807E"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£(1,5</w:t>
                  </w:r>
                  <w:r w:rsidR="0056048C">
                    <w:rPr>
                      <w:rFonts w:ascii="Arial" w:hAnsi="Arial" w:cs="Arial"/>
                      <w:sz w:val="22"/>
                      <w:szCs w:val="22"/>
                    </w:rPr>
                    <w:t>72</w:t>
                  </w:r>
                  <w:r w:rsidRPr="00EB4495">
                    <w:rPr>
                      <w:rFonts w:ascii="Arial" w:hAnsi="Arial" w:cs="Arial"/>
                      <w:sz w:val="22"/>
                      <w:szCs w:val="22"/>
                    </w:rPr>
                    <w:t>)m</w:t>
                  </w:r>
                </w:p>
              </w:tc>
              <w:tc>
                <w:tcPr>
                  <w:tcW w:w="1327" w:type="dxa"/>
                  <w:tcBorders>
                    <w:top w:val="nil"/>
                    <w:left w:val="nil"/>
                    <w:bottom w:val="nil"/>
                    <w:right w:val="nil"/>
                  </w:tcBorders>
                  <w:vAlign w:val="center"/>
                </w:tcPr>
                <w:p w14:paraId="1331F4F0" w14:textId="56E8F2FB" w:rsidR="000423A7" w:rsidRPr="00EB4495" w:rsidRDefault="000423A7" w:rsidP="000423A7">
                  <w:pPr>
                    <w:jc w:val="right"/>
                    <w:rPr>
                      <w:rFonts w:ascii="Arial" w:hAnsi="Arial" w:cs="Arial"/>
                      <w:sz w:val="22"/>
                      <w:szCs w:val="22"/>
                    </w:rPr>
                  </w:pPr>
                  <w:r w:rsidRPr="00EB4495">
                    <w:rPr>
                      <w:rFonts w:ascii="Arial" w:hAnsi="Arial" w:cs="Arial"/>
                      <w:sz w:val="22"/>
                      <w:szCs w:val="22"/>
                    </w:rPr>
                    <w:t>£(1,394)m</w:t>
                  </w:r>
                </w:p>
              </w:tc>
              <w:tc>
                <w:tcPr>
                  <w:tcW w:w="1298" w:type="dxa"/>
                  <w:tcBorders>
                    <w:top w:val="nil"/>
                    <w:left w:val="nil"/>
                    <w:bottom w:val="nil"/>
                    <w:right w:val="nil"/>
                  </w:tcBorders>
                  <w:vAlign w:val="center"/>
                </w:tcPr>
                <w:p w14:paraId="7E8E4B83" w14:textId="403F04EB" w:rsidR="000423A7" w:rsidRPr="00EB4495" w:rsidRDefault="000423A7" w:rsidP="000423A7">
                  <w:pPr>
                    <w:jc w:val="right"/>
                    <w:rPr>
                      <w:rFonts w:ascii="Arial" w:hAnsi="Arial" w:cs="Arial"/>
                      <w:sz w:val="22"/>
                      <w:szCs w:val="22"/>
                      <w:highlight w:val="yellow"/>
                    </w:rPr>
                  </w:pPr>
                  <w:r w:rsidRPr="00EB4495">
                    <w:rPr>
                      <w:rFonts w:ascii="Arial" w:hAnsi="Arial" w:cs="Arial"/>
                      <w:sz w:val="22"/>
                      <w:szCs w:val="22"/>
                    </w:rPr>
                    <w:t>(1</w:t>
                  </w:r>
                  <w:r w:rsidR="0056048C">
                    <w:rPr>
                      <w:rFonts w:ascii="Arial" w:hAnsi="Arial" w:cs="Arial"/>
                      <w:sz w:val="22"/>
                      <w:szCs w:val="22"/>
                    </w:rPr>
                    <w:t>2</w:t>
                  </w:r>
                  <w:r w:rsidRPr="00EB4495">
                    <w:rPr>
                      <w:rFonts w:ascii="Arial" w:hAnsi="Arial" w:cs="Arial"/>
                      <w:sz w:val="22"/>
                      <w:szCs w:val="22"/>
                    </w:rPr>
                    <w:t>.</w:t>
                  </w:r>
                  <w:r w:rsidR="0056048C">
                    <w:rPr>
                      <w:rFonts w:ascii="Arial" w:hAnsi="Arial" w:cs="Arial"/>
                      <w:sz w:val="22"/>
                      <w:szCs w:val="22"/>
                    </w:rPr>
                    <w:t>7</w:t>
                  </w:r>
                  <w:r w:rsidRPr="00EB4495">
                    <w:rPr>
                      <w:rFonts w:ascii="Arial" w:hAnsi="Arial" w:cs="Arial"/>
                      <w:sz w:val="22"/>
                      <w:szCs w:val="22"/>
                    </w:rPr>
                    <w:t>)%</w:t>
                  </w:r>
                </w:p>
              </w:tc>
              <w:tc>
                <w:tcPr>
                  <w:tcW w:w="1298" w:type="dxa"/>
                  <w:tcBorders>
                    <w:top w:val="nil"/>
                    <w:left w:val="nil"/>
                    <w:bottom w:val="nil"/>
                    <w:right w:val="nil"/>
                  </w:tcBorders>
                  <w:vAlign w:val="center"/>
                </w:tcPr>
                <w:p w14:paraId="33F3E6DD" w14:textId="77777777" w:rsidR="000423A7" w:rsidRPr="00EB4495" w:rsidRDefault="000423A7" w:rsidP="000423A7">
                  <w:pPr>
                    <w:jc w:val="right"/>
                    <w:rPr>
                      <w:rFonts w:ascii="Arial" w:hAnsi="Arial" w:cs="Arial"/>
                      <w:sz w:val="22"/>
                      <w:szCs w:val="22"/>
                      <w:highlight w:val="yellow"/>
                    </w:rPr>
                  </w:pPr>
                </w:p>
              </w:tc>
              <w:tc>
                <w:tcPr>
                  <w:tcW w:w="1298" w:type="dxa"/>
                  <w:tcBorders>
                    <w:top w:val="nil"/>
                    <w:left w:val="nil"/>
                    <w:bottom w:val="nil"/>
                    <w:right w:val="nil"/>
                  </w:tcBorders>
                  <w:vAlign w:val="center"/>
                </w:tcPr>
                <w:p w14:paraId="2EEC72F2" w14:textId="77777777" w:rsidR="000423A7" w:rsidRPr="00EB4495" w:rsidRDefault="000423A7" w:rsidP="000423A7">
                  <w:pPr>
                    <w:jc w:val="right"/>
                    <w:rPr>
                      <w:rFonts w:ascii="Arial" w:hAnsi="Arial" w:cs="Arial"/>
                      <w:sz w:val="22"/>
                      <w:szCs w:val="22"/>
                    </w:rPr>
                  </w:pPr>
                </w:p>
              </w:tc>
            </w:tr>
          </w:tbl>
          <w:p w14:paraId="380597FD" w14:textId="77777777" w:rsidR="00C52B32" w:rsidRPr="00EB4495" w:rsidRDefault="00C52B32" w:rsidP="00810FD1">
            <w:pPr>
              <w:jc w:val="left"/>
              <w:rPr>
                <w:rFonts w:ascii="Arial" w:hAnsi="Arial" w:cs="Arial"/>
                <w:b/>
                <w:bCs/>
                <w:sz w:val="24"/>
                <w:szCs w:val="24"/>
                <w:u w:val="single"/>
              </w:rPr>
            </w:pPr>
          </w:p>
        </w:tc>
      </w:tr>
    </w:tbl>
    <w:p w14:paraId="4C8D505C" w14:textId="77777777" w:rsidR="00C52B32" w:rsidRPr="00EB4495" w:rsidRDefault="00C52B32" w:rsidP="00C52B32">
      <w:pPr>
        <w:jc w:val="left"/>
        <w:rPr>
          <w:rFonts w:ascii="Arial" w:hAnsi="Arial" w:cs="Arial"/>
          <w:i/>
          <w:iCs/>
          <w:sz w:val="4"/>
          <w:szCs w:val="4"/>
          <w:u w:val="single"/>
        </w:rPr>
      </w:pPr>
    </w:p>
    <w:p w14:paraId="6450B894" w14:textId="521B048E" w:rsidR="00C52B32" w:rsidRPr="00EB4495" w:rsidRDefault="00C52B32" w:rsidP="00C52B32">
      <w:pPr>
        <w:ind w:firstLine="221"/>
        <w:jc w:val="left"/>
        <w:rPr>
          <w:rFonts w:ascii="Arial" w:hAnsi="Arial" w:cs="Arial"/>
          <w:i/>
          <w:iCs/>
          <w:sz w:val="15"/>
          <w:szCs w:val="15"/>
          <w:highlight w:val="yellow"/>
        </w:rPr>
      </w:pPr>
      <w:r w:rsidRPr="00EB4495">
        <w:rPr>
          <w:rFonts w:ascii="Arial" w:hAnsi="Arial" w:cs="Arial"/>
          <w:sz w:val="15"/>
          <w:szCs w:val="15"/>
        </w:rPr>
        <w:t>*</w:t>
      </w:r>
      <w:r w:rsidRPr="00EB4495">
        <w:rPr>
          <w:rFonts w:ascii="Arial" w:hAnsi="Arial" w:cs="Arial"/>
          <w:i/>
          <w:iCs/>
          <w:sz w:val="15"/>
          <w:szCs w:val="15"/>
        </w:rPr>
        <w:t xml:space="preserve"> </w:t>
      </w:r>
      <w:r w:rsidR="009A4250">
        <w:rPr>
          <w:rFonts w:ascii="Arial" w:hAnsi="Arial" w:cs="Arial"/>
          <w:i/>
          <w:iCs/>
          <w:sz w:val="15"/>
          <w:szCs w:val="15"/>
        </w:rPr>
        <w:t>See</w:t>
      </w:r>
      <w:r w:rsidRPr="00EB4495">
        <w:rPr>
          <w:rFonts w:ascii="Arial" w:hAnsi="Arial" w:cs="Arial"/>
          <w:i/>
          <w:iCs/>
          <w:sz w:val="15"/>
          <w:szCs w:val="15"/>
        </w:rPr>
        <w:t xml:space="preserve"> page </w:t>
      </w:r>
      <w:r w:rsidR="009F0585" w:rsidRPr="00EB4495">
        <w:rPr>
          <w:rFonts w:ascii="Arial" w:hAnsi="Arial" w:cs="Arial"/>
          <w:i/>
          <w:iCs/>
          <w:sz w:val="15"/>
          <w:szCs w:val="15"/>
        </w:rPr>
        <w:t>3</w:t>
      </w:r>
      <w:r w:rsidRPr="00EB4495">
        <w:rPr>
          <w:rFonts w:ascii="Arial" w:hAnsi="Arial" w:cs="Arial"/>
          <w:i/>
          <w:iCs/>
          <w:sz w:val="15"/>
          <w:szCs w:val="15"/>
        </w:rPr>
        <w:t xml:space="preserve"> for further details on non-GAAP measures and other terms;</w:t>
      </w:r>
      <w:r w:rsidRPr="00EB4495">
        <w:rPr>
          <w:rFonts w:ascii="Arial" w:hAnsi="Arial" w:cs="Arial"/>
          <w:sz w:val="15"/>
          <w:szCs w:val="15"/>
          <w:vertAlign w:val="superscript"/>
        </w:rPr>
        <w:t xml:space="preserve"> ±</w:t>
      </w:r>
      <w:r w:rsidRPr="00EB4495">
        <w:rPr>
          <w:rFonts w:ascii="Arial" w:hAnsi="Arial" w:cs="Arial"/>
          <w:i/>
          <w:iCs/>
          <w:sz w:val="15"/>
          <w:szCs w:val="15"/>
        </w:rPr>
        <w:t xml:space="preserve"> Net </w:t>
      </w:r>
      <w:r w:rsidR="009A4250">
        <w:rPr>
          <w:rFonts w:ascii="Arial" w:hAnsi="Arial" w:cs="Arial"/>
          <w:i/>
          <w:iCs/>
          <w:sz w:val="15"/>
          <w:szCs w:val="15"/>
        </w:rPr>
        <w:t>(decrease)/</w:t>
      </w:r>
      <w:r w:rsidRPr="00EB4495">
        <w:rPr>
          <w:rFonts w:ascii="Arial" w:hAnsi="Arial" w:cs="Arial"/>
          <w:i/>
          <w:iCs/>
          <w:sz w:val="15"/>
          <w:szCs w:val="15"/>
        </w:rPr>
        <w:t>increase in cash and cash equivalents and bank overdrafts</w:t>
      </w:r>
    </w:p>
    <w:p w14:paraId="07C5F9D5" w14:textId="77777777" w:rsidR="00C52B32" w:rsidRPr="00EB4495" w:rsidRDefault="00C52B32" w:rsidP="00C52B32">
      <w:pPr>
        <w:jc w:val="left"/>
        <w:rPr>
          <w:rFonts w:ascii="Arial" w:hAnsi="Arial" w:cs="Arial"/>
          <w:b/>
          <w:bCs/>
          <w:highlight w:val="yellow"/>
          <w:u w:val="single"/>
        </w:rPr>
      </w:pPr>
    </w:p>
    <w:p w14:paraId="510E21B7" w14:textId="77777777" w:rsidR="00C52B32" w:rsidRPr="00EB4495" w:rsidRDefault="00C52B32" w:rsidP="00C52B32">
      <w:pPr>
        <w:jc w:val="left"/>
        <w:rPr>
          <w:rFonts w:ascii="Arial" w:hAnsi="Arial" w:cs="Arial"/>
          <w:b/>
          <w:bCs/>
          <w:u w:val="single"/>
        </w:rPr>
      </w:pPr>
      <w:bookmarkStart w:id="2" w:name="_Hlk51150875"/>
      <w:bookmarkEnd w:id="0"/>
      <w:r w:rsidRPr="00EB4495">
        <w:rPr>
          <w:rFonts w:ascii="Arial" w:hAnsi="Arial" w:cs="Arial"/>
          <w:b/>
          <w:bCs/>
          <w:u w:val="single"/>
        </w:rPr>
        <w:t>Highlights</w:t>
      </w:r>
    </w:p>
    <w:p w14:paraId="1D6080D3" w14:textId="67F4BB84" w:rsidR="006752BE" w:rsidRPr="00EB4495" w:rsidRDefault="006752BE" w:rsidP="00A4667C">
      <w:pPr>
        <w:pStyle w:val="ListParagraph"/>
        <w:numPr>
          <w:ilvl w:val="0"/>
          <w:numId w:val="2"/>
        </w:numPr>
        <w:jc w:val="left"/>
        <w:rPr>
          <w:rFonts w:ascii="Arial" w:hAnsi="Arial" w:cs="Arial"/>
          <w:bCs/>
        </w:rPr>
      </w:pPr>
      <w:r w:rsidRPr="00EB4495">
        <w:rPr>
          <w:rFonts w:ascii="Arial" w:hAnsi="Arial" w:cs="Arial"/>
          <w:bCs/>
        </w:rPr>
        <w:t xml:space="preserve">A year of </w:t>
      </w:r>
      <w:r w:rsidR="00EE263E" w:rsidRPr="00EB4495">
        <w:rPr>
          <w:rFonts w:ascii="Arial" w:hAnsi="Arial" w:cs="Arial"/>
          <w:bCs/>
        </w:rPr>
        <w:t>record</w:t>
      </w:r>
      <w:r w:rsidR="00A54D5F" w:rsidRPr="00EB4495">
        <w:rPr>
          <w:rFonts w:ascii="Arial" w:hAnsi="Arial" w:cs="Arial"/>
          <w:bCs/>
        </w:rPr>
        <w:t xml:space="preserve"> </w:t>
      </w:r>
      <w:r w:rsidR="00FE6AA9" w:rsidRPr="00EB4495">
        <w:rPr>
          <w:rFonts w:ascii="Arial" w:hAnsi="Arial" w:cs="Arial"/>
          <w:bCs/>
        </w:rPr>
        <w:t>revenue</w:t>
      </w:r>
      <w:r w:rsidR="00BC436B" w:rsidRPr="00EB4495">
        <w:rPr>
          <w:rFonts w:ascii="Arial" w:hAnsi="Arial" w:cs="Arial"/>
          <w:bCs/>
        </w:rPr>
        <w:t xml:space="preserve"> and </w:t>
      </w:r>
      <w:r w:rsidR="00FE6AA9" w:rsidRPr="00EB4495">
        <w:rPr>
          <w:rFonts w:ascii="Arial" w:hAnsi="Arial" w:cs="Arial"/>
          <w:bCs/>
        </w:rPr>
        <w:t>profit</w:t>
      </w:r>
      <w:r w:rsidR="00BD3C20">
        <w:rPr>
          <w:rFonts w:ascii="Arial" w:hAnsi="Arial" w:cs="Arial"/>
          <w:bCs/>
        </w:rPr>
        <w:t>s</w:t>
      </w:r>
    </w:p>
    <w:p w14:paraId="3F23959E" w14:textId="78F7B60A" w:rsidR="00554CFF" w:rsidRPr="00EB4495" w:rsidRDefault="00385E28" w:rsidP="00554CFF">
      <w:pPr>
        <w:pStyle w:val="ListParagraph"/>
        <w:numPr>
          <w:ilvl w:val="0"/>
          <w:numId w:val="2"/>
        </w:numPr>
        <w:jc w:val="left"/>
        <w:rPr>
          <w:rFonts w:ascii="Arial" w:hAnsi="Arial" w:cs="Arial"/>
          <w:bCs/>
        </w:rPr>
      </w:pPr>
      <w:r w:rsidRPr="00EB4495">
        <w:rPr>
          <w:rFonts w:ascii="Arial" w:hAnsi="Arial" w:cs="Arial"/>
          <w:bCs/>
        </w:rPr>
        <w:t xml:space="preserve">Gaining </w:t>
      </w:r>
      <w:r w:rsidR="00554CFF" w:rsidRPr="00EB4495">
        <w:rPr>
          <w:rFonts w:ascii="Arial" w:hAnsi="Arial" w:cs="Arial"/>
          <w:bCs/>
        </w:rPr>
        <w:t>market share in the UK</w:t>
      </w:r>
      <w:r w:rsidRPr="00EB4495">
        <w:rPr>
          <w:rFonts w:ascii="Arial" w:hAnsi="Arial" w:cs="Arial"/>
          <w:bCs/>
        </w:rPr>
        <w:t xml:space="preserve"> and </w:t>
      </w:r>
      <w:r w:rsidR="00554CFF" w:rsidRPr="00EB4495">
        <w:rPr>
          <w:rFonts w:ascii="Arial" w:hAnsi="Arial" w:cs="Arial"/>
          <w:bCs/>
        </w:rPr>
        <w:t>France</w:t>
      </w:r>
    </w:p>
    <w:p w14:paraId="12D4DC1C" w14:textId="77777777" w:rsidR="00CE0787" w:rsidRDefault="00CE0787" w:rsidP="00CE0787">
      <w:pPr>
        <w:pStyle w:val="ListParagraph"/>
        <w:numPr>
          <w:ilvl w:val="0"/>
          <w:numId w:val="2"/>
        </w:numPr>
        <w:jc w:val="left"/>
        <w:rPr>
          <w:rFonts w:ascii="Arial" w:hAnsi="Arial" w:cs="Arial"/>
          <w:bCs/>
        </w:rPr>
      </w:pPr>
      <w:r w:rsidRPr="00EB4495">
        <w:rPr>
          <w:rFonts w:ascii="Arial" w:hAnsi="Arial" w:cs="Arial"/>
          <w:bCs/>
        </w:rPr>
        <w:t>Effective management of product availability, supply chain and inflation pressures</w:t>
      </w:r>
    </w:p>
    <w:p w14:paraId="56986976" w14:textId="484E3BC2" w:rsidR="00316485" w:rsidRPr="00EB4495" w:rsidRDefault="00316485" w:rsidP="00316485">
      <w:pPr>
        <w:pStyle w:val="ListParagraph"/>
        <w:numPr>
          <w:ilvl w:val="0"/>
          <w:numId w:val="2"/>
        </w:numPr>
        <w:jc w:val="left"/>
        <w:rPr>
          <w:rFonts w:ascii="Arial" w:hAnsi="Arial" w:cs="Arial"/>
          <w:bCs/>
        </w:rPr>
      </w:pPr>
      <w:r w:rsidRPr="00EB4495">
        <w:rPr>
          <w:rFonts w:ascii="Arial" w:hAnsi="Arial" w:cs="Arial"/>
          <w:bCs/>
        </w:rPr>
        <w:t>Deliver</w:t>
      </w:r>
      <w:r w:rsidR="00F72811" w:rsidRPr="00EB4495">
        <w:rPr>
          <w:rFonts w:ascii="Arial" w:hAnsi="Arial" w:cs="Arial"/>
          <w:bCs/>
        </w:rPr>
        <w:t>ing</w:t>
      </w:r>
      <w:r w:rsidRPr="00EB4495">
        <w:rPr>
          <w:rFonts w:ascii="Arial" w:hAnsi="Arial" w:cs="Arial"/>
          <w:bCs/>
        </w:rPr>
        <w:t xml:space="preserve"> against strategic priorities ahead of schedule </w:t>
      </w:r>
    </w:p>
    <w:p w14:paraId="2D1DCA2E" w14:textId="22DEEDDD" w:rsidR="00A4667C" w:rsidRPr="00EB4495" w:rsidRDefault="00A4667C" w:rsidP="00A4667C">
      <w:pPr>
        <w:pStyle w:val="ListParagraph"/>
        <w:numPr>
          <w:ilvl w:val="0"/>
          <w:numId w:val="2"/>
        </w:numPr>
        <w:jc w:val="left"/>
        <w:rPr>
          <w:rFonts w:ascii="Arial" w:hAnsi="Arial" w:cs="Arial"/>
          <w:bCs/>
        </w:rPr>
      </w:pPr>
      <w:r w:rsidRPr="00EB4495">
        <w:rPr>
          <w:rFonts w:ascii="Arial" w:hAnsi="Arial" w:cs="Arial"/>
          <w:bCs/>
        </w:rPr>
        <w:t xml:space="preserve">Accelerating investments </w:t>
      </w:r>
      <w:r w:rsidR="004A7FD2" w:rsidRPr="00EB4495">
        <w:rPr>
          <w:rFonts w:ascii="Arial" w:hAnsi="Arial" w:cs="Arial"/>
          <w:bCs/>
        </w:rPr>
        <w:t xml:space="preserve">for </w:t>
      </w:r>
      <w:r w:rsidRPr="00EB4495">
        <w:rPr>
          <w:rFonts w:ascii="Arial" w:hAnsi="Arial" w:cs="Arial"/>
          <w:bCs/>
        </w:rPr>
        <w:t>growth</w:t>
      </w:r>
      <w:r w:rsidR="004A7FD2" w:rsidRPr="00EB4495">
        <w:rPr>
          <w:rFonts w:ascii="Arial" w:hAnsi="Arial" w:cs="Arial"/>
          <w:bCs/>
        </w:rPr>
        <w:t xml:space="preserve"> </w:t>
      </w:r>
      <w:r w:rsidR="00DA17B9" w:rsidRPr="00EB4495">
        <w:rPr>
          <w:rFonts w:ascii="Arial" w:hAnsi="Arial" w:cs="Arial"/>
          <w:bCs/>
        </w:rPr>
        <w:t xml:space="preserve">– </w:t>
      </w:r>
      <w:r w:rsidR="00A7617A" w:rsidRPr="00EB4495">
        <w:rPr>
          <w:rFonts w:ascii="Arial" w:hAnsi="Arial" w:cs="Arial"/>
          <w:bCs/>
        </w:rPr>
        <w:t xml:space="preserve">digital, </w:t>
      </w:r>
      <w:r w:rsidR="00B876B8">
        <w:rPr>
          <w:rFonts w:ascii="Arial" w:hAnsi="Arial" w:cs="Arial"/>
          <w:bCs/>
        </w:rPr>
        <w:t>t</w:t>
      </w:r>
      <w:r w:rsidR="00273F16">
        <w:rPr>
          <w:rFonts w:ascii="Arial" w:hAnsi="Arial" w:cs="Arial"/>
          <w:bCs/>
        </w:rPr>
        <w:t xml:space="preserve">rade </w:t>
      </w:r>
      <w:r w:rsidR="00A7617A" w:rsidRPr="00EB4495">
        <w:rPr>
          <w:rFonts w:ascii="Arial" w:hAnsi="Arial" w:cs="Arial"/>
          <w:bCs/>
        </w:rPr>
        <w:t>proposition</w:t>
      </w:r>
      <w:r w:rsidRPr="00EB4495">
        <w:rPr>
          <w:rFonts w:ascii="Arial" w:hAnsi="Arial" w:cs="Arial"/>
          <w:bCs/>
        </w:rPr>
        <w:t>, Screwfix and Poland expansion</w:t>
      </w:r>
    </w:p>
    <w:p w14:paraId="24DB014B" w14:textId="77777777" w:rsidR="000F5B5C" w:rsidRPr="00EB4495" w:rsidRDefault="000F5B5C" w:rsidP="000F5B5C">
      <w:pPr>
        <w:pStyle w:val="ListParagraph"/>
        <w:numPr>
          <w:ilvl w:val="0"/>
          <w:numId w:val="2"/>
        </w:numPr>
        <w:jc w:val="left"/>
        <w:rPr>
          <w:rFonts w:ascii="Arial" w:hAnsi="Arial" w:cs="Arial"/>
          <w:bCs/>
        </w:rPr>
      </w:pPr>
      <w:r w:rsidRPr="00FC4606">
        <w:rPr>
          <w:rFonts w:ascii="Arial" w:hAnsi="Arial" w:cs="Arial"/>
          <w:bCs/>
        </w:rPr>
        <w:t>Ambitious new target set for sales of sustainable home products</w:t>
      </w:r>
    </w:p>
    <w:p w14:paraId="3D3119C2" w14:textId="0668E7E0" w:rsidR="00B42EC7" w:rsidRPr="00EB4495" w:rsidRDefault="00462BB5" w:rsidP="00C87C98">
      <w:pPr>
        <w:pStyle w:val="ListParagraph"/>
        <w:numPr>
          <w:ilvl w:val="0"/>
          <w:numId w:val="2"/>
        </w:numPr>
        <w:jc w:val="left"/>
        <w:rPr>
          <w:rFonts w:ascii="Arial" w:hAnsi="Arial" w:cs="Arial"/>
          <w:bCs/>
        </w:rPr>
      </w:pPr>
      <w:r w:rsidRPr="00EB4495">
        <w:rPr>
          <w:rFonts w:ascii="Arial" w:hAnsi="Arial" w:cs="Arial"/>
          <w:bCs/>
        </w:rPr>
        <w:t xml:space="preserve">Returning over </w:t>
      </w:r>
      <w:r w:rsidR="00B42EC7" w:rsidRPr="00EB4495">
        <w:rPr>
          <w:rFonts w:ascii="Arial" w:hAnsi="Arial" w:cs="Arial"/>
          <w:bCs/>
        </w:rPr>
        <w:t>£</w:t>
      </w:r>
      <w:r w:rsidR="009E3F8F" w:rsidRPr="00EB4495">
        <w:rPr>
          <w:rFonts w:ascii="Arial" w:hAnsi="Arial" w:cs="Arial"/>
          <w:bCs/>
        </w:rPr>
        <w:t xml:space="preserve">550m </w:t>
      </w:r>
      <w:r w:rsidR="00B42EC7" w:rsidRPr="00EB4495">
        <w:rPr>
          <w:rFonts w:ascii="Arial" w:hAnsi="Arial" w:cs="Arial"/>
          <w:bCs/>
        </w:rPr>
        <w:t>to shareholders</w:t>
      </w:r>
      <w:r w:rsidR="009E3F8F" w:rsidRPr="00EB4495">
        <w:rPr>
          <w:rFonts w:ascii="Arial" w:hAnsi="Arial" w:cs="Arial"/>
          <w:bCs/>
        </w:rPr>
        <w:t>, includ</w:t>
      </w:r>
      <w:r w:rsidRPr="00EB4495">
        <w:rPr>
          <w:rFonts w:ascii="Arial" w:hAnsi="Arial" w:cs="Arial"/>
          <w:bCs/>
        </w:rPr>
        <w:t xml:space="preserve">ing </w:t>
      </w:r>
      <w:r w:rsidR="005E364C">
        <w:rPr>
          <w:rFonts w:ascii="Arial" w:hAnsi="Arial" w:cs="Arial"/>
          <w:bCs/>
        </w:rPr>
        <w:t xml:space="preserve">dividends and </w:t>
      </w:r>
      <w:r w:rsidRPr="00EB4495">
        <w:rPr>
          <w:rFonts w:ascii="Arial" w:hAnsi="Arial" w:cs="Arial"/>
          <w:bCs/>
        </w:rPr>
        <w:t xml:space="preserve">ongoing £300m share buyback </w:t>
      </w:r>
    </w:p>
    <w:p w14:paraId="61379D53" w14:textId="154E190B" w:rsidR="004170FF" w:rsidRPr="00EB4495" w:rsidRDefault="009231DA" w:rsidP="003C20C2">
      <w:pPr>
        <w:pStyle w:val="ListParagraph"/>
        <w:numPr>
          <w:ilvl w:val="0"/>
          <w:numId w:val="2"/>
        </w:numPr>
        <w:jc w:val="left"/>
        <w:rPr>
          <w:rFonts w:ascii="Arial" w:hAnsi="Arial" w:cs="Arial"/>
          <w:bCs/>
        </w:rPr>
      </w:pPr>
      <w:r w:rsidRPr="00EB4495">
        <w:rPr>
          <w:rFonts w:ascii="Arial" w:hAnsi="Arial" w:cs="Arial"/>
          <w:bCs/>
        </w:rPr>
        <w:t xml:space="preserve">New </w:t>
      </w:r>
      <w:r w:rsidR="005E364C">
        <w:rPr>
          <w:rFonts w:ascii="Arial" w:hAnsi="Arial" w:cs="Arial"/>
          <w:bCs/>
        </w:rPr>
        <w:t xml:space="preserve">trends in </w:t>
      </w:r>
      <w:r w:rsidRPr="00EB4495">
        <w:rPr>
          <w:rFonts w:ascii="Arial" w:hAnsi="Arial" w:cs="Arial"/>
          <w:bCs/>
        </w:rPr>
        <w:t>h</w:t>
      </w:r>
      <w:r w:rsidR="004170FF" w:rsidRPr="00EB4495">
        <w:rPr>
          <w:rFonts w:ascii="Arial" w:hAnsi="Arial" w:cs="Arial"/>
          <w:bCs/>
        </w:rPr>
        <w:t xml:space="preserve">ome improvement and continued strategy delivery support </w:t>
      </w:r>
      <w:r w:rsidR="00163F38" w:rsidRPr="00EB4495">
        <w:rPr>
          <w:rFonts w:ascii="Arial" w:hAnsi="Arial" w:cs="Arial"/>
          <w:bCs/>
        </w:rPr>
        <w:t>long-term growth</w:t>
      </w:r>
    </w:p>
    <w:bookmarkEnd w:id="2"/>
    <w:p w14:paraId="4FEB19C1" w14:textId="4AAFAFA3" w:rsidR="00C52B32" w:rsidRPr="00EB4495" w:rsidRDefault="00C52B32" w:rsidP="00C52B32">
      <w:pPr>
        <w:jc w:val="left"/>
        <w:rPr>
          <w:rFonts w:ascii="Arial" w:hAnsi="Arial" w:cs="Arial"/>
          <w:b/>
          <w:bCs/>
          <w:u w:val="single"/>
        </w:rPr>
      </w:pPr>
    </w:p>
    <w:p w14:paraId="60F940F6" w14:textId="77777777" w:rsidR="00B97CD8" w:rsidRPr="00EB4495" w:rsidRDefault="00B97CD8" w:rsidP="00B97CD8">
      <w:pPr>
        <w:jc w:val="left"/>
        <w:rPr>
          <w:rFonts w:ascii="Arial" w:hAnsi="Arial" w:cs="Arial"/>
          <w:b/>
          <w:bCs/>
          <w:szCs w:val="24"/>
        </w:rPr>
      </w:pPr>
      <w:r w:rsidRPr="00EB4495">
        <w:rPr>
          <w:rFonts w:ascii="Arial" w:hAnsi="Arial" w:cs="Arial"/>
          <w:b/>
        </w:rPr>
        <w:t>Thierry Garnier</w:t>
      </w:r>
      <w:r w:rsidRPr="00EB4495">
        <w:rPr>
          <w:rFonts w:ascii="Arial" w:hAnsi="Arial" w:cs="Arial"/>
          <w:b/>
          <w:szCs w:val="24"/>
        </w:rPr>
        <w:t>, Chief Executive Officer, said</w:t>
      </w:r>
      <w:r w:rsidRPr="00EB4495">
        <w:rPr>
          <w:rFonts w:ascii="Arial" w:hAnsi="Arial" w:cs="Arial"/>
          <w:b/>
          <w:bCs/>
          <w:szCs w:val="24"/>
        </w:rPr>
        <w:t>:</w:t>
      </w:r>
    </w:p>
    <w:p w14:paraId="553DFB40" w14:textId="770F027D" w:rsidR="00B97CD8" w:rsidRPr="00EB4495" w:rsidRDefault="00B97CD8" w:rsidP="00B97CD8">
      <w:pPr>
        <w:jc w:val="left"/>
        <w:rPr>
          <w:rFonts w:ascii="Arial" w:hAnsi="Arial" w:cs="Arial"/>
        </w:rPr>
      </w:pPr>
    </w:p>
    <w:p w14:paraId="756C23A7" w14:textId="0681E04B" w:rsidR="00547287" w:rsidRPr="00EB4495" w:rsidRDefault="00547287" w:rsidP="00547287">
      <w:pPr>
        <w:jc w:val="left"/>
        <w:rPr>
          <w:rFonts w:ascii="Arial" w:hAnsi="Arial" w:cs="Arial"/>
        </w:rPr>
      </w:pPr>
      <w:r w:rsidRPr="00EB4495">
        <w:rPr>
          <w:rFonts w:ascii="Arial" w:hAnsi="Arial" w:cs="Arial"/>
        </w:rPr>
        <w:t xml:space="preserve">“Kingfisher </w:t>
      </w:r>
      <w:r w:rsidR="00C37AB6" w:rsidRPr="00EB4495">
        <w:rPr>
          <w:rFonts w:ascii="Arial" w:hAnsi="Arial" w:cs="Arial"/>
        </w:rPr>
        <w:t xml:space="preserve">has </w:t>
      </w:r>
      <w:r w:rsidRPr="00EB4495">
        <w:rPr>
          <w:rFonts w:ascii="Arial" w:hAnsi="Arial" w:cs="Arial"/>
        </w:rPr>
        <w:t xml:space="preserve">delivered </w:t>
      </w:r>
      <w:r w:rsidR="00690FB1" w:rsidRPr="00EB4495">
        <w:rPr>
          <w:rFonts w:ascii="Arial" w:hAnsi="Arial" w:cs="Arial"/>
        </w:rPr>
        <w:t>a</w:t>
      </w:r>
      <w:r w:rsidR="0072421D" w:rsidRPr="00EB4495">
        <w:rPr>
          <w:rFonts w:ascii="Arial" w:hAnsi="Arial" w:cs="Arial"/>
        </w:rPr>
        <w:t xml:space="preserve"> </w:t>
      </w:r>
      <w:r w:rsidR="00361113" w:rsidRPr="00EB4495">
        <w:rPr>
          <w:rFonts w:ascii="Arial" w:hAnsi="Arial" w:cs="Arial"/>
        </w:rPr>
        <w:t xml:space="preserve">year of </w:t>
      </w:r>
      <w:r w:rsidR="00456162" w:rsidRPr="00EB4495">
        <w:rPr>
          <w:rFonts w:ascii="Arial" w:hAnsi="Arial" w:cs="Arial"/>
        </w:rPr>
        <w:t xml:space="preserve">very </w:t>
      </w:r>
      <w:r w:rsidRPr="00EB4495">
        <w:rPr>
          <w:rFonts w:ascii="Arial" w:hAnsi="Arial" w:cs="Arial"/>
        </w:rPr>
        <w:t xml:space="preserve">strong financial performance. </w:t>
      </w:r>
      <w:r w:rsidR="00BE50D0" w:rsidRPr="00EB4495">
        <w:rPr>
          <w:rFonts w:ascii="Arial" w:hAnsi="Arial" w:cs="Arial"/>
        </w:rPr>
        <w:t xml:space="preserve">We saw growth in </w:t>
      </w:r>
      <w:r w:rsidR="00917C1A" w:rsidRPr="00EB4495">
        <w:rPr>
          <w:rFonts w:ascii="Arial" w:hAnsi="Arial" w:cs="Arial"/>
        </w:rPr>
        <w:t xml:space="preserve">all </w:t>
      </w:r>
      <w:r w:rsidRPr="00EB4495">
        <w:rPr>
          <w:rFonts w:ascii="Arial" w:hAnsi="Arial" w:cs="Arial"/>
        </w:rPr>
        <w:t>banners and categories</w:t>
      </w:r>
      <w:r w:rsidR="0023067C" w:rsidRPr="00EB4495">
        <w:rPr>
          <w:rFonts w:ascii="Arial" w:hAnsi="Arial" w:cs="Arial"/>
        </w:rPr>
        <w:t>,</w:t>
      </w:r>
      <w:r w:rsidRPr="00EB4495">
        <w:rPr>
          <w:rFonts w:ascii="Arial" w:hAnsi="Arial" w:cs="Arial"/>
        </w:rPr>
        <w:t xml:space="preserve"> </w:t>
      </w:r>
      <w:r w:rsidR="00273F16">
        <w:rPr>
          <w:rFonts w:ascii="Arial" w:hAnsi="Arial" w:cs="Arial"/>
        </w:rPr>
        <w:t xml:space="preserve">with </w:t>
      </w:r>
      <w:r w:rsidR="00A35D52">
        <w:rPr>
          <w:rFonts w:ascii="Arial" w:hAnsi="Arial" w:cs="Arial"/>
        </w:rPr>
        <w:t xml:space="preserve">resilient </w:t>
      </w:r>
      <w:r w:rsidR="00273F16">
        <w:rPr>
          <w:rFonts w:ascii="Arial" w:hAnsi="Arial" w:cs="Arial"/>
        </w:rPr>
        <w:t xml:space="preserve">demand from </w:t>
      </w:r>
      <w:r w:rsidR="00A625E9" w:rsidRPr="00EB4495">
        <w:rPr>
          <w:rFonts w:ascii="Arial" w:hAnsi="Arial" w:cs="Arial"/>
        </w:rPr>
        <w:t>both DIY and DIFM/</w:t>
      </w:r>
      <w:r w:rsidR="00193C9F">
        <w:rPr>
          <w:rFonts w:ascii="Arial" w:hAnsi="Arial" w:cs="Arial"/>
        </w:rPr>
        <w:t>t</w:t>
      </w:r>
      <w:r w:rsidR="00A625E9" w:rsidRPr="00EB4495">
        <w:rPr>
          <w:rFonts w:ascii="Arial" w:hAnsi="Arial" w:cs="Arial"/>
        </w:rPr>
        <w:t>rade</w:t>
      </w:r>
      <w:r w:rsidR="00B85C5F" w:rsidRPr="00EB4495">
        <w:rPr>
          <w:rFonts w:ascii="Arial" w:hAnsi="Arial" w:cs="Arial"/>
        </w:rPr>
        <w:t xml:space="preserve"> seg</w:t>
      </w:r>
      <w:r w:rsidR="003771A9" w:rsidRPr="00EB4495">
        <w:rPr>
          <w:rFonts w:ascii="Arial" w:hAnsi="Arial" w:cs="Arial"/>
        </w:rPr>
        <w:t>ments</w:t>
      </w:r>
      <w:r w:rsidR="001D203C" w:rsidRPr="00EB4495">
        <w:rPr>
          <w:rFonts w:ascii="Arial" w:hAnsi="Arial" w:cs="Arial"/>
        </w:rPr>
        <w:t xml:space="preserve"> – </w:t>
      </w:r>
      <w:r w:rsidR="00BB2611">
        <w:rPr>
          <w:rFonts w:ascii="Arial" w:hAnsi="Arial" w:cs="Arial"/>
        </w:rPr>
        <w:t xml:space="preserve">each </w:t>
      </w:r>
      <w:r w:rsidR="007177D2" w:rsidRPr="00EB4495">
        <w:rPr>
          <w:rFonts w:ascii="Arial" w:hAnsi="Arial" w:cs="Arial"/>
        </w:rPr>
        <w:t>represent</w:t>
      </w:r>
      <w:r w:rsidR="000F5B5C">
        <w:rPr>
          <w:rFonts w:ascii="Arial" w:hAnsi="Arial" w:cs="Arial"/>
        </w:rPr>
        <w:t>ing</w:t>
      </w:r>
      <w:r w:rsidR="007177D2" w:rsidRPr="00EB4495">
        <w:rPr>
          <w:rFonts w:ascii="Arial" w:hAnsi="Arial" w:cs="Arial"/>
        </w:rPr>
        <w:t xml:space="preserve"> 50% of </w:t>
      </w:r>
      <w:r w:rsidR="001D203C" w:rsidRPr="00EB4495">
        <w:rPr>
          <w:rFonts w:ascii="Arial" w:hAnsi="Arial" w:cs="Arial"/>
        </w:rPr>
        <w:t>Group sales</w:t>
      </w:r>
      <w:r w:rsidRPr="00EB4495">
        <w:rPr>
          <w:rFonts w:ascii="Arial" w:hAnsi="Arial" w:cs="Arial"/>
        </w:rPr>
        <w:t xml:space="preserve">. </w:t>
      </w:r>
      <w:r w:rsidR="002A5F99" w:rsidRPr="00EB4495">
        <w:rPr>
          <w:rFonts w:ascii="Arial" w:hAnsi="Arial" w:cs="Arial"/>
        </w:rPr>
        <w:t xml:space="preserve">We </w:t>
      </w:r>
      <w:r w:rsidR="00E370F7" w:rsidRPr="00EB4495">
        <w:rPr>
          <w:rFonts w:ascii="Arial" w:hAnsi="Arial" w:cs="Arial"/>
        </w:rPr>
        <w:t xml:space="preserve">continue to </w:t>
      </w:r>
      <w:r w:rsidR="002A5F99" w:rsidRPr="00EB4495">
        <w:rPr>
          <w:rFonts w:ascii="Arial" w:hAnsi="Arial" w:cs="Arial"/>
        </w:rPr>
        <w:t>leverag</w:t>
      </w:r>
      <w:r w:rsidR="00E370F7" w:rsidRPr="00EB4495">
        <w:rPr>
          <w:rFonts w:ascii="Arial" w:hAnsi="Arial" w:cs="Arial"/>
        </w:rPr>
        <w:t>e</w:t>
      </w:r>
      <w:r w:rsidR="002A5F99" w:rsidRPr="00EB4495">
        <w:rPr>
          <w:rFonts w:ascii="Arial" w:hAnsi="Arial" w:cs="Arial"/>
        </w:rPr>
        <w:t xml:space="preserve"> our stores assets and Group technology to </w:t>
      </w:r>
      <w:r w:rsidR="00785764" w:rsidRPr="00EB4495">
        <w:rPr>
          <w:rFonts w:ascii="Arial" w:hAnsi="Arial" w:cs="Arial"/>
        </w:rPr>
        <w:t xml:space="preserve">drive </w:t>
      </w:r>
      <w:r w:rsidR="0056009A" w:rsidRPr="00EB4495">
        <w:rPr>
          <w:rFonts w:ascii="Arial" w:hAnsi="Arial" w:cs="Arial"/>
        </w:rPr>
        <w:t xml:space="preserve">forward </w:t>
      </w:r>
      <w:r w:rsidR="00565483" w:rsidRPr="00EB4495">
        <w:rPr>
          <w:rFonts w:ascii="Arial" w:hAnsi="Arial" w:cs="Arial"/>
        </w:rPr>
        <w:t xml:space="preserve">our </w:t>
      </w:r>
      <w:r w:rsidR="002A5F99" w:rsidRPr="00EB4495">
        <w:rPr>
          <w:rFonts w:ascii="Arial" w:hAnsi="Arial" w:cs="Arial"/>
        </w:rPr>
        <w:t xml:space="preserve">e-commerce </w:t>
      </w:r>
      <w:r w:rsidR="00904ED7" w:rsidRPr="00EB4495">
        <w:rPr>
          <w:rFonts w:ascii="Arial" w:hAnsi="Arial" w:cs="Arial"/>
        </w:rPr>
        <w:t>proposition</w:t>
      </w:r>
      <w:r w:rsidR="00B30AAF" w:rsidRPr="00EB4495">
        <w:rPr>
          <w:rFonts w:ascii="Arial" w:hAnsi="Arial" w:cs="Arial"/>
        </w:rPr>
        <w:t xml:space="preserve">, with faster click &amp; collect and home delivery, and </w:t>
      </w:r>
      <w:r w:rsidR="00C4359B" w:rsidRPr="00EB4495">
        <w:rPr>
          <w:rFonts w:ascii="Arial" w:hAnsi="Arial" w:cs="Arial"/>
        </w:rPr>
        <w:t xml:space="preserve">broader </w:t>
      </w:r>
      <w:r w:rsidR="008934DD" w:rsidRPr="00EB4495">
        <w:rPr>
          <w:rFonts w:ascii="Arial" w:hAnsi="Arial" w:cs="Arial"/>
        </w:rPr>
        <w:t>pr</w:t>
      </w:r>
      <w:r w:rsidR="00EB7BEA" w:rsidRPr="00EB4495">
        <w:rPr>
          <w:rFonts w:ascii="Arial" w:hAnsi="Arial" w:cs="Arial"/>
        </w:rPr>
        <w:t xml:space="preserve">oduct </w:t>
      </w:r>
      <w:r w:rsidR="00C4359B" w:rsidRPr="00EB4495">
        <w:rPr>
          <w:rFonts w:ascii="Arial" w:hAnsi="Arial" w:cs="Arial"/>
        </w:rPr>
        <w:t>choice</w:t>
      </w:r>
      <w:r w:rsidR="00EB7BEA" w:rsidRPr="00EB4495">
        <w:rPr>
          <w:rFonts w:ascii="Arial" w:hAnsi="Arial" w:cs="Arial"/>
        </w:rPr>
        <w:t>s</w:t>
      </w:r>
      <w:r w:rsidR="00C4359B" w:rsidRPr="00EB4495">
        <w:rPr>
          <w:rFonts w:ascii="Arial" w:hAnsi="Arial" w:cs="Arial"/>
        </w:rPr>
        <w:t xml:space="preserve"> for </w:t>
      </w:r>
      <w:r w:rsidR="0056009A" w:rsidRPr="00EB4495">
        <w:rPr>
          <w:rFonts w:ascii="Arial" w:hAnsi="Arial" w:cs="Arial"/>
        </w:rPr>
        <w:t xml:space="preserve">our </w:t>
      </w:r>
      <w:r w:rsidR="00C4359B" w:rsidRPr="00EB4495">
        <w:rPr>
          <w:rFonts w:ascii="Arial" w:hAnsi="Arial" w:cs="Arial"/>
        </w:rPr>
        <w:t>customers</w:t>
      </w:r>
      <w:r w:rsidR="00565483" w:rsidRPr="00EB4495">
        <w:rPr>
          <w:rFonts w:ascii="Arial" w:hAnsi="Arial" w:cs="Arial"/>
        </w:rPr>
        <w:t xml:space="preserve">. </w:t>
      </w:r>
      <w:r w:rsidR="00273F16" w:rsidRPr="00273F16">
        <w:rPr>
          <w:rFonts w:ascii="Arial" w:hAnsi="Arial" w:cs="Arial"/>
        </w:rPr>
        <w:t xml:space="preserve">18% of our sales are now made online, </w:t>
      </w:r>
      <w:r w:rsidR="009C704A">
        <w:rPr>
          <w:rFonts w:ascii="Arial" w:hAnsi="Arial" w:cs="Arial"/>
        </w:rPr>
        <w:t>which is ten percentage points higher than</w:t>
      </w:r>
      <w:r w:rsidR="00273F16" w:rsidRPr="00273F16">
        <w:rPr>
          <w:rFonts w:ascii="Arial" w:hAnsi="Arial" w:cs="Arial"/>
        </w:rPr>
        <w:t xml:space="preserve"> two years ago</w:t>
      </w:r>
      <w:r w:rsidR="00D64AF7" w:rsidRPr="00EB4495">
        <w:rPr>
          <w:rFonts w:ascii="Arial" w:hAnsi="Arial" w:cs="Arial"/>
        </w:rPr>
        <w:t>.</w:t>
      </w:r>
      <w:r w:rsidR="002A5F99" w:rsidRPr="00EB4495">
        <w:rPr>
          <w:rFonts w:ascii="Arial" w:hAnsi="Arial" w:cs="Arial"/>
        </w:rPr>
        <w:t xml:space="preserve"> </w:t>
      </w:r>
      <w:r w:rsidR="00A35D52">
        <w:rPr>
          <w:rFonts w:ascii="Arial" w:hAnsi="Arial" w:cs="Arial"/>
        </w:rPr>
        <w:t xml:space="preserve">B&amp;Q had </w:t>
      </w:r>
      <w:r w:rsidR="000F5B5C">
        <w:rPr>
          <w:rFonts w:ascii="Arial" w:hAnsi="Arial" w:cs="Arial"/>
        </w:rPr>
        <w:t>an outstanding</w:t>
      </w:r>
      <w:r w:rsidR="00A35D52">
        <w:rPr>
          <w:rFonts w:ascii="Arial" w:hAnsi="Arial" w:cs="Arial"/>
        </w:rPr>
        <w:t xml:space="preserve"> year, with sales passing £4bn. It was </w:t>
      </w:r>
      <w:r w:rsidR="002A5F99" w:rsidRPr="00EB4495">
        <w:rPr>
          <w:rFonts w:ascii="Arial" w:hAnsi="Arial" w:cs="Arial"/>
        </w:rPr>
        <w:t xml:space="preserve">also </w:t>
      </w:r>
      <w:r w:rsidR="00EB7BEA" w:rsidRPr="00EB4495">
        <w:rPr>
          <w:rFonts w:ascii="Arial" w:hAnsi="Arial" w:cs="Arial"/>
        </w:rPr>
        <w:t xml:space="preserve">a </w:t>
      </w:r>
      <w:r w:rsidR="002A5F99" w:rsidRPr="00EB4495">
        <w:rPr>
          <w:rFonts w:ascii="Arial" w:hAnsi="Arial" w:cs="Arial"/>
        </w:rPr>
        <w:t xml:space="preserve">record year </w:t>
      </w:r>
      <w:r w:rsidR="00EB7BEA" w:rsidRPr="00EB4495">
        <w:rPr>
          <w:rFonts w:ascii="Arial" w:hAnsi="Arial" w:cs="Arial"/>
        </w:rPr>
        <w:t xml:space="preserve">of </w:t>
      </w:r>
      <w:r w:rsidR="002B0790" w:rsidRPr="00EB4495">
        <w:rPr>
          <w:rFonts w:ascii="Arial" w:hAnsi="Arial" w:cs="Arial"/>
        </w:rPr>
        <w:t xml:space="preserve">expansion </w:t>
      </w:r>
      <w:r w:rsidR="00EB7BEA" w:rsidRPr="00EB4495">
        <w:rPr>
          <w:rFonts w:ascii="Arial" w:hAnsi="Arial" w:cs="Arial"/>
        </w:rPr>
        <w:t xml:space="preserve">for </w:t>
      </w:r>
      <w:r w:rsidR="002A5F99" w:rsidRPr="00EB4495">
        <w:rPr>
          <w:rFonts w:ascii="Arial" w:hAnsi="Arial" w:cs="Arial"/>
        </w:rPr>
        <w:t>Screwfix</w:t>
      </w:r>
      <w:r w:rsidR="00E77C41">
        <w:rPr>
          <w:rFonts w:ascii="Arial" w:hAnsi="Arial" w:cs="Arial"/>
        </w:rPr>
        <w:t>,</w:t>
      </w:r>
      <w:r w:rsidR="002A5F99" w:rsidRPr="00EB4495">
        <w:rPr>
          <w:rFonts w:ascii="Arial" w:hAnsi="Arial" w:cs="Arial"/>
        </w:rPr>
        <w:t xml:space="preserve"> with 70 </w:t>
      </w:r>
      <w:r w:rsidR="002B0790" w:rsidRPr="00EB4495">
        <w:rPr>
          <w:rFonts w:ascii="Arial" w:hAnsi="Arial" w:cs="Arial"/>
        </w:rPr>
        <w:t xml:space="preserve">new </w:t>
      </w:r>
      <w:r w:rsidR="002A5F99" w:rsidRPr="00EB4495">
        <w:rPr>
          <w:rFonts w:ascii="Arial" w:hAnsi="Arial" w:cs="Arial"/>
        </w:rPr>
        <w:t xml:space="preserve">stores </w:t>
      </w:r>
      <w:r w:rsidR="002B0790" w:rsidRPr="00EB4495">
        <w:rPr>
          <w:rFonts w:ascii="Arial" w:hAnsi="Arial" w:cs="Arial"/>
        </w:rPr>
        <w:t xml:space="preserve">opened in the UK and Ireland, and Screwfix France </w:t>
      </w:r>
      <w:r w:rsidR="00B70990" w:rsidRPr="00EB4495">
        <w:rPr>
          <w:rFonts w:ascii="Arial" w:hAnsi="Arial" w:cs="Arial"/>
        </w:rPr>
        <w:t xml:space="preserve">showing </w:t>
      </w:r>
      <w:r w:rsidR="004F0EDA" w:rsidRPr="00EB4495">
        <w:rPr>
          <w:rFonts w:ascii="Arial" w:hAnsi="Arial" w:cs="Arial"/>
        </w:rPr>
        <w:t xml:space="preserve">very </w:t>
      </w:r>
      <w:r w:rsidR="00B70990" w:rsidRPr="00EB4495">
        <w:rPr>
          <w:rFonts w:ascii="Arial" w:hAnsi="Arial" w:cs="Arial"/>
        </w:rPr>
        <w:t xml:space="preserve">promising </w:t>
      </w:r>
      <w:r w:rsidR="004F0EDA" w:rsidRPr="00EB4495">
        <w:rPr>
          <w:rFonts w:ascii="Arial" w:hAnsi="Arial" w:cs="Arial"/>
        </w:rPr>
        <w:t>early progress</w:t>
      </w:r>
      <w:r w:rsidR="00B70990" w:rsidRPr="00EB4495">
        <w:rPr>
          <w:rFonts w:ascii="Arial" w:hAnsi="Arial" w:cs="Arial"/>
        </w:rPr>
        <w:t xml:space="preserve">. </w:t>
      </w:r>
      <w:r w:rsidRPr="00EB4495">
        <w:rPr>
          <w:rFonts w:ascii="Arial" w:hAnsi="Arial" w:cs="Arial"/>
        </w:rPr>
        <w:t xml:space="preserve"> </w:t>
      </w:r>
    </w:p>
    <w:p w14:paraId="50A0B075" w14:textId="442A1F4A" w:rsidR="00547287" w:rsidRDefault="00547287" w:rsidP="00547287">
      <w:pPr>
        <w:jc w:val="left"/>
        <w:rPr>
          <w:rFonts w:ascii="Arial" w:hAnsi="Arial" w:cs="Arial"/>
        </w:rPr>
      </w:pPr>
    </w:p>
    <w:p w14:paraId="1EFF238A" w14:textId="13AC8741" w:rsidR="00760411" w:rsidRDefault="00760411" w:rsidP="00547287">
      <w:pPr>
        <w:jc w:val="left"/>
        <w:rPr>
          <w:rFonts w:ascii="Arial" w:hAnsi="Arial" w:cs="Arial"/>
        </w:rPr>
      </w:pPr>
      <w:r w:rsidRPr="009C704A">
        <w:rPr>
          <w:rFonts w:ascii="Arial" w:hAnsi="Arial" w:cs="Arial"/>
        </w:rPr>
        <w:t>“</w:t>
      </w:r>
      <w:r w:rsidR="000F5B5C">
        <w:rPr>
          <w:rFonts w:ascii="Arial" w:hAnsi="Arial" w:cs="Arial"/>
        </w:rPr>
        <w:t xml:space="preserve">For the </w:t>
      </w:r>
      <w:r w:rsidRPr="00841B52">
        <w:rPr>
          <w:rFonts w:ascii="Arial" w:hAnsi="Arial" w:cs="Arial"/>
        </w:rPr>
        <w:t>year</w:t>
      </w:r>
      <w:r w:rsidR="000F5B5C">
        <w:rPr>
          <w:rFonts w:ascii="Arial" w:hAnsi="Arial" w:cs="Arial"/>
        </w:rPr>
        <w:t xml:space="preserve"> ahead</w:t>
      </w:r>
      <w:r w:rsidRPr="00841B52">
        <w:rPr>
          <w:rFonts w:ascii="Arial" w:hAnsi="Arial" w:cs="Arial"/>
        </w:rPr>
        <w:t xml:space="preserve">, </w:t>
      </w:r>
      <w:r w:rsidR="00BD7308" w:rsidRPr="00841B52">
        <w:rPr>
          <w:rFonts w:ascii="Arial" w:hAnsi="Arial" w:cs="Arial"/>
        </w:rPr>
        <w:t>w</w:t>
      </w:r>
      <w:r w:rsidRPr="00841B52">
        <w:rPr>
          <w:rFonts w:ascii="Arial" w:hAnsi="Arial" w:cs="Arial"/>
        </w:rPr>
        <w:t xml:space="preserve">hile the macroeconomic </w:t>
      </w:r>
      <w:r w:rsidR="009C704A">
        <w:rPr>
          <w:rFonts w:ascii="Arial" w:hAnsi="Arial" w:cs="Arial"/>
        </w:rPr>
        <w:t xml:space="preserve">and </w:t>
      </w:r>
      <w:r w:rsidR="00EF21C6">
        <w:rPr>
          <w:rFonts w:ascii="Arial" w:hAnsi="Arial" w:cs="Arial"/>
        </w:rPr>
        <w:t>geo</w:t>
      </w:r>
      <w:r w:rsidR="009C704A">
        <w:rPr>
          <w:rFonts w:ascii="Arial" w:hAnsi="Arial" w:cs="Arial"/>
        </w:rPr>
        <w:t xml:space="preserve">political </w:t>
      </w:r>
      <w:r w:rsidRPr="00841B52">
        <w:rPr>
          <w:rFonts w:ascii="Arial" w:hAnsi="Arial" w:cs="Arial"/>
        </w:rPr>
        <w:t xml:space="preserve">environment is uncertain, you can expect from us continued </w:t>
      </w:r>
      <w:r w:rsidR="00BD7308" w:rsidRPr="00841B52">
        <w:rPr>
          <w:rFonts w:ascii="Arial" w:hAnsi="Arial" w:cs="Arial"/>
        </w:rPr>
        <w:t xml:space="preserve">focus on top line delivery and </w:t>
      </w:r>
      <w:r w:rsidRPr="00841B52">
        <w:rPr>
          <w:rFonts w:ascii="Arial" w:hAnsi="Arial" w:cs="Arial"/>
        </w:rPr>
        <w:t xml:space="preserve">market share growth, </w:t>
      </w:r>
      <w:r w:rsidR="00BD7308" w:rsidRPr="00841B52">
        <w:rPr>
          <w:rFonts w:ascii="Arial" w:hAnsi="Arial" w:cs="Arial"/>
        </w:rPr>
        <w:t xml:space="preserve">strong execution, </w:t>
      </w:r>
      <w:r w:rsidRPr="00841B52">
        <w:rPr>
          <w:rFonts w:ascii="Arial" w:hAnsi="Arial" w:cs="Arial"/>
        </w:rPr>
        <w:t>effective management of our gross margin, and active and responsive management of our operating costs.</w:t>
      </w:r>
    </w:p>
    <w:p w14:paraId="00138818" w14:textId="77777777" w:rsidR="00760411" w:rsidRDefault="00760411" w:rsidP="00547287">
      <w:pPr>
        <w:jc w:val="left"/>
        <w:rPr>
          <w:rFonts w:ascii="Arial" w:hAnsi="Arial" w:cs="Arial"/>
        </w:rPr>
      </w:pPr>
    </w:p>
    <w:p w14:paraId="1A7BDFDA" w14:textId="70D87362" w:rsidR="00B25D74" w:rsidRPr="00EB4495" w:rsidRDefault="00547287" w:rsidP="00B25D74">
      <w:pPr>
        <w:jc w:val="left"/>
        <w:rPr>
          <w:rFonts w:ascii="Arial" w:hAnsi="Arial" w:cs="Arial"/>
        </w:rPr>
      </w:pPr>
      <w:bookmarkStart w:id="3" w:name="_Hlk96090240"/>
      <w:r w:rsidRPr="00EB4495">
        <w:rPr>
          <w:rFonts w:ascii="Arial" w:hAnsi="Arial" w:cs="Arial"/>
        </w:rPr>
        <w:t>“</w:t>
      </w:r>
      <w:bookmarkStart w:id="4" w:name="_Hlk96090189"/>
      <w:r w:rsidR="00CE4E39" w:rsidRPr="00EB4495">
        <w:rPr>
          <w:rFonts w:ascii="Arial" w:hAnsi="Arial" w:cs="Arial"/>
        </w:rPr>
        <w:t xml:space="preserve">We are now over two years into our new strategy and execution is ahead of schedule. With the business in a strong position, we </w:t>
      </w:r>
      <w:r w:rsidR="00E77C41">
        <w:rPr>
          <w:rFonts w:ascii="Arial" w:hAnsi="Arial" w:cs="Arial"/>
        </w:rPr>
        <w:t xml:space="preserve">are </w:t>
      </w:r>
      <w:r w:rsidR="00CE4E39" w:rsidRPr="00EB4495">
        <w:rPr>
          <w:rFonts w:ascii="Arial" w:hAnsi="Arial" w:cs="Arial"/>
        </w:rPr>
        <w:t xml:space="preserve">accelerating our investments for growth – through the launch of our scalable e-commerce marketplace, the expansion of Screwfix in the UK and France, new store openings in Poland, and our plans to increase </w:t>
      </w:r>
      <w:r w:rsidR="00273F16">
        <w:rPr>
          <w:rFonts w:ascii="Arial" w:hAnsi="Arial" w:cs="Arial"/>
        </w:rPr>
        <w:t xml:space="preserve">our </w:t>
      </w:r>
      <w:r w:rsidR="00193C9F">
        <w:rPr>
          <w:rFonts w:ascii="Arial" w:hAnsi="Arial" w:cs="Arial"/>
        </w:rPr>
        <w:t>t</w:t>
      </w:r>
      <w:r w:rsidR="00273F16">
        <w:rPr>
          <w:rFonts w:ascii="Arial" w:hAnsi="Arial" w:cs="Arial"/>
        </w:rPr>
        <w:t xml:space="preserve">rade </w:t>
      </w:r>
      <w:r w:rsidR="00CE4E39" w:rsidRPr="00EB4495">
        <w:rPr>
          <w:rFonts w:ascii="Arial" w:hAnsi="Arial" w:cs="Arial"/>
        </w:rPr>
        <w:t xml:space="preserve">customer </w:t>
      </w:r>
      <w:r w:rsidR="00273F16">
        <w:rPr>
          <w:rFonts w:ascii="Arial" w:hAnsi="Arial" w:cs="Arial"/>
        </w:rPr>
        <w:t>base</w:t>
      </w:r>
      <w:r w:rsidR="00CE4E39" w:rsidRPr="00EB4495">
        <w:rPr>
          <w:rFonts w:ascii="Arial" w:hAnsi="Arial" w:cs="Arial"/>
        </w:rPr>
        <w:t xml:space="preserve">. </w:t>
      </w:r>
      <w:r w:rsidR="000F5B5C">
        <w:rPr>
          <w:rFonts w:ascii="Arial" w:hAnsi="Arial" w:cs="Arial"/>
        </w:rPr>
        <w:t>Looking forward, w</w:t>
      </w:r>
      <w:r w:rsidR="00CE4E39" w:rsidRPr="00EB4495">
        <w:rPr>
          <w:rFonts w:ascii="Arial" w:hAnsi="Arial" w:cs="Arial"/>
        </w:rPr>
        <w:t xml:space="preserve">e are confident that these investments, supported by continued strong execution and the new demand-drivers we are seeing in our industry, will drive faster </w:t>
      </w:r>
      <w:r w:rsidR="00371F5A">
        <w:rPr>
          <w:rFonts w:ascii="Arial" w:hAnsi="Arial" w:cs="Arial"/>
        </w:rPr>
        <w:t xml:space="preserve">growth in </w:t>
      </w:r>
      <w:r w:rsidR="00635E14">
        <w:rPr>
          <w:rFonts w:ascii="Arial" w:hAnsi="Arial" w:cs="Arial"/>
        </w:rPr>
        <w:t>sales</w:t>
      </w:r>
      <w:r w:rsidR="00CE4E39" w:rsidRPr="00EB4495">
        <w:rPr>
          <w:rFonts w:ascii="Arial" w:hAnsi="Arial" w:cs="Arial"/>
        </w:rPr>
        <w:t>, profit and free cash flow.</w:t>
      </w:r>
      <w:bookmarkEnd w:id="4"/>
      <w:r w:rsidRPr="00EB4495">
        <w:rPr>
          <w:rFonts w:ascii="Arial" w:hAnsi="Arial" w:cs="Arial"/>
        </w:rPr>
        <w:t>”</w:t>
      </w:r>
      <w:bookmarkEnd w:id="3"/>
      <w:r w:rsidR="00B25D74" w:rsidRPr="00EB4495">
        <w:rPr>
          <w:rFonts w:ascii="Arial" w:hAnsi="Arial" w:cs="Arial"/>
        </w:rPr>
        <w:br w:type="page"/>
      </w:r>
    </w:p>
    <w:p w14:paraId="0947D290" w14:textId="073A3904" w:rsidR="00C52B32" w:rsidRPr="00EB4495" w:rsidRDefault="004B3CB2" w:rsidP="00C52B32">
      <w:pPr>
        <w:jc w:val="left"/>
        <w:rPr>
          <w:rFonts w:ascii="Arial" w:hAnsi="Arial" w:cs="Arial"/>
          <w:b/>
          <w:bCs/>
          <w:u w:val="single"/>
        </w:rPr>
      </w:pPr>
      <w:r w:rsidRPr="00EB4495">
        <w:rPr>
          <w:rFonts w:ascii="Arial" w:hAnsi="Arial" w:cs="Arial"/>
          <w:b/>
          <w:bCs/>
          <w:u w:val="single"/>
        </w:rPr>
        <w:lastRenderedPageBreak/>
        <w:t xml:space="preserve">FY </w:t>
      </w:r>
      <w:r w:rsidR="00C52B32" w:rsidRPr="00EB4495">
        <w:rPr>
          <w:rFonts w:ascii="Arial" w:hAnsi="Arial" w:cs="Arial"/>
          <w:b/>
          <w:bCs/>
          <w:u w:val="single"/>
        </w:rPr>
        <w:t>21/22 Group results</w:t>
      </w:r>
    </w:p>
    <w:p w14:paraId="2365A2CD" w14:textId="62A1D751" w:rsidR="00C52B32" w:rsidRPr="00EB4495" w:rsidRDefault="00C52B32" w:rsidP="00C52B32">
      <w:pPr>
        <w:pStyle w:val="ListParagraph"/>
        <w:numPr>
          <w:ilvl w:val="0"/>
          <w:numId w:val="2"/>
        </w:numPr>
        <w:jc w:val="left"/>
        <w:rPr>
          <w:rFonts w:ascii="Arial" w:hAnsi="Arial" w:cs="Arial"/>
          <w:bCs/>
        </w:rPr>
      </w:pPr>
      <w:r w:rsidRPr="00EB4495">
        <w:rPr>
          <w:rFonts w:ascii="Arial" w:hAnsi="Arial" w:cs="Arial"/>
          <w:b/>
        </w:rPr>
        <w:t>Sales</w:t>
      </w:r>
      <w:r w:rsidRPr="00EB4495">
        <w:rPr>
          <w:rFonts w:ascii="Arial" w:hAnsi="Arial" w:cs="Arial"/>
          <w:bCs/>
        </w:rPr>
        <w:t xml:space="preserve"> up </w:t>
      </w:r>
      <w:r w:rsidR="00D5441A" w:rsidRPr="00EB4495">
        <w:rPr>
          <w:rFonts w:ascii="Arial" w:hAnsi="Arial" w:cs="Arial"/>
          <w:bCs/>
        </w:rPr>
        <w:t>9.7</w:t>
      </w:r>
      <w:r w:rsidRPr="00EB4495">
        <w:rPr>
          <w:rFonts w:ascii="Arial" w:hAnsi="Arial" w:cs="Arial"/>
          <w:bCs/>
        </w:rPr>
        <w:t xml:space="preserve">% in constant currency, driven by </w:t>
      </w:r>
      <w:r w:rsidRPr="00EB4495">
        <w:rPr>
          <w:rFonts w:ascii="Arial" w:hAnsi="Arial" w:cs="Arial"/>
        </w:rPr>
        <w:t xml:space="preserve">strong demand </w:t>
      </w:r>
      <w:r w:rsidRPr="00EB4495">
        <w:rPr>
          <w:rFonts w:ascii="Arial" w:hAnsi="Arial" w:cs="Arial"/>
          <w:bCs/>
        </w:rPr>
        <w:t xml:space="preserve">across </w:t>
      </w:r>
      <w:r w:rsidR="00272962" w:rsidRPr="00EB4495">
        <w:rPr>
          <w:rFonts w:ascii="Arial" w:hAnsi="Arial" w:cs="Arial"/>
          <w:bCs/>
        </w:rPr>
        <w:t xml:space="preserve">both </w:t>
      </w:r>
      <w:r w:rsidRPr="00EB4495">
        <w:rPr>
          <w:rFonts w:ascii="Arial" w:hAnsi="Arial" w:cs="Arial"/>
          <w:bCs/>
        </w:rPr>
        <w:t>retail and trade channels</w:t>
      </w:r>
    </w:p>
    <w:p w14:paraId="0D2346B3" w14:textId="3FA42560" w:rsidR="00C52B32" w:rsidRPr="00EB4495" w:rsidRDefault="00C52B32" w:rsidP="00C52B32">
      <w:pPr>
        <w:pStyle w:val="ListParagraph"/>
        <w:numPr>
          <w:ilvl w:val="0"/>
          <w:numId w:val="2"/>
        </w:numPr>
        <w:jc w:val="left"/>
        <w:rPr>
          <w:rFonts w:ascii="Arial" w:hAnsi="Arial" w:cs="Arial"/>
          <w:bCs/>
        </w:rPr>
      </w:pPr>
      <w:r w:rsidRPr="00EB4495">
        <w:rPr>
          <w:rFonts w:ascii="Arial" w:hAnsi="Arial" w:cs="Arial"/>
          <w:b/>
        </w:rPr>
        <w:t xml:space="preserve">LFL sales </w:t>
      </w:r>
      <w:r w:rsidRPr="00EB4495">
        <w:rPr>
          <w:rFonts w:ascii="Arial" w:hAnsi="Arial" w:cs="Arial"/>
          <w:bCs/>
        </w:rPr>
        <w:t xml:space="preserve">up </w:t>
      </w:r>
      <w:r w:rsidR="00D5441A" w:rsidRPr="00EB4495">
        <w:rPr>
          <w:rFonts w:ascii="Arial" w:hAnsi="Arial" w:cs="Arial"/>
          <w:bCs/>
        </w:rPr>
        <w:t>9.9</w:t>
      </w:r>
      <w:r w:rsidRPr="00EB4495">
        <w:rPr>
          <w:rFonts w:ascii="Arial" w:hAnsi="Arial" w:cs="Arial"/>
          <w:bCs/>
        </w:rPr>
        <w:t xml:space="preserve">% and corresponding 2-year LFL* up </w:t>
      </w:r>
      <w:r w:rsidR="00B2769E" w:rsidRPr="00EB4495">
        <w:rPr>
          <w:rFonts w:ascii="Arial" w:hAnsi="Arial" w:cs="Arial"/>
          <w:bCs/>
        </w:rPr>
        <w:t>18.1</w:t>
      </w:r>
      <w:r w:rsidRPr="00EB4495">
        <w:rPr>
          <w:rFonts w:ascii="Arial" w:hAnsi="Arial" w:cs="Arial"/>
          <w:bCs/>
        </w:rPr>
        <w:t>%</w:t>
      </w:r>
    </w:p>
    <w:p w14:paraId="1D5C0BA9" w14:textId="01EEAB2C" w:rsidR="00C52B32" w:rsidRPr="00EB4495" w:rsidRDefault="00C52B32" w:rsidP="00C52B32">
      <w:pPr>
        <w:pStyle w:val="ListParagraph"/>
        <w:numPr>
          <w:ilvl w:val="1"/>
          <w:numId w:val="2"/>
        </w:numPr>
        <w:ind w:left="709"/>
        <w:jc w:val="left"/>
        <w:rPr>
          <w:rFonts w:ascii="Arial" w:hAnsi="Arial" w:cs="Arial"/>
          <w:bCs/>
        </w:rPr>
      </w:pPr>
      <w:r w:rsidRPr="00EB4495">
        <w:rPr>
          <w:rFonts w:ascii="Arial" w:hAnsi="Arial" w:cs="Arial"/>
          <w:bCs/>
        </w:rPr>
        <w:t>Strong performances in the UK &amp; Ireland*, France*, Iberia* and Romania; Poland impacted by COVID-related store closures in Q1 21/22</w:t>
      </w:r>
    </w:p>
    <w:p w14:paraId="6F380292" w14:textId="77777777" w:rsidR="00C52B32" w:rsidRPr="00EB4495" w:rsidRDefault="00C52B32" w:rsidP="00C52B32">
      <w:pPr>
        <w:pStyle w:val="ListParagraph"/>
        <w:numPr>
          <w:ilvl w:val="1"/>
          <w:numId w:val="2"/>
        </w:numPr>
        <w:ind w:left="709"/>
        <w:jc w:val="left"/>
        <w:rPr>
          <w:rFonts w:ascii="Arial" w:hAnsi="Arial" w:cs="Arial"/>
          <w:bCs/>
        </w:rPr>
      </w:pPr>
      <w:bookmarkStart w:id="5" w:name="_Hlk97537771"/>
      <w:r w:rsidRPr="00EB4495">
        <w:rPr>
          <w:rFonts w:ascii="Arial" w:hAnsi="Arial" w:cs="Arial"/>
          <w:bCs/>
        </w:rPr>
        <w:t>Transaction volume and average basket value both up on 1-year and 2-year basis</w:t>
      </w:r>
    </w:p>
    <w:bookmarkEnd w:id="5"/>
    <w:p w14:paraId="52C79360" w14:textId="75CE35EF" w:rsidR="00C52B32" w:rsidRPr="00EB4495" w:rsidRDefault="00C52B32" w:rsidP="00C52B32">
      <w:pPr>
        <w:pStyle w:val="ListParagraph"/>
        <w:numPr>
          <w:ilvl w:val="1"/>
          <w:numId w:val="2"/>
        </w:numPr>
        <w:ind w:left="709"/>
        <w:jc w:val="left"/>
        <w:rPr>
          <w:rFonts w:ascii="Arial" w:hAnsi="Arial" w:cs="Arial"/>
          <w:bCs/>
        </w:rPr>
      </w:pPr>
      <w:r w:rsidRPr="00EB4495">
        <w:rPr>
          <w:rFonts w:ascii="Arial" w:hAnsi="Arial" w:cs="Arial"/>
          <w:bCs/>
        </w:rPr>
        <w:t xml:space="preserve">LFL sales </w:t>
      </w:r>
      <w:r w:rsidR="002A1580" w:rsidRPr="00EB4495">
        <w:rPr>
          <w:rFonts w:ascii="Arial" w:hAnsi="Arial" w:cs="Arial"/>
          <w:bCs/>
        </w:rPr>
        <w:t xml:space="preserve">up </w:t>
      </w:r>
      <w:r w:rsidR="00BD4C1D" w:rsidRPr="00EB4495">
        <w:rPr>
          <w:rFonts w:ascii="Arial" w:hAnsi="Arial" w:cs="Arial"/>
          <w:bCs/>
        </w:rPr>
        <w:t>13.7</w:t>
      </w:r>
      <w:r w:rsidR="002A1580" w:rsidRPr="00EB4495">
        <w:rPr>
          <w:rFonts w:ascii="Arial" w:hAnsi="Arial" w:cs="Arial"/>
          <w:bCs/>
        </w:rPr>
        <w:t xml:space="preserve">% </w:t>
      </w:r>
      <w:r w:rsidR="00934B65" w:rsidRPr="00EB4495">
        <w:rPr>
          <w:rFonts w:ascii="Arial" w:hAnsi="Arial" w:cs="Arial"/>
          <w:bCs/>
        </w:rPr>
        <w:t xml:space="preserve">in Q4 21/22 on a 2-year basis; </w:t>
      </w:r>
      <w:r w:rsidR="00784B6A" w:rsidRPr="00EB4495">
        <w:rPr>
          <w:rFonts w:ascii="Arial" w:hAnsi="Arial" w:cs="Arial"/>
          <w:bCs/>
        </w:rPr>
        <w:t>1</w:t>
      </w:r>
      <w:r w:rsidRPr="00EB4495">
        <w:rPr>
          <w:rFonts w:ascii="Arial" w:hAnsi="Arial" w:cs="Arial"/>
          <w:bCs/>
        </w:rPr>
        <w:t xml:space="preserve">-year LFL </w:t>
      </w:r>
      <w:r w:rsidR="00784B6A" w:rsidRPr="00EB4495">
        <w:rPr>
          <w:rFonts w:ascii="Arial" w:hAnsi="Arial" w:cs="Arial"/>
          <w:bCs/>
        </w:rPr>
        <w:t xml:space="preserve">down </w:t>
      </w:r>
      <w:r w:rsidR="00BD4C1D" w:rsidRPr="00EB4495">
        <w:rPr>
          <w:rFonts w:ascii="Arial" w:hAnsi="Arial" w:cs="Arial"/>
          <w:bCs/>
        </w:rPr>
        <w:t>1.7</w:t>
      </w:r>
      <w:r w:rsidRPr="00EB4495">
        <w:rPr>
          <w:rFonts w:ascii="Arial" w:hAnsi="Arial" w:cs="Arial"/>
          <w:bCs/>
        </w:rPr>
        <w:t>%</w:t>
      </w:r>
      <w:r w:rsidR="002C6F37">
        <w:rPr>
          <w:rFonts w:ascii="Arial" w:hAnsi="Arial" w:cs="Arial"/>
          <w:bCs/>
        </w:rPr>
        <w:t xml:space="preserve"> and better than Q3</w:t>
      </w:r>
    </w:p>
    <w:p w14:paraId="4D6D98ED" w14:textId="682C05AD" w:rsidR="00C52B32" w:rsidRPr="00EB4495" w:rsidRDefault="00C52B32" w:rsidP="00C52B32">
      <w:pPr>
        <w:pStyle w:val="ListParagraph"/>
        <w:numPr>
          <w:ilvl w:val="0"/>
          <w:numId w:val="2"/>
        </w:numPr>
        <w:jc w:val="left"/>
        <w:rPr>
          <w:rFonts w:ascii="Arial" w:hAnsi="Arial" w:cs="Arial"/>
          <w:bCs/>
        </w:rPr>
      </w:pPr>
      <w:r w:rsidRPr="00EB4495">
        <w:rPr>
          <w:rFonts w:ascii="Arial" w:hAnsi="Arial" w:cs="Arial"/>
          <w:b/>
          <w:bCs/>
        </w:rPr>
        <w:t>E-commerce sales*</w:t>
      </w:r>
      <w:r w:rsidRPr="00EB4495">
        <w:rPr>
          <w:rFonts w:ascii="Arial" w:hAnsi="Arial" w:cs="Arial"/>
        </w:rPr>
        <w:t xml:space="preserve"> up </w:t>
      </w:r>
      <w:r w:rsidR="003D4AE2" w:rsidRPr="00525A29">
        <w:rPr>
          <w:rFonts w:ascii="Arial" w:hAnsi="Arial" w:cs="Arial"/>
        </w:rPr>
        <w:t>5</w:t>
      </w:r>
      <w:r w:rsidR="008173CB" w:rsidRPr="00525A29">
        <w:rPr>
          <w:rFonts w:ascii="Arial" w:hAnsi="Arial" w:cs="Arial"/>
        </w:rPr>
        <w:t>.3</w:t>
      </w:r>
      <w:r w:rsidRPr="00525A29">
        <w:rPr>
          <w:rFonts w:ascii="Arial" w:hAnsi="Arial" w:cs="Arial"/>
        </w:rPr>
        <w:t>%</w:t>
      </w:r>
      <w:r w:rsidRPr="00EB4495">
        <w:rPr>
          <w:rFonts w:ascii="Arial" w:hAnsi="Arial" w:cs="Arial"/>
        </w:rPr>
        <w:t xml:space="preserve"> </w:t>
      </w:r>
      <w:r w:rsidRPr="00EB4495">
        <w:rPr>
          <w:rFonts w:ascii="Arial" w:hAnsi="Arial" w:cs="Arial"/>
          <w:bCs/>
        </w:rPr>
        <w:t xml:space="preserve">(2-year growth up </w:t>
      </w:r>
      <w:r w:rsidR="00226BB6" w:rsidRPr="00525A29">
        <w:rPr>
          <w:rFonts w:ascii="Arial" w:hAnsi="Arial" w:cs="Arial"/>
          <w:bCs/>
        </w:rPr>
        <w:t>171</w:t>
      </w:r>
      <w:r w:rsidRPr="00525A29">
        <w:rPr>
          <w:rFonts w:ascii="Arial" w:hAnsi="Arial" w:cs="Arial"/>
          <w:bCs/>
        </w:rPr>
        <w:t>%</w:t>
      </w:r>
      <w:r w:rsidRPr="00EB4495">
        <w:rPr>
          <w:rFonts w:ascii="Arial" w:hAnsi="Arial" w:cs="Arial"/>
          <w:bCs/>
        </w:rPr>
        <w:t>)</w:t>
      </w:r>
      <w:r w:rsidR="000A2203" w:rsidRPr="00EB4495">
        <w:rPr>
          <w:rFonts w:ascii="Arial" w:hAnsi="Arial" w:cs="Arial"/>
          <w:bCs/>
        </w:rPr>
        <w:t>;</w:t>
      </w:r>
      <w:r w:rsidRPr="00EB4495">
        <w:rPr>
          <w:rFonts w:ascii="Arial" w:hAnsi="Arial" w:cs="Arial"/>
          <w:bCs/>
        </w:rPr>
        <w:t xml:space="preserve"> </w:t>
      </w:r>
      <w:r w:rsidR="00355921" w:rsidRPr="00EB4495">
        <w:rPr>
          <w:rFonts w:ascii="Arial" w:hAnsi="Arial" w:cs="Arial"/>
        </w:rPr>
        <w:t>omni-channel engagement</w:t>
      </w:r>
      <w:r w:rsidR="000A2203" w:rsidRPr="00EB4495">
        <w:rPr>
          <w:rFonts w:ascii="Arial" w:hAnsi="Arial" w:cs="Arial"/>
        </w:rPr>
        <w:t xml:space="preserve"> remains high</w:t>
      </w:r>
    </w:p>
    <w:p w14:paraId="009087C8" w14:textId="3636D250" w:rsidR="00C52B32" w:rsidRPr="00EB4495" w:rsidRDefault="00C52B32" w:rsidP="00C52B32">
      <w:pPr>
        <w:pStyle w:val="ListParagraph"/>
        <w:numPr>
          <w:ilvl w:val="1"/>
          <w:numId w:val="2"/>
        </w:numPr>
        <w:ind w:left="709"/>
        <w:jc w:val="left"/>
        <w:rPr>
          <w:rFonts w:ascii="Arial" w:hAnsi="Arial" w:cs="Arial"/>
          <w:bCs/>
        </w:rPr>
      </w:pPr>
      <w:r w:rsidRPr="00EB4495">
        <w:rPr>
          <w:rFonts w:ascii="Arial" w:hAnsi="Arial" w:cs="Arial"/>
          <w:bCs/>
        </w:rPr>
        <w:t xml:space="preserve">E-commerce sales </w:t>
      </w:r>
      <w:r w:rsidR="00226BB6" w:rsidRPr="00525A29">
        <w:rPr>
          <w:rFonts w:ascii="Arial" w:hAnsi="Arial" w:cs="Arial"/>
          <w:bCs/>
        </w:rPr>
        <w:t>18</w:t>
      </w:r>
      <w:r w:rsidRPr="00525A29">
        <w:rPr>
          <w:rFonts w:ascii="Arial" w:hAnsi="Arial" w:cs="Arial"/>
          <w:bCs/>
        </w:rPr>
        <w:t>%</w:t>
      </w:r>
      <w:r w:rsidRPr="00EB4495">
        <w:rPr>
          <w:rFonts w:ascii="Arial" w:hAnsi="Arial" w:cs="Arial"/>
          <w:bCs/>
        </w:rPr>
        <w:t xml:space="preserve"> of Group sales (</w:t>
      </w:r>
      <w:r w:rsidR="00B273A9" w:rsidRPr="00EB4495">
        <w:rPr>
          <w:rFonts w:ascii="Arial" w:hAnsi="Arial" w:cs="Arial"/>
          <w:bCs/>
        </w:rPr>
        <w:t>FY</w:t>
      </w:r>
      <w:r w:rsidRPr="00EB4495">
        <w:rPr>
          <w:rFonts w:ascii="Arial" w:hAnsi="Arial" w:cs="Arial"/>
          <w:bCs/>
        </w:rPr>
        <w:t xml:space="preserve"> 20/21 and </w:t>
      </w:r>
      <w:r w:rsidR="00B273A9" w:rsidRPr="00EB4495">
        <w:rPr>
          <w:rFonts w:ascii="Arial" w:hAnsi="Arial" w:cs="Arial"/>
          <w:bCs/>
        </w:rPr>
        <w:t>FY</w:t>
      </w:r>
      <w:r w:rsidRPr="00EB4495">
        <w:rPr>
          <w:rFonts w:ascii="Arial" w:hAnsi="Arial" w:cs="Arial"/>
          <w:bCs/>
        </w:rPr>
        <w:t xml:space="preserve"> 19/20: </w:t>
      </w:r>
      <w:r w:rsidR="00025A48" w:rsidRPr="004364F2">
        <w:rPr>
          <w:rFonts w:ascii="Arial" w:hAnsi="Arial" w:cs="Arial"/>
          <w:bCs/>
        </w:rPr>
        <w:t>18</w:t>
      </w:r>
      <w:r w:rsidRPr="004364F2">
        <w:rPr>
          <w:rFonts w:ascii="Arial" w:hAnsi="Arial" w:cs="Arial"/>
          <w:bCs/>
        </w:rPr>
        <w:t>%</w:t>
      </w:r>
      <w:r w:rsidRPr="00EB4495">
        <w:rPr>
          <w:rFonts w:ascii="Arial" w:hAnsi="Arial" w:cs="Arial"/>
          <w:bCs/>
        </w:rPr>
        <w:t xml:space="preserve"> and </w:t>
      </w:r>
      <w:r w:rsidR="00B273A9" w:rsidRPr="00EB4495">
        <w:rPr>
          <w:rFonts w:ascii="Arial" w:hAnsi="Arial" w:cs="Arial"/>
          <w:bCs/>
        </w:rPr>
        <w:t>8</w:t>
      </w:r>
      <w:r w:rsidRPr="00EB4495">
        <w:rPr>
          <w:rFonts w:ascii="Arial" w:hAnsi="Arial" w:cs="Arial"/>
          <w:bCs/>
        </w:rPr>
        <w:t>%, respectively)</w:t>
      </w:r>
    </w:p>
    <w:p w14:paraId="43B5A24D" w14:textId="618A7E03" w:rsidR="00C52B32" w:rsidRPr="00EB4495" w:rsidRDefault="00C52B32" w:rsidP="00C52B32">
      <w:pPr>
        <w:pStyle w:val="ListParagraph"/>
        <w:numPr>
          <w:ilvl w:val="0"/>
          <w:numId w:val="2"/>
        </w:numPr>
        <w:jc w:val="left"/>
        <w:rPr>
          <w:rFonts w:ascii="Arial" w:hAnsi="Arial" w:cs="Arial"/>
          <w:bCs/>
        </w:rPr>
      </w:pPr>
      <w:r w:rsidRPr="00EB4495">
        <w:rPr>
          <w:rFonts w:ascii="Arial" w:hAnsi="Arial" w:cs="Arial"/>
          <w:b/>
        </w:rPr>
        <w:t xml:space="preserve">Retail profit </w:t>
      </w:r>
      <w:r w:rsidRPr="00EB4495">
        <w:rPr>
          <w:rFonts w:ascii="Arial" w:hAnsi="Arial" w:cs="Arial"/>
          <w:bCs/>
        </w:rPr>
        <w:t xml:space="preserve">up </w:t>
      </w:r>
      <w:r w:rsidR="00213C1D" w:rsidRPr="00EB4495">
        <w:rPr>
          <w:rFonts w:ascii="Arial" w:hAnsi="Arial" w:cs="Arial"/>
          <w:bCs/>
        </w:rPr>
        <w:t>16.7</w:t>
      </w:r>
      <w:r w:rsidRPr="00EB4495">
        <w:rPr>
          <w:rFonts w:ascii="Arial" w:hAnsi="Arial" w:cs="Arial"/>
          <w:bCs/>
        </w:rPr>
        <w:t xml:space="preserve">% in constant currency, driven by strong </w:t>
      </w:r>
      <w:r w:rsidR="001E16D5" w:rsidRPr="00EB4495">
        <w:rPr>
          <w:rFonts w:ascii="Arial" w:hAnsi="Arial" w:cs="Arial"/>
          <w:bCs/>
        </w:rPr>
        <w:t xml:space="preserve">growth in </w:t>
      </w:r>
      <w:r w:rsidRPr="00EB4495">
        <w:rPr>
          <w:rFonts w:ascii="Arial" w:hAnsi="Arial" w:cs="Arial"/>
          <w:bCs/>
        </w:rPr>
        <w:t xml:space="preserve">UK &amp; Ireland </w:t>
      </w:r>
      <w:r w:rsidR="001E16D5" w:rsidRPr="00EB4495">
        <w:rPr>
          <w:rFonts w:ascii="Arial" w:hAnsi="Arial" w:cs="Arial"/>
          <w:bCs/>
        </w:rPr>
        <w:t>and France</w:t>
      </w:r>
    </w:p>
    <w:p w14:paraId="2A2048FB" w14:textId="74075FF1" w:rsidR="00C52B32" w:rsidRPr="00EB4495" w:rsidRDefault="00C52B32" w:rsidP="00C52B32">
      <w:pPr>
        <w:pStyle w:val="ListParagraph"/>
        <w:numPr>
          <w:ilvl w:val="0"/>
          <w:numId w:val="2"/>
        </w:numPr>
        <w:jc w:val="left"/>
        <w:rPr>
          <w:rFonts w:ascii="Arial" w:hAnsi="Arial" w:cs="Arial"/>
        </w:rPr>
      </w:pPr>
      <w:bookmarkStart w:id="6" w:name="_Hlk66202790"/>
      <w:r w:rsidRPr="00EB4495">
        <w:rPr>
          <w:rFonts w:ascii="Arial" w:hAnsi="Arial" w:cs="Arial"/>
          <w:b/>
          <w:bCs/>
        </w:rPr>
        <w:t>Statutory pre-tax profit</w:t>
      </w:r>
      <w:r w:rsidRPr="00EB4495">
        <w:rPr>
          <w:rFonts w:ascii="Arial" w:hAnsi="Arial" w:cs="Arial"/>
        </w:rPr>
        <w:t xml:space="preserve"> up </w:t>
      </w:r>
      <w:r w:rsidR="00213C1D" w:rsidRPr="00EB4495">
        <w:rPr>
          <w:rFonts w:ascii="Arial" w:hAnsi="Arial" w:cs="Arial"/>
        </w:rPr>
        <w:t>33.</w:t>
      </w:r>
      <w:r w:rsidR="00DA6B62">
        <w:rPr>
          <w:rFonts w:ascii="Arial" w:hAnsi="Arial" w:cs="Arial"/>
        </w:rPr>
        <w:t>1</w:t>
      </w:r>
      <w:r w:rsidRPr="00EB4495">
        <w:rPr>
          <w:rFonts w:ascii="Arial" w:hAnsi="Arial" w:cs="Arial"/>
        </w:rPr>
        <w:t>%</w:t>
      </w:r>
      <w:bookmarkEnd w:id="6"/>
      <w:r w:rsidRPr="00EB4495">
        <w:rPr>
          <w:rFonts w:ascii="Arial" w:hAnsi="Arial" w:cs="Arial"/>
        </w:rPr>
        <w:t xml:space="preserve">, reflecting higher operating profit, and lower net finance costs and </w:t>
      </w:r>
      <w:r w:rsidR="00A43E4C">
        <w:rPr>
          <w:rFonts w:ascii="Arial" w:hAnsi="Arial" w:cs="Arial"/>
        </w:rPr>
        <w:t xml:space="preserve">more favourable </w:t>
      </w:r>
      <w:r w:rsidRPr="00EB4495">
        <w:rPr>
          <w:rFonts w:ascii="Arial" w:hAnsi="Arial" w:cs="Arial"/>
        </w:rPr>
        <w:t xml:space="preserve">adjusting items* before tax </w:t>
      </w:r>
    </w:p>
    <w:p w14:paraId="339C7E6E" w14:textId="3C6DAB10" w:rsidR="00C52B32" w:rsidRPr="00EB4495" w:rsidRDefault="00C52B32" w:rsidP="00C52B32">
      <w:pPr>
        <w:pStyle w:val="ListParagraph"/>
        <w:numPr>
          <w:ilvl w:val="0"/>
          <w:numId w:val="2"/>
        </w:numPr>
        <w:jc w:val="left"/>
        <w:rPr>
          <w:rFonts w:ascii="Arial" w:hAnsi="Arial" w:cs="Arial"/>
        </w:rPr>
      </w:pPr>
      <w:r w:rsidRPr="00EB4495">
        <w:rPr>
          <w:rFonts w:ascii="Arial" w:hAnsi="Arial" w:cs="Arial"/>
          <w:b/>
        </w:rPr>
        <w:t>Adjusted pre-tax profit</w:t>
      </w:r>
      <w:r w:rsidRPr="00EB4495">
        <w:rPr>
          <w:rFonts w:ascii="Arial" w:hAnsi="Arial" w:cs="Arial"/>
        </w:rPr>
        <w:t xml:space="preserve"> up </w:t>
      </w:r>
      <w:r w:rsidR="00213C1D" w:rsidRPr="00EB4495">
        <w:rPr>
          <w:rFonts w:ascii="Arial" w:hAnsi="Arial" w:cs="Arial"/>
        </w:rPr>
        <w:t>20.</w:t>
      </w:r>
      <w:r w:rsidR="00DA6B62">
        <w:rPr>
          <w:rFonts w:ascii="Arial" w:hAnsi="Arial" w:cs="Arial"/>
        </w:rPr>
        <w:t>9</w:t>
      </w:r>
      <w:r w:rsidRPr="00EB4495">
        <w:rPr>
          <w:rFonts w:ascii="Arial" w:hAnsi="Arial" w:cs="Arial"/>
        </w:rPr>
        <w:t>%, reflecting higher retail profit and lower net finance costs</w:t>
      </w:r>
    </w:p>
    <w:p w14:paraId="6164A65B" w14:textId="77777777" w:rsidR="00CE31A3" w:rsidRDefault="00C52B32" w:rsidP="00C52B32">
      <w:pPr>
        <w:pStyle w:val="ListParagraph"/>
        <w:numPr>
          <w:ilvl w:val="0"/>
          <w:numId w:val="2"/>
        </w:numPr>
        <w:jc w:val="left"/>
        <w:rPr>
          <w:rFonts w:ascii="Arial" w:hAnsi="Arial" w:cs="Arial"/>
        </w:rPr>
      </w:pPr>
      <w:r w:rsidRPr="00EB4495">
        <w:rPr>
          <w:rFonts w:ascii="Arial" w:hAnsi="Arial" w:cs="Arial"/>
          <w:b/>
          <w:bCs/>
        </w:rPr>
        <w:t xml:space="preserve">Free cash flow </w:t>
      </w:r>
      <w:r w:rsidRPr="00EB4495">
        <w:rPr>
          <w:rFonts w:ascii="Arial" w:hAnsi="Arial" w:cs="Arial"/>
        </w:rPr>
        <w:t>of £</w:t>
      </w:r>
      <w:r w:rsidR="00213C1D" w:rsidRPr="00EB4495">
        <w:rPr>
          <w:rFonts w:ascii="Arial" w:hAnsi="Arial" w:cs="Arial"/>
        </w:rPr>
        <w:t>385m</w:t>
      </w:r>
      <w:r w:rsidRPr="00EB4495">
        <w:rPr>
          <w:rFonts w:ascii="Arial" w:hAnsi="Arial" w:cs="Arial"/>
        </w:rPr>
        <w:t xml:space="preserve">, down </w:t>
      </w:r>
      <w:r w:rsidR="00213C1D" w:rsidRPr="00EB4495">
        <w:rPr>
          <w:rFonts w:ascii="Arial" w:hAnsi="Arial" w:cs="Arial"/>
        </w:rPr>
        <w:t>59.0</w:t>
      </w:r>
      <w:r w:rsidRPr="00EB4495">
        <w:rPr>
          <w:rFonts w:ascii="Arial" w:hAnsi="Arial" w:cs="Arial"/>
        </w:rPr>
        <w:t>%</w:t>
      </w:r>
      <w:r w:rsidRPr="00EB4495">
        <w:rPr>
          <w:rFonts w:ascii="Arial" w:hAnsi="Arial" w:cs="Arial"/>
          <w:bCs/>
        </w:rPr>
        <w:t xml:space="preserve"> (</w:t>
      </w:r>
      <w:r w:rsidR="00B273A9" w:rsidRPr="00EB4495">
        <w:rPr>
          <w:rFonts w:ascii="Arial" w:hAnsi="Arial" w:cs="Arial"/>
          <w:bCs/>
        </w:rPr>
        <w:t>FY</w:t>
      </w:r>
      <w:r w:rsidRPr="00EB4495">
        <w:rPr>
          <w:rFonts w:ascii="Arial" w:hAnsi="Arial" w:cs="Arial"/>
          <w:bCs/>
        </w:rPr>
        <w:t xml:space="preserve"> 20/21: £</w:t>
      </w:r>
      <w:r w:rsidR="00B273A9" w:rsidRPr="00EB4495">
        <w:rPr>
          <w:rFonts w:ascii="Arial" w:hAnsi="Arial" w:cs="Arial"/>
          <w:bCs/>
        </w:rPr>
        <w:t>938</w:t>
      </w:r>
      <w:r w:rsidR="00CA3F40" w:rsidRPr="00EB4495">
        <w:rPr>
          <w:rFonts w:ascii="Arial" w:hAnsi="Arial" w:cs="Arial"/>
          <w:bCs/>
        </w:rPr>
        <w:t>m</w:t>
      </w:r>
      <w:r w:rsidRPr="00EB4495">
        <w:rPr>
          <w:rFonts w:ascii="Arial" w:hAnsi="Arial" w:cs="Arial"/>
          <w:bCs/>
        </w:rPr>
        <w:t xml:space="preserve">; </w:t>
      </w:r>
      <w:r w:rsidR="00B273A9" w:rsidRPr="00EB4495">
        <w:rPr>
          <w:rFonts w:ascii="Arial" w:hAnsi="Arial" w:cs="Arial"/>
          <w:bCs/>
        </w:rPr>
        <w:t>FY</w:t>
      </w:r>
      <w:r w:rsidRPr="00EB4495">
        <w:rPr>
          <w:rFonts w:ascii="Arial" w:hAnsi="Arial" w:cs="Arial"/>
          <w:bCs/>
        </w:rPr>
        <w:t xml:space="preserve"> 19/20: £</w:t>
      </w:r>
      <w:r w:rsidR="007779CB" w:rsidRPr="00EB4495">
        <w:rPr>
          <w:rFonts w:ascii="Arial" w:hAnsi="Arial" w:cs="Arial"/>
          <w:bCs/>
        </w:rPr>
        <w:t>191</w:t>
      </w:r>
      <w:r w:rsidR="00CA3F40" w:rsidRPr="00EB4495">
        <w:rPr>
          <w:rFonts w:ascii="Arial" w:hAnsi="Arial" w:cs="Arial"/>
          <w:bCs/>
        </w:rPr>
        <w:t>m</w:t>
      </w:r>
      <w:r w:rsidRPr="00EB4495">
        <w:rPr>
          <w:rFonts w:ascii="Arial" w:hAnsi="Arial" w:cs="Arial"/>
          <w:bCs/>
        </w:rPr>
        <w:t>)</w:t>
      </w:r>
      <w:r w:rsidRPr="00EB4495">
        <w:rPr>
          <w:rFonts w:ascii="Arial" w:hAnsi="Arial" w:cs="Arial"/>
        </w:rPr>
        <w:t xml:space="preserve">, largely reflecting </w:t>
      </w:r>
      <w:r w:rsidR="00213C1D" w:rsidRPr="00EB4495">
        <w:rPr>
          <w:rFonts w:ascii="Arial" w:hAnsi="Arial" w:cs="Arial"/>
        </w:rPr>
        <w:t xml:space="preserve">expected </w:t>
      </w:r>
      <w:r w:rsidRPr="00EB4495">
        <w:rPr>
          <w:rFonts w:ascii="Arial" w:hAnsi="Arial" w:cs="Arial"/>
        </w:rPr>
        <w:t xml:space="preserve">reversal of </w:t>
      </w:r>
      <w:r w:rsidR="00D6345B" w:rsidRPr="00EB4495">
        <w:rPr>
          <w:rFonts w:ascii="Arial" w:hAnsi="Arial" w:cs="Arial"/>
        </w:rPr>
        <w:t>inventory</w:t>
      </w:r>
      <w:r w:rsidR="000F4882" w:rsidRPr="00EB4495">
        <w:rPr>
          <w:rFonts w:ascii="Arial" w:hAnsi="Arial" w:cs="Arial"/>
        </w:rPr>
        <w:t>-</w:t>
      </w:r>
      <w:r w:rsidR="00D6345B" w:rsidRPr="00EB4495">
        <w:rPr>
          <w:rFonts w:ascii="Arial" w:hAnsi="Arial" w:cs="Arial"/>
        </w:rPr>
        <w:t xml:space="preserve">driven </w:t>
      </w:r>
      <w:r w:rsidRPr="00EB4495">
        <w:rPr>
          <w:rFonts w:ascii="Arial" w:hAnsi="Arial" w:cs="Arial"/>
        </w:rPr>
        <w:t>working capital inflow in prior year</w:t>
      </w:r>
    </w:p>
    <w:p w14:paraId="15AB131C" w14:textId="096248CD" w:rsidR="00C52B32" w:rsidRPr="00EB4495" w:rsidRDefault="00CE31A3" w:rsidP="00C52B32">
      <w:pPr>
        <w:pStyle w:val="ListParagraph"/>
        <w:numPr>
          <w:ilvl w:val="0"/>
          <w:numId w:val="2"/>
        </w:numPr>
        <w:jc w:val="left"/>
        <w:rPr>
          <w:rFonts w:ascii="Arial" w:hAnsi="Arial" w:cs="Arial"/>
        </w:rPr>
      </w:pPr>
      <w:r>
        <w:rPr>
          <w:rFonts w:ascii="Arial" w:hAnsi="Arial" w:cs="Arial"/>
          <w:b/>
          <w:bCs/>
        </w:rPr>
        <w:t>Net decrease in cash</w:t>
      </w:r>
      <w:r w:rsidRPr="006957EC">
        <w:rPr>
          <w:rFonts w:ascii="Arial" w:hAnsi="Arial" w:cs="Arial"/>
        </w:rPr>
        <w:t xml:space="preserve"> of £23</w:t>
      </w:r>
      <w:r w:rsidR="005F642E">
        <w:rPr>
          <w:rFonts w:ascii="Arial" w:hAnsi="Arial" w:cs="Arial"/>
        </w:rPr>
        <w:t>7</w:t>
      </w:r>
      <w:r w:rsidRPr="006957EC">
        <w:rPr>
          <w:rFonts w:ascii="Arial" w:hAnsi="Arial" w:cs="Arial"/>
        </w:rPr>
        <w:t>m</w:t>
      </w:r>
      <w:r w:rsidR="00C52B32" w:rsidRPr="00EB4495">
        <w:rPr>
          <w:rFonts w:ascii="Arial" w:hAnsi="Arial" w:cs="Arial"/>
        </w:rPr>
        <w:t xml:space="preserve"> </w:t>
      </w:r>
      <w:r w:rsidRPr="00EB4495">
        <w:rPr>
          <w:rFonts w:ascii="Arial" w:hAnsi="Arial" w:cs="Arial"/>
          <w:bCs/>
        </w:rPr>
        <w:t xml:space="preserve">(FY 20/21: </w:t>
      </w:r>
      <w:r>
        <w:rPr>
          <w:rFonts w:ascii="Arial" w:hAnsi="Arial" w:cs="Arial"/>
          <w:bCs/>
        </w:rPr>
        <w:t xml:space="preserve">net increase </w:t>
      </w:r>
      <w:r w:rsidR="00434DB5">
        <w:rPr>
          <w:rFonts w:ascii="Arial" w:hAnsi="Arial" w:cs="Arial"/>
          <w:bCs/>
        </w:rPr>
        <w:t xml:space="preserve">in cash </w:t>
      </w:r>
      <w:r>
        <w:rPr>
          <w:rFonts w:ascii="Arial" w:hAnsi="Arial" w:cs="Arial"/>
          <w:bCs/>
        </w:rPr>
        <w:t xml:space="preserve">of </w:t>
      </w:r>
      <w:r w:rsidRPr="00EB4495">
        <w:rPr>
          <w:rFonts w:ascii="Arial" w:hAnsi="Arial" w:cs="Arial"/>
          <w:bCs/>
        </w:rPr>
        <w:t>£8</w:t>
      </w:r>
      <w:r>
        <w:rPr>
          <w:rFonts w:ascii="Arial" w:hAnsi="Arial" w:cs="Arial"/>
          <w:bCs/>
        </w:rPr>
        <w:t>81</w:t>
      </w:r>
      <w:r w:rsidRPr="00EB4495">
        <w:rPr>
          <w:rFonts w:ascii="Arial" w:hAnsi="Arial" w:cs="Arial"/>
          <w:bCs/>
        </w:rPr>
        <w:t>m</w:t>
      </w:r>
      <w:r>
        <w:rPr>
          <w:rFonts w:ascii="Arial" w:hAnsi="Arial" w:cs="Arial"/>
          <w:bCs/>
        </w:rPr>
        <w:t>), largely reflecting lower free cash flow, and outflows in relation to ordinary dividends and share buybacks</w:t>
      </w:r>
    </w:p>
    <w:p w14:paraId="5F08E825" w14:textId="2089EAC7" w:rsidR="00C52B32" w:rsidRPr="00EB4495" w:rsidRDefault="00C52B32" w:rsidP="00C52B32">
      <w:pPr>
        <w:pStyle w:val="ListParagraph"/>
        <w:numPr>
          <w:ilvl w:val="0"/>
          <w:numId w:val="2"/>
        </w:numPr>
        <w:jc w:val="left"/>
        <w:rPr>
          <w:rFonts w:ascii="Arial" w:hAnsi="Arial" w:cs="Arial"/>
        </w:rPr>
      </w:pPr>
      <w:r w:rsidRPr="00EB4495">
        <w:rPr>
          <w:rFonts w:ascii="Arial" w:hAnsi="Arial" w:cs="Arial"/>
          <w:b/>
        </w:rPr>
        <w:t>Net debt to EBITDA</w:t>
      </w:r>
      <w:r w:rsidRPr="00EB4495">
        <w:rPr>
          <w:rFonts w:ascii="Arial" w:hAnsi="Arial" w:cs="Arial"/>
          <w:bCs/>
        </w:rPr>
        <w:t xml:space="preserve">* of </w:t>
      </w:r>
      <w:r w:rsidR="00213C1D" w:rsidRPr="00EB4495">
        <w:rPr>
          <w:rFonts w:ascii="Arial" w:hAnsi="Arial" w:cs="Arial"/>
          <w:bCs/>
        </w:rPr>
        <w:t>1</w:t>
      </w:r>
      <w:r w:rsidRPr="00EB4495">
        <w:rPr>
          <w:rFonts w:ascii="Arial" w:hAnsi="Arial" w:cs="Arial"/>
          <w:bCs/>
        </w:rPr>
        <w:t>.</w:t>
      </w:r>
      <w:r w:rsidR="00213C1D" w:rsidRPr="00EB4495">
        <w:rPr>
          <w:rFonts w:ascii="Arial" w:hAnsi="Arial" w:cs="Arial"/>
          <w:bCs/>
        </w:rPr>
        <w:t>0</w:t>
      </w:r>
      <w:r w:rsidRPr="00EB4495">
        <w:rPr>
          <w:rFonts w:ascii="Arial" w:hAnsi="Arial" w:cs="Arial"/>
          <w:bCs/>
        </w:rPr>
        <w:t xml:space="preserve">x </w:t>
      </w:r>
      <w:r w:rsidR="00493E0A" w:rsidRPr="00EB4495">
        <w:rPr>
          <w:rFonts w:ascii="Arial" w:hAnsi="Arial" w:cs="Arial"/>
          <w:bCs/>
        </w:rPr>
        <w:t xml:space="preserve">as at year-end </w:t>
      </w:r>
      <w:r w:rsidRPr="00EB4495">
        <w:rPr>
          <w:rFonts w:ascii="Arial" w:hAnsi="Arial" w:cs="Arial"/>
          <w:bCs/>
        </w:rPr>
        <w:t>(31 January 2021</w:t>
      </w:r>
      <w:r w:rsidR="00493E0A" w:rsidRPr="00EB4495">
        <w:rPr>
          <w:rFonts w:ascii="Arial" w:hAnsi="Arial" w:cs="Arial"/>
          <w:bCs/>
        </w:rPr>
        <w:t>: 0.9x</w:t>
      </w:r>
      <w:r w:rsidRPr="00EB4495">
        <w:rPr>
          <w:rFonts w:ascii="Arial" w:hAnsi="Arial" w:cs="Arial"/>
          <w:bCs/>
        </w:rPr>
        <w:t>)</w:t>
      </w:r>
    </w:p>
    <w:p w14:paraId="4ADE718C" w14:textId="1F63C24C" w:rsidR="00085CD0" w:rsidRPr="004839A6" w:rsidRDefault="00642C6F" w:rsidP="00CC4019">
      <w:pPr>
        <w:pStyle w:val="ListParagraph"/>
        <w:numPr>
          <w:ilvl w:val="0"/>
          <w:numId w:val="2"/>
        </w:numPr>
        <w:ind w:left="357" w:hanging="357"/>
        <w:jc w:val="left"/>
        <w:rPr>
          <w:rFonts w:ascii="Arial" w:hAnsi="Arial" w:cs="Arial"/>
        </w:rPr>
      </w:pPr>
      <w:r w:rsidRPr="00EB4495">
        <w:rPr>
          <w:rFonts w:ascii="Arial" w:hAnsi="Arial" w:cs="Arial"/>
          <w:b/>
          <w:bCs/>
        </w:rPr>
        <w:t>Total</w:t>
      </w:r>
      <w:r w:rsidR="00C52B32" w:rsidRPr="00EB4495">
        <w:rPr>
          <w:rFonts w:ascii="Arial" w:hAnsi="Arial" w:cs="Arial"/>
          <w:b/>
          <w:bCs/>
        </w:rPr>
        <w:t xml:space="preserve"> dividend</w:t>
      </w:r>
      <w:r w:rsidR="00C52B32" w:rsidRPr="00EB4495">
        <w:rPr>
          <w:rFonts w:ascii="Arial" w:hAnsi="Arial" w:cs="Arial"/>
        </w:rPr>
        <w:t xml:space="preserve"> per share </w:t>
      </w:r>
      <w:r w:rsidR="0093059C" w:rsidRPr="004839A6">
        <w:rPr>
          <w:rFonts w:ascii="Arial" w:hAnsi="Arial" w:cs="Arial"/>
        </w:rPr>
        <w:t xml:space="preserve">proposed </w:t>
      </w:r>
      <w:r w:rsidR="00C52B32" w:rsidRPr="004839A6">
        <w:rPr>
          <w:rFonts w:ascii="Arial" w:hAnsi="Arial" w:cs="Arial"/>
        </w:rPr>
        <w:t xml:space="preserve">of </w:t>
      </w:r>
      <w:r w:rsidR="0026492F" w:rsidRPr="00F854C7">
        <w:rPr>
          <w:rFonts w:ascii="Arial" w:hAnsi="Arial" w:cs="Arial"/>
        </w:rPr>
        <w:t>12</w:t>
      </w:r>
      <w:r w:rsidR="00C52B32" w:rsidRPr="00F854C7">
        <w:rPr>
          <w:rFonts w:ascii="Arial" w:hAnsi="Arial" w:cs="Arial"/>
        </w:rPr>
        <w:t>.</w:t>
      </w:r>
      <w:r w:rsidR="0026492F" w:rsidRPr="00F854C7">
        <w:rPr>
          <w:rFonts w:ascii="Arial" w:hAnsi="Arial" w:cs="Arial"/>
        </w:rPr>
        <w:t>4</w:t>
      </w:r>
      <w:r w:rsidR="00C52B32" w:rsidRPr="00F854C7">
        <w:rPr>
          <w:rFonts w:ascii="Arial" w:hAnsi="Arial" w:cs="Arial"/>
        </w:rPr>
        <w:t>0p</w:t>
      </w:r>
      <w:bookmarkStart w:id="7" w:name="_Hlk524456632"/>
      <w:bookmarkStart w:id="8" w:name="_Hlk17919536"/>
      <w:r w:rsidR="00C52B32" w:rsidRPr="004839A6">
        <w:rPr>
          <w:rFonts w:ascii="Arial" w:hAnsi="Arial" w:cs="Arial"/>
        </w:rPr>
        <w:t xml:space="preserve"> (</w:t>
      </w:r>
      <w:r w:rsidR="00E77C41" w:rsidRPr="004839A6">
        <w:rPr>
          <w:rFonts w:ascii="Arial" w:hAnsi="Arial" w:cs="Arial"/>
        </w:rPr>
        <w:t xml:space="preserve">up </w:t>
      </w:r>
      <w:r w:rsidR="00E77C41" w:rsidRPr="00F854C7">
        <w:rPr>
          <w:rFonts w:ascii="Arial" w:hAnsi="Arial" w:cs="Arial"/>
        </w:rPr>
        <w:t>50.</w:t>
      </w:r>
      <w:r w:rsidR="00C40DA5" w:rsidRPr="00F854C7">
        <w:rPr>
          <w:rFonts w:ascii="Arial" w:hAnsi="Arial" w:cs="Arial"/>
        </w:rPr>
        <w:t>3</w:t>
      </w:r>
      <w:r w:rsidR="00E77C41" w:rsidRPr="00F854C7">
        <w:rPr>
          <w:rFonts w:ascii="Arial" w:hAnsi="Arial" w:cs="Arial"/>
        </w:rPr>
        <w:t>%</w:t>
      </w:r>
      <w:r w:rsidR="00E77C41" w:rsidRPr="004839A6">
        <w:rPr>
          <w:rFonts w:ascii="Arial" w:hAnsi="Arial" w:cs="Arial"/>
        </w:rPr>
        <w:t xml:space="preserve">; </w:t>
      </w:r>
      <w:r w:rsidR="00C52B32" w:rsidRPr="004839A6">
        <w:rPr>
          <w:rFonts w:ascii="Arial" w:hAnsi="Arial" w:cs="Arial"/>
        </w:rPr>
        <w:t>FY 2</w:t>
      </w:r>
      <w:r w:rsidR="00FA55D5" w:rsidRPr="004839A6">
        <w:rPr>
          <w:rFonts w:ascii="Arial" w:hAnsi="Arial" w:cs="Arial"/>
        </w:rPr>
        <w:t>0</w:t>
      </w:r>
      <w:r w:rsidR="00C52B32" w:rsidRPr="004839A6">
        <w:rPr>
          <w:rFonts w:ascii="Arial" w:hAnsi="Arial" w:cs="Arial"/>
        </w:rPr>
        <w:t>/</w:t>
      </w:r>
      <w:r w:rsidR="00141A3D" w:rsidRPr="004839A6">
        <w:rPr>
          <w:rFonts w:ascii="Arial" w:hAnsi="Arial" w:cs="Arial"/>
        </w:rPr>
        <w:t>2</w:t>
      </w:r>
      <w:r w:rsidR="00FA55D5" w:rsidRPr="004839A6">
        <w:rPr>
          <w:rFonts w:ascii="Arial" w:hAnsi="Arial" w:cs="Arial"/>
        </w:rPr>
        <w:t>1</w:t>
      </w:r>
      <w:r w:rsidR="00C7104D" w:rsidRPr="004839A6">
        <w:rPr>
          <w:rFonts w:ascii="Arial" w:hAnsi="Arial" w:cs="Arial"/>
        </w:rPr>
        <w:t xml:space="preserve"> total dividend</w:t>
      </w:r>
      <w:r w:rsidR="00C52B32" w:rsidRPr="004839A6">
        <w:rPr>
          <w:rFonts w:ascii="Arial" w:hAnsi="Arial" w:cs="Arial"/>
        </w:rPr>
        <w:t xml:space="preserve">: </w:t>
      </w:r>
      <w:r w:rsidR="0026492F" w:rsidRPr="004839A6">
        <w:rPr>
          <w:rFonts w:ascii="Arial" w:hAnsi="Arial" w:cs="Arial"/>
        </w:rPr>
        <w:t>8</w:t>
      </w:r>
      <w:r w:rsidR="00141A3D" w:rsidRPr="004839A6">
        <w:rPr>
          <w:rFonts w:ascii="Arial" w:hAnsi="Arial" w:cs="Arial"/>
        </w:rPr>
        <w:t>.</w:t>
      </w:r>
      <w:r w:rsidR="0026492F" w:rsidRPr="004839A6">
        <w:rPr>
          <w:rFonts w:ascii="Arial" w:hAnsi="Arial" w:cs="Arial"/>
        </w:rPr>
        <w:t>25</w:t>
      </w:r>
      <w:r w:rsidR="00C52B32" w:rsidRPr="004839A6">
        <w:rPr>
          <w:rFonts w:ascii="Arial" w:hAnsi="Arial" w:cs="Arial"/>
        </w:rPr>
        <w:t>p)</w:t>
      </w:r>
    </w:p>
    <w:p w14:paraId="25463E16" w14:textId="56468935" w:rsidR="00B97CD8" w:rsidRPr="00EB4495" w:rsidRDefault="00B97CD8" w:rsidP="00D05781">
      <w:pPr>
        <w:jc w:val="left"/>
        <w:rPr>
          <w:rFonts w:ascii="Arial" w:hAnsi="Arial" w:cs="Arial"/>
        </w:rPr>
      </w:pPr>
    </w:p>
    <w:p w14:paraId="20D2E307" w14:textId="77777777" w:rsidR="00174379" w:rsidRPr="00EB4495" w:rsidRDefault="00174379" w:rsidP="00174379">
      <w:pPr>
        <w:jc w:val="left"/>
        <w:rPr>
          <w:rFonts w:ascii="Arial" w:hAnsi="Arial" w:cs="Arial"/>
        </w:rPr>
      </w:pPr>
      <w:bookmarkStart w:id="9" w:name="_Hlk524455500"/>
      <w:bookmarkStart w:id="10" w:name="_Hlk96704201"/>
      <w:bookmarkStart w:id="11" w:name="_Hlk96690341"/>
      <w:r w:rsidRPr="00EB4495">
        <w:rPr>
          <w:rFonts w:ascii="Arial" w:hAnsi="Arial" w:cs="Arial"/>
          <w:b/>
          <w:bCs/>
          <w:u w:val="single"/>
        </w:rPr>
        <w:t>Outlook for FY 22/23</w:t>
      </w:r>
    </w:p>
    <w:p w14:paraId="555C4B19" w14:textId="7B71FBA2" w:rsidR="00174379" w:rsidRPr="00EB4495" w:rsidRDefault="00174379" w:rsidP="00174379">
      <w:pPr>
        <w:pStyle w:val="ListParagraph"/>
        <w:numPr>
          <w:ilvl w:val="0"/>
          <w:numId w:val="3"/>
        </w:numPr>
        <w:jc w:val="left"/>
        <w:rPr>
          <w:rFonts w:ascii="Arial" w:hAnsi="Arial" w:cs="Arial"/>
          <w:bCs/>
        </w:rPr>
      </w:pPr>
      <w:bookmarkStart w:id="12" w:name="_Hlk96932210"/>
      <w:bookmarkStart w:id="13" w:name="_Hlk65242223"/>
      <w:bookmarkStart w:id="14" w:name="_Hlk96769938"/>
      <w:bookmarkEnd w:id="9"/>
      <w:r w:rsidRPr="00EB4495">
        <w:rPr>
          <w:rFonts w:ascii="Arial" w:hAnsi="Arial" w:cs="Arial"/>
          <w:bCs/>
        </w:rPr>
        <w:t xml:space="preserve">Encouraging start to </w:t>
      </w:r>
      <w:r w:rsidR="00810AE4">
        <w:rPr>
          <w:rFonts w:ascii="Arial" w:hAnsi="Arial" w:cs="Arial"/>
          <w:bCs/>
        </w:rPr>
        <w:t>Q1 22/23</w:t>
      </w:r>
      <w:r w:rsidRPr="00EB4495">
        <w:rPr>
          <w:rFonts w:ascii="Arial" w:hAnsi="Arial" w:cs="Arial"/>
          <w:bCs/>
        </w:rPr>
        <w:t>:</w:t>
      </w:r>
      <w:bookmarkEnd w:id="12"/>
      <w:r w:rsidRPr="00EB4495">
        <w:rPr>
          <w:rFonts w:ascii="Arial" w:hAnsi="Arial" w:cs="Arial"/>
          <w:bCs/>
        </w:rPr>
        <w:t xml:space="preserve"> </w:t>
      </w:r>
    </w:p>
    <w:p w14:paraId="074C4B80" w14:textId="59505E28" w:rsidR="00174379" w:rsidRPr="00B33268" w:rsidRDefault="00174379" w:rsidP="00174379">
      <w:pPr>
        <w:pStyle w:val="ListParagraph"/>
        <w:numPr>
          <w:ilvl w:val="1"/>
          <w:numId w:val="2"/>
        </w:numPr>
        <w:ind w:left="709"/>
        <w:jc w:val="left"/>
        <w:rPr>
          <w:rFonts w:ascii="Arial" w:hAnsi="Arial" w:cs="Arial"/>
          <w:bCs/>
        </w:rPr>
      </w:pPr>
      <w:bookmarkStart w:id="15" w:name="_Hlk96706163"/>
      <w:r w:rsidRPr="00EB4495">
        <w:rPr>
          <w:rFonts w:ascii="Arial" w:hAnsi="Arial" w:cs="Arial"/>
          <w:bCs/>
        </w:rPr>
        <w:t xml:space="preserve">Q1 22/23 LFL sales (to 19 </w:t>
      </w:r>
      <w:r w:rsidRPr="0017705E">
        <w:rPr>
          <w:rFonts w:ascii="Arial" w:hAnsi="Arial" w:cs="Arial"/>
          <w:bCs/>
        </w:rPr>
        <w:t>March 2022)</w:t>
      </w:r>
      <w:r w:rsidRPr="0017705E">
        <w:rPr>
          <w:rFonts w:ascii="Arial" w:hAnsi="Arial" w:cs="Arial"/>
          <w:bCs/>
          <w:vertAlign w:val="superscript"/>
        </w:rPr>
        <w:t>(3)</w:t>
      </w:r>
      <w:r w:rsidRPr="0017705E">
        <w:rPr>
          <w:rFonts w:ascii="Arial" w:hAnsi="Arial" w:cs="Arial"/>
          <w:bCs/>
        </w:rPr>
        <w:t xml:space="preserve"> down </w:t>
      </w:r>
      <w:r w:rsidR="00B33268" w:rsidRPr="0017705E">
        <w:rPr>
          <w:rFonts w:ascii="Arial" w:hAnsi="Arial" w:cs="Arial"/>
          <w:bCs/>
        </w:rPr>
        <w:t>8.1</w:t>
      </w:r>
      <w:r w:rsidRPr="0017705E">
        <w:rPr>
          <w:rFonts w:ascii="Arial" w:hAnsi="Arial" w:cs="Arial"/>
          <w:bCs/>
        </w:rPr>
        <w:t>%, with 2-year</w:t>
      </w:r>
      <w:r w:rsidRPr="00B33268">
        <w:rPr>
          <w:rFonts w:ascii="Arial" w:hAnsi="Arial" w:cs="Arial"/>
          <w:bCs/>
        </w:rPr>
        <w:t xml:space="preserve"> LFL up </w:t>
      </w:r>
      <w:r w:rsidR="00B33268" w:rsidRPr="00A42C80">
        <w:rPr>
          <w:rFonts w:ascii="Arial" w:hAnsi="Arial" w:cs="Arial"/>
          <w:bCs/>
        </w:rPr>
        <w:t>16</w:t>
      </w:r>
      <w:r w:rsidRPr="00A42C80">
        <w:rPr>
          <w:rFonts w:ascii="Arial" w:hAnsi="Arial" w:cs="Arial"/>
          <w:bCs/>
        </w:rPr>
        <w:t>.</w:t>
      </w:r>
      <w:r w:rsidR="00B33268" w:rsidRPr="00A42C80">
        <w:rPr>
          <w:rFonts w:ascii="Arial" w:hAnsi="Arial" w:cs="Arial"/>
          <w:bCs/>
        </w:rPr>
        <w:t>0</w:t>
      </w:r>
      <w:r w:rsidRPr="00A42C80">
        <w:rPr>
          <w:rFonts w:ascii="Arial" w:hAnsi="Arial" w:cs="Arial"/>
          <w:bCs/>
        </w:rPr>
        <w:t>%</w:t>
      </w:r>
    </w:p>
    <w:bookmarkEnd w:id="15"/>
    <w:p w14:paraId="23B8F779" w14:textId="5ECF7048" w:rsidR="0071462A" w:rsidRPr="00B33268" w:rsidRDefault="0071462A" w:rsidP="0071462A">
      <w:pPr>
        <w:pStyle w:val="ListParagraph"/>
        <w:numPr>
          <w:ilvl w:val="1"/>
          <w:numId w:val="2"/>
        </w:numPr>
        <w:ind w:left="709"/>
        <w:jc w:val="left"/>
        <w:rPr>
          <w:rFonts w:ascii="Arial" w:hAnsi="Arial" w:cs="Arial"/>
          <w:bCs/>
        </w:rPr>
      </w:pPr>
      <w:r w:rsidRPr="00B33268">
        <w:rPr>
          <w:rFonts w:ascii="Arial" w:hAnsi="Arial" w:cs="Arial"/>
          <w:bCs/>
        </w:rPr>
        <w:t>Resilient demand across all markets</w:t>
      </w:r>
      <w:r w:rsidR="005B05EE" w:rsidRPr="00B33268">
        <w:rPr>
          <w:rFonts w:ascii="Arial" w:hAnsi="Arial" w:cs="Arial"/>
          <w:bCs/>
        </w:rPr>
        <w:t xml:space="preserve"> supported by good stock availability</w:t>
      </w:r>
    </w:p>
    <w:p w14:paraId="3F2532C4" w14:textId="779086DB" w:rsidR="0071462A" w:rsidRPr="00C06937" w:rsidRDefault="0071462A" w:rsidP="0071462A">
      <w:pPr>
        <w:pStyle w:val="ListParagraph"/>
        <w:numPr>
          <w:ilvl w:val="1"/>
          <w:numId w:val="2"/>
        </w:numPr>
        <w:ind w:left="709"/>
        <w:jc w:val="left"/>
        <w:rPr>
          <w:rFonts w:ascii="Arial" w:hAnsi="Arial" w:cs="Arial"/>
          <w:bCs/>
        </w:rPr>
      </w:pPr>
      <w:r w:rsidRPr="00B33268">
        <w:rPr>
          <w:rFonts w:ascii="Arial" w:eastAsiaTheme="minorHAnsi" w:hAnsi="Arial" w:cs="Arial"/>
        </w:rPr>
        <w:t>Strong ‘big-ticket’ demand, with current</w:t>
      </w:r>
      <w:r>
        <w:rPr>
          <w:rFonts w:ascii="Arial" w:eastAsiaTheme="minorHAnsi" w:hAnsi="Arial" w:cs="Arial"/>
        </w:rPr>
        <w:t xml:space="preserve"> </w:t>
      </w:r>
      <w:r w:rsidRPr="00134BDC">
        <w:rPr>
          <w:rFonts w:ascii="Arial" w:eastAsiaTheme="minorHAnsi" w:hAnsi="Arial" w:cs="Arial"/>
        </w:rPr>
        <w:t xml:space="preserve">showroom </w:t>
      </w:r>
      <w:r w:rsidRPr="00C06937">
        <w:rPr>
          <w:rFonts w:ascii="Arial" w:eastAsiaTheme="minorHAnsi" w:hAnsi="Arial" w:cs="Arial"/>
        </w:rPr>
        <w:t xml:space="preserve">order book </w:t>
      </w:r>
      <w:r w:rsidR="00575EAD" w:rsidRPr="00C06937">
        <w:rPr>
          <w:rFonts w:ascii="Arial" w:eastAsiaTheme="minorHAnsi" w:hAnsi="Arial" w:cs="Arial"/>
        </w:rPr>
        <w:t>for B&amp;Q</w:t>
      </w:r>
      <w:r w:rsidR="00C06937" w:rsidRPr="006A54C7">
        <w:rPr>
          <w:rFonts w:ascii="Arial" w:eastAsiaTheme="minorHAnsi" w:hAnsi="Arial" w:cs="Arial"/>
        </w:rPr>
        <w:t xml:space="preserve"> a</w:t>
      </w:r>
      <w:r w:rsidR="00C06937" w:rsidRPr="00C06937">
        <w:rPr>
          <w:rFonts w:ascii="Arial" w:eastAsiaTheme="minorHAnsi" w:hAnsi="Arial" w:cs="Arial"/>
        </w:rPr>
        <w:t xml:space="preserve">nd </w:t>
      </w:r>
      <w:r w:rsidR="00575EAD" w:rsidRPr="00C06937">
        <w:rPr>
          <w:rFonts w:ascii="Arial" w:eastAsiaTheme="minorHAnsi" w:hAnsi="Arial" w:cs="Arial"/>
        </w:rPr>
        <w:t xml:space="preserve">Castorama France </w:t>
      </w:r>
      <w:r w:rsidR="00C06937" w:rsidRPr="00987932">
        <w:rPr>
          <w:rFonts w:ascii="Arial" w:hAnsi="Arial" w:cs="Arial"/>
        </w:rPr>
        <w:t>72</w:t>
      </w:r>
      <w:r w:rsidRPr="00987932">
        <w:rPr>
          <w:rFonts w:ascii="Arial" w:hAnsi="Arial" w:cs="Arial"/>
        </w:rPr>
        <w:t>%</w:t>
      </w:r>
      <w:r w:rsidRPr="00C06937">
        <w:rPr>
          <w:rFonts w:ascii="Arial" w:hAnsi="Arial" w:cs="Arial"/>
        </w:rPr>
        <w:t xml:space="preserve"> higher YoY, and up </w:t>
      </w:r>
      <w:r w:rsidR="00C06937" w:rsidRPr="00987932">
        <w:rPr>
          <w:rFonts w:ascii="Arial" w:hAnsi="Arial" w:cs="Arial"/>
        </w:rPr>
        <w:t>79</w:t>
      </w:r>
      <w:r w:rsidRPr="00987932">
        <w:rPr>
          <w:rFonts w:ascii="Arial" w:hAnsi="Arial" w:cs="Arial"/>
        </w:rPr>
        <w:t>%</w:t>
      </w:r>
      <w:r w:rsidRPr="00C06937">
        <w:rPr>
          <w:rFonts w:ascii="Arial" w:hAnsi="Arial" w:cs="Arial"/>
        </w:rPr>
        <w:t xml:space="preserve"> on a 2-year basis</w:t>
      </w:r>
    </w:p>
    <w:bookmarkEnd w:id="13"/>
    <w:p w14:paraId="3E6F49AA" w14:textId="3BCDE2EC" w:rsidR="001468D4" w:rsidRDefault="001468D4" w:rsidP="00174379">
      <w:pPr>
        <w:pStyle w:val="ListParagraph"/>
        <w:numPr>
          <w:ilvl w:val="0"/>
          <w:numId w:val="3"/>
        </w:numPr>
        <w:jc w:val="left"/>
        <w:rPr>
          <w:rFonts w:ascii="Arial" w:hAnsi="Arial" w:cs="Arial"/>
          <w:bCs/>
        </w:rPr>
      </w:pPr>
      <w:r w:rsidRPr="00C06937">
        <w:rPr>
          <w:rFonts w:ascii="Arial" w:hAnsi="Arial" w:cs="Arial"/>
          <w:bCs/>
        </w:rPr>
        <w:t xml:space="preserve">Mindful of heightened macroeconomic and </w:t>
      </w:r>
      <w:r w:rsidR="00EF21C6" w:rsidRPr="00C06937">
        <w:rPr>
          <w:rFonts w:ascii="Arial" w:hAnsi="Arial" w:cs="Arial"/>
          <w:bCs/>
        </w:rPr>
        <w:t>geo</w:t>
      </w:r>
      <w:r w:rsidRPr="00C06937">
        <w:rPr>
          <w:rFonts w:ascii="Arial" w:hAnsi="Arial" w:cs="Arial"/>
          <w:bCs/>
        </w:rPr>
        <w:t>political uncertainty</w:t>
      </w:r>
      <w:r>
        <w:rPr>
          <w:rFonts w:ascii="Arial" w:hAnsi="Arial" w:cs="Arial"/>
          <w:bCs/>
        </w:rPr>
        <w:t xml:space="preserve"> </w:t>
      </w:r>
      <w:r w:rsidRPr="000E7996">
        <w:rPr>
          <w:rFonts w:ascii="Arial" w:hAnsi="Arial" w:cs="Arial"/>
          <w:bCs/>
        </w:rPr>
        <w:t>that has emerged since the start of the year</w:t>
      </w:r>
    </w:p>
    <w:p w14:paraId="4BECBA6B" w14:textId="688E841D" w:rsidR="00810AE4" w:rsidRPr="00810AE4" w:rsidRDefault="00810AE4" w:rsidP="00174379">
      <w:pPr>
        <w:pStyle w:val="ListParagraph"/>
        <w:numPr>
          <w:ilvl w:val="0"/>
          <w:numId w:val="3"/>
        </w:numPr>
        <w:jc w:val="left"/>
        <w:rPr>
          <w:rFonts w:ascii="Arial" w:hAnsi="Arial" w:cs="Arial"/>
          <w:bCs/>
        </w:rPr>
      </w:pPr>
      <w:r>
        <w:rPr>
          <w:rFonts w:ascii="Arial" w:hAnsi="Arial" w:cs="Arial"/>
          <w:bCs/>
        </w:rPr>
        <w:t>Expect continued strong execution:</w:t>
      </w:r>
    </w:p>
    <w:p w14:paraId="6777F997" w14:textId="77777777" w:rsidR="00810AE4" w:rsidRPr="000A5394" w:rsidRDefault="0071462A" w:rsidP="00810AE4">
      <w:pPr>
        <w:pStyle w:val="ListParagraph"/>
        <w:numPr>
          <w:ilvl w:val="1"/>
          <w:numId w:val="2"/>
        </w:numPr>
        <w:ind w:left="709"/>
        <w:jc w:val="left"/>
        <w:rPr>
          <w:rFonts w:ascii="Arial" w:hAnsi="Arial" w:cs="Arial"/>
          <w:bCs/>
        </w:rPr>
      </w:pPr>
      <w:r w:rsidRPr="000A5394">
        <w:rPr>
          <w:rFonts w:ascii="Arial" w:hAnsi="Arial" w:cs="Arial"/>
          <w:bCs/>
        </w:rPr>
        <w:t>Targeting</w:t>
      </w:r>
      <w:r w:rsidR="008D7736" w:rsidRPr="000A5394">
        <w:rPr>
          <w:rFonts w:ascii="Arial" w:hAnsi="Arial" w:cs="Arial"/>
          <w:bCs/>
        </w:rPr>
        <w:t xml:space="preserve"> </w:t>
      </w:r>
      <w:r w:rsidR="00E669BD" w:rsidRPr="000A5394">
        <w:rPr>
          <w:rFonts w:ascii="Arial" w:hAnsi="Arial" w:cs="Arial"/>
          <w:bCs/>
        </w:rPr>
        <w:t xml:space="preserve">further </w:t>
      </w:r>
      <w:r w:rsidR="008D7736" w:rsidRPr="000A5394">
        <w:rPr>
          <w:rFonts w:ascii="Arial" w:hAnsi="Arial" w:cs="Arial"/>
          <w:bCs/>
        </w:rPr>
        <w:t>market share</w:t>
      </w:r>
      <w:r w:rsidR="00E669BD" w:rsidRPr="000A5394">
        <w:rPr>
          <w:rFonts w:ascii="Arial" w:hAnsi="Arial" w:cs="Arial"/>
          <w:bCs/>
        </w:rPr>
        <w:t xml:space="preserve"> growth</w:t>
      </w:r>
    </w:p>
    <w:p w14:paraId="7F481A79" w14:textId="202A7A07" w:rsidR="0071462A" w:rsidRPr="000A5394" w:rsidRDefault="00810AE4" w:rsidP="00810AE4">
      <w:pPr>
        <w:pStyle w:val="ListParagraph"/>
        <w:numPr>
          <w:ilvl w:val="1"/>
          <w:numId w:val="2"/>
        </w:numPr>
        <w:ind w:left="709"/>
        <w:jc w:val="left"/>
        <w:rPr>
          <w:rFonts w:ascii="Arial" w:hAnsi="Arial" w:cs="Arial"/>
          <w:bCs/>
        </w:rPr>
      </w:pPr>
      <w:r w:rsidRPr="000A5394">
        <w:rPr>
          <w:rFonts w:ascii="Arial" w:hAnsi="Arial" w:cs="Arial"/>
          <w:bCs/>
        </w:rPr>
        <w:t>A</w:t>
      </w:r>
      <w:r w:rsidR="00E669BD" w:rsidRPr="000A5394">
        <w:rPr>
          <w:rFonts w:ascii="Arial" w:hAnsi="Arial" w:cs="Arial"/>
          <w:bCs/>
        </w:rPr>
        <w:t>nticipate net space growth of c.+</w:t>
      </w:r>
      <w:r w:rsidR="00E669BD" w:rsidRPr="003F41A1">
        <w:rPr>
          <w:rFonts w:ascii="Arial" w:eastAsiaTheme="minorHAnsi" w:hAnsi="Arial" w:cs="Arial"/>
        </w:rPr>
        <w:t>1.5%</w:t>
      </w:r>
      <w:r w:rsidR="00E669BD" w:rsidRPr="000A5394">
        <w:rPr>
          <w:rFonts w:ascii="Arial" w:hAnsi="Arial" w:cs="Arial"/>
          <w:bCs/>
        </w:rPr>
        <w:t xml:space="preserve">, largely from </w:t>
      </w:r>
      <w:r w:rsidR="00371F5A" w:rsidRPr="000A5394">
        <w:rPr>
          <w:rFonts w:ascii="Arial" w:hAnsi="Arial" w:cs="Arial"/>
          <w:bCs/>
        </w:rPr>
        <w:t xml:space="preserve">Screwfix </w:t>
      </w:r>
      <w:r w:rsidR="00E669BD" w:rsidRPr="000A5394">
        <w:rPr>
          <w:rFonts w:ascii="Arial" w:hAnsi="Arial" w:cs="Arial"/>
          <w:bCs/>
        </w:rPr>
        <w:t>and Poland</w:t>
      </w:r>
    </w:p>
    <w:p w14:paraId="0E1BC27D" w14:textId="04731865" w:rsidR="00D83FDC" w:rsidRDefault="00D83FDC" w:rsidP="00D83FDC">
      <w:pPr>
        <w:pStyle w:val="ListParagraph"/>
        <w:numPr>
          <w:ilvl w:val="1"/>
          <w:numId w:val="2"/>
        </w:numPr>
        <w:ind w:left="709"/>
        <w:jc w:val="left"/>
        <w:rPr>
          <w:rFonts w:ascii="Arial" w:hAnsi="Arial" w:cs="Arial"/>
          <w:bCs/>
        </w:rPr>
      </w:pPr>
      <w:r w:rsidRPr="000A5394">
        <w:rPr>
          <w:rFonts w:ascii="Arial" w:hAnsi="Arial" w:cs="Arial"/>
          <w:bCs/>
        </w:rPr>
        <w:t>Committed to continued effective management of our gross margin in an inflationary</w:t>
      </w:r>
      <w:r w:rsidRPr="000F482C">
        <w:rPr>
          <w:rFonts w:ascii="Arial" w:hAnsi="Arial" w:cs="Arial"/>
          <w:bCs/>
        </w:rPr>
        <w:t xml:space="preserve"> environment, and active and responsive management of our operating costs</w:t>
      </w:r>
      <w:r w:rsidR="005F642E">
        <w:rPr>
          <w:rFonts w:ascii="Arial" w:hAnsi="Arial" w:cs="Arial"/>
          <w:bCs/>
        </w:rPr>
        <w:t>*</w:t>
      </w:r>
    </w:p>
    <w:p w14:paraId="4E2E6905" w14:textId="64875B89" w:rsidR="00810AE4" w:rsidRPr="00B0331A" w:rsidRDefault="00F32F32" w:rsidP="00810AE4">
      <w:pPr>
        <w:pStyle w:val="ListParagraph"/>
        <w:numPr>
          <w:ilvl w:val="1"/>
          <w:numId w:val="2"/>
        </w:numPr>
        <w:ind w:left="709"/>
        <w:jc w:val="left"/>
        <w:rPr>
          <w:rFonts w:ascii="Arial" w:hAnsi="Arial" w:cs="Arial"/>
          <w:bCs/>
        </w:rPr>
      </w:pPr>
      <w:r w:rsidRPr="000A5394">
        <w:rPr>
          <w:rFonts w:ascii="Arial" w:hAnsi="Arial" w:cs="Arial"/>
          <w:bCs/>
        </w:rPr>
        <w:t xml:space="preserve">Expect </w:t>
      </w:r>
      <w:r w:rsidR="00D22F33" w:rsidRPr="000A5394">
        <w:rPr>
          <w:rFonts w:ascii="Arial" w:hAnsi="Arial" w:cs="Arial"/>
          <w:bCs/>
        </w:rPr>
        <w:t>P&amp;L</w:t>
      </w:r>
      <w:r w:rsidRPr="000A5394">
        <w:rPr>
          <w:rFonts w:ascii="Arial" w:hAnsi="Arial" w:cs="Arial"/>
          <w:bCs/>
        </w:rPr>
        <w:t xml:space="preserve"> invest</w:t>
      </w:r>
      <w:r w:rsidR="00D22F33" w:rsidRPr="000A5394">
        <w:rPr>
          <w:rFonts w:ascii="Arial" w:hAnsi="Arial" w:cs="Arial"/>
          <w:bCs/>
        </w:rPr>
        <w:t>ment of</w:t>
      </w:r>
      <w:r w:rsidRPr="000A5394">
        <w:rPr>
          <w:rFonts w:ascii="Arial" w:hAnsi="Arial" w:cs="Arial"/>
          <w:bCs/>
        </w:rPr>
        <w:t xml:space="preserve"> c.</w:t>
      </w:r>
      <w:r w:rsidRPr="003F41A1">
        <w:rPr>
          <w:rFonts w:ascii="Arial" w:hAnsi="Arial" w:cs="Arial"/>
          <w:bCs/>
        </w:rPr>
        <w:t>£</w:t>
      </w:r>
      <w:r w:rsidR="00197B30">
        <w:rPr>
          <w:rFonts w:ascii="Arial" w:hAnsi="Arial" w:cs="Arial"/>
          <w:bCs/>
        </w:rPr>
        <w:t>2</w:t>
      </w:r>
      <w:r w:rsidRPr="003F41A1">
        <w:rPr>
          <w:rFonts w:ascii="Arial" w:hAnsi="Arial" w:cs="Arial"/>
          <w:bCs/>
        </w:rPr>
        <w:t>5m</w:t>
      </w:r>
      <w:r w:rsidRPr="000A5394">
        <w:rPr>
          <w:rFonts w:ascii="Arial" w:hAnsi="Arial" w:cs="Arial"/>
          <w:bCs/>
        </w:rPr>
        <w:t xml:space="preserve"> in relation to our new businesses, </w:t>
      </w:r>
      <w:r w:rsidR="00D76C48" w:rsidRPr="000A5394">
        <w:rPr>
          <w:rFonts w:ascii="Arial" w:hAnsi="Arial" w:cs="Arial"/>
          <w:bCs/>
        </w:rPr>
        <w:t xml:space="preserve">including </w:t>
      </w:r>
      <w:r w:rsidR="009154FE" w:rsidRPr="000A5394">
        <w:rPr>
          <w:rFonts w:ascii="Arial" w:hAnsi="Arial" w:cs="Arial"/>
          <w:bCs/>
        </w:rPr>
        <w:t>Screwfix France</w:t>
      </w:r>
      <w:r w:rsidR="009154FE">
        <w:rPr>
          <w:rFonts w:ascii="Arial" w:hAnsi="Arial" w:cs="Arial"/>
          <w:bCs/>
        </w:rPr>
        <w:t xml:space="preserve"> and </w:t>
      </w:r>
      <w:r w:rsidR="00F76A4E">
        <w:rPr>
          <w:rFonts w:ascii="Arial" w:hAnsi="Arial" w:cs="Arial"/>
          <w:bCs/>
        </w:rPr>
        <w:t xml:space="preserve">B&amp;Q’s </w:t>
      </w:r>
      <w:r w:rsidR="009154FE">
        <w:rPr>
          <w:rFonts w:ascii="Arial" w:hAnsi="Arial" w:cs="Arial"/>
          <w:bCs/>
        </w:rPr>
        <w:t>e-</w:t>
      </w:r>
      <w:r w:rsidR="009154FE" w:rsidRPr="00B0331A">
        <w:rPr>
          <w:rFonts w:ascii="Arial" w:hAnsi="Arial" w:cs="Arial"/>
          <w:bCs/>
        </w:rPr>
        <w:t>commerce marketplace</w:t>
      </w:r>
    </w:p>
    <w:p w14:paraId="5BBF6F1E" w14:textId="297CBD83" w:rsidR="00400038" w:rsidRPr="0097617F" w:rsidRDefault="00B0331A" w:rsidP="00174379">
      <w:pPr>
        <w:pStyle w:val="ListParagraph"/>
        <w:numPr>
          <w:ilvl w:val="0"/>
          <w:numId w:val="3"/>
        </w:numPr>
        <w:jc w:val="left"/>
        <w:rPr>
          <w:rFonts w:ascii="Arial" w:hAnsi="Arial" w:cs="Arial"/>
          <w:bCs/>
        </w:rPr>
      </w:pPr>
      <w:r>
        <w:rPr>
          <w:rFonts w:ascii="Arial" w:hAnsi="Arial" w:cs="Arial"/>
        </w:rPr>
        <w:t xml:space="preserve">Based on </w:t>
      </w:r>
      <w:r w:rsidR="001468D4">
        <w:rPr>
          <w:rFonts w:ascii="Arial" w:hAnsi="Arial" w:cs="Arial"/>
        </w:rPr>
        <w:t>the above</w:t>
      </w:r>
      <w:r>
        <w:rPr>
          <w:rFonts w:ascii="Arial" w:hAnsi="Arial" w:cs="Arial"/>
        </w:rPr>
        <w:t xml:space="preserve">, we are comfortable with the </w:t>
      </w:r>
      <w:r>
        <w:rPr>
          <w:rFonts w:ascii="Arial" w:hAnsi="Arial" w:cs="Arial"/>
          <w:bCs/>
        </w:rPr>
        <w:t xml:space="preserve">current consensus of sell-side analyst estimates for FY 22/23 </w:t>
      </w:r>
      <w:r w:rsidR="00400038">
        <w:rPr>
          <w:rFonts w:ascii="Arial" w:hAnsi="Arial" w:cs="Arial"/>
          <w:bCs/>
        </w:rPr>
        <w:t>adjusted pre-tax profit</w:t>
      </w:r>
      <w:r w:rsidR="001013BA" w:rsidRPr="00EB4495">
        <w:rPr>
          <w:rFonts w:ascii="Arial" w:hAnsi="Arial" w:cs="Arial"/>
          <w:bCs/>
          <w:vertAlign w:val="superscript"/>
        </w:rPr>
        <w:t>(</w:t>
      </w:r>
      <w:r w:rsidR="001013BA">
        <w:rPr>
          <w:rFonts w:ascii="Arial" w:hAnsi="Arial" w:cs="Arial"/>
          <w:bCs/>
          <w:vertAlign w:val="superscript"/>
        </w:rPr>
        <w:t>4</w:t>
      </w:r>
      <w:r w:rsidR="001013BA" w:rsidRPr="00EB4495">
        <w:rPr>
          <w:rFonts w:ascii="Arial" w:hAnsi="Arial" w:cs="Arial"/>
          <w:bCs/>
          <w:vertAlign w:val="superscript"/>
        </w:rPr>
        <w:t>)</w:t>
      </w:r>
    </w:p>
    <w:p w14:paraId="303AF6E8" w14:textId="37CF94E0" w:rsidR="005B05EE" w:rsidRDefault="0089275D" w:rsidP="005B05EE">
      <w:pPr>
        <w:pStyle w:val="ListParagraph"/>
        <w:numPr>
          <w:ilvl w:val="0"/>
          <w:numId w:val="3"/>
        </w:numPr>
        <w:jc w:val="left"/>
        <w:rPr>
          <w:rFonts w:ascii="Arial" w:hAnsi="Arial" w:cs="Arial"/>
          <w:bCs/>
        </w:rPr>
      </w:pPr>
      <w:r>
        <w:rPr>
          <w:rFonts w:ascii="Arial" w:hAnsi="Arial" w:cs="Arial"/>
          <w:bCs/>
        </w:rPr>
        <w:t>T</w:t>
      </w:r>
      <w:r w:rsidRPr="005B05EE">
        <w:rPr>
          <w:rFonts w:ascii="Arial" w:hAnsi="Arial" w:cs="Arial"/>
          <w:bCs/>
        </w:rPr>
        <w:t>arget dividend cover</w:t>
      </w:r>
      <w:r>
        <w:rPr>
          <w:rFonts w:ascii="Arial" w:hAnsi="Arial" w:cs="Arial"/>
          <w:bCs/>
        </w:rPr>
        <w:t>*</w:t>
      </w:r>
      <w:r w:rsidRPr="005B05EE">
        <w:rPr>
          <w:rFonts w:ascii="Arial" w:hAnsi="Arial" w:cs="Arial"/>
          <w:bCs/>
        </w:rPr>
        <w:t xml:space="preserve"> of 2.25</w:t>
      </w:r>
      <w:r>
        <w:rPr>
          <w:rFonts w:ascii="Arial" w:hAnsi="Arial" w:cs="Arial"/>
          <w:bCs/>
        </w:rPr>
        <w:t xml:space="preserve"> to </w:t>
      </w:r>
      <w:r w:rsidRPr="005B05EE">
        <w:rPr>
          <w:rFonts w:ascii="Arial" w:hAnsi="Arial" w:cs="Arial"/>
          <w:bCs/>
        </w:rPr>
        <w:t>2.75 times</w:t>
      </w:r>
      <w:r>
        <w:rPr>
          <w:rFonts w:ascii="Arial" w:hAnsi="Arial" w:cs="Arial"/>
          <w:bCs/>
        </w:rPr>
        <w:t>; on track to c</w:t>
      </w:r>
      <w:r w:rsidR="005B05EE" w:rsidRPr="005B05EE">
        <w:rPr>
          <w:rFonts w:ascii="Arial" w:hAnsi="Arial" w:cs="Arial"/>
          <w:bCs/>
        </w:rPr>
        <w:t>omplet</w:t>
      </w:r>
      <w:r>
        <w:rPr>
          <w:rFonts w:ascii="Arial" w:hAnsi="Arial" w:cs="Arial"/>
          <w:bCs/>
        </w:rPr>
        <w:t>e</w:t>
      </w:r>
      <w:r w:rsidR="005B05EE" w:rsidRPr="005B05EE">
        <w:rPr>
          <w:rFonts w:ascii="Arial" w:hAnsi="Arial" w:cs="Arial"/>
          <w:bCs/>
        </w:rPr>
        <w:t xml:space="preserve"> </w:t>
      </w:r>
      <w:r>
        <w:rPr>
          <w:rFonts w:ascii="Arial" w:hAnsi="Arial" w:cs="Arial"/>
          <w:bCs/>
        </w:rPr>
        <w:t xml:space="preserve">remaining </w:t>
      </w:r>
      <w:r w:rsidR="00106927">
        <w:rPr>
          <w:rFonts w:ascii="Arial" w:hAnsi="Arial" w:cs="Arial"/>
          <w:bCs/>
        </w:rPr>
        <w:t xml:space="preserve">£75m </w:t>
      </w:r>
      <w:r w:rsidR="005B05EE" w:rsidRPr="005B05EE">
        <w:rPr>
          <w:rFonts w:ascii="Arial" w:hAnsi="Arial" w:cs="Arial"/>
          <w:bCs/>
        </w:rPr>
        <w:t xml:space="preserve">share buyback </w:t>
      </w:r>
      <w:r w:rsidR="00F51089">
        <w:rPr>
          <w:rFonts w:ascii="Arial" w:hAnsi="Arial" w:cs="Arial"/>
          <w:bCs/>
        </w:rPr>
        <w:t xml:space="preserve">by </w:t>
      </w:r>
      <w:r>
        <w:rPr>
          <w:rFonts w:ascii="Arial" w:hAnsi="Arial" w:cs="Arial"/>
          <w:bCs/>
        </w:rPr>
        <w:t>May 2022</w:t>
      </w:r>
    </w:p>
    <w:bookmarkEnd w:id="10"/>
    <w:bookmarkEnd w:id="14"/>
    <w:p w14:paraId="5247B0C1" w14:textId="6354365F" w:rsidR="00174379" w:rsidRPr="00EB4495" w:rsidRDefault="00174379" w:rsidP="00D05781">
      <w:pPr>
        <w:jc w:val="left"/>
        <w:rPr>
          <w:rFonts w:ascii="Arial" w:hAnsi="Arial" w:cs="Arial"/>
        </w:rPr>
      </w:pPr>
    </w:p>
    <w:bookmarkEnd w:id="11"/>
    <w:p w14:paraId="779F9714" w14:textId="5448369A" w:rsidR="00C52B32" w:rsidRPr="00EB4495" w:rsidRDefault="00C52B32" w:rsidP="00D05781">
      <w:pPr>
        <w:jc w:val="left"/>
        <w:rPr>
          <w:rFonts w:ascii="Arial" w:hAnsi="Arial" w:cs="Arial"/>
          <w:b/>
          <w:u w:val="single"/>
        </w:rPr>
      </w:pPr>
      <w:r w:rsidRPr="00EB4495">
        <w:rPr>
          <w:rFonts w:ascii="Arial" w:hAnsi="Arial" w:cs="Arial"/>
          <w:b/>
          <w:u w:val="single"/>
        </w:rPr>
        <w:t>Deliver</w:t>
      </w:r>
      <w:r w:rsidR="005C6FD7" w:rsidRPr="00EB4495">
        <w:rPr>
          <w:rFonts w:ascii="Arial" w:hAnsi="Arial" w:cs="Arial"/>
          <w:b/>
          <w:u w:val="single"/>
        </w:rPr>
        <w:t>ing</w:t>
      </w:r>
      <w:r w:rsidRPr="00EB4495">
        <w:rPr>
          <w:rFonts w:ascii="Arial" w:hAnsi="Arial" w:cs="Arial"/>
          <w:b/>
          <w:u w:val="single"/>
        </w:rPr>
        <w:t xml:space="preserve"> against strategic priorities ahead of schedule</w:t>
      </w:r>
    </w:p>
    <w:p w14:paraId="03D2B23A" w14:textId="4CE4B8F8" w:rsidR="008C50E3" w:rsidRPr="00EB4495" w:rsidRDefault="008C50E3" w:rsidP="008C50E3">
      <w:pPr>
        <w:pStyle w:val="ListParagraph"/>
        <w:numPr>
          <w:ilvl w:val="0"/>
          <w:numId w:val="5"/>
        </w:numPr>
        <w:jc w:val="left"/>
        <w:rPr>
          <w:rFonts w:ascii="Arial" w:hAnsi="Arial" w:cs="Arial"/>
          <w:bCs/>
        </w:rPr>
      </w:pPr>
      <w:r w:rsidRPr="00EB4495">
        <w:rPr>
          <w:rFonts w:ascii="Arial" w:hAnsi="Arial" w:cs="Arial"/>
          <w:bCs/>
        </w:rPr>
        <w:t>Growth in all banners and categories, across both DIY</w:t>
      </w:r>
      <w:r w:rsidR="00182678">
        <w:rPr>
          <w:rFonts w:ascii="Arial" w:hAnsi="Arial" w:cs="Arial"/>
          <w:bCs/>
        </w:rPr>
        <w:t>*</w:t>
      </w:r>
      <w:r w:rsidRPr="00EB4495">
        <w:rPr>
          <w:rFonts w:ascii="Arial" w:hAnsi="Arial" w:cs="Arial"/>
          <w:bCs/>
        </w:rPr>
        <w:t xml:space="preserve"> and DIFM</w:t>
      </w:r>
      <w:r w:rsidR="00182678">
        <w:rPr>
          <w:rFonts w:ascii="Arial" w:hAnsi="Arial" w:cs="Arial"/>
          <w:bCs/>
        </w:rPr>
        <w:t>*</w:t>
      </w:r>
      <w:r w:rsidRPr="00EB4495">
        <w:rPr>
          <w:rFonts w:ascii="Arial" w:hAnsi="Arial" w:cs="Arial"/>
          <w:bCs/>
        </w:rPr>
        <w:t>/trade channels</w:t>
      </w:r>
    </w:p>
    <w:p w14:paraId="49828737" w14:textId="2FFE2D73" w:rsidR="00676B4D" w:rsidRPr="00EB4495" w:rsidRDefault="00905A31" w:rsidP="00C52B32">
      <w:pPr>
        <w:pStyle w:val="ListParagraph"/>
        <w:numPr>
          <w:ilvl w:val="0"/>
          <w:numId w:val="5"/>
        </w:numPr>
        <w:jc w:val="left"/>
        <w:rPr>
          <w:rFonts w:ascii="Arial" w:hAnsi="Arial" w:cs="Arial"/>
          <w:bCs/>
        </w:rPr>
      </w:pPr>
      <w:r w:rsidRPr="00EB4495">
        <w:rPr>
          <w:rFonts w:ascii="Arial" w:hAnsi="Arial" w:cs="Arial"/>
          <w:bCs/>
        </w:rPr>
        <w:t xml:space="preserve">Strong new customer growth and </w:t>
      </w:r>
      <w:r w:rsidR="00A16BA3" w:rsidRPr="00EB4495">
        <w:rPr>
          <w:rFonts w:ascii="Arial" w:hAnsi="Arial" w:cs="Arial"/>
          <w:bCs/>
        </w:rPr>
        <w:t xml:space="preserve">high revenue </w:t>
      </w:r>
      <w:r w:rsidRPr="00EB4495">
        <w:rPr>
          <w:rFonts w:ascii="Arial" w:hAnsi="Arial" w:cs="Arial"/>
          <w:bCs/>
        </w:rPr>
        <w:t>retention</w:t>
      </w:r>
      <w:r w:rsidR="000F4B85" w:rsidRPr="00EB4495">
        <w:rPr>
          <w:rFonts w:ascii="Arial" w:hAnsi="Arial" w:cs="Arial"/>
          <w:bCs/>
        </w:rPr>
        <w:t xml:space="preserve"> rates</w:t>
      </w:r>
    </w:p>
    <w:p w14:paraId="151FAD67" w14:textId="2F9AD735" w:rsidR="00334024" w:rsidRPr="00EB4495" w:rsidRDefault="00E179A1" w:rsidP="00C52B32">
      <w:pPr>
        <w:pStyle w:val="ListParagraph"/>
        <w:numPr>
          <w:ilvl w:val="0"/>
          <w:numId w:val="5"/>
        </w:numPr>
        <w:jc w:val="left"/>
        <w:rPr>
          <w:rFonts w:ascii="Arial" w:hAnsi="Arial" w:cs="Arial"/>
          <w:bCs/>
        </w:rPr>
      </w:pPr>
      <w:r w:rsidRPr="00EB4495">
        <w:rPr>
          <w:rFonts w:ascii="Arial" w:hAnsi="Arial" w:cs="Arial"/>
          <w:bCs/>
        </w:rPr>
        <w:t xml:space="preserve">Strengthened </w:t>
      </w:r>
      <w:r w:rsidR="00905A31" w:rsidRPr="00EB4495">
        <w:rPr>
          <w:rFonts w:ascii="Arial" w:hAnsi="Arial" w:cs="Arial"/>
          <w:bCs/>
        </w:rPr>
        <w:t>competitive position in key markets</w:t>
      </w:r>
      <w:r w:rsidR="00A42744" w:rsidRPr="00EB4495">
        <w:rPr>
          <w:rFonts w:ascii="Arial" w:hAnsi="Arial" w:cs="Arial"/>
          <w:bCs/>
        </w:rPr>
        <w:t>, with improving trend of market share growth</w:t>
      </w:r>
    </w:p>
    <w:p w14:paraId="7BC31A43" w14:textId="77777777" w:rsidR="003D2712" w:rsidRPr="00EB4495" w:rsidRDefault="003D2712" w:rsidP="003D2712">
      <w:pPr>
        <w:pStyle w:val="ListParagraph"/>
        <w:numPr>
          <w:ilvl w:val="0"/>
          <w:numId w:val="5"/>
        </w:numPr>
        <w:jc w:val="left"/>
        <w:rPr>
          <w:rFonts w:ascii="Arial" w:hAnsi="Arial" w:cs="Arial"/>
          <w:bCs/>
        </w:rPr>
      </w:pPr>
      <w:r w:rsidRPr="00EB4495">
        <w:rPr>
          <w:rFonts w:ascii="Arial" w:hAnsi="Arial" w:cs="Arial"/>
          <w:bCs/>
        </w:rPr>
        <w:t>Foundations set for more profitable growth in France over medium term; fully on track to complete range repair and logistics optimisation in H2 22/23</w:t>
      </w:r>
    </w:p>
    <w:p w14:paraId="392EECB8" w14:textId="3003BFAB" w:rsidR="00C52B32" w:rsidRPr="00EB4495" w:rsidRDefault="00C52B32" w:rsidP="00C52B32">
      <w:pPr>
        <w:pStyle w:val="ListParagraph"/>
        <w:numPr>
          <w:ilvl w:val="0"/>
          <w:numId w:val="4"/>
        </w:numPr>
        <w:jc w:val="left"/>
        <w:rPr>
          <w:rFonts w:ascii="Arial" w:hAnsi="Arial" w:cs="Arial"/>
          <w:bCs/>
        </w:rPr>
      </w:pPr>
      <w:r w:rsidRPr="00EB4495">
        <w:rPr>
          <w:rFonts w:ascii="Arial" w:hAnsi="Arial" w:cs="Arial"/>
          <w:bCs/>
        </w:rPr>
        <w:t xml:space="preserve">Making </w:t>
      </w:r>
      <w:r w:rsidR="00F57C61" w:rsidRPr="00EB4495">
        <w:rPr>
          <w:rFonts w:ascii="Arial" w:hAnsi="Arial" w:cs="Arial"/>
          <w:bCs/>
        </w:rPr>
        <w:t xml:space="preserve">strong </w:t>
      </w:r>
      <w:r w:rsidRPr="00EB4495">
        <w:rPr>
          <w:rFonts w:ascii="Arial" w:hAnsi="Arial" w:cs="Arial"/>
          <w:bCs/>
        </w:rPr>
        <w:t>progress with core strategic priorities, including:</w:t>
      </w:r>
    </w:p>
    <w:p w14:paraId="583C1D38" w14:textId="1FD1F221" w:rsidR="00C52B32" w:rsidRPr="00EB4495" w:rsidRDefault="00C52B32" w:rsidP="00676B4D">
      <w:pPr>
        <w:pStyle w:val="ListParagraph"/>
        <w:numPr>
          <w:ilvl w:val="1"/>
          <w:numId w:val="2"/>
        </w:numPr>
        <w:ind w:left="709"/>
        <w:jc w:val="left"/>
        <w:rPr>
          <w:rFonts w:ascii="Arial" w:hAnsi="Arial" w:cs="Arial"/>
          <w:bCs/>
        </w:rPr>
      </w:pPr>
      <w:r w:rsidRPr="00EB4495">
        <w:rPr>
          <w:rFonts w:ascii="Arial" w:hAnsi="Arial" w:cs="Arial"/>
          <w:b/>
        </w:rPr>
        <w:t>E-commerce:</w:t>
      </w:r>
      <w:r w:rsidRPr="00EB4495">
        <w:rPr>
          <w:rFonts w:ascii="Arial" w:hAnsi="Arial" w:cs="Arial"/>
          <w:bCs/>
        </w:rPr>
        <w:t xml:space="preserve"> Accelerated </w:t>
      </w:r>
      <w:r w:rsidR="008E2975">
        <w:rPr>
          <w:rFonts w:ascii="Arial" w:hAnsi="Arial" w:cs="Arial"/>
          <w:bCs/>
        </w:rPr>
        <w:t xml:space="preserve">use </w:t>
      </w:r>
      <w:r w:rsidR="004459E7">
        <w:rPr>
          <w:rFonts w:ascii="Arial" w:hAnsi="Arial" w:cs="Arial"/>
          <w:bCs/>
        </w:rPr>
        <w:t xml:space="preserve">of </w:t>
      </w:r>
      <w:r w:rsidRPr="00EB4495">
        <w:rPr>
          <w:rFonts w:ascii="Arial" w:hAnsi="Arial" w:cs="Arial"/>
          <w:bCs/>
        </w:rPr>
        <w:t xml:space="preserve">store </w:t>
      </w:r>
      <w:r w:rsidR="00D96E54" w:rsidRPr="00EB4495">
        <w:rPr>
          <w:rFonts w:ascii="Arial" w:hAnsi="Arial" w:cs="Arial"/>
          <w:bCs/>
        </w:rPr>
        <w:t xml:space="preserve">assets for </w:t>
      </w:r>
      <w:r w:rsidR="004525C8" w:rsidRPr="00EB4495">
        <w:rPr>
          <w:rFonts w:ascii="Arial" w:hAnsi="Arial" w:cs="Arial"/>
          <w:bCs/>
        </w:rPr>
        <w:t>faster</w:t>
      </w:r>
      <w:r w:rsidR="004E247C" w:rsidRPr="00EB4495">
        <w:rPr>
          <w:rFonts w:ascii="Arial" w:hAnsi="Arial" w:cs="Arial"/>
          <w:bCs/>
        </w:rPr>
        <w:t xml:space="preserve"> </w:t>
      </w:r>
      <w:r w:rsidR="00DF74BC" w:rsidRPr="00EB4495">
        <w:rPr>
          <w:rFonts w:ascii="Arial" w:hAnsi="Arial" w:cs="Arial"/>
          <w:bCs/>
        </w:rPr>
        <w:t xml:space="preserve">click &amp; collect </w:t>
      </w:r>
      <w:r w:rsidR="000E1790">
        <w:rPr>
          <w:rFonts w:ascii="Arial" w:hAnsi="Arial" w:cs="Arial"/>
          <w:bCs/>
        </w:rPr>
        <w:t xml:space="preserve">(C&amp;C) </w:t>
      </w:r>
      <w:r w:rsidR="00DF74BC" w:rsidRPr="00EB4495">
        <w:rPr>
          <w:rFonts w:ascii="Arial" w:hAnsi="Arial" w:cs="Arial"/>
          <w:bCs/>
        </w:rPr>
        <w:t>and</w:t>
      </w:r>
      <w:r w:rsidR="00FD159F" w:rsidRPr="00EB4495">
        <w:rPr>
          <w:rFonts w:ascii="Arial" w:hAnsi="Arial" w:cs="Arial"/>
          <w:bCs/>
        </w:rPr>
        <w:t xml:space="preserve"> </w:t>
      </w:r>
      <w:r w:rsidR="00C14C63" w:rsidRPr="00EB4495">
        <w:rPr>
          <w:rFonts w:ascii="Arial" w:hAnsi="Arial" w:cs="Arial"/>
          <w:bCs/>
        </w:rPr>
        <w:t>last-mile delivery</w:t>
      </w:r>
      <w:r w:rsidR="006261A0" w:rsidRPr="00EB4495">
        <w:rPr>
          <w:rFonts w:ascii="Arial" w:hAnsi="Arial" w:cs="Arial"/>
          <w:bCs/>
        </w:rPr>
        <w:t xml:space="preserve">, including </w:t>
      </w:r>
      <w:r w:rsidR="003C6601" w:rsidRPr="00EB4495">
        <w:rPr>
          <w:rFonts w:ascii="Arial" w:hAnsi="Arial" w:cs="Arial"/>
          <w:bCs/>
        </w:rPr>
        <w:t>launching</w:t>
      </w:r>
      <w:r w:rsidR="00D138D1" w:rsidRPr="00EB4495">
        <w:rPr>
          <w:rFonts w:ascii="Arial" w:hAnsi="Arial" w:cs="Arial"/>
          <w:bCs/>
        </w:rPr>
        <w:t xml:space="preserve"> one</w:t>
      </w:r>
      <w:r w:rsidR="004E247C" w:rsidRPr="00EB4495">
        <w:rPr>
          <w:rFonts w:ascii="Arial" w:hAnsi="Arial" w:cs="Arial"/>
          <w:bCs/>
        </w:rPr>
        <w:t>-</w:t>
      </w:r>
      <w:r w:rsidR="00D138D1" w:rsidRPr="00EB4495">
        <w:rPr>
          <w:rFonts w:ascii="Arial" w:hAnsi="Arial" w:cs="Arial"/>
          <w:bCs/>
        </w:rPr>
        <w:t>hour</w:t>
      </w:r>
      <w:r w:rsidR="003C6601" w:rsidRPr="00EB4495">
        <w:rPr>
          <w:rFonts w:ascii="Arial" w:hAnsi="Arial" w:cs="Arial"/>
          <w:bCs/>
        </w:rPr>
        <w:t xml:space="preserve"> </w:t>
      </w:r>
      <w:r w:rsidR="00D138D1" w:rsidRPr="00EB4495">
        <w:rPr>
          <w:rFonts w:ascii="Arial" w:hAnsi="Arial" w:cs="Arial"/>
          <w:bCs/>
        </w:rPr>
        <w:t xml:space="preserve">delivery with </w:t>
      </w:r>
      <w:r w:rsidR="003C6601" w:rsidRPr="00EB4495">
        <w:rPr>
          <w:rFonts w:ascii="Arial" w:hAnsi="Arial" w:cs="Arial"/>
          <w:bCs/>
        </w:rPr>
        <w:t>Screwfix Sprint</w:t>
      </w:r>
      <w:r w:rsidR="00C14C63" w:rsidRPr="00EB4495">
        <w:rPr>
          <w:rFonts w:ascii="Arial" w:hAnsi="Arial" w:cs="Arial"/>
          <w:bCs/>
        </w:rPr>
        <w:t xml:space="preserve">; </w:t>
      </w:r>
      <w:r w:rsidR="00BC06E5" w:rsidRPr="00EB4495">
        <w:rPr>
          <w:rFonts w:ascii="Arial" w:hAnsi="Arial" w:cs="Arial"/>
          <w:bCs/>
        </w:rPr>
        <w:t xml:space="preserve">new </w:t>
      </w:r>
      <w:r w:rsidR="00DF74BC" w:rsidRPr="00EB4495">
        <w:rPr>
          <w:rFonts w:ascii="Arial" w:hAnsi="Arial" w:cs="Arial"/>
          <w:bCs/>
        </w:rPr>
        <w:t xml:space="preserve">scalable </w:t>
      </w:r>
      <w:r w:rsidR="00FC1DE1" w:rsidRPr="00EB4495">
        <w:rPr>
          <w:rFonts w:ascii="Arial" w:hAnsi="Arial" w:cs="Arial"/>
          <w:bCs/>
        </w:rPr>
        <w:t xml:space="preserve">e-commerce </w:t>
      </w:r>
      <w:r w:rsidR="009662BB" w:rsidRPr="00EB4495">
        <w:rPr>
          <w:rFonts w:ascii="Arial" w:hAnsi="Arial" w:cs="Arial"/>
          <w:bCs/>
        </w:rPr>
        <w:t xml:space="preserve">marketplace </w:t>
      </w:r>
      <w:r w:rsidR="00462159" w:rsidRPr="00EB4495">
        <w:rPr>
          <w:rFonts w:ascii="Arial" w:hAnsi="Arial" w:cs="Arial"/>
          <w:bCs/>
        </w:rPr>
        <w:t xml:space="preserve">model </w:t>
      </w:r>
      <w:r w:rsidR="00F6288F" w:rsidRPr="00EB4495">
        <w:rPr>
          <w:rFonts w:ascii="Arial" w:hAnsi="Arial" w:cs="Arial"/>
          <w:bCs/>
        </w:rPr>
        <w:t xml:space="preserve">launched </w:t>
      </w:r>
      <w:r w:rsidR="00731448" w:rsidRPr="00EB4495">
        <w:rPr>
          <w:rFonts w:ascii="Arial" w:hAnsi="Arial" w:cs="Arial"/>
          <w:bCs/>
        </w:rPr>
        <w:t>(</w:t>
      </w:r>
      <w:r w:rsidR="00F6288F" w:rsidRPr="00EB4495">
        <w:rPr>
          <w:rFonts w:ascii="Arial" w:hAnsi="Arial" w:cs="Arial"/>
          <w:bCs/>
        </w:rPr>
        <w:t xml:space="preserve">at B&amp;Q </w:t>
      </w:r>
      <w:r w:rsidR="00731448" w:rsidRPr="00EB4495">
        <w:rPr>
          <w:rFonts w:ascii="Arial" w:hAnsi="Arial" w:cs="Arial"/>
          <w:bCs/>
        </w:rPr>
        <w:t xml:space="preserve">initially) </w:t>
      </w:r>
      <w:r w:rsidR="009662BB" w:rsidRPr="00EB4495">
        <w:rPr>
          <w:rFonts w:ascii="Arial" w:hAnsi="Arial" w:cs="Arial"/>
          <w:bCs/>
        </w:rPr>
        <w:t xml:space="preserve">to </w:t>
      </w:r>
      <w:r w:rsidR="00E20E08" w:rsidRPr="00EB4495">
        <w:rPr>
          <w:rFonts w:ascii="Arial" w:hAnsi="Arial" w:cs="Arial"/>
          <w:bCs/>
        </w:rPr>
        <w:t>enhance choice</w:t>
      </w:r>
      <w:r w:rsidR="00751262" w:rsidRPr="00EB4495">
        <w:rPr>
          <w:rFonts w:ascii="Arial" w:hAnsi="Arial" w:cs="Arial"/>
          <w:bCs/>
        </w:rPr>
        <w:t xml:space="preserve"> for customers</w:t>
      </w:r>
    </w:p>
    <w:p w14:paraId="1539C709" w14:textId="0C3A65DD" w:rsidR="00C52B32" w:rsidRPr="00EB4495" w:rsidRDefault="00C52B32" w:rsidP="00676B4D">
      <w:pPr>
        <w:pStyle w:val="ListParagraph"/>
        <w:numPr>
          <w:ilvl w:val="1"/>
          <w:numId w:val="2"/>
        </w:numPr>
        <w:ind w:left="709"/>
        <w:jc w:val="left"/>
        <w:rPr>
          <w:rFonts w:ascii="Arial" w:hAnsi="Arial" w:cs="Arial"/>
          <w:bCs/>
        </w:rPr>
      </w:pPr>
      <w:r w:rsidRPr="00EB4495">
        <w:rPr>
          <w:rFonts w:ascii="Arial" w:hAnsi="Arial" w:cs="Arial"/>
          <w:b/>
        </w:rPr>
        <w:t>Own exclusive brands (OEB):</w:t>
      </w:r>
      <w:r w:rsidR="00D81D79" w:rsidRPr="00EB4495">
        <w:rPr>
          <w:rFonts w:ascii="Arial" w:hAnsi="Arial" w:cs="Arial"/>
          <w:b/>
        </w:rPr>
        <w:t xml:space="preserve"> </w:t>
      </w:r>
      <w:r w:rsidR="003D1CB4">
        <w:rPr>
          <w:rFonts w:ascii="Arial" w:hAnsi="Arial" w:cs="Arial"/>
          <w:bCs/>
        </w:rPr>
        <w:t>Strong performance in outdoor, building</w:t>
      </w:r>
      <w:r w:rsidR="0003608B">
        <w:rPr>
          <w:rFonts w:ascii="Arial" w:hAnsi="Arial" w:cs="Arial"/>
          <w:bCs/>
        </w:rPr>
        <w:t>,</w:t>
      </w:r>
      <w:r w:rsidR="003D1CB4">
        <w:rPr>
          <w:rFonts w:ascii="Arial" w:hAnsi="Arial" w:cs="Arial"/>
          <w:bCs/>
        </w:rPr>
        <w:t xml:space="preserve"> </w:t>
      </w:r>
      <w:r w:rsidR="0003608B">
        <w:rPr>
          <w:rFonts w:ascii="Arial" w:hAnsi="Arial" w:cs="Arial"/>
          <w:bCs/>
        </w:rPr>
        <w:t xml:space="preserve">tools </w:t>
      </w:r>
      <w:r w:rsidR="003D1CB4">
        <w:rPr>
          <w:rFonts w:ascii="Arial" w:hAnsi="Arial" w:cs="Arial"/>
          <w:bCs/>
        </w:rPr>
        <w:t xml:space="preserve">and </w:t>
      </w:r>
      <w:r w:rsidR="002E5B2C">
        <w:rPr>
          <w:rFonts w:ascii="Arial" w:hAnsi="Arial" w:cs="Arial"/>
          <w:bCs/>
        </w:rPr>
        <w:t xml:space="preserve">kitchens </w:t>
      </w:r>
      <w:r w:rsidR="003D1CB4">
        <w:rPr>
          <w:rFonts w:ascii="Arial" w:hAnsi="Arial" w:cs="Arial"/>
          <w:bCs/>
        </w:rPr>
        <w:t>categories</w:t>
      </w:r>
      <w:r w:rsidRPr="00EB4495">
        <w:rPr>
          <w:rFonts w:ascii="Arial" w:hAnsi="Arial" w:cs="Arial"/>
          <w:bCs/>
        </w:rPr>
        <w:t xml:space="preserve">; </w:t>
      </w:r>
      <w:r w:rsidR="00160F6C" w:rsidRPr="00EB4495">
        <w:rPr>
          <w:rFonts w:ascii="Arial" w:hAnsi="Arial" w:cs="Arial"/>
          <w:bCs/>
        </w:rPr>
        <w:t xml:space="preserve">innovating through </w:t>
      </w:r>
      <w:r w:rsidR="00CB6ADC" w:rsidRPr="00EB4495">
        <w:rPr>
          <w:rFonts w:ascii="Arial" w:hAnsi="Arial" w:cs="Arial"/>
          <w:bCs/>
        </w:rPr>
        <w:t xml:space="preserve">developing </w:t>
      </w:r>
      <w:r w:rsidRPr="00EB4495">
        <w:rPr>
          <w:rFonts w:ascii="Arial" w:hAnsi="Arial" w:cs="Arial"/>
          <w:bCs/>
        </w:rPr>
        <w:t xml:space="preserve">specific OEB </w:t>
      </w:r>
      <w:r w:rsidR="00CB6ADC" w:rsidRPr="00EB4495">
        <w:rPr>
          <w:rFonts w:ascii="Arial" w:hAnsi="Arial" w:cs="Arial"/>
          <w:bCs/>
        </w:rPr>
        <w:t xml:space="preserve">for </w:t>
      </w:r>
      <w:r w:rsidRPr="00EB4495">
        <w:rPr>
          <w:rFonts w:ascii="Arial" w:hAnsi="Arial" w:cs="Arial"/>
          <w:bCs/>
        </w:rPr>
        <w:t xml:space="preserve">different </w:t>
      </w:r>
      <w:r w:rsidR="00DD12C9" w:rsidRPr="00EB4495">
        <w:rPr>
          <w:rFonts w:ascii="Arial" w:hAnsi="Arial" w:cs="Arial"/>
          <w:bCs/>
        </w:rPr>
        <w:t xml:space="preserve">retail banners </w:t>
      </w:r>
      <w:r w:rsidRPr="00EB4495">
        <w:rPr>
          <w:rFonts w:ascii="Arial" w:hAnsi="Arial" w:cs="Arial"/>
          <w:bCs/>
        </w:rPr>
        <w:t>and extending ranges to support choice</w:t>
      </w:r>
      <w:r w:rsidR="00760C70" w:rsidRPr="00EB4495">
        <w:rPr>
          <w:rFonts w:ascii="Arial" w:hAnsi="Arial" w:cs="Arial"/>
          <w:bCs/>
        </w:rPr>
        <w:t>; 3</w:t>
      </w:r>
      <w:r w:rsidR="00CE4E39" w:rsidRPr="00EB4495">
        <w:rPr>
          <w:rFonts w:ascii="Arial" w:hAnsi="Arial" w:cs="Arial"/>
          <w:bCs/>
        </w:rPr>
        <w:t>2</w:t>
      </w:r>
      <w:r w:rsidR="00760C70" w:rsidRPr="00EB4495">
        <w:rPr>
          <w:rFonts w:ascii="Arial" w:hAnsi="Arial" w:cs="Arial"/>
          <w:bCs/>
        </w:rPr>
        <w:t xml:space="preserve"> new and redeveloped </w:t>
      </w:r>
      <w:r w:rsidR="002E5B2C">
        <w:rPr>
          <w:rFonts w:ascii="Arial" w:hAnsi="Arial" w:cs="Arial"/>
          <w:bCs/>
        </w:rPr>
        <w:t xml:space="preserve">OEB </w:t>
      </w:r>
      <w:r w:rsidR="00760C70" w:rsidRPr="00EB4495">
        <w:rPr>
          <w:rFonts w:ascii="Arial" w:hAnsi="Arial" w:cs="Arial"/>
          <w:bCs/>
        </w:rPr>
        <w:t>brands now being implemented</w:t>
      </w:r>
    </w:p>
    <w:p w14:paraId="64956801" w14:textId="3D7C5B8B" w:rsidR="00C52B32" w:rsidRPr="00EB4495" w:rsidRDefault="004920CD" w:rsidP="00676B4D">
      <w:pPr>
        <w:pStyle w:val="ListParagraph"/>
        <w:numPr>
          <w:ilvl w:val="1"/>
          <w:numId w:val="2"/>
        </w:numPr>
        <w:ind w:left="709"/>
        <w:jc w:val="left"/>
        <w:rPr>
          <w:rFonts w:ascii="Arial" w:hAnsi="Arial" w:cs="Arial"/>
          <w:bCs/>
        </w:rPr>
      </w:pPr>
      <w:r w:rsidRPr="00EB4495">
        <w:rPr>
          <w:rFonts w:ascii="Arial" w:hAnsi="Arial" w:cs="Arial"/>
          <w:b/>
        </w:rPr>
        <w:t>M</w:t>
      </w:r>
      <w:r w:rsidR="00C52B32" w:rsidRPr="00EB4495">
        <w:rPr>
          <w:rFonts w:ascii="Arial" w:hAnsi="Arial" w:cs="Arial"/>
          <w:b/>
        </w:rPr>
        <w:t>obile-led and service innovations:</w:t>
      </w:r>
      <w:r w:rsidR="00C52B32" w:rsidRPr="00EB4495">
        <w:rPr>
          <w:rFonts w:ascii="Arial" w:hAnsi="Arial" w:cs="Arial"/>
          <w:bCs/>
        </w:rPr>
        <w:t xml:space="preserve"> </w:t>
      </w:r>
      <w:r w:rsidR="00D70F98" w:rsidRPr="00EB4495">
        <w:rPr>
          <w:rFonts w:ascii="Arial" w:hAnsi="Arial" w:cs="Arial"/>
          <w:bCs/>
        </w:rPr>
        <w:t>N</w:t>
      </w:r>
      <w:r w:rsidR="00C52B32" w:rsidRPr="00EB4495">
        <w:rPr>
          <w:rFonts w:ascii="Arial" w:hAnsi="Arial" w:cs="Arial"/>
          <w:bCs/>
        </w:rPr>
        <w:t>ew mobile app</w:t>
      </w:r>
      <w:r w:rsidR="00D70F98" w:rsidRPr="00EB4495">
        <w:rPr>
          <w:rFonts w:ascii="Arial" w:hAnsi="Arial" w:cs="Arial"/>
          <w:bCs/>
        </w:rPr>
        <w:t>s</w:t>
      </w:r>
      <w:r w:rsidR="00C52B32" w:rsidRPr="00EB4495">
        <w:rPr>
          <w:rFonts w:ascii="Arial" w:hAnsi="Arial" w:cs="Arial"/>
          <w:bCs/>
        </w:rPr>
        <w:t xml:space="preserve"> for </w:t>
      </w:r>
      <w:r w:rsidR="00D70F98" w:rsidRPr="00EB4495">
        <w:rPr>
          <w:rFonts w:ascii="Arial" w:hAnsi="Arial" w:cs="Arial"/>
          <w:bCs/>
        </w:rPr>
        <w:t xml:space="preserve">Castorama France and </w:t>
      </w:r>
      <w:r w:rsidR="00C52B32" w:rsidRPr="00EB4495">
        <w:rPr>
          <w:rFonts w:ascii="Arial" w:hAnsi="Arial" w:cs="Arial"/>
          <w:bCs/>
        </w:rPr>
        <w:t>Screwfix, self-checkout terminals</w:t>
      </w:r>
      <w:r w:rsidR="005F5265" w:rsidRPr="00EB4495">
        <w:rPr>
          <w:rFonts w:ascii="Arial" w:hAnsi="Arial" w:cs="Arial"/>
          <w:bCs/>
        </w:rPr>
        <w:t xml:space="preserve"> rolled out to </w:t>
      </w:r>
      <w:r w:rsidR="00F8131E" w:rsidRPr="00EB4495">
        <w:rPr>
          <w:rFonts w:ascii="Arial" w:hAnsi="Arial" w:cs="Arial"/>
          <w:bCs/>
        </w:rPr>
        <w:t>one</w:t>
      </w:r>
      <w:r w:rsidR="005F5265" w:rsidRPr="00EB4495">
        <w:rPr>
          <w:rFonts w:ascii="Arial" w:hAnsi="Arial" w:cs="Arial"/>
          <w:bCs/>
        </w:rPr>
        <w:t xml:space="preserve"> third of B&amp;Q estate</w:t>
      </w:r>
      <w:r w:rsidR="00C52B32" w:rsidRPr="00EB4495">
        <w:rPr>
          <w:rFonts w:ascii="Arial" w:hAnsi="Arial" w:cs="Arial"/>
          <w:bCs/>
        </w:rPr>
        <w:t>, new 3D kitchen and bathroom design tool; roll-out of NeedHelp services marketplace</w:t>
      </w:r>
      <w:r w:rsidR="00F42D7D" w:rsidRPr="00EB4495">
        <w:rPr>
          <w:rFonts w:ascii="Arial" w:hAnsi="Arial" w:cs="Arial"/>
          <w:bCs/>
        </w:rPr>
        <w:t xml:space="preserve"> in key markets</w:t>
      </w:r>
    </w:p>
    <w:p w14:paraId="52C3CFFE" w14:textId="6C9EFBC9" w:rsidR="00C52B32" w:rsidRPr="00EB4495" w:rsidRDefault="00E928BA" w:rsidP="00676B4D">
      <w:pPr>
        <w:pStyle w:val="ListParagraph"/>
        <w:numPr>
          <w:ilvl w:val="1"/>
          <w:numId w:val="2"/>
        </w:numPr>
        <w:ind w:left="709"/>
        <w:jc w:val="left"/>
        <w:rPr>
          <w:rFonts w:ascii="Arial" w:hAnsi="Arial" w:cs="Arial"/>
          <w:bCs/>
        </w:rPr>
      </w:pPr>
      <w:r w:rsidRPr="00EB4495">
        <w:rPr>
          <w:rFonts w:ascii="Arial" w:hAnsi="Arial" w:cs="Arial"/>
          <w:b/>
        </w:rPr>
        <w:lastRenderedPageBreak/>
        <w:t xml:space="preserve">Compact </w:t>
      </w:r>
      <w:r w:rsidR="0034260C" w:rsidRPr="00EB4495">
        <w:rPr>
          <w:rFonts w:ascii="Arial" w:hAnsi="Arial" w:cs="Arial"/>
          <w:b/>
        </w:rPr>
        <w:t>s</w:t>
      </w:r>
      <w:r w:rsidR="004920CD" w:rsidRPr="00EB4495">
        <w:rPr>
          <w:rFonts w:ascii="Arial" w:hAnsi="Arial" w:cs="Arial"/>
          <w:b/>
        </w:rPr>
        <w:t>tore</w:t>
      </w:r>
      <w:r w:rsidR="0034260C" w:rsidRPr="00EB4495">
        <w:rPr>
          <w:rFonts w:ascii="Arial" w:hAnsi="Arial" w:cs="Arial"/>
          <w:b/>
        </w:rPr>
        <w:t>s and rightsizing</w:t>
      </w:r>
      <w:r w:rsidR="004920CD" w:rsidRPr="00EB4495">
        <w:rPr>
          <w:rFonts w:ascii="Arial" w:hAnsi="Arial" w:cs="Arial"/>
          <w:b/>
        </w:rPr>
        <w:t>:</w:t>
      </w:r>
      <w:r w:rsidR="004920CD" w:rsidRPr="00EB4495">
        <w:rPr>
          <w:rFonts w:ascii="Arial" w:hAnsi="Arial" w:cs="Arial"/>
          <w:bCs/>
        </w:rPr>
        <w:t xml:space="preserve"> </w:t>
      </w:r>
      <w:r w:rsidR="001E1FAB" w:rsidRPr="00EB4495">
        <w:rPr>
          <w:rFonts w:ascii="Arial" w:hAnsi="Arial" w:cs="Arial"/>
          <w:bCs/>
        </w:rPr>
        <w:t>C</w:t>
      </w:r>
      <w:r w:rsidR="00C52B32" w:rsidRPr="00EB4495">
        <w:rPr>
          <w:rFonts w:ascii="Arial" w:hAnsi="Arial" w:cs="Arial"/>
          <w:bCs/>
        </w:rPr>
        <w:t>ontinuing to test new compact stores and partnership models</w:t>
      </w:r>
      <w:r w:rsidR="0056544A" w:rsidRPr="00EB4495">
        <w:rPr>
          <w:rFonts w:ascii="Arial" w:hAnsi="Arial" w:cs="Arial"/>
          <w:bCs/>
        </w:rPr>
        <w:t xml:space="preserve">; </w:t>
      </w:r>
      <w:r w:rsidR="00754CDA" w:rsidRPr="00EB4495">
        <w:rPr>
          <w:rFonts w:ascii="Arial" w:hAnsi="Arial" w:cs="Arial"/>
          <w:bCs/>
        </w:rPr>
        <w:t xml:space="preserve">announcing 10-year </w:t>
      </w:r>
      <w:r w:rsidR="00AA409C" w:rsidRPr="00EB4495">
        <w:rPr>
          <w:rFonts w:ascii="Arial" w:hAnsi="Arial" w:cs="Arial"/>
          <w:bCs/>
        </w:rPr>
        <w:t xml:space="preserve">rightsizing target of </w:t>
      </w:r>
      <w:r w:rsidR="00B07DC6">
        <w:rPr>
          <w:rFonts w:ascii="Arial" w:hAnsi="Arial" w:cs="Arial"/>
          <w:bCs/>
        </w:rPr>
        <w:t xml:space="preserve">up </w:t>
      </w:r>
      <w:r w:rsidR="00AA409C" w:rsidRPr="00EB4495">
        <w:rPr>
          <w:rFonts w:ascii="Arial" w:hAnsi="Arial" w:cs="Arial"/>
          <w:bCs/>
        </w:rPr>
        <w:t>to 40 stores</w:t>
      </w:r>
      <w:r w:rsidR="00384D75" w:rsidRPr="00EB4495">
        <w:rPr>
          <w:rFonts w:ascii="Arial" w:hAnsi="Arial" w:cs="Arial"/>
          <w:bCs/>
        </w:rPr>
        <w:t xml:space="preserve"> in UK and France</w:t>
      </w:r>
    </w:p>
    <w:p w14:paraId="1CA07894" w14:textId="318F23C0" w:rsidR="00DA0BAA" w:rsidRPr="00EB4495" w:rsidRDefault="00B876B8" w:rsidP="00DA0BAA">
      <w:pPr>
        <w:pStyle w:val="ListParagraph"/>
        <w:numPr>
          <w:ilvl w:val="1"/>
          <w:numId w:val="2"/>
        </w:numPr>
        <w:ind w:left="709"/>
        <w:jc w:val="left"/>
        <w:rPr>
          <w:rFonts w:ascii="Arial" w:hAnsi="Arial" w:cs="Arial"/>
          <w:bCs/>
        </w:rPr>
      </w:pPr>
      <w:r>
        <w:rPr>
          <w:rFonts w:ascii="Arial" w:hAnsi="Arial" w:cs="Arial"/>
          <w:b/>
        </w:rPr>
        <w:t xml:space="preserve">Trade </w:t>
      </w:r>
      <w:r w:rsidR="00DA0BAA" w:rsidRPr="00EB4495">
        <w:rPr>
          <w:rFonts w:ascii="Arial" w:hAnsi="Arial" w:cs="Arial"/>
          <w:b/>
        </w:rPr>
        <w:t>proposition:</w:t>
      </w:r>
      <w:r w:rsidR="00DA0BAA" w:rsidRPr="00EB4495">
        <w:rPr>
          <w:rFonts w:ascii="Arial" w:hAnsi="Arial" w:cs="Arial"/>
          <w:bCs/>
        </w:rPr>
        <w:t xml:space="preserve"> Expansion of Screwfix in the UK &amp; Ireland and launch of Screwfix in France</w:t>
      </w:r>
      <w:r w:rsidR="00600B1A" w:rsidRPr="00EB4495">
        <w:rPr>
          <w:rFonts w:ascii="Arial" w:hAnsi="Arial" w:cs="Arial"/>
          <w:bCs/>
        </w:rPr>
        <w:t>;</w:t>
      </w:r>
      <w:r w:rsidR="00DA0BAA" w:rsidRPr="00EB4495">
        <w:rPr>
          <w:rFonts w:ascii="Arial" w:hAnsi="Arial" w:cs="Arial"/>
          <w:bCs/>
        </w:rPr>
        <w:t xml:space="preserve"> successful relaunch of TradePoint </w:t>
      </w:r>
      <w:r w:rsidR="005111B2">
        <w:rPr>
          <w:rFonts w:ascii="Arial" w:hAnsi="Arial" w:cs="Arial"/>
          <w:bCs/>
        </w:rPr>
        <w:t xml:space="preserve">(in B&amp;Q) </w:t>
      </w:r>
      <w:r w:rsidR="00600B1A" w:rsidRPr="00EB4495">
        <w:rPr>
          <w:rFonts w:ascii="Arial" w:hAnsi="Arial" w:cs="Arial"/>
          <w:bCs/>
        </w:rPr>
        <w:t xml:space="preserve">with 2-year LFL </w:t>
      </w:r>
      <w:r w:rsidR="00C7202B" w:rsidRPr="00EB4495">
        <w:rPr>
          <w:rFonts w:ascii="Arial" w:hAnsi="Arial" w:cs="Arial"/>
          <w:bCs/>
        </w:rPr>
        <w:t xml:space="preserve">sales </w:t>
      </w:r>
      <w:r w:rsidR="00600B1A" w:rsidRPr="00C40DA5">
        <w:rPr>
          <w:rFonts w:ascii="Arial" w:hAnsi="Arial" w:cs="Arial"/>
          <w:bCs/>
        </w:rPr>
        <w:t xml:space="preserve">growth of </w:t>
      </w:r>
      <w:r w:rsidR="00E92900" w:rsidRPr="00C40DA5">
        <w:rPr>
          <w:rFonts w:ascii="Arial" w:hAnsi="Arial" w:cs="Arial"/>
          <w:bCs/>
        </w:rPr>
        <w:t>3</w:t>
      </w:r>
      <w:r w:rsidR="00C40DA5" w:rsidRPr="00C40DA5">
        <w:rPr>
          <w:rFonts w:ascii="Arial" w:hAnsi="Arial" w:cs="Arial"/>
          <w:bCs/>
        </w:rPr>
        <w:t>3</w:t>
      </w:r>
      <w:r w:rsidR="00600B1A" w:rsidRPr="00C40DA5">
        <w:rPr>
          <w:rFonts w:ascii="Arial" w:hAnsi="Arial" w:cs="Arial"/>
          <w:bCs/>
        </w:rPr>
        <w:t>%, outperforming core B&amp;Q</w:t>
      </w:r>
      <w:r w:rsidR="00A83F72" w:rsidRPr="00C40DA5">
        <w:rPr>
          <w:rFonts w:ascii="Arial" w:hAnsi="Arial" w:cs="Arial"/>
          <w:bCs/>
        </w:rPr>
        <w:t xml:space="preserve">; </w:t>
      </w:r>
      <w:r w:rsidR="00DA0BAA" w:rsidRPr="00C40DA5">
        <w:rPr>
          <w:rFonts w:ascii="Arial" w:hAnsi="Arial" w:cs="Arial"/>
          <w:bCs/>
        </w:rPr>
        <w:t xml:space="preserve">all banners </w:t>
      </w:r>
      <w:r w:rsidR="002754E5" w:rsidRPr="00C40DA5">
        <w:rPr>
          <w:rFonts w:ascii="Arial" w:hAnsi="Arial" w:cs="Arial"/>
          <w:bCs/>
        </w:rPr>
        <w:t xml:space="preserve">have launched actions </w:t>
      </w:r>
      <w:r w:rsidR="00DA0BAA" w:rsidRPr="00C40DA5">
        <w:rPr>
          <w:rFonts w:ascii="Arial" w:hAnsi="Arial" w:cs="Arial"/>
          <w:bCs/>
        </w:rPr>
        <w:t xml:space="preserve">to grow </w:t>
      </w:r>
      <w:r>
        <w:rPr>
          <w:rFonts w:ascii="Arial" w:hAnsi="Arial" w:cs="Arial"/>
          <w:bCs/>
        </w:rPr>
        <w:t xml:space="preserve">trade </w:t>
      </w:r>
      <w:r w:rsidR="002754E5" w:rsidRPr="00C40DA5">
        <w:rPr>
          <w:rFonts w:ascii="Arial" w:hAnsi="Arial" w:cs="Arial"/>
          <w:bCs/>
        </w:rPr>
        <w:t xml:space="preserve">customer </w:t>
      </w:r>
      <w:r w:rsidR="00DA0BAA" w:rsidRPr="00C40DA5">
        <w:rPr>
          <w:rFonts w:ascii="Arial" w:hAnsi="Arial" w:cs="Arial"/>
          <w:bCs/>
        </w:rPr>
        <w:t>pe</w:t>
      </w:r>
      <w:r w:rsidR="00DA0BAA" w:rsidRPr="00EB4495">
        <w:rPr>
          <w:rFonts w:ascii="Arial" w:hAnsi="Arial" w:cs="Arial"/>
          <w:bCs/>
        </w:rPr>
        <w:t>netration</w:t>
      </w:r>
    </w:p>
    <w:p w14:paraId="3D0F371D" w14:textId="4E3220E5" w:rsidR="00C52B32" w:rsidRPr="00EB4495" w:rsidRDefault="00C52B32" w:rsidP="00676B4D">
      <w:pPr>
        <w:pStyle w:val="ListParagraph"/>
        <w:numPr>
          <w:ilvl w:val="1"/>
          <w:numId w:val="2"/>
        </w:numPr>
        <w:ind w:left="709"/>
        <w:jc w:val="left"/>
        <w:rPr>
          <w:rFonts w:ascii="Arial" w:hAnsi="Arial" w:cs="Arial"/>
          <w:bCs/>
        </w:rPr>
      </w:pPr>
      <w:r w:rsidRPr="00EB4495">
        <w:rPr>
          <w:rFonts w:ascii="Arial" w:hAnsi="Arial" w:cs="Arial"/>
          <w:b/>
        </w:rPr>
        <w:t>Responsible Business:</w:t>
      </w:r>
      <w:r w:rsidRPr="00EB4495">
        <w:rPr>
          <w:rFonts w:ascii="Arial" w:hAnsi="Arial" w:cs="Arial"/>
          <w:bCs/>
        </w:rPr>
        <w:t xml:space="preserve"> </w:t>
      </w:r>
      <w:r w:rsidR="008E0CD2">
        <w:rPr>
          <w:rFonts w:ascii="Arial" w:hAnsi="Arial" w:cs="Arial"/>
          <w:bCs/>
        </w:rPr>
        <w:t>O</w:t>
      </w:r>
      <w:r w:rsidR="00172B11">
        <w:rPr>
          <w:rFonts w:ascii="Arial" w:hAnsi="Arial" w:cs="Arial"/>
          <w:bCs/>
        </w:rPr>
        <w:t xml:space="preserve">n track to deliver </w:t>
      </w:r>
      <w:r w:rsidRPr="00EB4495">
        <w:rPr>
          <w:rFonts w:ascii="Arial" w:hAnsi="Arial" w:cs="Arial"/>
          <w:bCs/>
        </w:rPr>
        <w:t xml:space="preserve">new carbon reduction targets </w:t>
      </w:r>
      <w:r w:rsidR="00172B11">
        <w:rPr>
          <w:rFonts w:ascii="Arial" w:hAnsi="Arial" w:cs="Arial"/>
          <w:bCs/>
        </w:rPr>
        <w:t xml:space="preserve">to FY 25/26 </w:t>
      </w:r>
      <w:r w:rsidRPr="00EB4495">
        <w:rPr>
          <w:rFonts w:ascii="Arial" w:hAnsi="Arial" w:cs="Arial"/>
          <w:bCs/>
        </w:rPr>
        <w:t>(consistent with a 1.5°C trajectory)</w:t>
      </w:r>
      <w:r w:rsidR="001E228C" w:rsidRPr="00EB4495">
        <w:rPr>
          <w:rFonts w:ascii="Arial" w:hAnsi="Arial" w:cs="Arial"/>
          <w:bCs/>
        </w:rPr>
        <w:t xml:space="preserve">; </w:t>
      </w:r>
      <w:r w:rsidR="006A7426" w:rsidRPr="00EB4495">
        <w:rPr>
          <w:rFonts w:ascii="Arial" w:hAnsi="Arial" w:cs="Arial"/>
          <w:bCs/>
        </w:rPr>
        <w:t xml:space="preserve">ambitious new target for growth of </w:t>
      </w:r>
      <w:r w:rsidR="001E228C" w:rsidRPr="00EB4495">
        <w:rPr>
          <w:rFonts w:ascii="Arial" w:hAnsi="Arial" w:cs="Arial"/>
          <w:bCs/>
        </w:rPr>
        <w:t>sustainable home product</w:t>
      </w:r>
      <w:r w:rsidR="00172B11">
        <w:rPr>
          <w:rFonts w:ascii="Arial" w:hAnsi="Arial" w:cs="Arial"/>
          <w:bCs/>
        </w:rPr>
        <w:t xml:space="preserve"> sales</w:t>
      </w:r>
    </w:p>
    <w:p w14:paraId="0BC22656" w14:textId="4106D52B" w:rsidR="00C52B32" w:rsidRPr="00EB4495" w:rsidRDefault="00E40291" w:rsidP="00676B4D">
      <w:pPr>
        <w:pStyle w:val="ListParagraph"/>
        <w:numPr>
          <w:ilvl w:val="1"/>
          <w:numId w:val="2"/>
        </w:numPr>
        <w:ind w:left="709"/>
        <w:jc w:val="left"/>
        <w:rPr>
          <w:rFonts w:ascii="Arial" w:hAnsi="Arial" w:cs="Arial"/>
          <w:bCs/>
        </w:rPr>
      </w:pPr>
      <w:r w:rsidRPr="00EB4495">
        <w:rPr>
          <w:rFonts w:ascii="Arial" w:hAnsi="Arial" w:cs="Arial"/>
          <w:b/>
        </w:rPr>
        <w:t>Costs and inventory:</w:t>
      </w:r>
      <w:r w:rsidRPr="00EB4495">
        <w:rPr>
          <w:rFonts w:ascii="Arial" w:hAnsi="Arial" w:cs="Arial"/>
          <w:bCs/>
        </w:rPr>
        <w:t xml:space="preserve"> </w:t>
      </w:r>
      <w:proofErr w:type="gramStart"/>
      <w:r w:rsidR="00564A8C" w:rsidRPr="00EB4495">
        <w:rPr>
          <w:rFonts w:ascii="Arial" w:hAnsi="Arial" w:cs="Arial"/>
          <w:bCs/>
        </w:rPr>
        <w:t>Multi-year</w:t>
      </w:r>
      <w:proofErr w:type="gramEnd"/>
      <w:r w:rsidR="00564A8C" w:rsidRPr="00EB4495">
        <w:rPr>
          <w:rFonts w:ascii="Arial" w:hAnsi="Arial" w:cs="Arial"/>
          <w:bCs/>
        </w:rPr>
        <w:t xml:space="preserve"> </w:t>
      </w:r>
      <w:r w:rsidR="00C52B32" w:rsidRPr="00EB4495">
        <w:rPr>
          <w:rFonts w:ascii="Arial" w:hAnsi="Arial" w:cs="Arial"/>
          <w:bCs/>
        </w:rPr>
        <w:t>cost reductio</w:t>
      </w:r>
      <w:r w:rsidR="00EE47A1" w:rsidRPr="00EB4495">
        <w:rPr>
          <w:rFonts w:ascii="Arial" w:hAnsi="Arial" w:cs="Arial"/>
          <w:bCs/>
        </w:rPr>
        <w:t>n</w:t>
      </w:r>
      <w:r w:rsidR="00564A8C" w:rsidRPr="00EB4495">
        <w:rPr>
          <w:rFonts w:ascii="Arial" w:hAnsi="Arial" w:cs="Arial"/>
          <w:bCs/>
        </w:rPr>
        <w:t xml:space="preserve"> programmes </w:t>
      </w:r>
      <w:r w:rsidR="006F409A" w:rsidRPr="00EB4495">
        <w:rPr>
          <w:rFonts w:ascii="Arial" w:hAnsi="Arial" w:cs="Arial"/>
          <w:bCs/>
        </w:rPr>
        <w:t>mitigati</w:t>
      </w:r>
      <w:r w:rsidR="005111B2">
        <w:rPr>
          <w:rFonts w:ascii="Arial" w:hAnsi="Arial" w:cs="Arial"/>
          <w:bCs/>
        </w:rPr>
        <w:t>ng</w:t>
      </w:r>
      <w:r w:rsidR="006F409A" w:rsidRPr="00EB4495">
        <w:rPr>
          <w:rFonts w:ascii="Arial" w:hAnsi="Arial" w:cs="Arial"/>
          <w:bCs/>
        </w:rPr>
        <w:t xml:space="preserve"> against inflation pressures</w:t>
      </w:r>
      <w:r w:rsidR="00C52B32" w:rsidRPr="00EB4495">
        <w:rPr>
          <w:rFonts w:ascii="Arial" w:hAnsi="Arial" w:cs="Arial"/>
          <w:bCs/>
        </w:rPr>
        <w:t xml:space="preserve">; improved </w:t>
      </w:r>
      <w:r w:rsidR="00091D29">
        <w:rPr>
          <w:rFonts w:ascii="Arial" w:hAnsi="Arial" w:cs="Arial"/>
          <w:bCs/>
        </w:rPr>
        <w:t>stock</w:t>
      </w:r>
      <w:r w:rsidR="00091D29" w:rsidRPr="00EB4495">
        <w:rPr>
          <w:rFonts w:ascii="Arial" w:hAnsi="Arial" w:cs="Arial"/>
          <w:bCs/>
        </w:rPr>
        <w:t xml:space="preserve"> </w:t>
      </w:r>
      <w:r w:rsidR="00C70D6F" w:rsidRPr="00EB4495">
        <w:rPr>
          <w:rFonts w:ascii="Arial" w:hAnsi="Arial" w:cs="Arial"/>
          <w:bCs/>
        </w:rPr>
        <w:t xml:space="preserve">days </w:t>
      </w:r>
      <w:r w:rsidR="00C52B32" w:rsidRPr="00EB4495">
        <w:rPr>
          <w:rFonts w:ascii="Arial" w:hAnsi="Arial" w:cs="Arial"/>
          <w:bCs/>
        </w:rPr>
        <w:t>and availability</w:t>
      </w:r>
      <w:r w:rsidR="005F21B1" w:rsidRPr="00EB4495">
        <w:rPr>
          <w:rFonts w:ascii="Arial" w:hAnsi="Arial" w:cs="Arial"/>
          <w:bCs/>
        </w:rPr>
        <w:t>, ready for peak trading periods</w:t>
      </w:r>
    </w:p>
    <w:p w14:paraId="7485AB6A" w14:textId="47A50820" w:rsidR="00C52B32" w:rsidRPr="00EB4495" w:rsidRDefault="00C52B32" w:rsidP="00C52B32">
      <w:pPr>
        <w:pStyle w:val="ListParagraph"/>
        <w:numPr>
          <w:ilvl w:val="0"/>
          <w:numId w:val="4"/>
        </w:numPr>
        <w:jc w:val="left"/>
        <w:rPr>
          <w:rFonts w:ascii="Arial" w:hAnsi="Arial" w:cs="Arial"/>
          <w:bCs/>
        </w:rPr>
      </w:pPr>
      <w:r w:rsidRPr="00EB4495">
        <w:rPr>
          <w:rFonts w:ascii="Arial" w:hAnsi="Arial" w:cs="Arial"/>
          <w:b/>
        </w:rPr>
        <w:t>Accelerating investments for growth:</w:t>
      </w:r>
      <w:r w:rsidRPr="00EB4495">
        <w:rPr>
          <w:rFonts w:ascii="Arial" w:hAnsi="Arial" w:cs="Arial"/>
          <w:bCs/>
        </w:rPr>
        <w:t xml:space="preserve"> Acceleration of digital investment </w:t>
      </w:r>
      <w:r w:rsidR="00BA75A6" w:rsidRPr="00EB4495">
        <w:rPr>
          <w:rFonts w:ascii="Arial" w:hAnsi="Arial" w:cs="Arial"/>
          <w:bCs/>
        </w:rPr>
        <w:t xml:space="preserve">into </w:t>
      </w:r>
      <w:r w:rsidRPr="00EB4495">
        <w:rPr>
          <w:rFonts w:ascii="Arial" w:hAnsi="Arial" w:cs="Arial"/>
          <w:bCs/>
        </w:rPr>
        <w:t xml:space="preserve">faster fulfilment and expanded product choice; Screwfix UK &amp; Ireland and Castorama Poland store expansion; opening first Screwfix stores in France in </w:t>
      </w:r>
      <w:r w:rsidR="009D0208" w:rsidRPr="00EB4495">
        <w:rPr>
          <w:rFonts w:ascii="Arial" w:hAnsi="Arial" w:cs="Arial"/>
          <w:bCs/>
        </w:rPr>
        <w:t xml:space="preserve">H2 </w:t>
      </w:r>
      <w:r w:rsidRPr="00EB4495">
        <w:rPr>
          <w:rFonts w:ascii="Arial" w:hAnsi="Arial" w:cs="Arial"/>
          <w:bCs/>
        </w:rPr>
        <w:t>22</w:t>
      </w:r>
      <w:r w:rsidR="009D0208" w:rsidRPr="00EB4495">
        <w:rPr>
          <w:rFonts w:ascii="Arial" w:hAnsi="Arial" w:cs="Arial"/>
          <w:bCs/>
        </w:rPr>
        <w:t>/23</w:t>
      </w:r>
      <w:r w:rsidRPr="00EB4495">
        <w:rPr>
          <w:rFonts w:ascii="Arial" w:hAnsi="Arial" w:cs="Arial"/>
          <w:bCs/>
        </w:rPr>
        <w:t xml:space="preserve">; </w:t>
      </w:r>
      <w:r w:rsidR="00CA41C3" w:rsidRPr="00EB4495">
        <w:rPr>
          <w:rFonts w:ascii="Arial" w:hAnsi="Arial" w:cs="Arial"/>
          <w:bCs/>
        </w:rPr>
        <w:t xml:space="preserve">step-up in investments </w:t>
      </w:r>
      <w:r w:rsidR="00AC0DA0" w:rsidRPr="00EB4495">
        <w:rPr>
          <w:rFonts w:ascii="Arial" w:hAnsi="Arial" w:cs="Arial"/>
          <w:bCs/>
        </w:rPr>
        <w:t xml:space="preserve">to increase </w:t>
      </w:r>
      <w:r w:rsidR="00B876B8">
        <w:rPr>
          <w:rFonts w:ascii="Arial" w:hAnsi="Arial" w:cs="Arial"/>
          <w:bCs/>
        </w:rPr>
        <w:t xml:space="preserve">trade </w:t>
      </w:r>
      <w:r w:rsidR="00AC0DA0" w:rsidRPr="00EB4495">
        <w:rPr>
          <w:rFonts w:ascii="Arial" w:hAnsi="Arial" w:cs="Arial"/>
          <w:bCs/>
        </w:rPr>
        <w:t xml:space="preserve">penetration </w:t>
      </w:r>
    </w:p>
    <w:p w14:paraId="470DE563" w14:textId="18EF6FEB" w:rsidR="00C52B32" w:rsidRPr="00EB4495" w:rsidRDefault="00C52B32" w:rsidP="00C52B32">
      <w:pPr>
        <w:jc w:val="left"/>
        <w:rPr>
          <w:rFonts w:ascii="Arial" w:hAnsi="Arial" w:cs="Arial"/>
          <w:bCs/>
        </w:rPr>
      </w:pPr>
    </w:p>
    <w:p w14:paraId="34A539BA" w14:textId="77777777" w:rsidR="00AF6BD6" w:rsidRPr="00EB4495" w:rsidRDefault="00AF6BD6" w:rsidP="00C52B32">
      <w:pPr>
        <w:jc w:val="left"/>
        <w:rPr>
          <w:rFonts w:ascii="Arial" w:hAnsi="Arial" w:cs="Arial"/>
          <w:bCs/>
        </w:rPr>
      </w:pPr>
    </w:p>
    <w:bookmarkEnd w:id="1"/>
    <w:bookmarkEnd w:id="7"/>
    <w:bookmarkEnd w:id="8"/>
    <w:p w14:paraId="3331F342" w14:textId="77777777" w:rsidR="00C52B32" w:rsidRPr="004839A6" w:rsidRDefault="00C52B32" w:rsidP="00C52B32">
      <w:pPr>
        <w:jc w:val="left"/>
        <w:rPr>
          <w:rFonts w:ascii="Arial" w:hAnsi="Arial" w:cs="Arial"/>
          <w:b/>
          <w:bCs/>
          <w:sz w:val="19"/>
          <w:szCs w:val="19"/>
        </w:rPr>
      </w:pPr>
      <w:r w:rsidRPr="004839A6">
        <w:rPr>
          <w:rFonts w:ascii="Arial" w:hAnsi="Arial" w:cs="Arial"/>
          <w:b/>
          <w:bCs/>
          <w:sz w:val="19"/>
          <w:szCs w:val="19"/>
        </w:rPr>
        <w:t>Footnotes</w:t>
      </w:r>
    </w:p>
    <w:p w14:paraId="4A9E9F48" w14:textId="08BF09B4" w:rsidR="007779CB" w:rsidRPr="00F22BFF" w:rsidRDefault="007779CB" w:rsidP="00C52B32">
      <w:pPr>
        <w:jc w:val="left"/>
        <w:rPr>
          <w:rFonts w:ascii="Arial" w:hAnsi="Arial" w:cs="Arial"/>
          <w:sz w:val="19"/>
          <w:szCs w:val="19"/>
        </w:rPr>
      </w:pPr>
      <w:r w:rsidRPr="004839A6">
        <w:rPr>
          <w:rFonts w:ascii="Arial" w:hAnsi="Arial" w:cs="Arial"/>
          <w:sz w:val="19"/>
          <w:szCs w:val="19"/>
          <w:vertAlign w:val="superscript"/>
        </w:rPr>
        <w:t>(1)</w:t>
      </w:r>
      <w:r w:rsidRPr="004839A6">
        <w:rPr>
          <w:rFonts w:ascii="Arial" w:hAnsi="Arial" w:cs="Arial"/>
          <w:sz w:val="19"/>
          <w:szCs w:val="19"/>
        </w:rPr>
        <w:t xml:space="preserve"> </w:t>
      </w:r>
      <w:bookmarkStart w:id="16" w:name="_Hlk65942856"/>
      <w:r w:rsidRPr="004839A6">
        <w:rPr>
          <w:rFonts w:ascii="Arial" w:hAnsi="Arial" w:cs="Arial"/>
          <w:sz w:val="19"/>
          <w:szCs w:val="19"/>
        </w:rPr>
        <w:t xml:space="preserve">The Board has proposed a </w:t>
      </w:r>
      <w:r w:rsidR="005860AC" w:rsidRPr="004839A6">
        <w:rPr>
          <w:rFonts w:ascii="Arial" w:hAnsi="Arial" w:cs="Arial"/>
          <w:sz w:val="19"/>
          <w:szCs w:val="19"/>
        </w:rPr>
        <w:t xml:space="preserve">final </w:t>
      </w:r>
      <w:r w:rsidRPr="004839A6">
        <w:rPr>
          <w:rFonts w:ascii="Arial" w:hAnsi="Arial" w:cs="Arial"/>
          <w:sz w:val="19"/>
          <w:szCs w:val="19"/>
        </w:rPr>
        <w:t xml:space="preserve">dividend per share of </w:t>
      </w:r>
      <w:r w:rsidRPr="00F854C7">
        <w:rPr>
          <w:rFonts w:ascii="Arial" w:hAnsi="Arial" w:cs="Arial"/>
          <w:sz w:val="19"/>
          <w:szCs w:val="19"/>
        </w:rPr>
        <w:t>8.</w:t>
      </w:r>
      <w:r w:rsidR="002712DB" w:rsidRPr="00F854C7">
        <w:rPr>
          <w:rFonts w:ascii="Arial" w:hAnsi="Arial" w:cs="Arial"/>
          <w:sz w:val="19"/>
          <w:szCs w:val="19"/>
        </w:rPr>
        <w:t>6</w:t>
      </w:r>
      <w:r w:rsidR="00025075" w:rsidRPr="00F854C7">
        <w:rPr>
          <w:rFonts w:ascii="Arial" w:hAnsi="Arial" w:cs="Arial"/>
          <w:sz w:val="19"/>
          <w:szCs w:val="19"/>
        </w:rPr>
        <w:t>0</w:t>
      </w:r>
      <w:r w:rsidRPr="00F854C7">
        <w:rPr>
          <w:rFonts w:ascii="Arial" w:hAnsi="Arial" w:cs="Arial"/>
          <w:sz w:val="19"/>
          <w:szCs w:val="19"/>
        </w:rPr>
        <w:t>p</w:t>
      </w:r>
      <w:r w:rsidRPr="004839A6">
        <w:rPr>
          <w:rFonts w:ascii="Arial" w:hAnsi="Arial" w:cs="Arial"/>
          <w:sz w:val="19"/>
          <w:szCs w:val="19"/>
        </w:rPr>
        <w:t xml:space="preserve"> </w:t>
      </w:r>
      <w:r w:rsidR="00BD65AD" w:rsidRPr="004839A6">
        <w:rPr>
          <w:rFonts w:ascii="Arial" w:hAnsi="Arial" w:cs="Arial"/>
          <w:sz w:val="19"/>
          <w:szCs w:val="19"/>
        </w:rPr>
        <w:t>(</w:t>
      </w:r>
      <w:r w:rsidR="00025075" w:rsidRPr="004839A6">
        <w:rPr>
          <w:rFonts w:ascii="Arial" w:hAnsi="Arial" w:cs="Arial"/>
          <w:sz w:val="19"/>
          <w:szCs w:val="19"/>
        </w:rPr>
        <w:t>FY 20/21</w:t>
      </w:r>
      <w:r w:rsidR="00852D2C" w:rsidRPr="004839A6">
        <w:rPr>
          <w:rFonts w:ascii="Arial" w:hAnsi="Arial" w:cs="Arial"/>
          <w:sz w:val="19"/>
          <w:szCs w:val="19"/>
        </w:rPr>
        <w:t xml:space="preserve"> final dividend</w:t>
      </w:r>
      <w:r w:rsidR="00025075" w:rsidRPr="004839A6">
        <w:rPr>
          <w:rFonts w:ascii="Arial" w:hAnsi="Arial" w:cs="Arial"/>
          <w:sz w:val="19"/>
          <w:szCs w:val="19"/>
        </w:rPr>
        <w:t>: 5.50p)</w:t>
      </w:r>
      <w:r w:rsidRPr="004839A6">
        <w:rPr>
          <w:rFonts w:ascii="Arial" w:hAnsi="Arial" w:cs="Arial"/>
          <w:sz w:val="19"/>
          <w:szCs w:val="19"/>
        </w:rPr>
        <w:t xml:space="preserve">, </w:t>
      </w:r>
      <w:r w:rsidR="003A05C3" w:rsidRPr="004839A6">
        <w:rPr>
          <w:rFonts w:ascii="Arial" w:hAnsi="Arial" w:cs="Arial"/>
          <w:sz w:val="19"/>
          <w:szCs w:val="19"/>
        </w:rPr>
        <w:t>result</w:t>
      </w:r>
      <w:r w:rsidR="006321D5" w:rsidRPr="004839A6">
        <w:rPr>
          <w:rFonts w:ascii="Arial" w:hAnsi="Arial" w:cs="Arial"/>
          <w:sz w:val="19"/>
          <w:szCs w:val="19"/>
        </w:rPr>
        <w:t>ing</w:t>
      </w:r>
      <w:r w:rsidR="003A05C3" w:rsidRPr="004839A6">
        <w:rPr>
          <w:rFonts w:ascii="Arial" w:hAnsi="Arial" w:cs="Arial"/>
          <w:sz w:val="19"/>
          <w:szCs w:val="19"/>
        </w:rPr>
        <w:t xml:space="preserve"> in a </w:t>
      </w:r>
      <w:r w:rsidR="00C55301" w:rsidRPr="004839A6">
        <w:rPr>
          <w:rFonts w:ascii="Arial" w:hAnsi="Arial" w:cs="Arial"/>
          <w:sz w:val="19"/>
          <w:szCs w:val="19"/>
        </w:rPr>
        <w:t xml:space="preserve">proposed </w:t>
      </w:r>
      <w:r w:rsidR="00852D2C" w:rsidRPr="004839A6">
        <w:rPr>
          <w:rFonts w:ascii="Arial" w:hAnsi="Arial" w:cs="Arial"/>
          <w:sz w:val="19"/>
          <w:szCs w:val="19"/>
        </w:rPr>
        <w:t xml:space="preserve">total </w:t>
      </w:r>
      <w:r w:rsidR="000A045D" w:rsidRPr="004839A6">
        <w:rPr>
          <w:rFonts w:ascii="Arial" w:hAnsi="Arial" w:cs="Arial"/>
          <w:sz w:val="19"/>
          <w:szCs w:val="19"/>
        </w:rPr>
        <w:t xml:space="preserve">dividend </w:t>
      </w:r>
      <w:r w:rsidR="00852D2C" w:rsidRPr="004839A6">
        <w:rPr>
          <w:rFonts w:ascii="Arial" w:hAnsi="Arial" w:cs="Arial"/>
          <w:sz w:val="19"/>
          <w:szCs w:val="19"/>
        </w:rPr>
        <w:t xml:space="preserve">per share </w:t>
      </w:r>
      <w:r w:rsidR="000A045D" w:rsidRPr="004839A6">
        <w:rPr>
          <w:rFonts w:ascii="Arial" w:hAnsi="Arial" w:cs="Arial"/>
          <w:sz w:val="19"/>
          <w:szCs w:val="19"/>
        </w:rPr>
        <w:t xml:space="preserve">of </w:t>
      </w:r>
      <w:r w:rsidR="00852D2C" w:rsidRPr="00F854C7">
        <w:rPr>
          <w:rFonts w:ascii="Arial" w:hAnsi="Arial" w:cs="Arial"/>
          <w:sz w:val="19"/>
          <w:szCs w:val="19"/>
        </w:rPr>
        <w:t>12.40p</w:t>
      </w:r>
      <w:r w:rsidR="00852D2C" w:rsidRPr="004839A6">
        <w:rPr>
          <w:rFonts w:ascii="Arial" w:hAnsi="Arial" w:cs="Arial"/>
          <w:sz w:val="19"/>
          <w:szCs w:val="19"/>
        </w:rPr>
        <w:t xml:space="preserve"> </w:t>
      </w:r>
      <w:r w:rsidR="006321D5" w:rsidRPr="004839A6">
        <w:rPr>
          <w:rFonts w:ascii="Arial" w:hAnsi="Arial" w:cs="Arial"/>
          <w:sz w:val="19"/>
          <w:szCs w:val="19"/>
        </w:rPr>
        <w:t xml:space="preserve">in respect of FY 21/22 </w:t>
      </w:r>
      <w:r w:rsidR="00852D2C" w:rsidRPr="004839A6">
        <w:rPr>
          <w:rFonts w:ascii="Arial" w:hAnsi="Arial" w:cs="Arial"/>
          <w:sz w:val="19"/>
          <w:szCs w:val="19"/>
        </w:rPr>
        <w:t xml:space="preserve">(FY 20/21: 8.25p). </w:t>
      </w:r>
      <w:r w:rsidRPr="004839A6">
        <w:rPr>
          <w:rFonts w:ascii="Arial" w:hAnsi="Arial" w:cs="Arial"/>
          <w:sz w:val="19"/>
          <w:szCs w:val="19"/>
        </w:rPr>
        <w:t>The final dividend is subject to the approval of shareholders at the Annual General</w:t>
      </w:r>
      <w:r w:rsidRPr="00F22BFF">
        <w:rPr>
          <w:rFonts w:ascii="Arial" w:hAnsi="Arial" w:cs="Arial"/>
          <w:sz w:val="19"/>
          <w:szCs w:val="19"/>
        </w:rPr>
        <w:t xml:space="preserve"> Meeting on </w:t>
      </w:r>
      <w:r w:rsidR="00C6058E" w:rsidRPr="00F22BFF">
        <w:rPr>
          <w:rFonts w:ascii="Arial" w:hAnsi="Arial" w:cs="Arial"/>
          <w:sz w:val="19"/>
          <w:szCs w:val="19"/>
        </w:rPr>
        <w:t>22</w:t>
      </w:r>
      <w:r w:rsidRPr="00F22BFF">
        <w:rPr>
          <w:rFonts w:ascii="Arial" w:hAnsi="Arial" w:cs="Arial"/>
          <w:sz w:val="19"/>
          <w:szCs w:val="19"/>
        </w:rPr>
        <w:t xml:space="preserve"> June 202</w:t>
      </w:r>
      <w:r w:rsidR="00C6058E" w:rsidRPr="00F22BFF">
        <w:rPr>
          <w:rFonts w:ascii="Arial" w:hAnsi="Arial" w:cs="Arial"/>
          <w:sz w:val="19"/>
          <w:szCs w:val="19"/>
        </w:rPr>
        <w:t>2</w:t>
      </w:r>
      <w:r w:rsidRPr="00F22BFF">
        <w:rPr>
          <w:rFonts w:ascii="Arial" w:hAnsi="Arial" w:cs="Arial"/>
          <w:sz w:val="19"/>
          <w:szCs w:val="19"/>
        </w:rPr>
        <w:t>.</w:t>
      </w:r>
      <w:bookmarkEnd w:id="16"/>
    </w:p>
    <w:p w14:paraId="1E4DF190" w14:textId="69CF0FBC" w:rsidR="00C52B32" w:rsidRPr="00F22BFF" w:rsidRDefault="00C52B32" w:rsidP="00C52B32">
      <w:pPr>
        <w:jc w:val="left"/>
        <w:rPr>
          <w:rFonts w:ascii="Arial" w:hAnsi="Arial" w:cs="Arial"/>
          <w:sz w:val="19"/>
          <w:szCs w:val="19"/>
        </w:rPr>
      </w:pPr>
      <w:r w:rsidRPr="00F22BFF">
        <w:rPr>
          <w:rFonts w:ascii="Arial" w:hAnsi="Arial" w:cs="Arial"/>
          <w:sz w:val="19"/>
          <w:szCs w:val="19"/>
          <w:vertAlign w:val="superscript"/>
        </w:rPr>
        <w:t>(</w:t>
      </w:r>
      <w:r w:rsidR="007779CB" w:rsidRPr="00F22BFF">
        <w:rPr>
          <w:rFonts w:ascii="Arial" w:hAnsi="Arial" w:cs="Arial"/>
          <w:sz w:val="19"/>
          <w:szCs w:val="19"/>
          <w:vertAlign w:val="superscript"/>
        </w:rPr>
        <w:t>2</w:t>
      </w:r>
      <w:r w:rsidRPr="00F22BFF">
        <w:rPr>
          <w:rFonts w:ascii="Arial" w:hAnsi="Arial" w:cs="Arial"/>
          <w:sz w:val="19"/>
          <w:szCs w:val="19"/>
          <w:vertAlign w:val="superscript"/>
        </w:rPr>
        <w:t>)</w:t>
      </w:r>
      <w:r w:rsidRPr="00F22BFF">
        <w:rPr>
          <w:rFonts w:ascii="Arial" w:hAnsi="Arial" w:cs="Arial"/>
          <w:sz w:val="19"/>
          <w:szCs w:val="19"/>
        </w:rPr>
        <w:t xml:space="preserve"> Net debt includes c.£2.</w:t>
      </w:r>
      <w:r w:rsidR="00EE6BDE" w:rsidRPr="00F22BFF">
        <w:rPr>
          <w:rFonts w:ascii="Arial" w:hAnsi="Arial" w:cs="Arial"/>
          <w:sz w:val="19"/>
          <w:szCs w:val="19"/>
        </w:rPr>
        <w:t>4</w:t>
      </w:r>
      <w:r w:rsidR="000F2F06">
        <w:rPr>
          <w:rFonts w:ascii="Arial" w:hAnsi="Arial" w:cs="Arial"/>
          <w:sz w:val="19"/>
          <w:szCs w:val="19"/>
        </w:rPr>
        <w:t>bn</w:t>
      </w:r>
      <w:r w:rsidRPr="00F22BFF">
        <w:rPr>
          <w:rFonts w:ascii="Arial" w:hAnsi="Arial" w:cs="Arial"/>
          <w:sz w:val="19"/>
          <w:szCs w:val="19"/>
        </w:rPr>
        <w:t xml:space="preserve"> lease liabilities under IFRS 16 in </w:t>
      </w:r>
      <w:r w:rsidR="00C6058E" w:rsidRPr="00F22BFF">
        <w:rPr>
          <w:rFonts w:ascii="Arial" w:hAnsi="Arial" w:cs="Arial"/>
          <w:sz w:val="19"/>
          <w:szCs w:val="19"/>
        </w:rPr>
        <w:t>FY</w:t>
      </w:r>
      <w:r w:rsidRPr="00F22BFF">
        <w:rPr>
          <w:rFonts w:ascii="Arial" w:hAnsi="Arial" w:cs="Arial"/>
          <w:sz w:val="19"/>
          <w:szCs w:val="19"/>
        </w:rPr>
        <w:t xml:space="preserve"> 21/22 (</w:t>
      </w:r>
      <w:r w:rsidR="00C6058E" w:rsidRPr="00F22BFF">
        <w:rPr>
          <w:rFonts w:ascii="Arial" w:hAnsi="Arial" w:cs="Arial"/>
          <w:sz w:val="19"/>
          <w:szCs w:val="19"/>
        </w:rPr>
        <w:t>FY</w:t>
      </w:r>
      <w:r w:rsidRPr="00F22BFF">
        <w:rPr>
          <w:rFonts w:ascii="Arial" w:hAnsi="Arial" w:cs="Arial"/>
          <w:sz w:val="19"/>
          <w:szCs w:val="19"/>
        </w:rPr>
        <w:t xml:space="preserve"> 20/21: c.£2.</w:t>
      </w:r>
      <w:r w:rsidR="00C6058E" w:rsidRPr="00F22BFF">
        <w:rPr>
          <w:rFonts w:ascii="Arial" w:hAnsi="Arial" w:cs="Arial"/>
          <w:sz w:val="19"/>
          <w:szCs w:val="19"/>
        </w:rPr>
        <w:t>4</w:t>
      </w:r>
      <w:r w:rsidR="000F2F06">
        <w:rPr>
          <w:rFonts w:ascii="Arial" w:hAnsi="Arial" w:cs="Arial"/>
          <w:sz w:val="19"/>
          <w:szCs w:val="19"/>
        </w:rPr>
        <w:t>bn</w:t>
      </w:r>
      <w:r w:rsidRPr="00F22BFF">
        <w:rPr>
          <w:rFonts w:ascii="Arial" w:hAnsi="Arial" w:cs="Arial"/>
          <w:sz w:val="19"/>
          <w:szCs w:val="19"/>
        </w:rPr>
        <w:t>).</w:t>
      </w:r>
    </w:p>
    <w:p w14:paraId="2F38D8D6" w14:textId="479B825A" w:rsidR="00C52B32" w:rsidRPr="00F22BFF" w:rsidRDefault="00C52B32" w:rsidP="00C52B32">
      <w:pPr>
        <w:jc w:val="left"/>
        <w:rPr>
          <w:rFonts w:ascii="Arial" w:hAnsi="Arial" w:cs="Arial"/>
          <w:sz w:val="19"/>
          <w:szCs w:val="19"/>
        </w:rPr>
      </w:pPr>
      <w:bookmarkStart w:id="17" w:name="_Hlk96706153"/>
      <w:r w:rsidRPr="00F22BFF">
        <w:rPr>
          <w:rFonts w:ascii="Arial" w:hAnsi="Arial" w:cs="Arial"/>
          <w:sz w:val="19"/>
          <w:szCs w:val="19"/>
          <w:vertAlign w:val="superscript"/>
        </w:rPr>
        <w:t>(</w:t>
      </w:r>
      <w:r w:rsidR="007779CB" w:rsidRPr="00F22BFF">
        <w:rPr>
          <w:rFonts w:ascii="Arial" w:hAnsi="Arial" w:cs="Arial"/>
          <w:sz w:val="19"/>
          <w:szCs w:val="19"/>
          <w:vertAlign w:val="superscript"/>
        </w:rPr>
        <w:t>3</w:t>
      </w:r>
      <w:r w:rsidRPr="00F22BFF">
        <w:rPr>
          <w:rFonts w:ascii="Arial" w:hAnsi="Arial" w:cs="Arial"/>
          <w:sz w:val="19"/>
          <w:szCs w:val="19"/>
          <w:vertAlign w:val="superscript"/>
        </w:rPr>
        <w:t>)</w:t>
      </w:r>
      <w:r w:rsidRPr="00F22BFF">
        <w:rPr>
          <w:rFonts w:ascii="Arial" w:hAnsi="Arial" w:cs="Arial"/>
          <w:sz w:val="19"/>
          <w:szCs w:val="19"/>
        </w:rPr>
        <w:t xml:space="preserve"> ‘Q</w:t>
      </w:r>
      <w:r w:rsidR="00C6058E" w:rsidRPr="00F22BFF">
        <w:rPr>
          <w:rFonts w:ascii="Arial" w:hAnsi="Arial" w:cs="Arial"/>
          <w:sz w:val="19"/>
          <w:szCs w:val="19"/>
        </w:rPr>
        <w:t>1</w:t>
      </w:r>
      <w:r w:rsidRPr="00F22BFF">
        <w:rPr>
          <w:rFonts w:ascii="Arial" w:hAnsi="Arial" w:cs="Arial"/>
          <w:sz w:val="19"/>
          <w:szCs w:val="19"/>
        </w:rPr>
        <w:t xml:space="preserve"> 2</w:t>
      </w:r>
      <w:r w:rsidR="00C6058E" w:rsidRPr="00F22BFF">
        <w:rPr>
          <w:rFonts w:ascii="Arial" w:hAnsi="Arial" w:cs="Arial"/>
          <w:sz w:val="19"/>
          <w:szCs w:val="19"/>
        </w:rPr>
        <w:t>2</w:t>
      </w:r>
      <w:r w:rsidRPr="00F22BFF">
        <w:rPr>
          <w:rFonts w:ascii="Arial" w:hAnsi="Arial" w:cs="Arial"/>
          <w:sz w:val="19"/>
          <w:szCs w:val="19"/>
        </w:rPr>
        <w:t>/2</w:t>
      </w:r>
      <w:r w:rsidR="00C6058E" w:rsidRPr="00F22BFF">
        <w:rPr>
          <w:rFonts w:ascii="Arial" w:hAnsi="Arial" w:cs="Arial"/>
          <w:sz w:val="19"/>
          <w:szCs w:val="19"/>
        </w:rPr>
        <w:t>3</w:t>
      </w:r>
      <w:r w:rsidRPr="00F22BFF">
        <w:rPr>
          <w:rFonts w:ascii="Arial" w:hAnsi="Arial" w:cs="Arial"/>
          <w:sz w:val="19"/>
          <w:szCs w:val="19"/>
        </w:rPr>
        <w:t xml:space="preserve"> LFL sales (to 1</w:t>
      </w:r>
      <w:r w:rsidR="00EA6354" w:rsidRPr="00F22BFF">
        <w:rPr>
          <w:rFonts w:ascii="Arial" w:hAnsi="Arial" w:cs="Arial"/>
          <w:sz w:val="19"/>
          <w:szCs w:val="19"/>
        </w:rPr>
        <w:t>9</w:t>
      </w:r>
      <w:r w:rsidRPr="00F22BFF">
        <w:rPr>
          <w:rFonts w:ascii="Arial" w:hAnsi="Arial" w:cs="Arial"/>
          <w:sz w:val="19"/>
          <w:szCs w:val="19"/>
        </w:rPr>
        <w:t xml:space="preserve"> </w:t>
      </w:r>
      <w:r w:rsidR="00C6058E" w:rsidRPr="00F22BFF">
        <w:rPr>
          <w:rFonts w:ascii="Arial" w:hAnsi="Arial" w:cs="Arial"/>
          <w:sz w:val="19"/>
          <w:szCs w:val="19"/>
        </w:rPr>
        <w:t>March</w:t>
      </w:r>
      <w:r w:rsidR="0090392B" w:rsidRPr="00F22BFF">
        <w:rPr>
          <w:rFonts w:ascii="Arial" w:hAnsi="Arial" w:cs="Arial"/>
          <w:sz w:val="19"/>
          <w:szCs w:val="19"/>
        </w:rPr>
        <w:t xml:space="preserve"> 2022</w:t>
      </w:r>
      <w:r w:rsidRPr="00F22BFF">
        <w:rPr>
          <w:rFonts w:ascii="Arial" w:hAnsi="Arial" w:cs="Arial"/>
          <w:sz w:val="19"/>
          <w:szCs w:val="19"/>
        </w:rPr>
        <w:t>)’ represent</w:t>
      </w:r>
      <w:r w:rsidR="00127626" w:rsidRPr="00F22BFF">
        <w:rPr>
          <w:rFonts w:ascii="Arial" w:hAnsi="Arial" w:cs="Arial"/>
          <w:sz w:val="19"/>
          <w:szCs w:val="19"/>
        </w:rPr>
        <w:t>s</w:t>
      </w:r>
      <w:r w:rsidRPr="00F22BFF">
        <w:rPr>
          <w:rFonts w:ascii="Arial" w:hAnsi="Arial" w:cs="Arial"/>
          <w:sz w:val="19"/>
          <w:szCs w:val="19"/>
        </w:rPr>
        <w:t xml:space="preserve"> the period from </w:t>
      </w:r>
      <w:r w:rsidR="0034763D" w:rsidRPr="00F22BFF">
        <w:rPr>
          <w:rFonts w:ascii="Arial" w:hAnsi="Arial" w:cs="Arial"/>
          <w:sz w:val="19"/>
          <w:szCs w:val="19"/>
        </w:rPr>
        <w:t>30 January 2022 to 1</w:t>
      </w:r>
      <w:r w:rsidR="005F3584" w:rsidRPr="00F22BFF">
        <w:rPr>
          <w:rFonts w:ascii="Arial" w:hAnsi="Arial" w:cs="Arial"/>
          <w:sz w:val="19"/>
          <w:szCs w:val="19"/>
        </w:rPr>
        <w:t>9</w:t>
      </w:r>
      <w:r w:rsidR="0034763D" w:rsidRPr="00F22BFF">
        <w:rPr>
          <w:rFonts w:ascii="Arial" w:hAnsi="Arial" w:cs="Arial"/>
          <w:sz w:val="19"/>
          <w:szCs w:val="19"/>
        </w:rPr>
        <w:t xml:space="preserve"> March 2022 </w:t>
      </w:r>
      <w:r w:rsidRPr="00F22BFF">
        <w:rPr>
          <w:rFonts w:ascii="Arial" w:hAnsi="Arial" w:cs="Arial"/>
          <w:sz w:val="19"/>
          <w:szCs w:val="19"/>
        </w:rPr>
        <w:t xml:space="preserve">(compared against the equivalent period in the prior year, from </w:t>
      </w:r>
      <w:r w:rsidR="0034763D" w:rsidRPr="00F22BFF">
        <w:rPr>
          <w:rFonts w:ascii="Arial" w:hAnsi="Arial" w:cs="Arial"/>
          <w:sz w:val="19"/>
          <w:szCs w:val="19"/>
        </w:rPr>
        <w:t xml:space="preserve">31 January 2021 to </w:t>
      </w:r>
      <w:r w:rsidR="00071652" w:rsidRPr="00F22BFF">
        <w:rPr>
          <w:rFonts w:ascii="Arial" w:hAnsi="Arial" w:cs="Arial"/>
          <w:sz w:val="19"/>
          <w:szCs w:val="19"/>
        </w:rPr>
        <w:t>20</w:t>
      </w:r>
      <w:r w:rsidR="0034763D" w:rsidRPr="00F22BFF">
        <w:rPr>
          <w:rFonts w:ascii="Arial" w:hAnsi="Arial" w:cs="Arial"/>
          <w:sz w:val="19"/>
          <w:szCs w:val="19"/>
        </w:rPr>
        <w:t xml:space="preserve"> March 2021</w:t>
      </w:r>
      <w:r w:rsidRPr="00F22BFF">
        <w:rPr>
          <w:rFonts w:ascii="Arial" w:hAnsi="Arial" w:cs="Arial"/>
          <w:sz w:val="19"/>
          <w:szCs w:val="19"/>
        </w:rPr>
        <w:t xml:space="preserve">). </w:t>
      </w:r>
      <w:r w:rsidR="00CC36DE" w:rsidRPr="00F22BFF">
        <w:rPr>
          <w:rFonts w:ascii="Arial" w:hAnsi="Arial" w:cs="Arial"/>
          <w:sz w:val="19"/>
          <w:szCs w:val="19"/>
        </w:rPr>
        <w:t xml:space="preserve">The corresponding 2-year LFL represents the period from 30 January 2022 to 19 March 2022 compared against the equivalent period in FY </w:t>
      </w:r>
      <w:r w:rsidR="00813072" w:rsidRPr="00F22BFF">
        <w:rPr>
          <w:rFonts w:ascii="Arial" w:hAnsi="Arial" w:cs="Arial"/>
          <w:sz w:val="19"/>
          <w:szCs w:val="19"/>
        </w:rPr>
        <w:t>20</w:t>
      </w:r>
      <w:r w:rsidR="00CC36DE" w:rsidRPr="00F22BFF">
        <w:rPr>
          <w:rFonts w:ascii="Arial" w:hAnsi="Arial" w:cs="Arial"/>
          <w:sz w:val="19"/>
          <w:szCs w:val="19"/>
        </w:rPr>
        <w:t>/2</w:t>
      </w:r>
      <w:r w:rsidR="00813072" w:rsidRPr="00F22BFF">
        <w:rPr>
          <w:rFonts w:ascii="Arial" w:hAnsi="Arial" w:cs="Arial"/>
          <w:sz w:val="19"/>
          <w:szCs w:val="19"/>
        </w:rPr>
        <w:t>1</w:t>
      </w:r>
      <w:r w:rsidR="00CC36DE" w:rsidRPr="00F22BFF">
        <w:rPr>
          <w:rFonts w:ascii="Arial" w:hAnsi="Arial" w:cs="Arial"/>
          <w:sz w:val="19"/>
          <w:szCs w:val="19"/>
        </w:rPr>
        <w:t xml:space="preserve"> (</w:t>
      </w:r>
      <w:r w:rsidR="008B5720" w:rsidRPr="00F22BFF">
        <w:rPr>
          <w:rFonts w:ascii="Arial" w:hAnsi="Arial" w:cs="Arial"/>
          <w:sz w:val="19"/>
          <w:szCs w:val="19"/>
        </w:rPr>
        <w:t>i.e.,</w:t>
      </w:r>
      <w:r w:rsidR="00CC36DE" w:rsidRPr="00F22BFF">
        <w:rPr>
          <w:rFonts w:ascii="Arial" w:hAnsi="Arial" w:cs="Arial"/>
          <w:sz w:val="19"/>
          <w:szCs w:val="19"/>
        </w:rPr>
        <w:t xml:space="preserve"> from </w:t>
      </w:r>
      <w:r w:rsidR="00471560" w:rsidRPr="00F22BFF">
        <w:rPr>
          <w:rFonts w:ascii="Arial" w:hAnsi="Arial" w:cs="Arial"/>
          <w:sz w:val="19"/>
          <w:szCs w:val="19"/>
        </w:rPr>
        <w:t>2</w:t>
      </w:r>
      <w:r w:rsidR="00CC36DE" w:rsidRPr="00F22BFF">
        <w:rPr>
          <w:rFonts w:ascii="Arial" w:hAnsi="Arial" w:cs="Arial"/>
          <w:sz w:val="19"/>
          <w:szCs w:val="19"/>
        </w:rPr>
        <w:t xml:space="preserve"> February 20</w:t>
      </w:r>
      <w:r w:rsidR="00471560" w:rsidRPr="00F22BFF">
        <w:rPr>
          <w:rFonts w:ascii="Arial" w:hAnsi="Arial" w:cs="Arial"/>
          <w:sz w:val="19"/>
          <w:szCs w:val="19"/>
        </w:rPr>
        <w:t>20</w:t>
      </w:r>
      <w:r w:rsidR="00CC36DE" w:rsidRPr="00F22BFF">
        <w:rPr>
          <w:rFonts w:ascii="Arial" w:hAnsi="Arial" w:cs="Arial"/>
          <w:sz w:val="19"/>
          <w:szCs w:val="19"/>
        </w:rPr>
        <w:t xml:space="preserve"> to 2</w:t>
      </w:r>
      <w:r w:rsidR="005343AE" w:rsidRPr="00F22BFF">
        <w:rPr>
          <w:rFonts w:ascii="Arial" w:hAnsi="Arial" w:cs="Arial"/>
          <w:sz w:val="19"/>
          <w:szCs w:val="19"/>
        </w:rPr>
        <w:t>1</w:t>
      </w:r>
      <w:r w:rsidR="00CC36DE" w:rsidRPr="00F22BFF">
        <w:rPr>
          <w:rFonts w:ascii="Arial" w:hAnsi="Arial" w:cs="Arial"/>
          <w:sz w:val="19"/>
          <w:szCs w:val="19"/>
        </w:rPr>
        <w:t xml:space="preserve"> March 20</w:t>
      </w:r>
      <w:r w:rsidR="00471560" w:rsidRPr="00F22BFF">
        <w:rPr>
          <w:rFonts w:ascii="Arial" w:hAnsi="Arial" w:cs="Arial"/>
          <w:sz w:val="19"/>
          <w:szCs w:val="19"/>
        </w:rPr>
        <w:t>20</w:t>
      </w:r>
      <w:r w:rsidR="00CC36DE" w:rsidRPr="00F22BFF">
        <w:rPr>
          <w:rFonts w:ascii="Arial" w:hAnsi="Arial" w:cs="Arial"/>
          <w:sz w:val="19"/>
          <w:szCs w:val="19"/>
        </w:rPr>
        <w:t xml:space="preserve">). </w:t>
      </w:r>
      <w:r w:rsidRPr="00F22BFF">
        <w:rPr>
          <w:rFonts w:ascii="Arial" w:hAnsi="Arial" w:cs="Arial"/>
          <w:sz w:val="19"/>
          <w:szCs w:val="19"/>
        </w:rPr>
        <w:t>The figures are provisional and exclude certain non-cash accounting adjustments relating to revenue recognition.</w:t>
      </w:r>
    </w:p>
    <w:p w14:paraId="057C4CB7" w14:textId="23946952" w:rsidR="00600699" w:rsidRPr="00F22BFF" w:rsidRDefault="00600699" w:rsidP="00C52B32">
      <w:pPr>
        <w:jc w:val="left"/>
        <w:rPr>
          <w:rFonts w:ascii="Arial" w:hAnsi="Arial" w:cs="Arial"/>
          <w:bCs/>
          <w:sz w:val="19"/>
          <w:szCs w:val="19"/>
        </w:rPr>
      </w:pPr>
      <w:bookmarkStart w:id="18" w:name="_Hlk96704308"/>
      <w:bookmarkStart w:id="19" w:name="_Hlk96778332"/>
      <w:bookmarkEnd w:id="17"/>
      <w:r w:rsidRPr="00F33A20">
        <w:rPr>
          <w:rFonts w:ascii="Arial" w:hAnsi="Arial" w:cs="Arial"/>
          <w:sz w:val="19"/>
          <w:szCs w:val="19"/>
          <w:vertAlign w:val="superscript"/>
        </w:rPr>
        <w:t>(</w:t>
      </w:r>
      <w:r w:rsidR="009A4E8F" w:rsidRPr="00F33A20">
        <w:rPr>
          <w:rFonts w:ascii="Arial" w:hAnsi="Arial" w:cs="Arial"/>
          <w:sz w:val="19"/>
          <w:szCs w:val="19"/>
          <w:vertAlign w:val="superscript"/>
        </w:rPr>
        <w:t>4</w:t>
      </w:r>
      <w:r w:rsidRPr="00F33A20">
        <w:rPr>
          <w:rFonts w:ascii="Arial" w:hAnsi="Arial" w:cs="Arial"/>
          <w:sz w:val="19"/>
          <w:szCs w:val="19"/>
          <w:vertAlign w:val="superscript"/>
        </w:rPr>
        <w:t>)</w:t>
      </w:r>
      <w:r w:rsidRPr="00F33A20">
        <w:rPr>
          <w:rFonts w:ascii="Arial" w:hAnsi="Arial" w:cs="Arial"/>
          <w:sz w:val="19"/>
          <w:szCs w:val="19"/>
        </w:rPr>
        <w:t xml:space="preserve"> </w:t>
      </w:r>
      <w:r w:rsidR="00C64059" w:rsidRPr="00F33A20">
        <w:rPr>
          <w:rFonts w:ascii="Arial" w:hAnsi="Arial" w:cs="Arial"/>
          <w:sz w:val="19"/>
          <w:szCs w:val="19"/>
        </w:rPr>
        <w:t xml:space="preserve">Guidance assumes current exchange rates. </w:t>
      </w:r>
      <w:r w:rsidR="00E13A53" w:rsidRPr="00F33A20">
        <w:rPr>
          <w:rFonts w:ascii="Arial" w:hAnsi="Arial" w:cs="Arial"/>
          <w:sz w:val="19"/>
          <w:szCs w:val="19"/>
        </w:rPr>
        <w:t xml:space="preserve">According to Company-compiled consensus estimates as of </w:t>
      </w:r>
      <w:r w:rsidR="00265E72" w:rsidRPr="003F41A1">
        <w:rPr>
          <w:rFonts w:ascii="Arial" w:hAnsi="Arial" w:cs="Arial"/>
          <w:sz w:val="19"/>
          <w:szCs w:val="19"/>
        </w:rPr>
        <w:t>1</w:t>
      </w:r>
      <w:r w:rsidR="00F33A20" w:rsidRPr="003F41A1">
        <w:rPr>
          <w:rFonts w:ascii="Arial" w:hAnsi="Arial" w:cs="Arial"/>
          <w:sz w:val="19"/>
          <w:szCs w:val="19"/>
        </w:rPr>
        <w:t>5</w:t>
      </w:r>
      <w:r w:rsidR="00265E72" w:rsidRPr="003F41A1">
        <w:rPr>
          <w:rFonts w:ascii="Arial" w:hAnsi="Arial" w:cs="Arial"/>
          <w:sz w:val="19"/>
          <w:szCs w:val="19"/>
        </w:rPr>
        <w:t xml:space="preserve"> March </w:t>
      </w:r>
      <w:r w:rsidR="00E13A53" w:rsidRPr="003F41A1">
        <w:rPr>
          <w:rFonts w:ascii="Arial" w:hAnsi="Arial" w:cs="Arial"/>
          <w:sz w:val="19"/>
          <w:szCs w:val="19"/>
        </w:rPr>
        <w:t>202</w:t>
      </w:r>
      <w:r w:rsidR="00265E72" w:rsidRPr="003F41A1">
        <w:rPr>
          <w:rFonts w:ascii="Arial" w:hAnsi="Arial" w:cs="Arial"/>
          <w:sz w:val="19"/>
          <w:szCs w:val="19"/>
        </w:rPr>
        <w:t>2</w:t>
      </w:r>
      <w:r w:rsidR="00E13A53" w:rsidRPr="00F33A20">
        <w:rPr>
          <w:rFonts w:ascii="Arial" w:hAnsi="Arial" w:cs="Arial"/>
          <w:sz w:val="19"/>
          <w:szCs w:val="19"/>
        </w:rPr>
        <w:t xml:space="preserve">, the </w:t>
      </w:r>
      <w:r w:rsidR="00BF7C59" w:rsidRPr="00F33A20">
        <w:rPr>
          <w:rFonts w:ascii="Arial" w:hAnsi="Arial" w:cs="Arial"/>
          <w:sz w:val="19"/>
          <w:szCs w:val="19"/>
        </w:rPr>
        <w:t xml:space="preserve">current </w:t>
      </w:r>
      <w:r w:rsidR="00E13A53" w:rsidRPr="00F33A20">
        <w:rPr>
          <w:rFonts w:ascii="Arial" w:hAnsi="Arial" w:cs="Arial"/>
          <w:sz w:val="19"/>
          <w:szCs w:val="19"/>
        </w:rPr>
        <w:t xml:space="preserve">consensus of sell-side analyst expectations for FY 22/23 adjusted profit before tax is </w:t>
      </w:r>
      <w:r w:rsidR="00E13A53" w:rsidRPr="003F41A1">
        <w:rPr>
          <w:rFonts w:ascii="Arial" w:hAnsi="Arial" w:cs="Arial"/>
          <w:sz w:val="19"/>
          <w:szCs w:val="19"/>
        </w:rPr>
        <w:t>£7</w:t>
      </w:r>
      <w:r w:rsidR="00D83253" w:rsidRPr="003F41A1">
        <w:rPr>
          <w:rFonts w:ascii="Arial" w:hAnsi="Arial" w:cs="Arial"/>
          <w:sz w:val="19"/>
          <w:szCs w:val="19"/>
        </w:rPr>
        <w:t>69</w:t>
      </w:r>
      <w:r w:rsidR="00E13A53" w:rsidRPr="003F41A1">
        <w:rPr>
          <w:rFonts w:ascii="Arial" w:hAnsi="Arial" w:cs="Arial"/>
          <w:sz w:val="19"/>
          <w:szCs w:val="19"/>
        </w:rPr>
        <w:t>m</w:t>
      </w:r>
      <w:r w:rsidR="00E13A53" w:rsidRPr="00F33A20">
        <w:rPr>
          <w:rFonts w:ascii="Arial" w:hAnsi="Arial" w:cs="Arial"/>
          <w:sz w:val="19"/>
          <w:szCs w:val="19"/>
        </w:rPr>
        <w:t>.</w:t>
      </w:r>
    </w:p>
    <w:bookmarkEnd w:id="18"/>
    <w:bookmarkEnd w:id="19"/>
    <w:p w14:paraId="5DF96C29" w14:textId="77777777" w:rsidR="003D1FAA" w:rsidRPr="00CC1C66" w:rsidRDefault="003D1FAA" w:rsidP="00C52B32">
      <w:pPr>
        <w:jc w:val="left"/>
        <w:rPr>
          <w:rFonts w:ascii="Arial" w:hAnsi="Arial" w:cs="Arial"/>
          <w:bCs/>
          <w:sz w:val="19"/>
          <w:szCs w:val="19"/>
        </w:rPr>
      </w:pPr>
    </w:p>
    <w:p w14:paraId="561D1792" w14:textId="77777777" w:rsidR="00C52B32" w:rsidRPr="00CC1C66" w:rsidRDefault="00C52B32" w:rsidP="00C52B32">
      <w:pPr>
        <w:jc w:val="left"/>
        <w:rPr>
          <w:rFonts w:ascii="Arial" w:hAnsi="Arial" w:cs="Arial"/>
          <w:b/>
          <w:bCs/>
          <w:sz w:val="19"/>
          <w:szCs w:val="19"/>
        </w:rPr>
      </w:pPr>
      <w:r w:rsidRPr="00CC1C66">
        <w:rPr>
          <w:rFonts w:ascii="Arial" w:hAnsi="Arial" w:cs="Arial"/>
          <w:b/>
          <w:bCs/>
          <w:sz w:val="19"/>
          <w:szCs w:val="19"/>
        </w:rPr>
        <w:t>Non-GAAP measures and other terms</w:t>
      </w:r>
    </w:p>
    <w:p w14:paraId="351E1E7F" w14:textId="093FA4D1" w:rsidR="00C52B32" w:rsidRPr="00CC1C66" w:rsidRDefault="00C52B32" w:rsidP="00C52B32">
      <w:pPr>
        <w:jc w:val="left"/>
        <w:rPr>
          <w:rFonts w:ascii="Arial" w:hAnsi="Arial" w:cs="Arial"/>
          <w:bCs/>
          <w:sz w:val="19"/>
          <w:szCs w:val="19"/>
        </w:rPr>
      </w:pPr>
      <w:r w:rsidRPr="00CC1C66">
        <w:rPr>
          <w:rFonts w:ascii="Arial" w:hAnsi="Arial" w:cs="Arial"/>
          <w:sz w:val="19"/>
          <w:szCs w:val="19"/>
        </w:rPr>
        <w:t xml:space="preserve">Throughout this release ‘*’ indicates the first instance of a term defined and explained in the Glossary (Section 6). Not all the figures and ratios used are readily available from the unaudited </w:t>
      </w:r>
      <w:r w:rsidR="005653A4" w:rsidRPr="00CC1C66">
        <w:rPr>
          <w:rFonts w:ascii="Arial" w:hAnsi="Arial" w:cs="Arial"/>
          <w:sz w:val="19"/>
          <w:szCs w:val="19"/>
        </w:rPr>
        <w:t xml:space="preserve">final </w:t>
      </w:r>
      <w:r w:rsidRPr="00CC1C66">
        <w:rPr>
          <w:rFonts w:ascii="Arial" w:hAnsi="Arial" w:cs="Arial"/>
          <w:sz w:val="19"/>
          <w:szCs w:val="19"/>
        </w:rPr>
        <w:t xml:space="preserve">results included in part 2 of this announcement. Management </w:t>
      </w:r>
      <w:r w:rsidR="008B5720" w:rsidRPr="00CC1C66">
        <w:rPr>
          <w:rFonts w:ascii="Arial" w:hAnsi="Arial" w:cs="Arial"/>
          <w:sz w:val="19"/>
          <w:szCs w:val="19"/>
        </w:rPr>
        <w:t>believes</w:t>
      </w:r>
      <w:r w:rsidRPr="00CC1C66">
        <w:rPr>
          <w:rFonts w:ascii="Arial" w:hAnsi="Arial" w:cs="Arial"/>
          <w:sz w:val="19"/>
          <w:szCs w:val="19"/>
        </w:rPr>
        <w:t xml:space="preserve"> that these non-GAAP measures (</w:t>
      </w:r>
      <w:r w:rsidR="0007689A" w:rsidRPr="00CC1C66">
        <w:rPr>
          <w:rFonts w:ascii="Arial" w:hAnsi="Arial" w:cs="Arial"/>
          <w:sz w:val="19"/>
          <w:szCs w:val="19"/>
        </w:rPr>
        <w:t>or</w:t>
      </w:r>
      <w:r w:rsidRPr="00CC1C66">
        <w:rPr>
          <w:rFonts w:ascii="Arial" w:hAnsi="Arial" w:cs="Arial"/>
          <w:sz w:val="19"/>
          <w:szCs w:val="19"/>
        </w:rPr>
        <w:t xml:space="preserve"> </w:t>
      </w:r>
      <w:r w:rsidR="0007689A" w:rsidRPr="00CC1C66">
        <w:rPr>
          <w:rFonts w:ascii="Arial" w:hAnsi="Arial" w:cs="Arial"/>
          <w:sz w:val="19"/>
          <w:szCs w:val="19"/>
        </w:rPr>
        <w:t>‘A</w:t>
      </w:r>
      <w:r w:rsidRPr="00CC1C66">
        <w:rPr>
          <w:rFonts w:ascii="Arial" w:hAnsi="Arial" w:cs="Arial"/>
          <w:sz w:val="19"/>
          <w:szCs w:val="19"/>
        </w:rPr>
        <w:t xml:space="preserve">lternative </w:t>
      </w:r>
      <w:r w:rsidR="0007689A" w:rsidRPr="00CC1C66">
        <w:rPr>
          <w:rFonts w:ascii="Arial" w:hAnsi="Arial" w:cs="Arial"/>
          <w:sz w:val="19"/>
          <w:szCs w:val="19"/>
        </w:rPr>
        <w:t>P</w:t>
      </w:r>
      <w:r w:rsidRPr="00CC1C66">
        <w:rPr>
          <w:rFonts w:ascii="Arial" w:hAnsi="Arial" w:cs="Arial"/>
          <w:sz w:val="19"/>
          <w:szCs w:val="19"/>
        </w:rPr>
        <w:t xml:space="preserve">erformance </w:t>
      </w:r>
      <w:r w:rsidR="0007689A" w:rsidRPr="00CC1C66">
        <w:rPr>
          <w:rFonts w:ascii="Arial" w:hAnsi="Arial" w:cs="Arial"/>
          <w:sz w:val="19"/>
          <w:szCs w:val="19"/>
        </w:rPr>
        <w:t>M</w:t>
      </w:r>
      <w:r w:rsidRPr="00CC1C66">
        <w:rPr>
          <w:rFonts w:ascii="Arial" w:hAnsi="Arial" w:cs="Arial"/>
          <w:sz w:val="19"/>
          <w:szCs w:val="19"/>
        </w:rPr>
        <w:t>easures</w:t>
      </w:r>
      <w:r w:rsidR="0007689A" w:rsidRPr="00CC1C66">
        <w:rPr>
          <w:rFonts w:ascii="Arial" w:hAnsi="Arial" w:cs="Arial"/>
          <w:sz w:val="19"/>
          <w:szCs w:val="19"/>
        </w:rPr>
        <w:t>’</w:t>
      </w:r>
      <w:r w:rsidRPr="00CC1C66">
        <w:rPr>
          <w:rFonts w:ascii="Arial" w:hAnsi="Arial" w:cs="Arial"/>
          <w:sz w:val="19"/>
          <w:szCs w:val="19"/>
        </w:rPr>
        <w:t>), including adjusted profit measures, constant currency and like-for-like sales growth, are useful and necessary to assist the understanding of the Group’s results. Where required, a reconciliation to statutory amounts is set out in the Financial Review (Section 5).</w:t>
      </w:r>
    </w:p>
    <w:p w14:paraId="5F84BB89" w14:textId="77777777" w:rsidR="00C52B32" w:rsidRPr="00CC1C66" w:rsidRDefault="00C52B32" w:rsidP="00C52B32">
      <w:pPr>
        <w:autoSpaceDE w:val="0"/>
        <w:autoSpaceDN w:val="0"/>
        <w:adjustRightInd w:val="0"/>
        <w:jc w:val="left"/>
        <w:rPr>
          <w:rFonts w:ascii="Arial" w:hAnsi="Arial" w:cs="Arial"/>
          <w:bCs/>
          <w:sz w:val="19"/>
          <w:szCs w:val="19"/>
        </w:rPr>
      </w:pPr>
    </w:p>
    <w:p w14:paraId="021B68F7" w14:textId="77777777" w:rsidR="00C52B32" w:rsidRPr="00CC1C66" w:rsidRDefault="00C52B32" w:rsidP="00C52B32">
      <w:pPr>
        <w:jc w:val="left"/>
        <w:rPr>
          <w:rFonts w:ascii="Arial" w:hAnsi="Arial" w:cs="Arial"/>
          <w:b/>
          <w:bCs/>
          <w:sz w:val="19"/>
          <w:szCs w:val="19"/>
        </w:rPr>
      </w:pPr>
      <w:r w:rsidRPr="00CC1C66">
        <w:rPr>
          <w:rFonts w:ascii="Arial" w:hAnsi="Arial" w:cs="Arial"/>
          <w:b/>
          <w:bCs/>
          <w:sz w:val="19"/>
          <w:szCs w:val="19"/>
        </w:rPr>
        <w:t>Contacts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721"/>
        <w:gridCol w:w="3515"/>
      </w:tblGrid>
      <w:tr w:rsidR="00C52B32" w:rsidRPr="00CC1C66" w14:paraId="4536A526" w14:textId="77777777" w:rsidTr="008718F6">
        <w:trPr>
          <w:trHeight w:val="253"/>
        </w:trPr>
        <w:tc>
          <w:tcPr>
            <w:tcW w:w="2494" w:type="dxa"/>
            <w:vAlign w:val="center"/>
          </w:tcPr>
          <w:p w14:paraId="7096784F" w14:textId="77777777" w:rsidR="00C52B32" w:rsidRPr="00CC1C66" w:rsidRDefault="00C52B32" w:rsidP="003D1FAA">
            <w:pPr>
              <w:jc w:val="left"/>
              <w:rPr>
                <w:rFonts w:ascii="Arial" w:hAnsi="Arial" w:cs="Arial"/>
                <w:sz w:val="19"/>
                <w:szCs w:val="19"/>
              </w:rPr>
            </w:pPr>
          </w:p>
        </w:tc>
        <w:tc>
          <w:tcPr>
            <w:tcW w:w="2721" w:type="dxa"/>
            <w:vAlign w:val="center"/>
          </w:tcPr>
          <w:p w14:paraId="579271D3" w14:textId="77777777" w:rsidR="00C52B32" w:rsidRPr="00CC1C66" w:rsidRDefault="00C52B32" w:rsidP="003D1FAA">
            <w:pPr>
              <w:jc w:val="left"/>
              <w:rPr>
                <w:rFonts w:ascii="Arial" w:hAnsi="Arial" w:cs="Arial"/>
                <w:sz w:val="19"/>
                <w:szCs w:val="19"/>
                <w:highlight w:val="yellow"/>
              </w:rPr>
            </w:pPr>
            <w:r w:rsidRPr="00CC1C66">
              <w:rPr>
                <w:rFonts w:ascii="Arial" w:hAnsi="Arial" w:cs="Arial"/>
                <w:b/>
                <w:sz w:val="19"/>
                <w:szCs w:val="19"/>
              </w:rPr>
              <w:t>Tel:</w:t>
            </w:r>
          </w:p>
        </w:tc>
        <w:tc>
          <w:tcPr>
            <w:tcW w:w="3515" w:type="dxa"/>
            <w:vAlign w:val="center"/>
          </w:tcPr>
          <w:p w14:paraId="282597A0" w14:textId="77777777" w:rsidR="00C52B32" w:rsidRPr="00CC1C66" w:rsidRDefault="00C52B32" w:rsidP="003D1FAA">
            <w:pPr>
              <w:jc w:val="left"/>
              <w:rPr>
                <w:rFonts w:ascii="Arial" w:hAnsi="Arial" w:cs="Arial"/>
                <w:b/>
                <w:sz w:val="19"/>
                <w:szCs w:val="19"/>
              </w:rPr>
            </w:pPr>
            <w:r w:rsidRPr="00CC1C66">
              <w:rPr>
                <w:rFonts w:ascii="Arial" w:hAnsi="Arial" w:cs="Arial"/>
                <w:b/>
                <w:sz w:val="19"/>
                <w:szCs w:val="19"/>
              </w:rPr>
              <w:t>Email:</w:t>
            </w:r>
          </w:p>
        </w:tc>
      </w:tr>
      <w:tr w:rsidR="00C52B32" w:rsidRPr="00CC1C66" w14:paraId="40705216" w14:textId="77777777" w:rsidTr="008718F6">
        <w:trPr>
          <w:trHeight w:val="253"/>
        </w:trPr>
        <w:tc>
          <w:tcPr>
            <w:tcW w:w="2494" w:type="dxa"/>
            <w:vAlign w:val="center"/>
          </w:tcPr>
          <w:p w14:paraId="5C6A7C58" w14:textId="77777777" w:rsidR="00C52B32" w:rsidRPr="00CC1C66" w:rsidRDefault="00C52B32" w:rsidP="003D1FAA">
            <w:pPr>
              <w:ind w:firstLine="30"/>
              <w:jc w:val="left"/>
              <w:rPr>
                <w:rFonts w:ascii="Arial" w:hAnsi="Arial" w:cs="Arial"/>
                <w:sz w:val="19"/>
                <w:szCs w:val="19"/>
              </w:rPr>
            </w:pPr>
            <w:r w:rsidRPr="00CC1C66">
              <w:rPr>
                <w:rFonts w:ascii="Arial" w:hAnsi="Arial" w:cs="Arial"/>
                <w:sz w:val="19"/>
                <w:szCs w:val="19"/>
              </w:rPr>
              <w:t>Investor Relations</w:t>
            </w:r>
          </w:p>
        </w:tc>
        <w:tc>
          <w:tcPr>
            <w:tcW w:w="2721" w:type="dxa"/>
            <w:vAlign w:val="center"/>
          </w:tcPr>
          <w:p w14:paraId="7C311821" w14:textId="77777777" w:rsidR="00C52B32" w:rsidRPr="00CC1C66" w:rsidRDefault="00C52B32" w:rsidP="003D1FAA">
            <w:pPr>
              <w:jc w:val="left"/>
              <w:rPr>
                <w:rFonts w:ascii="Arial" w:hAnsi="Arial" w:cs="Arial"/>
                <w:sz w:val="19"/>
                <w:szCs w:val="19"/>
                <w:highlight w:val="yellow"/>
              </w:rPr>
            </w:pPr>
            <w:r w:rsidRPr="00CC1C66">
              <w:rPr>
                <w:rFonts w:ascii="Arial" w:hAnsi="Arial" w:cs="Arial"/>
                <w:sz w:val="19"/>
                <w:szCs w:val="19"/>
              </w:rPr>
              <w:t>+44 (0) 20 7644 1082</w:t>
            </w:r>
          </w:p>
        </w:tc>
        <w:tc>
          <w:tcPr>
            <w:tcW w:w="3515" w:type="dxa"/>
            <w:vAlign w:val="center"/>
          </w:tcPr>
          <w:p w14:paraId="027793DE" w14:textId="045C96B4" w:rsidR="00C52B32" w:rsidRPr="00CC1C66" w:rsidRDefault="00720684" w:rsidP="003D1FAA">
            <w:pPr>
              <w:jc w:val="left"/>
              <w:rPr>
                <w:rFonts w:ascii="Arial" w:hAnsi="Arial" w:cs="Arial"/>
                <w:sz w:val="19"/>
                <w:szCs w:val="19"/>
                <w:highlight w:val="yellow"/>
              </w:rPr>
            </w:pPr>
            <w:hyperlink r:id="rId8" w:history="1">
              <w:r w:rsidR="00E77C41" w:rsidRPr="00CC1C66">
                <w:rPr>
                  <w:rStyle w:val="Hyperlink"/>
                  <w:rFonts w:ascii="Arial" w:hAnsi="Arial" w:cs="Arial"/>
                  <w:sz w:val="19"/>
                  <w:szCs w:val="19"/>
                </w:rPr>
                <w:t>investorenquiries@kingfisher.com</w:t>
              </w:r>
            </w:hyperlink>
          </w:p>
        </w:tc>
      </w:tr>
      <w:tr w:rsidR="00C52B32" w:rsidRPr="00CC1C66" w14:paraId="2376720E" w14:textId="77777777" w:rsidTr="008718F6">
        <w:trPr>
          <w:trHeight w:val="253"/>
        </w:trPr>
        <w:tc>
          <w:tcPr>
            <w:tcW w:w="2494" w:type="dxa"/>
            <w:vAlign w:val="center"/>
          </w:tcPr>
          <w:p w14:paraId="3009F6CE" w14:textId="77777777" w:rsidR="00C52B32" w:rsidRPr="00CC1C66" w:rsidRDefault="00C52B32" w:rsidP="003D1FAA">
            <w:pPr>
              <w:ind w:firstLine="30"/>
              <w:jc w:val="left"/>
              <w:rPr>
                <w:rFonts w:ascii="Arial" w:hAnsi="Arial" w:cs="Arial"/>
                <w:sz w:val="19"/>
                <w:szCs w:val="19"/>
              </w:rPr>
            </w:pPr>
            <w:r w:rsidRPr="00CC1C66">
              <w:rPr>
                <w:rFonts w:ascii="Arial" w:hAnsi="Arial" w:cs="Arial"/>
                <w:sz w:val="19"/>
                <w:szCs w:val="19"/>
              </w:rPr>
              <w:t>Media Relations</w:t>
            </w:r>
          </w:p>
        </w:tc>
        <w:tc>
          <w:tcPr>
            <w:tcW w:w="2721" w:type="dxa"/>
            <w:vAlign w:val="center"/>
          </w:tcPr>
          <w:p w14:paraId="094DFB08" w14:textId="77777777" w:rsidR="00C52B32" w:rsidRPr="00CC1C66" w:rsidRDefault="00C52B32" w:rsidP="003D1FAA">
            <w:pPr>
              <w:jc w:val="left"/>
              <w:rPr>
                <w:rFonts w:ascii="Arial" w:hAnsi="Arial" w:cs="Arial"/>
                <w:sz w:val="19"/>
                <w:szCs w:val="19"/>
              </w:rPr>
            </w:pPr>
            <w:r w:rsidRPr="00CC1C66">
              <w:rPr>
                <w:rFonts w:ascii="Arial" w:hAnsi="Arial" w:cs="Arial"/>
                <w:sz w:val="19"/>
                <w:szCs w:val="19"/>
              </w:rPr>
              <w:t>+44 (0) 20 7644 1030</w:t>
            </w:r>
          </w:p>
        </w:tc>
        <w:tc>
          <w:tcPr>
            <w:tcW w:w="3515" w:type="dxa"/>
            <w:vAlign w:val="center"/>
          </w:tcPr>
          <w:p w14:paraId="0FA40C3E" w14:textId="6AFC3361" w:rsidR="00C52B32" w:rsidRPr="00CC1C66" w:rsidRDefault="00720684" w:rsidP="003D1FAA">
            <w:pPr>
              <w:jc w:val="left"/>
              <w:rPr>
                <w:rFonts w:ascii="Arial" w:hAnsi="Arial" w:cs="Arial"/>
                <w:sz w:val="19"/>
                <w:szCs w:val="19"/>
              </w:rPr>
            </w:pPr>
            <w:hyperlink r:id="rId9" w:history="1">
              <w:r w:rsidR="00E77C41" w:rsidRPr="00CC1C66">
                <w:rPr>
                  <w:rStyle w:val="Hyperlink"/>
                  <w:rFonts w:ascii="Arial" w:hAnsi="Arial" w:cs="Arial"/>
                  <w:sz w:val="19"/>
                  <w:szCs w:val="19"/>
                </w:rPr>
                <w:t>corpcomms@kingfisher.com</w:t>
              </w:r>
            </w:hyperlink>
          </w:p>
        </w:tc>
      </w:tr>
      <w:tr w:rsidR="00C52B32" w:rsidRPr="00CC1C66" w14:paraId="41D7D638" w14:textId="77777777" w:rsidTr="008718F6">
        <w:trPr>
          <w:trHeight w:val="253"/>
        </w:trPr>
        <w:tc>
          <w:tcPr>
            <w:tcW w:w="2494" w:type="dxa"/>
            <w:vAlign w:val="center"/>
          </w:tcPr>
          <w:p w14:paraId="12023A29" w14:textId="77777777" w:rsidR="00C52B32" w:rsidRPr="00CC1C66" w:rsidRDefault="00C52B32" w:rsidP="003D1FAA">
            <w:pPr>
              <w:ind w:firstLine="30"/>
              <w:jc w:val="left"/>
              <w:rPr>
                <w:rFonts w:ascii="Arial" w:hAnsi="Arial" w:cs="Arial"/>
                <w:sz w:val="19"/>
                <w:szCs w:val="19"/>
              </w:rPr>
            </w:pPr>
            <w:r w:rsidRPr="00CC1C66">
              <w:rPr>
                <w:rFonts w:ascii="Arial" w:hAnsi="Arial" w:cs="Arial"/>
                <w:sz w:val="19"/>
                <w:szCs w:val="19"/>
              </w:rPr>
              <w:t>Teneo</w:t>
            </w:r>
          </w:p>
        </w:tc>
        <w:tc>
          <w:tcPr>
            <w:tcW w:w="2721" w:type="dxa"/>
            <w:vAlign w:val="center"/>
          </w:tcPr>
          <w:p w14:paraId="7A7DFDC6" w14:textId="77777777" w:rsidR="00C52B32" w:rsidRPr="00CC1C66" w:rsidRDefault="00C52B32" w:rsidP="003D1FAA">
            <w:pPr>
              <w:jc w:val="left"/>
              <w:rPr>
                <w:rFonts w:ascii="Arial" w:hAnsi="Arial" w:cs="Arial"/>
                <w:sz w:val="19"/>
                <w:szCs w:val="19"/>
              </w:rPr>
            </w:pPr>
            <w:r w:rsidRPr="00CC1C66">
              <w:rPr>
                <w:rFonts w:ascii="Arial" w:hAnsi="Arial" w:cs="Arial"/>
                <w:sz w:val="19"/>
                <w:szCs w:val="19"/>
              </w:rPr>
              <w:t>+44 (0) 20 7420 3184</w:t>
            </w:r>
          </w:p>
        </w:tc>
        <w:tc>
          <w:tcPr>
            <w:tcW w:w="3515" w:type="dxa"/>
            <w:vAlign w:val="center"/>
          </w:tcPr>
          <w:p w14:paraId="4E7D8EB0" w14:textId="3CC2B707" w:rsidR="00C52B32" w:rsidRPr="00CC1C66" w:rsidRDefault="00720684" w:rsidP="003D1FAA">
            <w:pPr>
              <w:jc w:val="left"/>
              <w:rPr>
                <w:rFonts w:ascii="Arial" w:hAnsi="Arial" w:cs="Arial"/>
                <w:sz w:val="19"/>
                <w:szCs w:val="19"/>
              </w:rPr>
            </w:pPr>
            <w:hyperlink r:id="rId10" w:history="1">
              <w:r w:rsidR="00E77C41" w:rsidRPr="00CC1C66">
                <w:rPr>
                  <w:rStyle w:val="Hyperlink"/>
                  <w:rFonts w:ascii="Arial" w:hAnsi="Arial" w:cs="Arial"/>
                  <w:sz w:val="19"/>
                  <w:szCs w:val="19"/>
                </w:rPr>
                <w:t>Kfteam@teneo.com</w:t>
              </w:r>
            </w:hyperlink>
          </w:p>
        </w:tc>
      </w:tr>
    </w:tbl>
    <w:p w14:paraId="10420BD9" w14:textId="77777777" w:rsidR="00C52B32" w:rsidRPr="00CC1C66" w:rsidRDefault="00C52B32" w:rsidP="00C52B32">
      <w:pPr>
        <w:jc w:val="left"/>
        <w:rPr>
          <w:rFonts w:ascii="Arial" w:hAnsi="Arial" w:cs="Arial"/>
          <w:bCs/>
          <w:sz w:val="19"/>
          <w:szCs w:val="19"/>
        </w:rPr>
      </w:pPr>
    </w:p>
    <w:p w14:paraId="50CD2DB7" w14:textId="19309AFB" w:rsidR="00C52B32" w:rsidRPr="00CC1C66" w:rsidRDefault="00723CC2" w:rsidP="00C52B32">
      <w:pPr>
        <w:jc w:val="left"/>
        <w:rPr>
          <w:rFonts w:ascii="Arial" w:hAnsi="Arial" w:cs="Arial"/>
          <w:b/>
          <w:bCs/>
          <w:sz w:val="19"/>
          <w:szCs w:val="19"/>
        </w:rPr>
      </w:pPr>
      <w:r w:rsidRPr="00CC1C66">
        <w:rPr>
          <w:rFonts w:ascii="Arial" w:hAnsi="Arial" w:cs="Arial"/>
          <w:b/>
          <w:bCs/>
          <w:sz w:val="19"/>
          <w:szCs w:val="19"/>
        </w:rPr>
        <w:t xml:space="preserve">Final </w:t>
      </w:r>
      <w:r w:rsidR="00C52B32" w:rsidRPr="00CC1C66">
        <w:rPr>
          <w:rFonts w:ascii="Arial" w:hAnsi="Arial" w:cs="Arial"/>
          <w:b/>
          <w:bCs/>
          <w:sz w:val="19"/>
          <w:szCs w:val="19"/>
        </w:rPr>
        <w:t>results announcement</w:t>
      </w:r>
    </w:p>
    <w:p w14:paraId="6A5FB3EC" w14:textId="45A7EFD5" w:rsidR="00C52B32" w:rsidRPr="00CC1C66" w:rsidRDefault="00C52B32" w:rsidP="00C52B32">
      <w:pPr>
        <w:autoSpaceDE w:val="0"/>
        <w:autoSpaceDN w:val="0"/>
        <w:adjustRightInd w:val="0"/>
        <w:jc w:val="left"/>
        <w:rPr>
          <w:rFonts w:ascii="Arial" w:hAnsi="Arial" w:cs="Arial"/>
          <w:bCs/>
          <w:sz w:val="19"/>
          <w:szCs w:val="19"/>
        </w:rPr>
      </w:pPr>
      <w:r w:rsidRPr="00CC1C66">
        <w:rPr>
          <w:rFonts w:ascii="Arial" w:hAnsi="Arial" w:cs="Arial"/>
          <w:bCs/>
          <w:sz w:val="19"/>
          <w:szCs w:val="19"/>
        </w:rPr>
        <w:t>This announcement can be downloaded from</w:t>
      </w:r>
      <w:r w:rsidR="0007689A" w:rsidRPr="00CC1C66">
        <w:rPr>
          <w:rFonts w:ascii="Arial" w:hAnsi="Arial" w:cs="Arial"/>
          <w:bCs/>
          <w:sz w:val="19"/>
          <w:szCs w:val="19"/>
        </w:rPr>
        <w:t xml:space="preserve"> the Investors section of our website at</w:t>
      </w:r>
      <w:r w:rsidRPr="00CC1C66">
        <w:rPr>
          <w:rFonts w:ascii="Arial" w:hAnsi="Arial" w:cs="Arial"/>
          <w:bCs/>
          <w:sz w:val="19"/>
          <w:szCs w:val="19"/>
        </w:rPr>
        <w:t xml:space="preserve"> </w:t>
      </w:r>
      <w:hyperlink r:id="rId11" w:history="1">
        <w:r w:rsidRPr="00CC1C66">
          <w:rPr>
            <w:rStyle w:val="Hyperlink"/>
            <w:rFonts w:ascii="Arial" w:hAnsi="Arial" w:cs="Arial"/>
            <w:bCs/>
            <w:sz w:val="19"/>
            <w:szCs w:val="19"/>
          </w:rPr>
          <w:t>www.kingfisher.com</w:t>
        </w:r>
      </w:hyperlink>
      <w:r w:rsidRPr="00CC1C66">
        <w:rPr>
          <w:rFonts w:ascii="Arial" w:hAnsi="Arial" w:cs="Arial"/>
          <w:bCs/>
          <w:sz w:val="19"/>
          <w:szCs w:val="19"/>
        </w:rPr>
        <w:t xml:space="preserve">. </w:t>
      </w:r>
    </w:p>
    <w:p w14:paraId="74865AE5" w14:textId="77777777" w:rsidR="00C52B32" w:rsidRPr="00CC1C66" w:rsidRDefault="00C52B32" w:rsidP="00C52B32">
      <w:pPr>
        <w:autoSpaceDE w:val="0"/>
        <w:autoSpaceDN w:val="0"/>
        <w:adjustRightInd w:val="0"/>
        <w:jc w:val="left"/>
        <w:rPr>
          <w:rFonts w:ascii="Arial" w:hAnsi="Arial" w:cs="Arial"/>
          <w:bCs/>
          <w:sz w:val="19"/>
          <w:szCs w:val="19"/>
        </w:rPr>
      </w:pPr>
    </w:p>
    <w:p w14:paraId="6159EE30" w14:textId="77777777" w:rsidR="00C52B32" w:rsidRPr="00CC1C66" w:rsidRDefault="00C52B32" w:rsidP="00C52B32">
      <w:pPr>
        <w:jc w:val="left"/>
        <w:rPr>
          <w:rFonts w:ascii="Arial" w:hAnsi="Arial" w:cs="Arial"/>
          <w:b/>
          <w:bCs/>
          <w:sz w:val="19"/>
          <w:szCs w:val="19"/>
        </w:rPr>
      </w:pPr>
      <w:r w:rsidRPr="00CC1C66">
        <w:rPr>
          <w:rFonts w:ascii="Arial" w:hAnsi="Arial" w:cs="Arial"/>
          <w:b/>
          <w:bCs/>
          <w:sz w:val="19"/>
          <w:szCs w:val="19"/>
        </w:rPr>
        <w:t>Results presentation</w:t>
      </w:r>
    </w:p>
    <w:p w14:paraId="02C94EFD" w14:textId="437516E3" w:rsidR="00C52B32" w:rsidRPr="00CC1C66" w:rsidRDefault="00C52B32" w:rsidP="00C52B32">
      <w:pPr>
        <w:autoSpaceDE w:val="0"/>
        <w:autoSpaceDN w:val="0"/>
        <w:adjustRightInd w:val="0"/>
        <w:jc w:val="left"/>
        <w:rPr>
          <w:rFonts w:ascii="Arial" w:hAnsi="Arial" w:cs="Arial"/>
          <w:bCs/>
          <w:sz w:val="19"/>
          <w:szCs w:val="19"/>
        </w:rPr>
      </w:pPr>
      <w:r w:rsidRPr="00CC1C66">
        <w:rPr>
          <w:rFonts w:ascii="Arial" w:hAnsi="Arial" w:cs="Arial"/>
          <w:bCs/>
          <w:sz w:val="19"/>
          <w:szCs w:val="19"/>
        </w:rPr>
        <w:t>We will host an in-person results presentation for pre-registered analysts and investors today at 09.00 (UK time) at the London Stock Exchange, 10 Paternoster Square, London, EC4M 7LS. A simultaneous live video webcast of the presentation and Q&amp;A will also be available via the Investors section of our website at www.kingfisher.com, and subsequently available on demand.</w:t>
      </w:r>
      <w:r w:rsidR="00C74C0F" w:rsidRPr="00CC1C66">
        <w:rPr>
          <w:rFonts w:ascii="Arial" w:hAnsi="Arial" w:cs="Arial"/>
          <w:bCs/>
          <w:sz w:val="19"/>
          <w:szCs w:val="19"/>
        </w:rPr>
        <w:t xml:space="preserve"> </w:t>
      </w:r>
      <w:r w:rsidRPr="00CC1C66">
        <w:rPr>
          <w:rFonts w:ascii="Arial" w:hAnsi="Arial" w:cs="Arial"/>
          <w:bCs/>
          <w:sz w:val="19"/>
          <w:szCs w:val="19"/>
        </w:rPr>
        <w:t xml:space="preserve">For enquiries, please email </w:t>
      </w:r>
      <w:hyperlink r:id="rId12" w:history="1">
        <w:r w:rsidRPr="00CC1C66">
          <w:rPr>
            <w:rStyle w:val="Hyperlink"/>
            <w:rFonts w:ascii="Arial" w:hAnsi="Arial" w:cs="Arial"/>
            <w:bCs/>
            <w:sz w:val="19"/>
            <w:szCs w:val="19"/>
          </w:rPr>
          <w:t>investorenquiries@kingfisher.com</w:t>
        </w:r>
      </w:hyperlink>
      <w:r w:rsidRPr="00CC1C66">
        <w:rPr>
          <w:rFonts w:ascii="Arial" w:hAnsi="Arial" w:cs="Arial"/>
          <w:bCs/>
          <w:sz w:val="19"/>
          <w:szCs w:val="19"/>
        </w:rPr>
        <w:t>.</w:t>
      </w:r>
    </w:p>
    <w:p w14:paraId="14EF2D2A" w14:textId="6BE6A6F7" w:rsidR="00C52B32" w:rsidRPr="00CC1C66" w:rsidRDefault="00C52B32" w:rsidP="00C52B32">
      <w:pPr>
        <w:autoSpaceDE w:val="0"/>
        <w:autoSpaceDN w:val="0"/>
        <w:adjustRightInd w:val="0"/>
        <w:jc w:val="left"/>
        <w:rPr>
          <w:rFonts w:ascii="Arial" w:hAnsi="Arial" w:cs="Arial"/>
          <w:bCs/>
          <w:sz w:val="19"/>
          <w:szCs w:val="19"/>
        </w:rPr>
      </w:pPr>
    </w:p>
    <w:p w14:paraId="436E4FD4" w14:textId="1F94B005" w:rsidR="00853E85" w:rsidRPr="00CC1C66" w:rsidRDefault="00D40B66" w:rsidP="00853E85">
      <w:pPr>
        <w:jc w:val="left"/>
        <w:rPr>
          <w:rFonts w:ascii="Arial" w:hAnsi="Arial" w:cs="Arial"/>
          <w:b/>
          <w:bCs/>
          <w:sz w:val="19"/>
          <w:szCs w:val="19"/>
        </w:rPr>
      </w:pPr>
      <w:r w:rsidRPr="00CC1C66">
        <w:rPr>
          <w:rFonts w:ascii="Arial" w:hAnsi="Arial" w:cs="Arial"/>
          <w:b/>
          <w:bCs/>
          <w:sz w:val="19"/>
          <w:szCs w:val="19"/>
        </w:rPr>
        <w:t>‘</w:t>
      </w:r>
      <w:r w:rsidR="00853E85" w:rsidRPr="00CC1C66">
        <w:rPr>
          <w:rFonts w:ascii="Arial" w:hAnsi="Arial" w:cs="Arial"/>
          <w:b/>
          <w:bCs/>
          <w:sz w:val="19"/>
          <w:szCs w:val="19"/>
        </w:rPr>
        <w:t>Teach-in</w:t>
      </w:r>
      <w:r w:rsidRPr="00CC1C66">
        <w:rPr>
          <w:rFonts w:ascii="Arial" w:hAnsi="Arial" w:cs="Arial"/>
          <w:b/>
          <w:bCs/>
          <w:sz w:val="19"/>
          <w:szCs w:val="19"/>
        </w:rPr>
        <w:t>’</w:t>
      </w:r>
      <w:r w:rsidR="00853E85" w:rsidRPr="00CC1C66">
        <w:rPr>
          <w:rFonts w:ascii="Arial" w:hAnsi="Arial" w:cs="Arial"/>
          <w:b/>
          <w:bCs/>
          <w:sz w:val="19"/>
          <w:szCs w:val="19"/>
        </w:rPr>
        <w:t xml:space="preserve"> event</w:t>
      </w:r>
    </w:p>
    <w:p w14:paraId="18BA1748" w14:textId="128F2A78" w:rsidR="00853E85" w:rsidRPr="00CC1C66" w:rsidRDefault="00853E85" w:rsidP="00C52B32">
      <w:pPr>
        <w:autoSpaceDE w:val="0"/>
        <w:autoSpaceDN w:val="0"/>
        <w:adjustRightInd w:val="0"/>
        <w:jc w:val="left"/>
        <w:rPr>
          <w:rFonts w:ascii="Arial" w:hAnsi="Arial" w:cs="Arial"/>
          <w:bCs/>
          <w:sz w:val="19"/>
          <w:szCs w:val="19"/>
        </w:rPr>
      </w:pPr>
      <w:r w:rsidRPr="00CC1C66">
        <w:rPr>
          <w:rFonts w:ascii="Arial" w:hAnsi="Arial" w:cs="Arial"/>
          <w:bCs/>
          <w:sz w:val="19"/>
          <w:szCs w:val="19"/>
        </w:rPr>
        <w:t>Kingfisher is planning a</w:t>
      </w:r>
      <w:r w:rsidR="00D02872" w:rsidRPr="00CC1C66">
        <w:rPr>
          <w:rFonts w:ascii="Arial" w:hAnsi="Arial" w:cs="Arial"/>
          <w:bCs/>
          <w:sz w:val="19"/>
          <w:szCs w:val="19"/>
        </w:rPr>
        <w:t xml:space="preserve"> hybrid</w:t>
      </w:r>
      <w:r w:rsidR="00255958" w:rsidRPr="00CC1C66">
        <w:rPr>
          <w:rFonts w:ascii="Arial" w:hAnsi="Arial" w:cs="Arial"/>
          <w:bCs/>
          <w:sz w:val="19"/>
          <w:szCs w:val="19"/>
        </w:rPr>
        <w:t xml:space="preserve"> </w:t>
      </w:r>
      <w:r w:rsidR="005E364C" w:rsidRPr="00CC1C66">
        <w:rPr>
          <w:rFonts w:ascii="Arial" w:hAnsi="Arial" w:cs="Arial"/>
          <w:bCs/>
          <w:sz w:val="19"/>
          <w:szCs w:val="19"/>
        </w:rPr>
        <w:t xml:space="preserve">in-person and virtual </w:t>
      </w:r>
      <w:r w:rsidR="00255958" w:rsidRPr="00CC1C66">
        <w:rPr>
          <w:rFonts w:ascii="Arial" w:hAnsi="Arial" w:cs="Arial"/>
          <w:bCs/>
          <w:sz w:val="19"/>
          <w:szCs w:val="19"/>
        </w:rPr>
        <w:t>capital market</w:t>
      </w:r>
      <w:r w:rsidR="00D02872" w:rsidRPr="00CC1C66">
        <w:rPr>
          <w:rFonts w:ascii="Arial" w:hAnsi="Arial" w:cs="Arial"/>
          <w:bCs/>
          <w:sz w:val="19"/>
          <w:szCs w:val="19"/>
        </w:rPr>
        <w:t xml:space="preserve"> </w:t>
      </w:r>
      <w:r w:rsidRPr="00CC1C66">
        <w:rPr>
          <w:rFonts w:ascii="Arial" w:hAnsi="Arial" w:cs="Arial"/>
          <w:bCs/>
          <w:sz w:val="19"/>
          <w:szCs w:val="19"/>
        </w:rPr>
        <w:t xml:space="preserve">‘teach-in’ event for analysts and investors on </w:t>
      </w:r>
      <w:r w:rsidR="00246C56" w:rsidRPr="00CC1C66">
        <w:rPr>
          <w:rFonts w:ascii="Arial" w:hAnsi="Arial" w:cs="Arial"/>
          <w:bCs/>
          <w:sz w:val="19"/>
          <w:szCs w:val="19"/>
        </w:rPr>
        <w:t xml:space="preserve">Tuesday, </w:t>
      </w:r>
      <w:r w:rsidRPr="00CC1C66">
        <w:rPr>
          <w:rFonts w:ascii="Arial" w:hAnsi="Arial" w:cs="Arial"/>
          <w:bCs/>
          <w:sz w:val="19"/>
          <w:szCs w:val="19"/>
        </w:rPr>
        <w:t>5 July 2022</w:t>
      </w:r>
      <w:r w:rsidR="00D02872" w:rsidRPr="00CC1C66">
        <w:rPr>
          <w:rFonts w:ascii="Arial" w:hAnsi="Arial" w:cs="Arial"/>
          <w:bCs/>
          <w:sz w:val="19"/>
          <w:szCs w:val="19"/>
        </w:rPr>
        <w:t xml:space="preserve">. </w:t>
      </w:r>
      <w:r w:rsidR="00380841" w:rsidRPr="00CC1C66">
        <w:rPr>
          <w:rFonts w:ascii="Arial" w:hAnsi="Arial" w:cs="Arial"/>
          <w:bCs/>
          <w:sz w:val="19"/>
          <w:szCs w:val="19"/>
        </w:rPr>
        <w:t>In-person attendance will be</w:t>
      </w:r>
      <w:r w:rsidR="00BE6A40" w:rsidRPr="00CC1C66">
        <w:rPr>
          <w:rFonts w:ascii="Arial" w:hAnsi="Arial" w:cs="Arial"/>
          <w:bCs/>
          <w:sz w:val="19"/>
          <w:szCs w:val="19"/>
        </w:rPr>
        <w:t xml:space="preserve"> at a venue to be announced in London. </w:t>
      </w:r>
      <w:r w:rsidR="007F4957" w:rsidRPr="00CC1C66">
        <w:rPr>
          <w:rFonts w:ascii="Arial" w:hAnsi="Arial" w:cs="Arial"/>
          <w:bCs/>
          <w:sz w:val="19"/>
          <w:szCs w:val="19"/>
        </w:rPr>
        <w:t>The event</w:t>
      </w:r>
      <w:r w:rsidRPr="00CC1C66">
        <w:rPr>
          <w:rFonts w:ascii="Arial" w:hAnsi="Arial" w:cs="Arial"/>
          <w:bCs/>
          <w:sz w:val="19"/>
          <w:szCs w:val="19"/>
        </w:rPr>
        <w:t xml:space="preserve"> will provide </w:t>
      </w:r>
      <w:r w:rsidR="00D40B66" w:rsidRPr="00CC1C66">
        <w:rPr>
          <w:rFonts w:ascii="Arial" w:hAnsi="Arial" w:cs="Arial"/>
          <w:bCs/>
          <w:sz w:val="19"/>
          <w:szCs w:val="19"/>
        </w:rPr>
        <w:t xml:space="preserve">deeper insights into the </w:t>
      </w:r>
      <w:r w:rsidRPr="00CC1C66">
        <w:rPr>
          <w:rFonts w:ascii="Arial" w:hAnsi="Arial" w:cs="Arial"/>
          <w:bCs/>
          <w:sz w:val="19"/>
          <w:szCs w:val="19"/>
        </w:rPr>
        <w:t xml:space="preserve">e-commerce/technology and Responsible Business </w:t>
      </w:r>
      <w:r w:rsidR="00D40B66" w:rsidRPr="00CC1C66">
        <w:rPr>
          <w:rFonts w:ascii="Arial" w:hAnsi="Arial" w:cs="Arial"/>
          <w:bCs/>
          <w:sz w:val="19"/>
          <w:szCs w:val="19"/>
        </w:rPr>
        <w:t xml:space="preserve">pillars of </w:t>
      </w:r>
      <w:r w:rsidR="00994537" w:rsidRPr="00CC1C66">
        <w:rPr>
          <w:rFonts w:ascii="Arial" w:hAnsi="Arial" w:cs="Arial"/>
          <w:bCs/>
          <w:sz w:val="19"/>
          <w:szCs w:val="19"/>
        </w:rPr>
        <w:t xml:space="preserve">the </w:t>
      </w:r>
      <w:r w:rsidR="0091644C" w:rsidRPr="00CC1C66">
        <w:rPr>
          <w:rFonts w:ascii="Arial" w:hAnsi="Arial" w:cs="Arial"/>
          <w:bCs/>
          <w:sz w:val="19"/>
          <w:szCs w:val="19"/>
        </w:rPr>
        <w:t>‘</w:t>
      </w:r>
      <w:r w:rsidR="00994537" w:rsidRPr="00CC1C66">
        <w:rPr>
          <w:rFonts w:ascii="Arial" w:hAnsi="Arial" w:cs="Arial"/>
          <w:bCs/>
          <w:sz w:val="19"/>
          <w:szCs w:val="19"/>
        </w:rPr>
        <w:t>Powered by Kingfisher</w:t>
      </w:r>
      <w:r w:rsidR="0091644C" w:rsidRPr="00CC1C66">
        <w:rPr>
          <w:rFonts w:ascii="Arial" w:hAnsi="Arial" w:cs="Arial"/>
          <w:bCs/>
          <w:sz w:val="19"/>
          <w:szCs w:val="19"/>
        </w:rPr>
        <w:t>’</w:t>
      </w:r>
      <w:r w:rsidR="00994537" w:rsidRPr="00CC1C66">
        <w:rPr>
          <w:rFonts w:ascii="Arial" w:hAnsi="Arial" w:cs="Arial"/>
          <w:bCs/>
          <w:sz w:val="19"/>
          <w:szCs w:val="19"/>
        </w:rPr>
        <w:t xml:space="preserve"> </w:t>
      </w:r>
      <w:r w:rsidR="00D40B66" w:rsidRPr="00CC1C66">
        <w:rPr>
          <w:rFonts w:ascii="Arial" w:hAnsi="Arial" w:cs="Arial"/>
          <w:bCs/>
          <w:sz w:val="19"/>
          <w:szCs w:val="19"/>
        </w:rPr>
        <w:t>strategy. Please hold the date and further details will be made available in due course.</w:t>
      </w:r>
    </w:p>
    <w:p w14:paraId="67A2B5E1" w14:textId="77777777" w:rsidR="00853E85" w:rsidRPr="00CC1C66" w:rsidRDefault="00853E85" w:rsidP="00C52B32">
      <w:pPr>
        <w:autoSpaceDE w:val="0"/>
        <w:autoSpaceDN w:val="0"/>
        <w:adjustRightInd w:val="0"/>
        <w:jc w:val="left"/>
        <w:rPr>
          <w:rFonts w:ascii="Arial" w:hAnsi="Arial" w:cs="Arial"/>
          <w:bCs/>
          <w:sz w:val="19"/>
          <w:szCs w:val="19"/>
        </w:rPr>
      </w:pPr>
    </w:p>
    <w:p w14:paraId="36A462C0" w14:textId="5EED3E28" w:rsidR="00C52B32" w:rsidRPr="00CC1C66" w:rsidRDefault="00C52B32" w:rsidP="00C52B32">
      <w:pPr>
        <w:autoSpaceDE w:val="0"/>
        <w:autoSpaceDN w:val="0"/>
        <w:adjustRightInd w:val="0"/>
        <w:jc w:val="left"/>
        <w:rPr>
          <w:rFonts w:ascii="Arial" w:hAnsi="Arial" w:cs="Arial"/>
          <w:i/>
          <w:iCs/>
          <w:sz w:val="19"/>
          <w:szCs w:val="19"/>
        </w:rPr>
      </w:pPr>
      <w:r w:rsidRPr="00CC1C66">
        <w:rPr>
          <w:rFonts w:ascii="Arial" w:hAnsi="Arial" w:cs="Arial"/>
          <w:b/>
          <w:bCs/>
          <w:sz w:val="19"/>
          <w:szCs w:val="19"/>
        </w:rPr>
        <w:t>Financial calendar</w:t>
      </w:r>
      <w:r w:rsidR="00D40B66" w:rsidRPr="00CC1C66">
        <w:rPr>
          <w:rFonts w:ascii="Arial" w:hAnsi="Arial" w:cs="Arial"/>
          <w:b/>
          <w:bCs/>
          <w:sz w:val="19"/>
          <w:szCs w:val="19"/>
        </w:rPr>
        <w:t xml:space="preserve"> </w:t>
      </w:r>
      <w:r w:rsidR="00D40B66" w:rsidRPr="00CC1C66">
        <w:rPr>
          <w:rFonts w:ascii="Arial" w:hAnsi="Arial" w:cs="Arial"/>
          <w:i/>
          <w:iCs/>
          <w:sz w:val="19"/>
          <w:szCs w:val="19"/>
        </w:rPr>
        <w:t>(</w:t>
      </w:r>
      <w:r w:rsidR="00D40B66" w:rsidRPr="00CC1C66">
        <w:rPr>
          <w:rFonts w:ascii="Arial" w:hAnsi="Arial" w:cs="Arial"/>
          <w:i/>
          <w:iCs/>
          <w:sz w:val="19"/>
          <w:szCs w:val="19"/>
          <w:vertAlign w:val="superscript"/>
        </w:rPr>
        <w:t>±</w:t>
      </w:r>
      <w:r w:rsidR="00D40B66" w:rsidRPr="00CC1C66">
        <w:rPr>
          <w:rFonts w:ascii="Arial" w:hAnsi="Arial" w:cs="Arial"/>
          <w:i/>
          <w:iCs/>
          <w:sz w:val="19"/>
          <w:szCs w:val="19"/>
        </w:rPr>
        <w:t xml:space="preserve"> Dates are provisional and may be subject to change)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721"/>
      </w:tblGrid>
      <w:tr w:rsidR="00C52B32" w:rsidRPr="00CC1C66" w14:paraId="142C6CAD" w14:textId="77777777" w:rsidTr="00810FD1">
        <w:tc>
          <w:tcPr>
            <w:tcW w:w="3118" w:type="dxa"/>
          </w:tcPr>
          <w:p w14:paraId="08C881B6" w14:textId="5F96C8E2" w:rsidR="00C52B32" w:rsidRPr="00CC1C66" w:rsidRDefault="00C52B32" w:rsidP="00810FD1">
            <w:pPr>
              <w:ind w:firstLine="30"/>
              <w:jc w:val="left"/>
              <w:rPr>
                <w:rFonts w:ascii="Arial" w:hAnsi="Arial" w:cs="Arial"/>
                <w:sz w:val="19"/>
                <w:szCs w:val="19"/>
              </w:rPr>
            </w:pPr>
            <w:r w:rsidRPr="00CC1C66">
              <w:rPr>
                <w:rFonts w:ascii="Arial" w:hAnsi="Arial" w:cs="Arial"/>
                <w:sz w:val="19"/>
                <w:szCs w:val="19"/>
              </w:rPr>
              <w:t>Q</w:t>
            </w:r>
            <w:r w:rsidR="00447B5A" w:rsidRPr="00CC1C66">
              <w:rPr>
                <w:rFonts w:ascii="Arial" w:hAnsi="Arial" w:cs="Arial"/>
                <w:sz w:val="19"/>
                <w:szCs w:val="19"/>
              </w:rPr>
              <w:t>1</w:t>
            </w:r>
            <w:r w:rsidRPr="00CC1C66">
              <w:rPr>
                <w:rFonts w:ascii="Arial" w:hAnsi="Arial" w:cs="Arial"/>
                <w:sz w:val="19"/>
                <w:szCs w:val="19"/>
              </w:rPr>
              <w:t xml:space="preserve"> trading update</w:t>
            </w:r>
          </w:p>
        </w:tc>
        <w:tc>
          <w:tcPr>
            <w:tcW w:w="2721" w:type="dxa"/>
          </w:tcPr>
          <w:p w14:paraId="0F24DC84" w14:textId="3DAF2DC6" w:rsidR="00C52B32" w:rsidRPr="00CC1C66" w:rsidRDefault="00447B5A" w:rsidP="00810FD1">
            <w:pPr>
              <w:jc w:val="left"/>
              <w:rPr>
                <w:rFonts w:ascii="Arial" w:hAnsi="Arial" w:cs="Arial"/>
                <w:sz w:val="19"/>
                <w:szCs w:val="19"/>
              </w:rPr>
            </w:pPr>
            <w:r w:rsidRPr="00CC1C66">
              <w:rPr>
                <w:rFonts w:ascii="Arial" w:hAnsi="Arial" w:cs="Arial"/>
                <w:sz w:val="19"/>
                <w:szCs w:val="19"/>
              </w:rPr>
              <w:t>23</w:t>
            </w:r>
            <w:r w:rsidR="00C52B32" w:rsidRPr="00CC1C66">
              <w:rPr>
                <w:rFonts w:ascii="Arial" w:hAnsi="Arial" w:cs="Arial"/>
                <w:sz w:val="19"/>
                <w:szCs w:val="19"/>
              </w:rPr>
              <w:t xml:space="preserve"> </w:t>
            </w:r>
            <w:r w:rsidRPr="00CC1C66">
              <w:rPr>
                <w:rFonts w:ascii="Arial" w:hAnsi="Arial" w:cs="Arial"/>
                <w:sz w:val="19"/>
                <w:szCs w:val="19"/>
              </w:rPr>
              <w:t>May</w:t>
            </w:r>
            <w:r w:rsidR="00C52B32" w:rsidRPr="00CC1C66">
              <w:rPr>
                <w:rFonts w:ascii="Arial" w:hAnsi="Arial" w:cs="Arial"/>
                <w:sz w:val="19"/>
                <w:szCs w:val="19"/>
              </w:rPr>
              <w:t xml:space="preserve"> 202</w:t>
            </w:r>
            <w:r w:rsidRPr="00CC1C66">
              <w:rPr>
                <w:rFonts w:ascii="Arial" w:hAnsi="Arial" w:cs="Arial"/>
                <w:sz w:val="19"/>
                <w:szCs w:val="19"/>
              </w:rPr>
              <w:t>2</w:t>
            </w:r>
            <w:r w:rsidR="00C52B32" w:rsidRPr="00CC1C66">
              <w:rPr>
                <w:rFonts w:ascii="Arial" w:hAnsi="Arial" w:cs="Arial"/>
                <w:sz w:val="19"/>
                <w:szCs w:val="19"/>
                <w:vertAlign w:val="superscript"/>
              </w:rPr>
              <w:t>±</w:t>
            </w:r>
          </w:p>
        </w:tc>
      </w:tr>
      <w:tr w:rsidR="00447B5A" w:rsidRPr="00CC1C66" w14:paraId="3ADEBDA9" w14:textId="77777777" w:rsidTr="00810FD1">
        <w:tc>
          <w:tcPr>
            <w:tcW w:w="3118" w:type="dxa"/>
          </w:tcPr>
          <w:p w14:paraId="1F256C64" w14:textId="4E872729" w:rsidR="00447B5A" w:rsidRPr="00CC1C66" w:rsidRDefault="00447B5A" w:rsidP="00810FD1">
            <w:pPr>
              <w:ind w:firstLine="30"/>
              <w:jc w:val="left"/>
              <w:rPr>
                <w:rFonts w:ascii="Arial" w:hAnsi="Arial" w:cs="Arial"/>
                <w:sz w:val="19"/>
                <w:szCs w:val="19"/>
              </w:rPr>
            </w:pPr>
            <w:r w:rsidRPr="00CC1C66">
              <w:rPr>
                <w:rFonts w:ascii="Arial" w:hAnsi="Arial" w:cs="Arial"/>
                <w:sz w:val="19"/>
                <w:szCs w:val="19"/>
              </w:rPr>
              <w:t>Annual General Meeting</w:t>
            </w:r>
          </w:p>
        </w:tc>
        <w:tc>
          <w:tcPr>
            <w:tcW w:w="2721" w:type="dxa"/>
          </w:tcPr>
          <w:p w14:paraId="79BBF624" w14:textId="7C46DDB6" w:rsidR="00447B5A" w:rsidRPr="00CC1C66" w:rsidRDefault="00447B5A" w:rsidP="00810FD1">
            <w:pPr>
              <w:jc w:val="left"/>
              <w:rPr>
                <w:rFonts w:ascii="Arial" w:hAnsi="Arial" w:cs="Arial"/>
                <w:sz w:val="19"/>
                <w:szCs w:val="19"/>
              </w:rPr>
            </w:pPr>
            <w:r w:rsidRPr="00CC1C66">
              <w:rPr>
                <w:rFonts w:ascii="Arial" w:hAnsi="Arial" w:cs="Arial"/>
                <w:sz w:val="19"/>
                <w:szCs w:val="19"/>
              </w:rPr>
              <w:t>22 June 2022</w:t>
            </w:r>
          </w:p>
        </w:tc>
      </w:tr>
      <w:tr w:rsidR="00853E85" w:rsidRPr="00CC1C66" w14:paraId="00A318A8" w14:textId="77777777" w:rsidTr="00F56285">
        <w:tc>
          <w:tcPr>
            <w:tcW w:w="3118" w:type="dxa"/>
          </w:tcPr>
          <w:p w14:paraId="2C5C269A" w14:textId="56A8A69A" w:rsidR="00853E85" w:rsidRPr="00CC1C66" w:rsidRDefault="009154FE" w:rsidP="00F56285">
            <w:pPr>
              <w:ind w:firstLine="30"/>
              <w:jc w:val="left"/>
              <w:rPr>
                <w:rFonts w:ascii="Arial" w:hAnsi="Arial" w:cs="Arial"/>
                <w:sz w:val="19"/>
                <w:szCs w:val="19"/>
              </w:rPr>
            </w:pPr>
            <w:r w:rsidRPr="00CC1C66">
              <w:rPr>
                <w:rFonts w:ascii="Arial" w:hAnsi="Arial" w:cs="Arial"/>
                <w:sz w:val="19"/>
                <w:szCs w:val="19"/>
              </w:rPr>
              <w:t>'T</w:t>
            </w:r>
            <w:r w:rsidR="00853E85" w:rsidRPr="00CC1C66">
              <w:rPr>
                <w:rFonts w:ascii="Arial" w:hAnsi="Arial" w:cs="Arial"/>
                <w:sz w:val="19"/>
                <w:szCs w:val="19"/>
              </w:rPr>
              <w:t>each-in</w:t>
            </w:r>
            <w:r w:rsidRPr="00CC1C66">
              <w:rPr>
                <w:rFonts w:ascii="Arial" w:hAnsi="Arial" w:cs="Arial"/>
                <w:sz w:val="19"/>
                <w:szCs w:val="19"/>
              </w:rPr>
              <w:t>’</w:t>
            </w:r>
            <w:r w:rsidR="00853E85" w:rsidRPr="00CC1C66">
              <w:rPr>
                <w:rFonts w:ascii="Arial" w:hAnsi="Arial" w:cs="Arial"/>
                <w:sz w:val="19"/>
                <w:szCs w:val="19"/>
              </w:rPr>
              <w:t xml:space="preserve"> event</w:t>
            </w:r>
          </w:p>
        </w:tc>
        <w:tc>
          <w:tcPr>
            <w:tcW w:w="2721" w:type="dxa"/>
          </w:tcPr>
          <w:p w14:paraId="6641AD52" w14:textId="4F578309" w:rsidR="00853E85" w:rsidRPr="00CC1C66" w:rsidRDefault="00853E85" w:rsidP="00F56285">
            <w:pPr>
              <w:jc w:val="left"/>
              <w:rPr>
                <w:rFonts w:ascii="Arial" w:hAnsi="Arial" w:cs="Arial"/>
                <w:sz w:val="19"/>
                <w:szCs w:val="19"/>
              </w:rPr>
            </w:pPr>
            <w:r w:rsidRPr="00CC1C66">
              <w:rPr>
                <w:rFonts w:ascii="Arial" w:hAnsi="Arial" w:cs="Arial"/>
                <w:sz w:val="19"/>
                <w:szCs w:val="19"/>
              </w:rPr>
              <w:t>5 July 2022</w:t>
            </w:r>
            <w:r w:rsidRPr="00CC1C66">
              <w:rPr>
                <w:rFonts w:ascii="Arial" w:hAnsi="Arial" w:cs="Arial"/>
                <w:sz w:val="19"/>
                <w:szCs w:val="19"/>
                <w:vertAlign w:val="superscript"/>
              </w:rPr>
              <w:t>±</w:t>
            </w:r>
          </w:p>
        </w:tc>
      </w:tr>
      <w:tr w:rsidR="00C52B32" w:rsidRPr="00CC1C66" w14:paraId="3A611EF1" w14:textId="77777777" w:rsidTr="00810FD1">
        <w:tc>
          <w:tcPr>
            <w:tcW w:w="3118" w:type="dxa"/>
          </w:tcPr>
          <w:p w14:paraId="0751EF95" w14:textId="0CA6F23E" w:rsidR="00C52B32" w:rsidRPr="00CC1C66" w:rsidRDefault="00447B5A" w:rsidP="00810FD1">
            <w:pPr>
              <w:ind w:firstLine="30"/>
              <w:jc w:val="left"/>
              <w:rPr>
                <w:rFonts w:ascii="Arial" w:hAnsi="Arial" w:cs="Arial"/>
                <w:sz w:val="19"/>
                <w:szCs w:val="19"/>
              </w:rPr>
            </w:pPr>
            <w:r w:rsidRPr="00CC1C66">
              <w:rPr>
                <w:rFonts w:ascii="Arial" w:hAnsi="Arial" w:cs="Arial"/>
                <w:sz w:val="19"/>
                <w:szCs w:val="19"/>
              </w:rPr>
              <w:t>Half</w:t>
            </w:r>
            <w:r w:rsidR="00C52B32" w:rsidRPr="00CC1C66">
              <w:rPr>
                <w:rFonts w:ascii="Arial" w:hAnsi="Arial" w:cs="Arial"/>
                <w:sz w:val="19"/>
                <w:szCs w:val="19"/>
              </w:rPr>
              <w:t xml:space="preserve"> year results</w:t>
            </w:r>
          </w:p>
        </w:tc>
        <w:tc>
          <w:tcPr>
            <w:tcW w:w="2721" w:type="dxa"/>
          </w:tcPr>
          <w:p w14:paraId="6D60EC96" w14:textId="407A354F" w:rsidR="00C52B32" w:rsidRPr="00CC1C66" w:rsidRDefault="00C52B32" w:rsidP="00810FD1">
            <w:pPr>
              <w:jc w:val="left"/>
              <w:rPr>
                <w:rFonts w:ascii="Arial" w:hAnsi="Arial" w:cs="Arial"/>
                <w:sz w:val="19"/>
                <w:szCs w:val="19"/>
              </w:rPr>
            </w:pPr>
            <w:r w:rsidRPr="00CC1C66">
              <w:rPr>
                <w:rFonts w:ascii="Arial" w:hAnsi="Arial" w:cs="Arial"/>
                <w:sz w:val="19"/>
                <w:szCs w:val="19"/>
              </w:rPr>
              <w:t>2</w:t>
            </w:r>
            <w:r w:rsidR="00447B5A" w:rsidRPr="00CC1C66">
              <w:rPr>
                <w:rFonts w:ascii="Arial" w:hAnsi="Arial" w:cs="Arial"/>
                <w:sz w:val="19"/>
                <w:szCs w:val="19"/>
              </w:rPr>
              <w:t>0 September</w:t>
            </w:r>
            <w:r w:rsidRPr="00CC1C66">
              <w:rPr>
                <w:rFonts w:ascii="Arial" w:hAnsi="Arial" w:cs="Arial"/>
                <w:sz w:val="19"/>
                <w:szCs w:val="19"/>
              </w:rPr>
              <w:t xml:space="preserve"> 2022</w:t>
            </w:r>
            <w:r w:rsidRPr="00CC1C66">
              <w:rPr>
                <w:rFonts w:ascii="Arial" w:hAnsi="Arial" w:cs="Arial"/>
                <w:sz w:val="19"/>
                <w:szCs w:val="19"/>
                <w:vertAlign w:val="superscript"/>
              </w:rPr>
              <w:t>±</w:t>
            </w:r>
          </w:p>
        </w:tc>
      </w:tr>
      <w:tr w:rsidR="00447B5A" w:rsidRPr="00CC1C66" w14:paraId="61CA8179" w14:textId="77777777" w:rsidTr="00810FD1">
        <w:tc>
          <w:tcPr>
            <w:tcW w:w="3118" w:type="dxa"/>
          </w:tcPr>
          <w:p w14:paraId="2CF1B34F" w14:textId="48CAE618" w:rsidR="00447B5A" w:rsidRPr="00CC1C66" w:rsidRDefault="00447B5A" w:rsidP="00810FD1">
            <w:pPr>
              <w:ind w:firstLine="30"/>
              <w:jc w:val="left"/>
              <w:rPr>
                <w:rFonts w:ascii="Arial" w:hAnsi="Arial" w:cs="Arial"/>
                <w:sz w:val="19"/>
                <w:szCs w:val="19"/>
              </w:rPr>
            </w:pPr>
            <w:r w:rsidRPr="00CC1C66">
              <w:rPr>
                <w:rFonts w:ascii="Arial" w:hAnsi="Arial" w:cs="Arial"/>
                <w:sz w:val="19"/>
                <w:szCs w:val="19"/>
              </w:rPr>
              <w:t>Q3 trading update</w:t>
            </w:r>
          </w:p>
        </w:tc>
        <w:tc>
          <w:tcPr>
            <w:tcW w:w="2721" w:type="dxa"/>
          </w:tcPr>
          <w:p w14:paraId="4F78A122" w14:textId="705FD543" w:rsidR="00447B5A" w:rsidRPr="00CC1C66" w:rsidRDefault="00447B5A" w:rsidP="00810FD1">
            <w:pPr>
              <w:jc w:val="left"/>
              <w:rPr>
                <w:rFonts w:ascii="Arial" w:hAnsi="Arial" w:cs="Arial"/>
                <w:sz w:val="19"/>
                <w:szCs w:val="19"/>
              </w:rPr>
            </w:pPr>
            <w:r w:rsidRPr="00CC1C66">
              <w:rPr>
                <w:rFonts w:ascii="Arial" w:hAnsi="Arial" w:cs="Arial"/>
                <w:sz w:val="19"/>
                <w:szCs w:val="19"/>
              </w:rPr>
              <w:t>24 November 2022</w:t>
            </w:r>
            <w:r w:rsidRPr="00CC1C66">
              <w:rPr>
                <w:rFonts w:ascii="Arial" w:hAnsi="Arial" w:cs="Arial"/>
                <w:sz w:val="19"/>
                <w:szCs w:val="19"/>
                <w:vertAlign w:val="superscript"/>
              </w:rPr>
              <w:t>±</w:t>
            </w:r>
          </w:p>
        </w:tc>
      </w:tr>
    </w:tbl>
    <w:p w14:paraId="2091E095" w14:textId="6B4AE24F" w:rsidR="00C52B32" w:rsidRPr="00CC1C66" w:rsidRDefault="00C52B32" w:rsidP="00C52B32">
      <w:pPr>
        <w:autoSpaceDE w:val="0"/>
        <w:autoSpaceDN w:val="0"/>
        <w:adjustRightInd w:val="0"/>
        <w:jc w:val="left"/>
        <w:rPr>
          <w:rFonts w:ascii="Arial" w:hAnsi="Arial" w:cs="Arial"/>
          <w:bCs/>
          <w:sz w:val="19"/>
          <w:szCs w:val="19"/>
        </w:rPr>
      </w:pPr>
    </w:p>
    <w:p w14:paraId="17618474" w14:textId="77777777" w:rsidR="00C52B32" w:rsidRPr="00CC1C66" w:rsidRDefault="00C52B32" w:rsidP="00F44AF3">
      <w:pPr>
        <w:autoSpaceDE w:val="0"/>
        <w:autoSpaceDN w:val="0"/>
        <w:adjustRightInd w:val="0"/>
        <w:jc w:val="left"/>
        <w:rPr>
          <w:rFonts w:ascii="Arial" w:hAnsi="Arial" w:cs="Arial"/>
          <w:b/>
          <w:bCs/>
          <w:sz w:val="19"/>
          <w:szCs w:val="19"/>
        </w:rPr>
      </w:pPr>
      <w:r w:rsidRPr="00CC1C66">
        <w:rPr>
          <w:rFonts w:ascii="Arial" w:hAnsi="Arial" w:cs="Arial"/>
          <w:b/>
          <w:bCs/>
          <w:sz w:val="19"/>
          <w:szCs w:val="19"/>
        </w:rPr>
        <w:t>American Depository Receipts</w:t>
      </w:r>
    </w:p>
    <w:p w14:paraId="13FE1AE3" w14:textId="711AFFD1" w:rsidR="005A06EB" w:rsidRPr="00CC1C66" w:rsidRDefault="00C52B32" w:rsidP="00F44AF3">
      <w:pPr>
        <w:jc w:val="left"/>
        <w:rPr>
          <w:rFonts w:ascii="Arial" w:hAnsi="Arial" w:cs="Arial"/>
          <w:sz w:val="19"/>
          <w:szCs w:val="19"/>
        </w:rPr>
      </w:pPr>
      <w:r w:rsidRPr="00CC1C66">
        <w:rPr>
          <w:rFonts w:ascii="Arial" w:hAnsi="Arial" w:cs="Arial"/>
          <w:sz w:val="19"/>
          <w:szCs w:val="19"/>
        </w:rPr>
        <w:t xml:space="preserve">Kingfisher American Depository Receipts are traded in the US on the OTCQX platform: (OTCQX: KGFHY) </w:t>
      </w:r>
      <w:hyperlink r:id="rId13" w:history="1">
        <w:r w:rsidRPr="00CC1C66">
          <w:rPr>
            <w:rStyle w:val="Hyperlink"/>
            <w:rFonts w:ascii="Arial" w:hAnsi="Arial" w:cs="Arial"/>
            <w:sz w:val="19"/>
            <w:szCs w:val="19"/>
          </w:rPr>
          <w:t>http://www.otcmarkets.com/stock/KGFHY/quote</w:t>
        </w:r>
      </w:hyperlink>
      <w:r w:rsidRPr="00CC1C66">
        <w:rPr>
          <w:rFonts w:ascii="Arial" w:hAnsi="Arial" w:cs="Arial"/>
          <w:sz w:val="19"/>
          <w:szCs w:val="19"/>
        </w:rPr>
        <w:t>.</w:t>
      </w:r>
      <w:r w:rsidR="005A06EB" w:rsidRPr="00CC1C66">
        <w:rPr>
          <w:rFonts w:ascii="Arial" w:hAnsi="Arial" w:cs="Arial"/>
          <w:sz w:val="19"/>
          <w:szCs w:val="19"/>
        </w:rPr>
        <w:br w:type="page"/>
      </w:r>
    </w:p>
    <w:p w14:paraId="4C261FEA" w14:textId="77777777" w:rsidR="00F44AF3" w:rsidRPr="00EB4495" w:rsidRDefault="00F44AF3" w:rsidP="00F44AF3">
      <w:pPr>
        <w:jc w:val="left"/>
        <w:rPr>
          <w:rFonts w:ascii="Arial" w:hAnsi="Arial" w:cs="Arial"/>
          <w:b/>
          <w:bCs/>
        </w:rPr>
      </w:pPr>
      <w:r w:rsidRPr="00EB4495">
        <w:rPr>
          <w:rFonts w:ascii="Arial" w:hAnsi="Arial" w:cs="Arial"/>
          <w:b/>
          <w:bCs/>
        </w:rPr>
        <w:lastRenderedPageBreak/>
        <w:t>The remainder of this release consists of seven main sections:</w:t>
      </w:r>
    </w:p>
    <w:p w14:paraId="6DA33EDA" w14:textId="33D4E4A5" w:rsidR="00F44AF3" w:rsidRPr="00EB4495" w:rsidRDefault="00F44AF3" w:rsidP="00F44AF3">
      <w:pPr>
        <w:numPr>
          <w:ilvl w:val="0"/>
          <w:numId w:val="1"/>
        </w:numPr>
        <w:ind w:left="426" w:hanging="426"/>
        <w:jc w:val="left"/>
        <w:rPr>
          <w:rFonts w:ascii="Arial" w:hAnsi="Arial" w:cs="Arial"/>
        </w:rPr>
      </w:pPr>
      <w:r w:rsidRPr="00EB4495">
        <w:rPr>
          <w:rFonts w:ascii="Arial" w:hAnsi="Arial" w:cs="Arial"/>
        </w:rPr>
        <w:t>FY 2021/22 Financial performance summary</w:t>
      </w:r>
      <w:r w:rsidR="00572682">
        <w:rPr>
          <w:rFonts w:ascii="Arial" w:hAnsi="Arial" w:cs="Arial"/>
        </w:rPr>
        <w:t xml:space="preserve">, </w:t>
      </w:r>
      <w:r w:rsidRPr="00EB4495">
        <w:rPr>
          <w:rFonts w:ascii="Arial" w:hAnsi="Arial" w:cs="Arial"/>
        </w:rPr>
        <w:t>current trading</w:t>
      </w:r>
      <w:r w:rsidR="00572682">
        <w:rPr>
          <w:rFonts w:ascii="Arial" w:hAnsi="Arial" w:cs="Arial"/>
        </w:rPr>
        <w:t xml:space="preserve"> and outlook</w:t>
      </w:r>
    </w:p>
    <w:p w14:paraId="2AAF3226" w14:textId="77777777" w:rsidR="00F44AF3" w:rsidRPr="00EB4495" w:rsidRDefault="00F44AF3" w:rsidP="00F44AF3">
      <w:pPr>
        <w:numPr>
          <w:ilvl w:val="0"/>
          <w:numId w:val="1"/>
        </w:numPr>
        <w:ind w:left="426" w:hanging="426"/>
        <w:jc w:val="left"/>
        <w:rPr>
          <w:rFonts w:ascii="Arial" w:hAnsi="Arial" w:cs="Arial"/>
        </w:rPr>
      </w:pPr>
      <w:r w:rsidRPr="00EB4495">
        <w:rPr>
          <w:rFonts w:ascii="Arial" w:hAnsi="Arial" w:cs="Arial"/>
        </w:rPr>
        <w:t xml:space="preserve">Group update </w:t>
      </w:r>
      <w:r w:rsidRPr="00EB4495">
        <w:rPr>
          <w:rFonts w:ascii="Arial" w:hAnsi="Arial" w:cs="Arial"/>
          <w:bCs/>
        </w:rPr>
        <w:t xml:space="preserve">(including </w:t>
      </w:r>
      <w:r w:rsidRPr="00EB4495">
        <w:rPr>
          <w:rFonts w:ascii="Arial" w:hAnsi="Arial" w:cs="Arial"/>
          <w:b/>
        </w:rPr>
        <w:t xml:space="preserve">‘Powered by Kingfisher’ </w:t>
      </w:r>
      <w:r w:rsidRPr="00EB4495">
        <w:rPr>
          <w:rFonts w:ascii="Arial" w:hAnsi="Arial" w:cs="Arial"/>
          <w:bCs/>
        </w:rPr>
        <w:t>strategic plan)</w:t>
      </w:r>
    </w:p>
    <w:p w14:paraId="1E23A683" w14:textId="77777777" w:rsidR="00F44AF3" w:rsidRPr="00EB4495" w:rsidRDefault="00F44AF3" w:rsidP="00F44AF3">
      <w:pPr>
        <w:numPr>
          <w:ilvl w:val="0"/>
          <w:numId w:val="1"/>
        </w:numPr>
        <w:ind w:left="426" w:hanging="426"/>
        <w:jc w:val="left"/>
        <w:rPr>
          <w:rFonts w:ascii="Arial" w:hAnsi="Arial" w:cs="Arial"/>
        </w:rPr>
      </w:pPr>
      <w:r w:rsidRPr="00EB4495">
        <w:rPr>
          <w:rFonts w:ascii="Arial" w:hAnsi="Arial" w:cs="Arial"/>
        </w:rPr>
        <w:t>Trading review by division</w:t>
      </w:r>
    </w:p>
    <w:p w14:paraId="58B7A6BC" w14:textId="77777777" w:rsidR="00F44AF3" w:rsidRPr="00EB4495" w:rsidRDefault="00F44AF3" w:rsidP="00F44AF3">
      <w:pPr>
        <w:numPr>
          <w:ilvl w:val="0"/>
          <w:numId w:val="1"/>
        </w:numPr>
        <w:ind w:left="426" w:hanging="426"/>
        <w:jc w:val="left"/>
        <w:rPr>
          <w:rFonts w:ascii="Arial" w:hAnsi="Arial" w:cs="Arial"/>
        </w:rPr>
      </w:pPr>
      <w:r w:rsidRPr="00EB4495">
        <w:rPr>
          <w:rFonts w:ascii="Arial" w:hAnsi="Arial" w:cs="Arial"/>
        </w:rPr>
        <w:t>FY 2022/23 Technical guidance</w:t>
      </w:r>
    </w:p>
    <w:p w14:paraId="18846E83" w14:textId="77777777" w:rsidR="00F44AF3" w:rsidRPr="00EB4495" w:rsidRDefault="00F44AF3" w:rsidP="00F44AF3">
      <w:pPr>
        <w:numPr>
          <w:ilvl w:val="0"/>
          <w:numId w:val="1"/>
        </w:numPr>
        <w:ind w:left="426" w:hanging="426"/>
        <w:jc w:val="left"/>
        <w:rPr>
          <w:rFonts w:ascii="Arial" w:hAnsi="Arial" w:cs="Arial"/>
        </w:rPr>
      </w:pPr>
      <w:r w:rsidRPr="00EB4495">
        <w:rPr>
          <w:rFonts w:ascii="Arial" w:hAnsi="Arial" w:cs="Arial"/>
        </w:rPr>
        <w:t>FY 2021/22 Financial review and, in part 2 of this announcement, the condensed financial statements</w:t>
      </w:r>
    </w:p>
    <w:p w14:paraId="2B9066DE" w14:textId="77777777" w:rsidR="00F44AF3" w:rsidRPr="00EB4495" w:rsidRDefault="00F44AF3" w:rsidP="00F44AF3">
      <w:pPr>
        <w:numPr>
          <w:ilvl w:val="0"/>
          <w:numId w:val="1"/>
        </w:numPr>
        <w:ind w:left="426" w:hanging="426"/>
        <w:jc w:val="left"/>
        <w:rPr>
          <w:rFonts w:ascii="Arial" w:hAnsi="Arial" w:cs="Arial"/>
        </w:rPr>
      </w:pPr>
      <w:r w:rsidRPr="00EB4495">
        <w:rPr>
          <w:rFonts w:ascii="Arial" w:hAnsi="Arial" w:cs="Arial"/>
        </w:rPr>
        <w:t>Glossary</w:t>
      </w:r>
    </w:p>
    <w:p w14:paraId="5DC70CDE" w14:textId="77777777" w:rsidR="00F44AF3" w:rsidRPr="00EB4495" w:rsidRDefault="00F44AF3" w:rsidP="00F44AF3">
      <w:pPr>
        <w:numPr>
          <w:ilvl w:val="0"/>
          <w:numId w:val="1"/>
        </w:numPr>
        <w:ind w:left="426" w:hanging="426"/>
        <w:jc w:val="left"/>
        <w:rPr>
          <w:rFonts w:ascii="Arial" w:hAnsi="Arial" w:cs="Arial"/>
          <w:b/>
        </w:rPr>
      </w:pPr>
      <w:r w:rsidRPr="00EB4495">
        <w:rPr>
          <w:rFonts w:ascii="Arial" w:hAnsi="Arial" w:cs="Arial"/>
        </w:rPr>
        <w:t>Forward-looking statements</w:t>
      </w:r>
    </w:p>
    <w:p w14:paraId="5C98E660" w14:textId="5873E2BE" w:rsidR="00F44AF3" w:rsidRPr="00EB4495" w:rsidRDefault="00F44AF3" w:rsidP="00F44AF3">
      <w:pPr>
        <w:jc w:val="left"/>
        <w:rPr>
          <w:rFonts w:ascii="Arial" w:hAnsi="Arial" w:cs="Arial"/>
          <w:sz w:val="19"/>
          <w:szCs w:val="19"/>
        </w:rPr>
      </w:pPr>
    </w:p>
    <w:p w14:paraId="70CE710E" w14:textId="77777777" w:rsidR="00F27ABB" w:rsidRPr="00EB4495" w:rsidRDefault="00F27ABB" w:rsidP="00F44AF3">
      <w:pPr>
        <w:jc w:val="left"/>
        <w:rPr>
          <w:rFonts w:ascii="Arial" w:hAnsi="Arial" w:cs="Arial"/>
          <w:sz w:val="19"/>
          <w:szCs w:val="19"/>
        </w:rPr>
      </w:pPr>
    </w:p>
    <w:p w14:paraId="5AFAEE0C" w14:textId="09546131" w:rsidR="00285440" w:rsidRPr="00EB4495" w:rsidRDefault="00285440" w:rsidP="00285440">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b/>
          <w:bCs/>
          <w:color w:val="FFFFFF" w:themeColor="background1"/>
        </w:rPr>
      </w:pPr>
      <w:r w:rsidRPr="00EB4495">
        <w:rPr>
          <w:rFonts w:ascii="Arial" w:hAnsi="Arial" w:cs="Arial"/>
          <w:b/>
          <w:bCs/>
          <w:color w:val="FFFFFF" w:themeColor="background1"/>
        </w:rPr>
        <w:t>Section 1: FY 2021/22 Financial performance summary</w:t>
      </w:r>
      <w:r w:rsidR="00572682">
        <w:rPr>
          <w:rFonts w:ascii="Arial" w:hAnsi="Arial" w:cs="Arial"/>
          <w:b/>
          <w:bCs/>
          <w:color w:val="FFFFFF" w:themeColor="background1"/>
        </w:rPr>
        <w:t xml:space="preserve">, </w:t>
      </w:r>
      <w:r w:rsidRPr="00EB4495">
        <w:rPr>
          <w:rFonts w:ascii="Arial" w:hAnsi="Arial" w:cs="Arial"/>
          <w:b/>
          <w:bCs/>
          <w:color w:val="FFFFFF" w:themeColor="background1"/>
        </w:rPr>
        <w:t>current trading</w:t>
      </w:r>
      <w:r w:rsidR="00572682">
        <w:rPr>
          <w:rFonts w:ascii="Arial" w:hAnsi="Arial" w:cs="Arial"/>
          <w:b/>
          <w:bCs/>
          <w:color w:val="FFFFFF" w:themeColor="background1"/>
        </w:rPr>
        <w:t xml:space="preserve"> and outlook</w:t>
      </w:r>
    </w:p>
    <w:p w14:paraId="678B32AD" w14:textId="77777777" w:rsidR="00285440" w:rsidRPr="00EB4495" w:rsidRDefault="00285440" w:rsidP="00285440">
      <w:pPr>
        <w:jc w:val="left"/>
        <w:rPr>
          <w:rFonts w:ascii="Arial" w:hAnsi="Arial" w:cs="Arial"/>
          <w:b/>
          <w:bCs/>
        </w:rPr>
      </w:pPr>
    </w:p>
    <w:p w14:paraId="6223FB66" w14:textId="77777777" w:rsidR="00285440" w:rsidRPr="00EB4495" w:rsidRDefault="00285440" w:rsidP="00285440">
      <w:pPr>
        <w:jc w:val="left"/>
        <w:rPr>
          <w:rFonts w:ascii="Arial" w:hAnsi="Arial" w:cs="Arial"/>
          <w:b/>
          <w:u w:val="single"/>
        </w:rPr>
      </w:pPr>
      <w:r w:rsidRPr="00EB4495">
        <w:rPr>
          <w:rFonts w:ascii="Arial" w:hAnsi="Arial" w:cs="Arial"/>
          <w:b/>
          <w:u w:val="single"/>
        </w:rPr>
        <w:t>Income statement summary</w:t>
      </w:r>
    </w:p>
    <w:p w14:paraId="19706F1E" w14:textId="77777777" w:rsidR="00285440" w:rsidRPr="00EB4495" w:rsidRDefault="00285440" w:rsidP="00285440">
      <w:pPr>
        <w:jc w:val="left"/>
        <w:rPr>
          <w:rFonts w:ascii="Arial" w:hAnsi="Arial" w:cs="Arial"/>
          <w:bCs/>
        </w:rPr>
      </w:pPr>
    </w:p>
    <w:tbl>
      <w:tblPr>
        <w:tblW w:w="9870" w:type="dxa"/>
        <w:tblLayout w:type="fixed"/>
        <w:tblLook w:val="0420" w:firstRow="1" w:lastRow="0" w:firstColumn="0" w:lastColumn="0" w:noHBand="0" w:noVBand="1"/>
      </w:tblPr>
      <w:tblGrid>
        <w:gridCol w:w="3061"/>
        <w:gridCol w:w="908"/>
        <w:gridCol w:w="1133"/>
        <w:gridCol w:w="1191"/>
        <w:gridCol w:w="1191"/>
        <w:gridCol w:w="1191"/>
        <w:gridCol w:w="1195"/>
      </w:tblGrid>
      <w:tr w:rsidR="00285440" w:rsidRPr="00EB4495" w14:paraId="03EA9E24" w14:textId="77777777" w:rsidTr="00896FEF">
        <w:trPr>
          <w:trHeight w:val="539"/>
        </w:trPr>
        <w:tc>
          <w:tcPr>
            <w:tcW w:w="3061" w:type="dxa"/>
            <w:tcBorders>
              <w:top w:val="single" w:sz="4" w:space="0" w:color="auto"/>
              <w:left w:val="nil"/>
              <w:right w:val="nil"/>
            </w:tcBorders>
            <w:shd w:val="clear" w:color="auto" w:fill="FFFFFF" w:themeFill="background1"/>
            <w:tcMar>
              <w:top w:w="15" w:type="dxa"/>
              <w:left w:w="113" w:type="dxa"/>
              <w:bottom w:w="0" w:type="dxa"/>
              <w:right w:w="15" w:type="dxa"/>
            </w:tcMar>
            <w:vAlign w:val="center"/>
          </w:tcPr>
          <w:p w14:paraId="09639D6E" w14:textId="77777777" w:rsidR="00285440" w:rsidRPr="00EB4495" w:rsidRDefault="00285440" w:rsidP="00896FEF">
            <w:pPr>
              <w:jc w:val="left"/>
              <w:rPr>
                <w:rFonts w:ascii="Arial" w:eastAsia="Times New Roman" w:hAnsi="Arial" w:cs="Arial"/>
                <w:b/>
                <w:bCs/>
              </w:rPr>
            </w:pPr>
            <w:r w:rsidRPr="00EB4495">
              <w:rPr>
                <w:rFonts w:ascii="Arial" w:eastAsiaTheme="minorEastAsia" w:hAnsi="Arial" w:cs="Arial"/>
                <w:b/>
                <w:bCs/>
                <w:color w:val="000000" w:themeColor="text1"/>
                <w:kern w:val="24"/>
                <w:lang w:val="en-US"/>
              </w:rPr>
              <w:t>£m</w:t>
            </w:r>
          </w:p>
        </w:tc>
        <w:tc>
          <w:tcPr>
            <w:tcW w:w="908"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4D9B3C08" w14:textId="77777777" w:rsidR="00285440" w:rsidRPr="00EB4495" w:rsidRDefault="00285440" w:rsidP="00896FEF">
            <w:pPr>
              <w:jc w:val="right"/>
              <w:textAlignment w:val="bottom"/>
              <w:rPr>
                <w:rFonts w:ascii="Arial" w:eastAsia="Times New Roman" w:hAnsi="Arial" w:cs="Arial"/>
                <w:b/>
                <w:bCs/>
              </w:rPr>
            </w:pPr>
          </w:p>
        </w:tc>
        <w:tc>
          <w:tcPr>
            <w:tcW w:w="1133" w:type="dxa"/>
            <w:tcBorders>
              <w:top w:val="single" w:sz="4" w:space="0" w:color="auto"/>
              <w:left w:val="nil"/>
              <w:bottom w:val="single" w:sz="4" w:space="0" w:color="auto"/>
              <w:right w:val="nil"/>
            </w:tcBorders>
            <w:shd w:val="clear" w:color="auto" w:fill="FFFFFF" w:themeFill="background1"/>
            <w:vAlign w:val="center"/>
          </w:tcPr>
          <w:p w14:paraId="575AEC27" w14:textId="77777777" w:rsidR="00285440" w:rsidRPr="00EB4495" w:rsidRDefault="00285440" w:rsidP="00896FEF">
            <w:pPr>
              <w:jc w:val="right"/>
              <w:textAlignment w:val="bottom"/>
              <w:rPr>
                <w:rFonts w:ascii="Arial" w:eastAsia="Times New Roman" w:hAnsi="Arial" w:cs="Arial"/>
                <w:b/>
                <w:bCs/>
              </w:rPr>
            </w:pPr>
          </w:p>
        </w:tc>
        <w:tc>
          <w:tcPr>
            <w:tcW w:w="1191" w:type="dxa"/>
            <w:tcBorders>
              <w:top w:val="single" w:sz="4" w:space="0" w:color="auto"/>
              <w:left w:val="nil"/>
              <w:bottom w:val="single" w:sz="4" w:space="0" w:color="auto"/>
              <w:right w:val="nil"/>
            </w:tcBorders>
            <w:shd w:val="clear" w:color="auto" w:fill="FFFFFF" w:themeFill="background1"/>
            <w:vAlign w:val="center"/>
          </w:tcPr>
          <w:p w14:paraId="56226790" w14:textId="77777777" w:rsidR="00285440" w:rsidRPr="00EB4495" w:rsidRDefault="00285440" w:rsidP="00896FEF">
            <w:pPr>
              <w:jc w:val="right"/>
              <w:textAlignment w:val="bottom"/>
              <w:rPr>
                <w:rFonts w:ascii="Arial" w:eastAsia="Times New Roman" w:hAnsi="Arial" w:cs="Arial"/>
                <w:b/>
                <w:bCs/>
                <w:color w:val="FF0000"/>
              </w:rPr>
            </w:pP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00EBDF86" w14:textId="77777777" w:rsidR="00285440" w:rsidRPr="00EB4495" w:rsidRDefault="00285440" w:rsidP="00896FEF">
            <w:pPr>
              <w:jc w:val="right"/>
              <w:textAlignment w:val="bottom"/>
              <w:rPr>
                <w:rFonts w:ascii="Arial" w:eastAsia="Times New Roman" w:hAnsi="Arial" w:cs="Arial"/>
                <w:b/>
                <w:bCs/>
              </w:rPr>
            </w:pPr>
            <w:r w:rsidRPr="00EB4495">
              <w:rPr>
                <w:rFonts w:ascii="Arial" w:hAnsi="Arial" w:cs="Arial"/>
                <w:b/>
                <w:bCs/>
              </w:rPr>
              <w:t>% Total Change</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73EAD3D8" w14:textId="77777777" w:rsidR="00285440" w:rsidRPr="00EB4495" w:rsidRDefault="00285440" w:rsidP="00896FEF">
            <w:pPr>
              <w:jc w:val="right"/>
              <w:textAlignment w:val="bottom"/>
              <w:rPr>
                <w:rFonts w:ascii="Arial" w:eastAsia="Times New Roman" w:hAnsi="Arial" w:cs="Arial"/>
                <w:b/>
                <w:bCs/>
              </w:rPr>
            </w:pPr>
            <w:r w:rsidRPr="00EB4495">
              <w:rPr>
                <w:rFonts w:ascii="Arial" w:hAnsi="Arial" w:cs="Arial"/>
                <w:b/>
                <w:bCs/>
              </w:rPr>
              <w:t>% Total Change</w:t>
            </w:r>
          </w:p>
        </w:tc>
        <w:tc>
          <w:tcPr>
            <w:tcW w:w="1195" w:type="dxa"/>
            <w:tcBorders>
              <w:top w:val="single" w:sz="4" w:space="0" w:color="auto"/>
              <w:left w:val="nil"/>
              <w:bottom w:val="single" w:sz="4" w:space="0" w:color="auto"/>
              <w:right w:val="nil"/>
            </w:tcBorders>
            <w:shd w:val="clear" w:color="auto" w:fill="FFFFFF" w:themeFill="background1"/>
            <w:vAlign w:val="center"/>
          </w:tcPr>
          <w:p w14:paraId="12CE0035" w14:textId="77777777" w:rsidR="00285440" w:rsidRPr="00EB4495" w:rsidRDefault="00285440" w:rsidP="00896FEF">
            <w:pPr>
              <w:jc w:val="right"/>
              <w:textAlignment w:val="bottom"/>
              <w:rPr>
                <w:rFonts w:ascii="Arial" w:eastAsia="Times New Roman" w:hAnsi="Arial" w:cs="Arial"/>
                <w:b/>
                <w:bCs/>
              </w:rPr>
            </w:pPr>
            <w:r w:rsidRPr="00EB4495">
              <w:rPr>
                <w:rFonts w:ascii="Arial" w:hAnsi="Arial" w:cs="Arial"/>
                <w:b/>
                <w:bCs/>
              </w:rPr>
              <w:t>% LFL Change</w:t>
            </w:r>
          </w:p>
        </w:tc>
      </w:tr>
      <w:tr w:rsidR="00285440" w:rsidRPr="00EB4495" w14:paraId="463AFBC1" w14:textId="77777777" w:rsidTr="00896FEF">
        <w:trPr>
          <w:trHeight w:val="539"/>
        </w:trPr>
        <w:tc>
          <w:tcPr>
            <w:tcW w:w="3061" w:type="dxa"/>
            <w:tcBorders>
              <w:left w:val="nil"/>
              <w:bottom w:val="single" w:sz="4" w:space="0" w:color="auto"/>
              <w:right w:val="nil"/>
            </w:tcBorders>
            <w:shd w:val="clear" w:color="auto" w:fill="FFFFFF" w:themeFill="background1"/>
            <w:tcMar>
              <w:top w:w="15" w:type="dxa"/>
              <w:left w:w="113" w:type="dxa"/>
              <w:bottom w:w="0" w:type="dxa"/>
              <w:right w:w="15" w:type="dxa"/>
            </w:tcMar>
            <w:vAlign w:val="center"/>
          </w:tcPr>
          <w:p w14:paraId="5AC176FC" w14:textId="77777777" w:rsidR="00285440" w:rsidRPr="00EB4495" w:rsidRDefault="00285440" w:rsidP="00896FEF">
            <w:pPr>
              <w:jc w:val="left"/>
              <w:rPr>
                <w:rFonts w:ascii="Arial" w:eastAsiaTheme="minorEastAsia" w:hAnsi="Arial" w:cs="Arial"/>
                <w:b/>
                <w:bCs/>
                <w:color w:val="000000" w:themeColor="text1"/>
                <w:kern w:val="24"/>
              </w:rPr>
            </w:pPr>
          </w:p>
        </w:tc>
        <w:tc>
          <w:tcPr>
            <w:tcW w:w="908"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4AFE8C52" w14:textId="77777777" w:rsidR="00285440" w:rsidRPr="00EB4495" w:rsidRDefault="00285440" w:rsidP="00896FEF">
            <w:pPr>
              <w:jc w:val="right"/>
              <w:textAlignment w:val="bottom"/>
              <w:rPr>
                <w:rFonts w:ascii="Arial" w:eastAsia="Times New Roman" w:hAnsi="Arial" w:cs="Arial"/>
                <w:b/>
                <w:bCs/>
              </w:rPr>
            </w:pPr>
          </w:p>
        </w:tc>
        <w:tc>
          <w:tcPr>
            <w:tcW w:w="1133" w:type="dxa"/>
            <w:tcBorders>
              <w:top w:val="single" w:sz="4" w:space="0" w:color="auto"/>
              <w:left w:val="nil"/>
              <w:bottom w:val="single" w:sz="4" w:space="0" w:color="auto"/>
              <w:right w:val="nil"/>
            </w:tcBorders>
            <w:shd w:val="clear" w:color="auto" w:fill="FFFFFF" w:themeFill="background1"/>
            <w:vAlign w:val="center"/>
          </w:tcPr>
          <w:p w14:paraId="2259F969" w14:textId="77777777" w:rsidR="00285440" w:rsidRPr="00EB4495" w:rsidRDefault="00285440" w:rsidP="00896FEF">
            <w:pPr>
              <w:jc w:val="right"/>
              <w:textAlignment w:val="bottom"/>
              <w:rPr>
                <w:rFonts w:ascii="Arial" w:eastAsia="Times New Roman" w:hAnsi="Arial" w:cs="Arial"/>
                <w:b/>
                <w:bCs/>
              </w:rPr>
            </w:pPr>
            <w:r w:rsidRPr="00EB4495">
              <w:rPr>
                <w:rFonts w:ascii="Arial" w:hAnsi="Arial" w:cs="Arial"/>
                <w:b/>
                <w:bCs/>
              </w:rPr>
              <w:t>2021/22</w:t>
            </w:r>
          </w:p>
        </w:tc>
        <w:tc>
          <w:tcPr>
            <w:tcW w:w="1191" w:type="dxa"/>
            <w:tcBorders>
              <w:top w:val="single" w:sz="4" w:space="0" w:color="auto"/>
              <w:left w:val="nil"/>
              <w:bottom w:val="single" w:sz="4" w:space="0" w:color="auto"/>
              <w:right w:val="nil"/>
            </w:tcBorders>
            <w:shd w:val="clear" w:color="auto" w:fill="FFFFFF" w:themeFill="background1"/>
            <w:vAlign w:val="center"/>
          </w:tcPr>
          <w:p w14:paraId="70C1FFE4" w14:textId="77777777" w:rsidR="00285440" w:rsidRPr="00EB4495" w:rsidRDefault="00285440" w:rsidP="00896FEF">
            <w:pPr>
              <w:jc w:val="right"/>
              <w:textAlignment w:val="bottom"/>
              <w:rPr>
                <w:rFonts w:ascii="Arial" w:eastAsia="Times New Roman" w:hAnsi="Arial" w:cs="Arial"/>
                <w:b/>
                <w:bCs/>
              </w:rPr>
            </w:pPr>
            <w:r w:rsidRPr="00EB4495">
              <w:rPr>
                <w:rFonts w:ascii="Arial" w:hAnsi="Arial" w:cs="Arial"/>
                <w:b/>
                <w:bCs/>
              </w:rPr>
              <w:t>2020/21</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5D82CA5C" w14:textId="77777777" w:rsidR="00285440" w:rsidRPr="00EB4495" w:rsidRDefault="00285440" w:rsidP="00896FEF">
            <w:pPr>
              <w:jc w:val="right"/>
              <w:textAlignment w:val="bottom"/>
              <w:rPr>
                <w:rFonts w:ascii="Arial" w:eastAsia="Times New Roman" w:hAnsi="Arial" w:cs="Arial"/>
                <w:b/>
                <w:bCs/>
              </w:rPr>
            </w:pPr>
            <w:r w:rsidRPr="00EB4495">
              <w:rPr>
                <w:rFonts w:ascii="Arial" w:hAnsi="Arial" w:cs="Arial"/>
                <w:b/>
                <w:bCs/>
              </w:rPr>
              <w:t>Reported</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7D9A0110" w14:textId="77777777" w:rsidR="00285440" w:rsidRPr="00EB4495" w:rsidRDefault="00285440" w:rsidP="00896FEF">
            <w:pPr>
              <w:jc w:val="right"/>
              <w:textAlignment w:val="bottom"/>
              <w:rPr>
                <w:rFonts w:ascii="Arial" w:eastAsia="Times New Roman" w:hAnsi="Arial" w:cs="Arial"/>
                <w:b/>
                <w:bCs/>
              </w:rPr>
            </w:pPr>
            <w:r w:rsidRPr="00EB4495">
              <w:rPr>
                <w:rFonts w:ascii="Arial" w:hAnsi="Arial" w:cs="Arial"/>
                <w:b/>
                <w:bCs/>
              </w:rPr>
              <w:t>Constant currency</w:t>
            </w:r>
          </w:p>
        </w:tc>
        <w:tc>
          <w:tcPr>
            <w:tcW w:w="1195" w:type="dxa"/>
            <w:tcBorders>
              <w:top w:val="single" w:sz="4" w:space="0" w:color="auto"/>
              <w:left w:val="nil"/>
              <w:bottom w:val="single" w:sz="4" w:space="0" w:color="auto"/>
              <w:right w:val="nil"/>
            </w:tcBorders>
            <w:shd w:val="clear" w:color="auto" w:fill="FFFFFF" w:themeFill="background1"/>
            <w:vAlign w:val="center"/>
          </w:tcPr>
          <w:p w14:paraId="1827B442" w14:textId="77777777" w:rsidR="00285440" w:rsidRPr="00EB4495" w:rsidRDefault="00285440" w:rsidP="00896FEF">
            <w:pPr>
              <w:jc w:val="right"/>
              <w:textAlignment w:val="bottom"/>
              <w:rPr>
                <w:rFonts w:ascii="Arial" w:eastAsia="Times New Roman" w:hAnsi="Arial" w:cs="Arial"/>
                <w:b/>
                <w:bCs/>
              </w:rPr>
            </w:pPr>
            <w:r w:rsidRPr="00EB4495">
              <w:rPr>
                <w:rFonts w:ascii="Arial" w:hAnsi="Arial" w:cs="Arial"/>
                <w:b/>
                <w:bCs/>
              </w:rPr>
              <w:t>Constant currency</w:t>
            </w:r>
          </w:p>
        </w:tc>
      </w:tr>
      <w:tr w:rsidR="00A14F00" w:rsidRPr="00EB4495" w14:paraId="36145F92" w14:textId="77777777" w:rsidTr="00896FEF">
        <w:trPr>
          <w:trHeight w:val="255"/>
        </w:trPr>
        <w:tc>
          <w:tcPr>
            <w:tcW w:w="3061" w:type="dxa"/>
            <w:tcBorders>
              <w:top w:val="single" w:sz="4" w:space="0" w:color="auto"/>
              <w:left w:val="nil"/>
              <w:right w:val="nil"/>
            </w:tcBorders>
            <w:shd w:val="clear" w:color="auto" w:fill="FFFFFF" w:themeFill="background1"/>
            <w:tcMar>
              <w:top w:w="15" w:type="dxa"/>
              <w:left w:w="113" w:type="dxa"/>
              <w:bottom w:w="0" w:type="dxa"/>
              <w:right w:w="15" w:type="dxa"/>
            </w:tcMar>
            <w:vAlign w:val="center"/>
          </w:tcPr>
          <w:p w14:paraId="5FD8E24B" w14:textId="77777777" w:rsidR="00A14F00" w:rsidRPr="00EB4495" w:rsidRDefault="00A14F00" w:rsidP="00A14F00">
            <w:pPr>
              <w:jc w:val="left"/>
              <w:rPr>
                <w:rFonts w:ascii="Arial" w:eastAsiaTheme="minorEastAsia" w:hAnsi="Arial" w:cs="Arial"/>
                <w:b/>
                <w:bCs/>
                <w:color w:val="000000" w:themeColor="text1"/>
                <w:kern w:val="24"/>
              </w:rPr>
            </w:pPr>
            <w:r w:rsidRPr="00EB4495">
              <w:rPr>
                <w:rFonts w:ascii="Arial" w:eastAsiaTheme="minorEastAsia" w:hAnsi="Arial" w:cs="Arial"/>
                <w:b/>
                <w:bCs/>
                <w:color w:val="000000" w:themeColor="text1"/>
                <w:kern w:val="24"/>
              </w:rPr>
              <w:t xml:space="preserve">Sales </w:t>
            </w:r>
          </w:p>
        </w:tc>
        <w:tc>
          <w:tcPr>
            <w:tcW w:w="908"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1E6E4684" w14:textId="77777777" w:rsidR="00A14F00" w:rsidRPr="00EB4495" w:rsidRDefault="00A14F00" w:rsidP="00A14F00">
            <w:pPr>
              <w:jc w:val="center"/>
              <w:textAlignment w:val="bottom"/>
              <w:rPr>
                <w:rFonts w:ascii="Arial" w:eastAsia="Times New Roman" w:hAnsi="Arial" w:cs="Arial"/>
                <w:b/>
                <w:bCs/>
              </w:rPr>
            </w:pPr>
          </w:p>
        </w:tc>
        <w:tc>
          <w:tcPr>
            <w:tcW w:w="1133" w:type="dxa"/>
            <w:tcBorders>
              <w:top w:val="single" w:sz="4" w:space="0" w:color="auto"/>
              <w:left w:val="nil"/>
              <w:right w:val="nil"/>
            </w:tcBorders>
            <w:shd w:val="clear" w:color="auto" w:fill="FFFFFF" w:themeFill="background1"/>
            <w:vAlign w:val="center"/>
          </w:tcPr>
          <w:p w14:paraId="079405AE" w14:textId="0F34F076" w:rsidR="00A14F00" w:rsidRPr="00EB4495" w:rsidRDefault="00A14F00" w:rsidP="00A14F00">
            <w:pPr>
              <w:jc w:val="right"/>
              <w:textAlignment w:val="bottom"/>
              <w:rPr>
                <w:rFonts w:ascii="Arial" w:eastAsia="Times New Roman" w:hAnsi="Arial" w:cs="Arial"/>
                <w:b/>
                <w:bCs/>
              </w:rPr>
            </w:pPr>
            <w:r w:rsidRPr="00EB4495">
              <w:rPr>
                <w:rFonts w:ascii="Arial" w:eastAsia="Times New Roman" w:hAnsi="Arial" w:cs="Arial"/>
                <w:b/>
                <w:bCs/>
              </w:rPr>
              <w:t>13,183</w:t>
            </w:r>
          </w:p>
        </w:tc>
        <w:tc>
          <w:tcPr>
            <w:tcW w:w="1191" w:type="dxa"/>
            <w:tcBorders>
              <w:top w:val="single" w:sz="4" w:space="0" w:color="auto"/>
              <w:left w:val="nil"/>
              <w:right w:val="nil"/>
            </w:tcBorders>
            <w:shd w:val="clear" w:color="auto" w:fill="FFFFFF" w:themeFill="background1"/>
            <w:vAlign w:val="center"/>
          </w:tcPr>
          <w:p w14:paraId="54AAA1E0" w14:textId="77777777" w:rsidR="00A14F00" w:rsidRPr="00EB4495" w:rsidRDefault="00A14F00" w:rsidP="00A14F00">
            <w:pPr>
              <w:jc w:val="right"/>
              <w:textAlignment w:val="bottom"/>
              <w:rPr>
                <w:rFonts w:ascii="Arial" w:eastAsia="Times New Roman" w:hAnsi="Arial" w:cs="Arial"/>
                <w:b/>
                <w:bCs/>
              </w:rPr>
            </w:pPr>
            <w:r w:rsidRPr="00EB4495">
              <w:rPr>
                <w:rFonts w:ascii="Arial" w:hAnsi="Arial" w:cs="Arial"/>
                <w:b/>
                <w:bCs/>
              </w:rPr>
              <w:t>12,343</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3110FB06" w14:textId="51C42265" w:rsidR="00A14F00" w:rsidRPr="00EB4495" w:rsidRDefault="00A14F00" w:rsidP="00A14F00">
            <w:pPr>
              <w:jc w:val="right"/>
              <w:textAlignment w:val="bottom"/>
              <w:rPr>
                <w:rFonts w:ascii="Arial" w:eastAsia="Times New Roman" w:hAnsi="Arial" w:cs="Arial"/>
                <w:b/>
                <w:bCs/>
              </w:rPr>
            </w:pPr>
            <w:r w:rsidRPr="00EB4495">
              <w:rPr>
                <w:rFonts w:ascii="Arial" w:hAnsi="Arial" w:cs="Arial"/>
              </w:rPr>
              <w:t>+6.8%</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737AD730" w14:textId="61FF44CF" w:rsidR="00A14F00" w:rsidRPr="00EB4495" w:rsidRDefault="00A14F00" w:rsidP="00A14F00">
            <w:pPr>
              <w:jc w:val="right"/>
              <w:textAlignment w:val="bottom"/>
              <w:rPr>
                <w:rFonts w:ascii="Arial" w:eastAsia="Times New Roman" w:hAnsi="Arial" w:cs="Arial"/>
                <w:b/>
                <w:bCs/>
              </w:rPr>
            </w:pPr>
            <w:r w:rsidRPr="00EB4495">
              <w:rPr>
                <w:rFonts w:ascii="Arial" w:hAnsi="Arial" w:cs="Arial"/>
              </w:rPr>
              <w:t>+9.7%</w:t>
            </w:r>
          </w:p>
        </w:tc>
        <w:tc>
          <w:tcPr>
            <w:tcW w:w="1195" w:type="dxa"/>
            <w:tcBorders>
              <w:top w:val="single" w:sz="4" w:space="0" w:color="auto"/>
              <w:left w:val="nil"/>
              <w:right w:val="nil"/>
            </w:tcBorders>
            <w:shd w:val="clear" w:color="auto" w:fill="FFFFFF" w:themeFill="background1"/>
            <w:vAlign w:val="center"/>
          </w:tcPr>
          <w:p w14:paraId="4A9E4D9D" w14:textId="79C85ED7" w:rsidR="00A14F00" w:rsidRPr="00EB4495" w:rsidRDefault="00A14F00" w:rsidP="00A14F00">
            <w:pPr>
              <w:jc w:val="right"/>
              <w:textAlignment w:val="bottom"/>
              <w:rPr>
                <w:rFonts w:ascii="Arial" w:eastAsia="Times New Roman" w:hAnsi="Arial" w:cs="Arial"/>
                <w:b/>
                <w:bCs/>
              </w:rPr>
            </w:pPr>
            <w:r w:rsidRPr="00EB4495">
              <w:rPr>
                <w:rFonts w:ascii="Arial" w:hAnsi="Arial" w:cs="Arial"/>
              </w:rPr>
              <w:t>+9.9%</w:t>
            </w:r>
          </w:p>
        </w:tc>
      </w:tr>
      <w:tr w:rsidR="00A14F00" w:rsidRPr="00EB4495" w14:paraId="372082EF" w14:textId="77777777" w:rsidTr="00896FEF">
        <w:trPr>
          <w:trHeight w:val="255"/>
        </w:trPr>
        <w:tc>
          <w:tcPr>
            <w:tcW w:w="3061" w:type="dxa"/>
            <w:tcBorders>
              <w:left w:val="nil"/>
              <w:right w:val="nil"/>
            </w:tcBorders>
            <w:shd w:val="clear" w:color="auto" w:fill="FFFFFF" w:themeFill="background1"/>
            <w:tcMar>
              <w:top w:w="15" w:type="dxa"/>
              <w:left w:w="113" w:type="dxa"/>
              <w:bottom w:w="0" w:type="dxa"/>
              <w:right w:w="15" w:type="dxa"/>
            </w:tcMar>
            <w:vAlign w:val="center"/>
          </w:tcPr>
          <w:p w14:paraId="46A32E38" w14:textId="77777777" w:rsidR="00A14F00" w:rsidRPr="00EB4495" w:rsidRDefault="00A14F00" w:rsidP="00A14F00">
            <w:pPr>
              <w:jc w:val="left"/>
              <w:rPr>
                <w:rFonts w:ascii="Arial" w:eastAsiaTheme="minorEastAsia" w:hAnsi="Arial" w:cs="Arial"/>
                <w:b/>
                <w:bCs/>
                <w:color w:val="000000" w:themeColor="text1"/>
                <w:kern w:val="24"/>
              </w:rPr>
            </w:pPr>
            <w:r w:rsidRPr="00EB4495">
              <w:rPr>
                <w:rFonts w:ascii="Arial" w:eastAsiaTheme="minorEastAsia" w:hAnsi="Arial" w:cs="Arial"/>
                <w:b/>
                <w:bCs/>
                <w:color w:val="000000" w:themeColor="text1"/>
                <w:kern w:val="24"/>
              </w:rPr>
              <w:t>Gross profit</w:t>
            </w:r>
          </w:p>
        </w:tc>
        <w:tc>
          <w:tcPr>
            <w:tcW w:w="908" w:type="dxa"/>
            <w:tcBorders>
              <w:left w:val="nil"/>
              <w:right w:val="nil"/>
            </w:tcBorders>
            <w:shd w:val="clear" w:color="auto" w:fill="FFFFFF" w:themeFill="background1"/>
            <w:tcMar>
              <w:top w:w="15" w:type="dxa"/>
              <w:left w:w="15" w:type="dxa"/>
              <w:bottom w:w="0" w:type="dxa"/>
              <w:right w:w="15" w:type="dxa"/>
            </w:tcMar>
            <w:vAlign w:val="center"/>
          </w:tcPr>
          <w:p w14:paraId="7D30ED70" w14:textId="77777777" w:rsidR="00A14F00" w:rsidRPr="00EB4495" w:rsidRDefault="00A14F00" w:rsidP="00A14F00">
            <w:pPr>
              <w:jc w:val="center"/>
              <w:textAlignment w:val="bottom"/>
              <w:rPr>
                <w:rFonts w:ascii="Arial" w:eastAsia="Times New Roman" w:hAnsi="Arial" w:cs="Arial"/>
                <w:b/>
                <w:bCs/>
              </w:rPr>
            </w:pPr>
          </w:p>
        </w:tc>
        <w:tc>
          <w:tcPr>
            <w:tcW w:w="1133" w:type="dxa"/>
            <w:tcBorders>
              <w:left w:val="nil"/>
              <w:right w:val="nil"/>
            </w:tcBorders>
            <w:shd w:val="clear" w:color="auto" w:fill="FFFFFF" w:themeFill="background1"/>
            <w:vAlign w:val="center"/>
          </w:tcPr>
          <w:p w14:paraId="5911CC62" w14:textId="38C615FE" w:rsidR="00A14F00" w:rsidRPr="00EB4495" w:rsidRDefault="00A14F00" w:rsidP="00A14F00">
            <w:pPr>
              <w:jc w:val="right"/>
              <w:textAlignment w:val="bottom"/>
              <w:rPr>
                <w:rFonts w:ascii="Arial" w:eastAsia="Times New Roman" w:hAnsi="Arial" w:cs="Arial"/>
                <w:b/>
                <w:bCs/>
              </w:rPr>
            </w:pPr>
            <w:r w:rsidRPr="00EB4495">
              <w:rPr>
                <w:rFonts w:ascii="Arial" w:hAnsi="Arial" w:cs="Arial"/>
                <w:b/>
                <w:bCs/>
              </w:rPr>
              <w:t>4,935</w:t>
            </w:r>
          </w:p>
        </w:tc>
        <w:tc>
          <w:tcPr>
            <w:tcW w:w="1191" w:type="dxa"/>
            <w:tcBorders>
              <w:left w:val="nil"/>
              <w:right w:val="nil"/>
            </w:tcBorders>
            <w:shd w:val="clear" w:color="auto" w:fill="FFFFFF" w:themeFill="background1"/>
            <w:vAlign w:val="center"/>
          </w:tcPr>
          <w:p w14:paraId="1ADABE9E" w14:textId="77777777" w:rsidR="00A14F00" w:rsidRPr="00EB4495" w:rsidRDefault="00A14F00" w:rsidP="00A14F00">
            <w:pPr>
              <w:jc w:val="right"/>
              <w:textAlignment w:val="bottom"/>
              <w:rPr>
                <w:rFonts w:ascii="Arial" w:eastAsia="Times New Roman" w:hAnsi="Arial" w:cs="Arial"/>
                <w:b/>
                <w:bCs/>
              </w:rPr>
            </w:pPr>
            <w:r w:rsidRPr="00EB4495">
              <w:rPr>
                <w:rFonts w:ascii="Arial" w:hAnsi="Arial" w:cs="Arial"/>
                <w:b/>
                <w:bCs/>
              </w:rPr>
              <w:t>4,573</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54CF8645" w14:textId="72681C28" w:rsidR="00A14F00" w:rsidRPr="00EB4495" w:rsidRDefault="00A14F00" w:rsidP="00A14F00">
            <w:pPr>
              <w:jc w:val="right"/>
              <w:textAlignment w:val="bottom"/>
              <w:rPr>
                <w:rFonts w:ascii="Arial" w:eastAsia="Times New Roman" w:hAnsi="Arial" w:cs="Arial"/>
                <w:b/>
                <w:bCs/>
              </w:rPr>
            </w:pPr>
            <w:r w:rsidRPr="00EB4495">
              <w:rPr>
                <w:rFonts w:ascii="Arial" w:hAnsi="Arial" w:cs="Arial"/>
              </w:rPr>
              <w:t>+7.9%</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385EDADC" w14:textId="7B329314" w:rsidR="00A14F00" w:rsidRPr="00EB4495" w:rsidRDefault="00A14F00" w:rsidP="00A14F00">
            <w:pPr>
              <w:jc w:val="right"/>
              <w:textAlignment w:val="bottom"/>
              <w:rPr>
                <w:rFonts w:ascii="Arial" w:eastAsia="Times New Roman" w:hAnsi="Arial" w:cs="Arial"/>
                <w:b/>
                <w:bCs/>
              </w:rPr>
            </w:pPr>
            <w:r w:rsidRPr="00EB4495">
              <w:rPr>
                <w:rFonts w:ascii="Arial" w:hAnsi="Arial" w:cs="Arial"/>
              </w:rPr>
              <w:t>+10.6%</w:t>
            </w:r>
          </w:p>
        </w:tc>
        <w:tc>
          <w:tcPr>
            <w:tcW w:w="1195" w:type="dxa"/>
            <w:tcBorders>
              <w:left w:val="nil"/>
              <w:right w:val="nil"/>
            </w:tcBorders>
            <w:shd w:val="clear" w:color="auto" w:fill="FFFFFF" w:themeFill="background1"/>
            <w:vAlign w:val="center"/>
          </w:tcPr>
          <w:p w14:paraId="29FF02F0" w14:textId="77777777" w:rsidR="00A14F00" w:rsidRPr="00EB4495" w:rsidRDefault="00A14F00" w:rsidP="00A14F00">
            <w:pPr>
              <w:jc w:val="right"/>
              <w:textAlignment w:val="bottom"/>
              <w:rPr>
                <w:rFonts w:ascii="Arial" w:eastAsia="Times New Roman" w:hAnsi="Arial" w:cs="Arial"/>
                <w:b/>
                <w:bCs/>
              </w:rPr>
            </w:pPr>
          </w:p>
        </w:tc>
      </w:tr>
      <w:tr w:rsidR="00A14F00" w:rsidRPr="00EB4495" w14:paraId="451823CF" w14:textId="77777777" w:rsidTr="00896FEF">
        <w:trPr>
          <w:trHeight w:val="255"/>
        </w:trPr>
        <w:tc>
          <w:tcPr>
            <w:tcW w:w="3061" w:type="dxa"/>
            <w:tcBorders>
              <w:left w:val="nil"/>
              <w:right w:val="nil"/>
            </w:tcBorders>
            <w:shd w:val="clear" w:color="auto" w:fill="FFFFFF" w:themeFill="background1"/>
            <w:tcMar>
              <w:top w:w="15" w:type="dxa"/>
              <w:left w:w="113" w:type="dxa"/>
              <w:bottom w:w="0" w:type="dxa"/>
              <w:right w:w="15" w:type="dxa"/>
            </w:tcMar>
            <w:vAlign w:val="center"/>
          </w:tcPr>
          <w:p w14:paraId="754BEB2E" w14:textId="77777777" w:rsidR="00A14F00" w:rsidRPr="00EB4495" w:rsidRDefault="00A14F00" w:rsidP="00A14F00">
            <w:pPr>
              <w:jc w:val="left"/>
              <w:rPr>
                <w:rFonts w:ascii="Arial" w:eastAsiaTheme="minorEastAsia" w:hAnsi="Arial" w:cs="Arial"/>
                <w:color w:val="000000" w:themeColor="text1"/>
                <w:kern w:val="24"/>
                <w:u w:val="single"/>
              </w:rPr>
            </w:pPr>
            <w:r w:rsidRPr="00EB4495">
              <w:rPr>
                <w:rFonts w:ascii="Arial" w:eastAsiaTheme="minorEastAsia" w:hAnsi="Arial" w:cs="Arial"/>
                <w:color w:val="000000" w:themeColor="text1"/>
                <w:kern w:val="24"/>
                <w:u w:val="single"/>
              </w:rPr>
              <w:t>Retail profit:</w:t>
            </w:r>
          </w:p>
        </w:tc>
        <w:tc>
          <w:tcPr>
            <w:tcW w:w="908" w:type="dxa"/>
            <w:tcBorders>
              <w:left w:val="nil"/>
              <w:right w:val="nil"/>
            </w:tcBorders>
            <w:shd w:val="clear" w:color="auto" w:fill="FFFFFF" w:themeFill="background1"/>
            <w:tcMar>
              <w:top w:w="15" w:type="dxa"/>
              <w:left w:w="15" w:type="dxa"/>
              <w:bottom w:w="0" w:type="dxa"/>
              <w:right w:w="15" w:type="dxa"/>
            </w:tcMar>
            <w:vAlign w:val="center"/>
          </w:tcPr>
          <w:p w14:paraId="7C8A342D" w14:textId="77777777" w:rsidR="00A14F00" w:rsidRPr="00EB4495" w:rsidRDefault="00A14F00" w:rsidP="00A14F00">
            <w:pPr>
              <w:jc w:val="center"/>
              <w:textAlignment w:val="bottom"/>
              <w:rPr>
                <w:rFonts w:ascii="Arial" w:eastAsia="Times New Roman" w:hAnsi="Arial" w:cs="Arial"/>
                <w:b/>
                <w:bCs/>
              </w:rPr>
            </w:pPr>
          </w:p>
        </w:tc>
        <w:tc>
          <w:tcPr>
            <w:tcW w:w="1133" w:type="dxa"/>
            <w:tcBorders>
              <w:left w:val="nil"/>
              <w:right w:val="nil"/>
            </w:tcBorders>
            <w:shd w:val="clear" w:color="auto" w:fill="FFFFFF" w:themeFill="background1"/>
            <w:vAlign w:val="center"/>
          </w:tcPr>
          <w:p w14:paraId="5D0094E9" w14:textId="77777777" w:rsidR="00A14F00" w:rsidRPr="00EB4495" w:rsidRDefault="00A14F00" w:rsidP="00A14F00">
            <w:pPr>
              <w:jc w:val="right"/>
              <w:textAlignment w:val="bottom"/>
              <w:rPr>
                <w:rFonts w:ascii="Arial" w:eastAsia="Times New Roman" w:hAnsi="Arial" w:cs="Arial"/>
                <w:b/>
                <w:bCs/>
              </w:rPr>
            </w:pPr>
          </w:p>
        </w:tc>
        <w:tc>
          <w:tcPr>
            <w:tcW w:w="1191" w:type="dxa"/>
            <w:tcBorders>
              <w:left w:val="nil"/>
              <w:right w:val="nil"/>
            </w:tcBorders>
            <w:shd w:val="clear" w:color="auto" w:fill="FFFFFF" w:themeFill="background1"/>
            <w:vAlign w:val="center"/>
          </w:tcPr>
          <w:p w14:paraId="7A5DA481" w14:textId="77777777" w:rsidR="00A14F00" w:rsidRPr="00EB4495" w:rsidRDefault="00A14F00" w:rsidP="00A14F00">
            <w:pPr>
              <w:jc w:val="right"/>
              <w:textAlignment w:val="bottom"/>
              <w:rPr>
                <w:rFonts w:ascii="Arial" w:eastAsia="Times New Roman" w:hAnsi="Arial" w:cs="Arial"/>
                <w:b/>
                <w:bCs/>
              </w:rPr>
            </w:pP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757CDE59" w14:textId="77777777" w:rsidR="00A14F00" w:rsidRPr="00EB4495" w:rsidRDefault="00A14F00" w:rsidP="00A14F00">
            <w:pPr>
              <w:jc w:val="right"/>
              <w:textAlignment w:val="bottom"/>
              <w:rPr>
                <w:rFonts w:ascii="Arial" w:eastAsia="Times New Roman" w:hAnsi="Arial" w:cs="Arial"/>
                <w:b/>
                <w:bCs/>
              </w:rPr>
            </w:pP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526AF557" w14:textId="77777777" w:rsidR="00A14F00" w:rsidRPr="00EB4495" w:rsidRDefault="00A14F00" w:rsidP="00A14F00">
            <w:pPr>
              <w:jc w:val="right"/>
              <w:textAlignment w:val="bottom"/>
              <w:rPr>
                <w:rFonts w:ascii="Arial" w:eastAsia="Times New Roman" w:hAnsi="Arial" w:cs="Arial"/>
                <w:b/>
                <w:bCs/>
              </w:rPr>
            </w:pPr>
          </w:p>
        </w:tc>
        <w:tc>
          <w:tcPr>
            <w:tcW w:w="1195" w:type="dxa"/>
            <w:tcBorders>
              <w:left w:val="nil"/>
              <w:right w:val="nil"/>
            </w:tcBorders>
            <w:shd w:val="clear" w:color="auto" w:fill="FFFFFF" w:themeFill="background1"/>
            <w:vAlign w:val="center"/>
          </w:tcPr>
          <w:p w14:paraId="6C52F1EE" w14:textId="77777777" w:rsidR="00A14F00" w:rsidRPr="00EB4495" w:rsidRDefault="00A14F00" w:rsidP="00A14F00">
            <w:pPr>
              <w:jc w:val="right"/>
              <w:textAlignment w:val="bottom"/>
              <w:rPr>
                <w:rFonts w:ascii="Arial" w:eastAsia="Times New Roman" w:hAnsi="Arial" w:cs="Arial"/>
                <w:b/>
                <w:bCs/>
              </w:rPr>
            </w:pPr>
          </w:p>
        </w:tc>
      </w:tr>
      <w:tr w:rsidR="00A14F00" w:rsidRPr="00EB4495" w14:paraId="1F4CAFC3" w14:textId="77777777" w:rsidTr="00896FEF">
        <w:trPr>
          <w:trHeight w:val="255"/>
        </w:trPr>
        <w:tc>
          <w:tcPr>
            <w:tcW w:w="3061" w:type="dxa"/>
            <w:tcBorders>
              <w:right w:val="nil"/>
            </w:tcBorders>
            <w:shd w:val="clear" w:color="auto" w:fill="FFFFFF" w:themeFill="background1"/>
            <w:tcMar>
              <w:top w:w="15" w:type="dxa"/>
              <w:left w:w="113" w:type="dxa"/>
              <w:bottom w:w="0" w:type="dxa"/>
              <w:right w:w="15" w:type="dxa"/>
            </w:tcMar>
            <w:vAlign w:val="center"/>
          </w:tcPr>
          <w:p w14:paraId="4A2288DA" w14:textId="77777777" w:rsidR="00A14F00" w:rsidRPr="00EB4495" w:rsidRDefault="00A14F00" w:rsidP="00A14F00">
            <w:pPr>
              <w:jc w:val="left"/>
              <w:rPr>
                <w:rFonts w:ascii="Arial" w:eastAsiaTheme="minorEastAsia" w:hAnsi="Arial" w:cs="Arial"/>
                <w:b/>
                <w:bCs/>
                <w:color w:val="000000" w:themeColor="text1"/>
                <w:kern w:val="24"/>
              </w:rPr>
            </w:pPr>
            <w:r w:rsidRPr="00EB4495">
              <w:rPr>
                <w:rFonts w:ascii="Arial" w:eastAsiaTheme="minorEastAsia" w:hAnsi="Arial" w:cs="Arial"/>
                <w:b/>
                <w:bCs/>
                <w:color w:val="000000" w:themeColor="text1"/>
                <w:kern w:val="24"/>
              </w:rPr>
              <w:t xml:space="preserve">UK &amp; Ireland </w:t>
            </w:r>
          </w:p>
        </w:tc>
        <w:tc>
          <w:tcPr>
            <w:tcW w:w="908" w:type="dxa"/>
            <w:tcBorders>
              <w:left w:val="nil"/>
              <w:right w:val="nil"/>
            </w:tcBorders>
            <w:shd w:val="clear" w:color="auto" w:fill="FFFFFF" w:themeFill="background1"/>
            <w:tcMar>
              <w:top w:w="15" w:type="dxa"/>
              <w:left w:w="15" w:type="dxa"/>
              <w:bottom w:w="0" w:type="dxa"/>
              <w:right w:w="15" w:type="dxa"/>
            </w:tcMar>
            <w:vAlign w:val="center"/>
          </w:tcPr>
          <w:p w14:paraId="29E8E611" w14:textId="77777777" w:rsidR="00A14F00" w:rsidRPr="00EB4495" w:rsidRDefault="00A14F00" w:rsidP="00A14F00">
            <w:pPr>
              <w:jc w:val="center"/>
              <w:textAlignment w:val="bottom"/>
              <w:rPr>
                <w:rFonts w:ascii="Arial" w:eastAsia="Times New Roman" w:hAnsi="Arial" w:cs="Arial"/>
                <w:b/>
                <w:bCs/>
              </w:rPr>
            </w:pPr>
          </w:p>
        </w:tc>
        <w:tc>
          <w:tcPr>
            <w:tcW w:w="1133" w:type="dxa"/>
            <w:tcBorders>
              <w:left w:val="nil"/>
              <w:right w:val="nil"/>
            </w:tcBorders>
            <w:shd w:val="clear" w:color="auto" w:fill="FFFFFF" w:themeFill="background1"/>
            <w:vAlign w:val="center"/>
          </w:tcPr>
          <w:p w14:paraId="66CEEFF7" w14:textId="6E914980" w:rsidR="00A14F00" w:rsidRPr="00EB4495" w:rsidRDefault="00A14F00" w:rsidP="00A14F00">
            <w:pPr>
              <w:jc w:val="right"/>
              <w:textAlignment w:val="bottom"/>
              <w:rPr>
                <w:rFonts w:ascii="Arial" w:eastAsia="Times New Roman" w:hAnsi="Arial" w:cs="Arial"/>
                <w:b/>
                <w:bCs/>
              </w:rPr>
            </w:pPr>
            <w:r w:rsidRPr="00EB4495">
              <w:rPr>
                <w:rFonts w:ascii="Arial" w:eastAsia="Times New Roman" w:hAnsi="Arial" w:cs="Arial"/>
                <w:b/>
                <w:bCs/>
              </w:rPr>
              <w:t>794</w:t>
            </w:r>
          </w:p>
        </w:tc>
        <w:tc>
          <w:tcPr>
            <w:tcW w:w="1191" w:type="dxa"/>
            <w:tcBorders>
              <w:left w:val="nil"/>
              <w:right w:val="nil"/>
            </w:tcBorders>
            <w:shd w:val="clear" w:color="auto" w:fill="FFFFFF" w:themeFill="background1"/>
            <w:vAlign w:val="center"/>
          </w:tcPr>
          <w:p w14:paraId="2BD8D61C" w14:textId="77777777" w:rsidR="00A14F00" w:rsidRPr="00EB4495" w:rsidRDefault="00A14F00" w:rsidP="00A14F00">
            <w:pPr>
              <w:jc w:val="right"/>
              <w:textAlignment w:val="bottom"/>
              <w:rPr>
                <w:rFonts w:ascii="Arial" w:eastAsia="Times New Roman" w:hAnsi="Arial" w:cs="Arial"/>
                <w:b/>
                <w:bCs/>
              </w:rPr>
            </w:pPr>
            <w:r w:rsidRPr="00EB4495">
              <w:rPr>
                <w:rFonts w:ascii="Arial" w:eastAsia="Times New Roman" w:hAnsi="Arial" w:cs="Arial"/>
                <w:b/>
                <w:bCs/>
              </w:rPr>
              <w:t>681</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389AC1EB" w14:textId="3E1945B1" w:rsidR="00A14F00" w:rsidRPr="00EB4495" w:rsidRDefault="00A14F00" w:rsidP="00A14F00">
            <w:pPr>
              <w:jc w:val="right"/>
              <w:textAlignment w:val="bottom"/>
              <w:rPr>
                <w:rFonts w:ascii="Arial" w:eastAsia="Times New Roman" w:hAnsi="Arial" w:cs="Arial"/>
                <w:b/>
                <w:bCs/>
              </w:rPr>
            </w:pPr>
            <w:r w:rsidRPr="00EB4495">
              <w:rPr>
                <w:rFonts w:ascii="Arial" w:hAnsi="Arial" w:cs="Arial"/>
              </w:rPr>
              <w:t>+16.6%</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240E34BB" w14:textId="31B0386A" w:rsidR="00A14F00" w:rsidRPr="00EB4495" w:rsidRDefault="00A14F00" w:rsidP="00A14F00">
            <w:pPr>
              <w:jc w:val="right"/>
              <w:textAlignment w:val="bottom"/>
              <w:rPr>
                <w:rFonts w:ascii="Arial" w:eastAsia="Times New Roman" w:hAnsi="Arial" w:cs="Arial"/>
                <w:b/>
                <w:bCs/>
              </w:rPr>
            </w:pPr>
            <w:r w:rsidRPr="00EB4495">
              <w:rPr>
                <w:rFonts w:ascii="Arial" w:hAnsi="Arial" w:cs="Arial"/>
              </w:rPr>
              <w:t>+16.7%</w:t>
            </w:r>
          </w:p>
        </w:tc>
        <w:tc>
          <w:tcPr>
            <w:tcW w:w="1195" w:type="dxa"/>
            <w:tcBorders>
              <w:left w:val="nil"/>
            </w:tcBorders>
            <w:shd w:val="clear" w:color="auto" w:fill="FFFFFF" w:themeFill="background1"/>
            <w:vAlign w:val="center"/>
          </w:tcPr>
          <w:p w14:paraId="5009B409" w14:textId="77777777" w:rsidR="00A14F00" w:rsidRPr="00EB4495" w:rsidRDefault="00A14F00" w:rsidP="00A14F00">
            <w:pPr>
              <w:jc w:val="right"/>
              <w:textAlignment w:val="bottom"/>
              <w:rPr>
                <w:rFonts w:ascii="Arial" w:eastAsia="Times New Roman" w:hAnsi="Arial" w:cs="Arial"/>
                <w:b/>
                <w:bCs/>
              </w:rPr>
            </w:pPr>
          </w:p>
        </w:tc>
      </w:tr>
      <w:tr w:rsidR="00A14F00" w:rsidRPr="00EB4495" w14:paraId="7F7877C1" w14:textId="77777777" w:rsidTr="00896FEF">
        <w:trPr>
          <w:trHeight w:val="255"/>
        </w:trPr>
        <w:tc>
          <w:tcPr>
            <w:tcW w:w="3061" w:type="dxa"/>
            <w:tcBorders>
              <w:bottom w:val="single" w:sz="4" w:space="0" w:color="auto"/>
              <w:right w:val="nil"/>
            </w:tcBorders>
            <w:shd w:val="clear" w:color="auto" w:fill="FFFFFF" w:themeFill="background1"/>
            <w:tcMar>
              <w:top w:w="15" w:type="dxa"/>
              <w:left w:w="113" w:type="dxa"/>
              <w:bottom w:w="0" w:type="dxa"/>
              <w:right w:w="15" w:type="dxa"/>
            </w:tcMar>
            <w:vAlign w:val="center"/>
            <w:hideMark/>
          </w:tcPr>
          <w:p w14:paraId="5BFF944B" w14:textId="77777777" w:rsidR="00A14F00" w:rsidRPr="00EB4495" w:rsidRDefault="00A14F00" w:rsidP="00A14F00">
            <w:pPr>
              <w:jc w:val="left"/>
              <w:rPr>
                <w:rFonts w:ascii="Arial" w:eastAsia="Times New Roman" w:hAnsi="Arial" w:cs="Arial"/>
                <w:b/>
                <w:bCs/>
              </w:rPr>
            </w:pPr>
            <w:r w:rsidRPr="00EB4495">
              <w:rPr>
                <w:rFonts w:ascii="Arial" w:eastAsiaTheme="minorEastAsia" w:hAnsi="Arial" w:cs="Arial"/>
                <w:b/>
                <w:bCs/>
                <w:color w:val="000000" w:themeColor="text1"/>
                <w:kern w:val="24"/>
              </w:rPr>
              <w:t>France</w:t>
            </w:r>
          </w:p>
        </w:tc>
        <w:tc>
          <w:tcPr>
            <w:tcW w:w="908"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76E8F3E2" w14:textId="77777777" w:rsidR="00A14F00" w:rsidRPr="00EB4495" w:rsidRDefault="00A14F00" w:rsidP="00A14F00">
            <w:pPr>
              <w:jc w:val="center"/>
              <w:textAlignment w:val="bottom"/>
              <w:rPr>
                <w:rFonts w:ascii="Arial" w:eastAsia="Times New Roman" w:hAnsi="Arial" w:cs="Arial"/>
                <w:b/>
                <w:bCs/>
              </w:rPr>
            </w:pPr>
          </w:p>
        </w:tc>
        <w:tc>
          <w:tcPr>
            <w:tcW w:w="1133" w:type="dxa"/>
            <w:tcBorders>
              <w:left w:val="nil"/>
              <w:bottom w:val="single" w:sz="4" w:space="0" w:color="auto"/>
              <w:right w:val="nil"/>
            </w:tcBorders>
            <w:shd w:val="clear" w:color="auto" w:fill="FFFFFF" w:themeFill="background1"/>
            <w:vAlign w:val="center"/>
          </w:tcPr>
          <w:p w14:paraId="61E121DB" w14:textId="36D870F5" w:rsidR="00A14F00" w:rsidRPr="00EB4495" w:rsidRDefault="00A14F00" w:rsidP="00A14F00">
            <w:pPr>
              <w:jc w:val="right"/>
              <w:textAlignment w:val="bottom"/>
              <w:rPr>
                <w:rFonts w:ascii="Arial" w:eastAsia="Times New Roman" w:hAnsi="Arial" w:cs="Arial"/>
                <w:b/>
                <w:bCs/>
              </w:rPr>
            </w:pPr>
            <w:r w:rsidRPr="00EB4495">
              <w:rPr>
                <w:rFonts w:ascii="Arial" w:eastAsia="Times New Roman" w:hAnsi="Arial" w:cs="Arial"/>
                <w:b/>
                <w:bCs/>
              </w:rPr>
              <w:t>221</w:t>
            </w:r>
          </w:p>
        </w:tc>
        <w:tc>
          <w:tcPr>
            <w:tcW w:w="1191" w:type="dxa"/>
            <w:tcBorders>
              <w:left w:val="nil"/>
              <w:bottom w:val="single" w:sz="4" w:space="0" w:color="auto"/>
              <w:right w:val="nil"/>
            </w:tcBorders>
            <w:shd w:val="clear" w:color="auto" w:fill="FFFFFF" w:themeFill="background1"/>
            <w:vAlign w:val="center"/>
          </w:tcPr>
          <w:p w14:paraId="14DCB909" w14:textId="77777777" w:rsidR="00A14F00" w:rsidRPr="00EB4495" w:rsidRDefault="00A14F00" w:rsidP="00A14F00">
            <w:pPr>
              <w:jc w:val="right"/>
              <w:textAlignment w:val="bottom"/>
              <w:rPr>
                <w:rFonts w:ascii="Arial" w:eastAsia="Times New Roman" w:hAnsi="Arial" w:cs="Arial"/>
                <w:b/>
                <w:bCs/>
                <w:color w:val="FF0000"/>
              </w:rPr>
            </w:pPr>
            <w:r w:rsidRPr="00EB4495">
              <w:rPr>
                <w:rFonts w:ascii="Arial" w:eastAsia="Times New Roman" w:hAnsi="Arial" w:cs="Arial"/>
                <w:b/>
                <w:bCs/>
              </w:rPr>
              <w:t>181</w:t>
            </w:r>
          </w:p>
        </w:tc>
        <w:tc>
          <w:tcPr>
            <w:tcW w:w="1191"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72B34603" w14:textId="2EEE8DB7" w:rsidR="00A14F00" w:rsidRPr="00EB4495" w:rsidRDefault="00A14F00" w:rsidP="00A14F00">
            <w:pPr>
              <w:jc w:val="right"/>
              <w:textAlignment w:val="bottom"/>
              <w:rPr>
                <w:rFonts w:ascii="Arial" w:eastAsia="Times New Roman" w:hAnsi="Arial" w:cs="Arial"/>
                <w:b/>
                <w:bCs/>
              </w:rPr>
            </w:pPr>
            <w:r w:rsidRPr="00EB4495">
              <w:rPr>
                <w:rFonts w:ascii="Arial" w:hAnsi="Arial" w:cs="Arial"/>
              </w:rPr>
              <w:t>+22.5%</w:t>
            </w:r>
          </w:p>
        </w:tc>
        <w:tc>
          <w:tcPr>
            <w:tcW w:w="1191"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6291E6AF" w14:textId="680DEF32" w:rsidR="00A14F00" w:rsidRPr="00EB4495" w:rsidRDefault="00A14F00" w:rsidP="00A14F00">
            <w:pPr>
              <w:jc w:val="right"/>
              <w:textAlignment w:val="bottom"/>
              <w:rPr>
                <w:rFonts w:ascii="Arial" w:eastAsia="Times New Roman" w:hAnsi="Arial" w:cs="Arial"/>
                <w:b/>
                <w:bCs/>
              </w:rPr>
            </w:pPr>
            <w:r w:rsidRPr="00EB4495">
              <w:rPr>
                <w:rFonts w:ascii="Arial" w:hAnsi="Arial" w:cs="Arial"/>
              </w:rPr>
              <w:t>+28.0%</w:t>
            </w:r>
          </w:p>
        </w:tc>
        <w:tc>
          <w:tcPr>
            <w:tcW w:w="1195" w:type="dxa"/>
            <w:tcBorders>
              <w:left w:val="nil"/>
            </w:tcBorders>
            <w:shd w:val="clear" w:color="auto" w:fill="FFFFFF" w:themeFill="background1"/>
            <w:vAlign w:val="center"/>
          </w:tcPr>
          <w:p w14:paraId="124BC2AF" w14:textId="77777777" w:rsidR="00A14F00" w:rsidRPr="00EB4495" w:rsidRDefault="00A14F00" w:rsidP="00A14F00">
            <w:pPr>
              <w:jc w:val="right"/>
              <w:textAlignment w:val="bottom"/>
              <w:rPr>
                <w:rFonts w:ascii="Arial" w:eastAsia="Times New Roman" w:hAnsi="Arial" w:cs="Arial"/>
                <w:b/>
                <w:bCs/>
              </w:rPr>
            </w:pPr>
          </w:p>
        </w:tc>
      </w:tr>
      <w:tr w:rsidR="00A14F00" w:rsidRPr="00EB4495" w14:paraId="2D0710D0" w14:textId="77777777" w:rsidTr="00896FEF">
        <w:trPr>
          <w:trHeight w:val="255"/>
        </w:trPr>
        <w:tc>
          <w:tcPr>
            <w:tcW w:w="3061" w:type="dxa"/>
            <w:tcBorders>
              <w:top w:val="single" w:sz="4" w:space="0" w:color="auto"/>
              <w:left w:val="single" w:sz="4" w:space="0" w:color="auto"/>
              <w:right w:val="nil"/>
            </w:tcBorders>
            <w:shd w:val="clear" w:color="auto" w:fill="FFFFFF" w:themeFill="background1"/>
            <w:tcMar>
              <w:top w:w="15" w:type="dxa"/>
              <w:left w:w="113" w:type="dxa"/>
              <w:bottom w:w="0" w:type="dxa"/>
              <w:right w:w="15" w:type="dxa"/>
            </w:tcMar>
            <w:vAlign w:val="center"/>
            <w:hideMark/>
          </w:tcPr>
          <w:p w14:paraId="4B97328E" w14:textId="77777777" w:rsidR="00A14F00" w:rsidRPr="00EB4495" w:rsidRDefault="00A14F00" w:rsidP="00A14F00">
            <w:pPr>
              <w:jc w:val="left"/>
              <w:rPr>
                <w:rFonts w:ascii="Arial" w:eastAsia="Times New Roman" w:hAnsi="Arial" w:cs="Arial"/>
              </w:rPr>
            </w:pPr>
            <w:r w:rsidRPr="00EB4495">
              <w:rPr>
                <w:rFonts w:ascii="Arial" w:eastAsiaTheme="minorEastAsia" w:hAnsi="Arial" w:cs="Arial"/>
                <w:color w:val="000000" w:themeColor="text1"/>
                <w:kern w:val="24"/>
              </w:rPr>
              <w:t xml:space="preserve">Poland </w:t>
            </w:r>
          </w:p>
        </w:tc>
        <w:tc>
          <w:tcPr>
            <w:tcW w:w="908"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027B4CC7" w14:textId="77777777" w:rsidR="00A14F00" w:rsidRPr="00EB4495" w:rsidRDefault="00A14F00" w:rsidP="00A14F00">
            <w:pPr>
              <w:jc w:val="center"/>
              <w:textAlignment w:val="bottom"/>
              <w:rPr>
                <w:rFonts w:ascii="Arial" w:eastAsia="Times New Roman" w:hAnsi="Arial" w:cs="Arial"/>
              </w:rPr>
            </w:pPr>
          </w:p>
        </w:tc>
        <w:tc>
          <w:tcPr>
            <w:tcW w:w="1133" w:type="dxa"/>
            <w:tcBorders>
              <w:top w:val="single" w:sz="4" w:space="0" w:color="auto"/>
              <w:left w:val="nil"/>
              <w:right w:val="nil"/>
            </w:tcBorders>
            <w:shd w:val="clear" w:color="auto" w:fill="FFFFFF" w:themeFill="background1"/>
            <w:vAlign w:val="center"/>
          </w:tcPr>
          <w:p w14:paraId="4F3D23F1" w14:textId="122683D2" w:rsidR="00A14F00" w:rsidRPr="00EB4495" w:rsidRDefault="00A14F00" w:rsidP="00A14F00">
            <w:pPr>
              <w:jc w:val="right"/>
              <w:textAlignment w:val="bottom"/>
              <w:rPr>
                <w:rFonts w:ascii="Arial" w:eastAsia="Times New Roman" w:hAnsi="Arial" w:cs="Arial"/>
              </w:rPr>
            </w:pPr>
            <w:r w:rsidRPr="00EB4495">
              <w:rPr>
                <w:rFonts w:ascii="Arial" w:eastAsia="Times New Roman" w:hAnsi="Arial" w:cs="Arial"/>
              </w:rPr>
              <w:t>135</w:t>
            </w:r>
          </w:p>
        </w:tc>
        <w:tc>
          <w:tcPr>
            <w:tcW w:w="1191" w:type="dxa"/>
            <w:tcBorders>
              <w:top w:val="single" w:sz="4" w:space="0" w:color="auto"/>
              <w:left w:val="nil"/>
              <w:right w:val="nil"/>
            </w:tcBorders>
            <w:shd w:val="clear" w:color="auto" w:fill="FFFFFF" w:themeFill="background1"/>
            <w:vAlign w:val="center"/>
          </w:tcPr>
          <w:p w14:paraId="7798B07D" w14:textId="77777777" w:rsidR="00A14F00" w:rsidRPr="00EB4495" w:rsidRDefault="00A14F00" w:rsidP="00A14F00">
            <w:pPr>
              <w:jc w:val="right"/>
              <w:textAlignment w:val="bottom"/>
              <w:rPr>
                <w:rFonts w:ascii="Arial" w:eastAsia="Times New Roman" w:hAnsi="Arial" w:cs="Arial"/>
                <w:color w:val="FF0000"/>
              </w:rPr>
            </w:pPr>
            <w:r w:rsidRPr="00EB4495">
              <w:rPr>
                <w:rFonts w:ascii="Arial" w:eastAsia="Times New Roman" w:hAnsi="Arial" w:cs="Arial"/>
              </w:rPr>
              <w:t>146</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37B79762" w14:textId="7CC493AD" w:rsidR="00A14F00" w:rsidRPr="00EB4495" w:rsidRDefault="00A14F00" w:rsidP="00A14F00">
            <w:pPr>
              <w:jc w:val="right"/>
              <w:textAlignment w:val="bottom"/>
              <w:rPr>
                <w:rFonts w:ascii="Arial" w:eastAsia="Times New Roman" w:hAnsi="Arial" w:cs="Arial"/>
              </w:rPr>
            </w:pPr>
            <w:r w:rsidRPr="00EB4495">
              <w:rPr>
                <w:rFonts w:ascii="Arial" w:hAnsi="Arial" w:cs="Arial"/>
              </w:rPr>
              <w:t>(7.7)%</w:t>
            </w:r>
          </w:p>
        </w:tc>
        <w:tc>
          <w:tcPr>
            <w:tcW w:w="1191" w:type="dxa"/>
            <w:tcBorders>
              <w:top w:val="single" w:sz="4" w:space="0" w:color="auto"/>
              <w:left w:val="nil"/>
              <w:right w:val="single" w:sz="4" w:space="0" w:color="auto"/>
            </w:tcBorders>
            <w:shd w:val="clear" w:color="auto" w:fill="FFFFFF" w:themeFill="background1"/>
            <w:tcMar>
              <w:top w:w="15" w:type="dxa"/>
              <w:left w:w="15" w:type="dxa"/>
              <w:bottom w:w="0" w:type="dxa"/>
              <w:right w:w="15" w:type="dxa"/>
            </w:tcMar>
            <w:vAlign w:val="center"/>
          </w:tcPr>
          <w:p w14:paraId="19375AB4" w14:textId="6748D526" w:rsidR="00A14F00" w:rsidRPr="00EB4495" w:rsidRDefault="00A14F00" w:rsidP="00A14F00">
            <w:pPr>
              <w:jc w:val="right"/>
              <w:textAlignment w:val="bottom"/>
              <w:rPr>
                <w:rFonts w:ascii="Arial" w:eastAsia="Times New Roman" w:hAnsi="Arial" w:cs="Arial"/>
              </w:rPr>
            </w:pPr>
            <w:r w:rsidRPr="00EB4495">
              <w:rPr>
                <w:rFonts w:ascii="Arial" w:hAnsi="Arial" w:cs="Arial"/>
              </w:rPr>
              <w:t>(1.5)%</w:t>
            </w:r>
          </w:p>
        </w:tc>
        <w:tc>
          <w:tcPr>
            <w:tcW w:w="1195" w:type="dxa"/>
            <w:tcBorders>
              <w:left w:val="single" w:sz="4" w:space="0" w:color="auto"/>
            </w:tcBorders>
            <w:shd w:val="clear" w:color="auto" w:fill="FFFFFF" w:themeFill="background1"/>
            <w:vAlign w:val="center"/>
          </w:tcPr>
          <w:p w14:paraId="7B9F6588" w14:textId="77777777" w:rsidR="00A14F00" w:rsidRPr="00EB4495" w:rsidRDefault="00A14F00" w:rsidP="00A14F00">
            <w:pPr>
              <w:jc w:val="right"/>
              <w:textAlignment w:val="bottom"/>
              <w:rPr>
                <w:rFonts w:ascii="Arial" w:eastAsia="Times New Roman" w:hAnsi="Arial" w:cs="Arial"/>
              </w:rPr>
            </w:pPr>
          </w:p>
        </w:tc>
      </w:tr>
      <w:tr w:rsidR="00A14F00" w:rsidRPr="00EB4495" w14:paraId="21C3BB7E" w14:textId="77777777" w:rsidTr="00896FEF">
        <w:trPr>
          <w:trHeight w:val="255"/>
        </w:trPr>
        <w:tc>
          <w:tcPr>
            <w:tcW w:w="3061" w:type="dxa"/>
            <w:tcBorders>
              <w:left w:val="single" w:sz="4" w:space="0" w:color="auto"/>
              <w:right w:val="nil"/>
            </w:tcBorders>
            <w:shd w:val="clear" w:color="auto" w:fill="FFFFFF" w:themeFill="background1"/>
            <w:tcMar>
              <w:top w:w="15" w:type="dxa"/>
              <w:left w:w="113" w:type="dxa"/>
              <w:bottom w:w="0" w:type="dxa"/>
              <w:right w:w="15" w:type="dxa"/>
            </w:tcMar>
            <w:vAlign w:val="center"/>
            <w:hideMark/>
          </w:tcPr>
          <w:p w14:paraId="031CBF87" w14:textId="77777777" w:rsidR="00A14F00" w:rsidRPr="00EB4495" w:rsidRDefault="00A14F00" w:rsidP="00A14F00">
            <w:pPr>
              <w:jc w:val="left"/>
              <w:rPr>
                <w:rFonts w:ascii="Arial" w:eastAsia="Times New Roman" w:hAnsi="Arial" w:cs="Arial"/>
              </w:rPr>
            </w:pPr>
            <w:r w:rsidRPr="00EB4495">
              <w:rPr>
                <w:rFonts w:ascii="Arial" w:eastAsiaTheme="minorEastAsia" w:hAnsi="Arial" w:cs="Arial"/>
                <w:color w:val="000000" w:themeColor="text1"/>
                <w:kern w:val="24"/>
              </w:rPr>
              <w:t>Iberia</w:t>
            </w:r>
          </w:p>
        </w:tc>
        <w:tc>
          <w:tcPr>
            <w:tcW w:w="908" w:type="dxa"/>
            <w:tcBorders>
              <w:left w:val="nil"/>
              <w:right w:val="nil"/>
            </w:tcBorders>
            <w:shd w:val="clear" w:color="auto" w:fill="FFFFFF" w:themeFill="background1"/>
            <w:tcMar>
              <w:top w:w="15" w:type="dxa"/>
              <w:left w:w="15" w:type="dxa"/>
              <w:bottom w:w="0" w:type="dxa"/>
              <w:right w:w="15" w:type="dxa"/>
            </w:tcMar>
            <w:vAlign w:val="center"/>
          </w:tcPr>
          <w:p w14:paraId="00EC47DB" w14:textId="77777777" w:rsidR="00A14F00" w:rsidRPr="00EB4495" w:rsidRDefault="00A14F00" w:rsidP="00A14F00">
            <w:pPr>
              <w:jc w:val="center"/>
              <w:textAlignment w:val="bottom"/>
              <w:rPr>
                <w:rFonts w:ascii="Arial" w:eastAsia="Times New Roman" w:hAnsi="Arial" w:cs="Arial"/>
              </w:rPr>
            </w:pPr>
          </w:p>
        </w:tc>
        <w:tc>
          <w:tcPr>
            <w:tcW w:w="1133" w:type="dxa"/>
            <w:tcBorders>
              <w:left w:val="nil"/>
              <w:right w:val="nil"/>
            </w:tcBorders>
            <w:shd w:val="clear" w:color="auto" w:fill="FFFFFF" w:themeFill="background1"/>
            <w:vAlign w:val="center"/>
          </w:tcPr>
          <w:p w14:paraId="038D5DAD" w14:textId="7F692BCA" w:rsidR="00A14F00" w:rsidRPr="00EB4495" w:rsidRDefault="00A14F00" w:rsidP="00A14F00">
            <w:pPr>
              <w:jc w:val="right"/>
              <w:textAlignment w:val="bottom"/>
              <w:rPr>
                <w:rFonts w:ascii="Arial" w:eastAsia="Times New Roman" w:hAnsi="Arial" w:cs="Arial"/>
              </w:rPr>
            </w:pPr>
            <w:r w:rsidRPr="00EB4495">
              <w:rPr>
                <w:rFonts w:ascii="Arial" w:eastAsia="Times New Roman" w:hAnsi="Arial" w:cs="Arial"/>
              </w:rPr>
              <w:t>12</w:t>
            </w:r>
          </w:p>
        </w:tc>
        <w:tc>
          <w:tcPr>
            <w:tcW w:w="1191" w:type="dxa"/>
            <w:tcBorders>
              <w:left w:val="nil"/>
              <w:right w:val="nil"/>
            </w:tcBorders>
            <w:shd w:val="clear" w:color="auto" w:fill="FFFFFF" w:themeFill="background1"/>
            <w:vAlign w:val="center"/>
          </w:tcPr>
          <w:p w14:paraId="614F7A66" w14:textId="77777777" w:rsidR="00A14F00" w:rsidRPr="00EB4495" w:rsidRDefault="00A14F00" w:rsidP="00A14F00">
            <w:pPr>
              <w:jc w:val="right"/>
              <w:textAlignment w:val="bottom"/>
              <w:rPr>
                <w:rFonts w:ascii="Arial" w:eastAsia="Times New Roman" w:hAnsi="Arial" w:cs="Arial"/>
                <w:color w:val="FF0000"/>
              </w:rPr>
            </w:pPr>
            <w:r w:rsidRPr="00EB4495">
              <w:rPr>
                <w:rFonts w:ascii="Arial" w:eastAsia="Times New Roman" w:hAnsi="Arial" w:cs="Arial"/>
              </w:rPr>
              <w:t>3</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41178FD9" w14:textId="73FDD8B2" w:rsidR="00A14F00" w:rsidRPr="00EB4495" w:rsidRDefault="00A14F00" w:rsidP="00A14F00">
            <w:pPr>
              <w:jc w:val="right"/>
              <w:textAlignment w:val="bottom"/>
              <w:rPr>
                <w:rFonts w:ascii="Arial" w:eastAsia="Times New Roman" w:hAnsi="Arial" w:cs="Arial"/>
              </w:rPr>
            </w:pPr>
            <w:r w:rsidRPr="00EB4495">
              <w:rPr>
                <w:rFonts w:ascii="Arial" w:hAnsi="Arial" w:cs="Arial"/>
              </w:rPr>
              <w:t>n/a</w:t>
            </w:r>
          </w:p>
        </w:tc>
        <w:tc>
          <w:tcPr>
            <w:tcW w:w="1191" w:type="dxa"/>
            <w:tcBorders>
              <w:left w:val="nil"/>
              <w:right w:val="single" w:sz="4" w:space="0" w:color="auto"/>
            </w:tcBorders>
            <w:shd w:val="clear" w:color="auto" w:fill="FFFFFF" w:themeFill="background1"/>
            <w:tcMar>
              <w:top w:w="15" w:type="dxa"/>
              <w:left w:w="15" w:type="dxa"/>
              <w:bottom w:w="0" w:type="dxa"/>
              <w:right w:w="15" w:type="dxa"/>
            </w:tcMar>
            <w:vAlign w:val="center"/>
          </w:tcPr>
          <w:p w14:paraId="3FF6605B" w14:textId="1AEC4D02" w:rsidR="00A14F00" w:rsidRPr="00EB4495" w:rsidRDefault="00A14F00" w:rsidP="00A14F00">
            <w:pPr>
              <w:jc w:val="right"/>
              <w:textAlignment w:val="bottom"/>
              <w:rPr>
                <w:rFonts w:ascii="Arial" w:eastAsia="Times New Roman" w:hAnsi="Arial" w:cs="Arial"/>
              </w:rPr>
            </w:pPr>
            <w:r w:rsidRPr="00EB4495">
              <w:rPr>
                <w:rFonts w:ascii="Arial" w:hAnsi="Arial" w:cs="Arial"/>
              </w:rPr>
              <w:t>n/a</w:t>
            </w:r>
          </w:p>
        </w:tc>
        <w:tc>
          <w:tcPr>
            <w:tcW w:w="1195" w:type="dxa"/>
            <w:tcBorders>
              <w:left w:val="single" w:sz="4" w:space="0" w:color="auto"/>
            </w:tcBorders>
            <w:shd w:val="clear" w:color="auto" w:fill="FFFFFF" w:themeFill="background1"/>
            <w:vAlign w:val="center"/>
          </w:tcPr>
          <w:p w14:paraId="69DB6BCE" w14:textId="77777777" w:rsidR="00A14F00" w:rsidRPr="00EB4495" w:rsidRDefault="00A14F00" w:rsidP="00A14F00">
            <w:pPr>
              <w:jc w:val="right"/>
              <w:textAlignment w:val="bottom"/>
              <w:rPr>
                <w:rFonts w:ascii="Arial" w:eastAsia="Times New Roman" w:hAnsi="Arial" w:cs="Arial"/>
              </w:rPr>
            </w:pPr>
          </w:p>
        </w:tc>
      </w:tr>
      <w:tr w:rsidR="00A14F00" w:rsidRPr="00EB4495" w14:paraId="2607767F" w14:textId="77777777" w:rsidTr="00896FEF">
        <w:trPr>
          <w:trHeight w:val="255"/>
        </w:trPr>
        <w:tc>
          <w:tcPr>
            <w:tcW w:w="3061" w:type="dxa"/>
            <w:tcBorders>
              <w:left w:val="single" w:sz="4" w:space="0" w:color="auto"/>
              <w:right w:val="nil"/>
            </w:tcBorders>
            <w:shd w:val="clear" w:color="auto" w:fill="FFFFFF" w:themeFill="background1"/>
            <w:tcMar>
              <w:top w:w="15" w:type="dxa"/>
              <w:left w:w="113" w:type="dxa"/>
              <w:bottom w:w="0" w:type="dxa"/>
              <w:right w:w="15" w:type="dxa"/>
            </w:tcMar>
            <w:vAlign w:val="center"/>
            <w:hideMark/>
          </w:tcPr>
          <w:p w14:paraId="6CFC9BB3" w14:textId="77777777" w:rsidR="00A14F00" w:rsidRPr="00EB4495" w:rsidRDefault="00A14F00" w:rsidP="00A14F00">
            <w:pPr>
              <w:jc w:val="left"/>
              <w:rPr>
                <w:rFonts w:ascii="Arial" w:eastAsia="Times New Roman" w:hAnsi="Arial" w:cs="Arial"/>
              </w:rPr>
            </w:pPr>
            <w:r w:rsidRPr="00EB4495">
              <w:rPr>
                <w:rFonts w:ascii="Arial" w:eastAsiaTheme="minorEastAsia" w:hAnsi="Arial" w:cs="Arial"/>
                <w:color w:val="000000" w:themeColor="text1"/>
                <w:kern w:val="24"/>
              </w:rPr>
              <w:t>Romania</w:t>
            </w:r>
            <w:r w:rsidRPr="00EB4495">
              <w:rPr>
                <w:rFonts w:ascii="Arial" w:hAnsi="Arial" w:cs="Arial"/>
                <w:bCs/>
                <w:vertAlign w:val="superscript"/>
              </w:rPr>
              <w:t>(1)</w:t>
            </w:r>
          </w:p>
        </w:tc>
        <w:tc>
          <w:tcPr>
            <w:tcW w:w="908" w:type="dxa"/>
            <w:tcBorders>
              <w:left w:val="nil"/>
              <w:right w:val="nil"/>
            </w:tcBorders>
            <w:shd w:val="clear" w:color="auto" w:fill="FFFFFF" w:themeFill="background1"/>
            <w:tcMar>
              <w:top w:w="15" w:type="dxa"/>
              <w:left w:w="15" w:type="dxa"/>
              <w:bottom w:w="0" w:type="dxa"/>
              <w:right w:w="15" w:type="dxa"/>
            </w:tcMar>
            <w:vAlign w:val="center"/>
          </w:tcPr>
          <w:p w14:paraId="31EE1472" w14:textId="77777777" w:rsidR="00A14F00" w:rsidRPr="00EB4495" w:rsidRDefault="00A14F00" w:rsidP="00A14F00">
            <w:pPr>
              <w:jc w:val="center"/>
              <w:textAlignment w:val="bottom"/>
              <w:rPr>
                <w:rFonts w:ascii="Arial" w:eastAsia="Times New Roman" w:hAnsi="Arial" w:cs="Arial"/>
              </w:rPr>
            </w:pPr>
          </w:p>
        </w:tc>
        <w:tc>
          <w:tcPr>
            <w:tcW w:w="1133" w:type="dxa"/>
            <w:tcBorders>
              <w:left w:val="nil"/>
              <w:right w:val="nil"/>
            </w:tcBorders>
            <w:shd w:val="clear" w:color="auto" w:fill="FFFFFF" w:themeFill="background1"/>
            <w:vAlign w:val="center"/>
          </w:tcPr>
          <w:p w14:paraId="15931AFB" w14:textId="0481BE31" w:rsidR="00A14F00" w:rsidRPr="00EB4495" w:rsidRDefault="00A14F00" w:rsidP="00A14F00">
            <w:pPr>
              <w:jc w:val="right"/>
              <w:textAlignment w:val="bottom"/>
              <w:rPr>
                <w:rFonts w:ascii="Arial" w:eastAsia="Times New Roman" w:hAnsi="Arial" w:cs="Arial"/>
              </w:rPr>
            </w:pPr>
            <w:r w:rsidRPr="00EB4495">
              <w:rPr>
                <w:rFonts w:ascii="Arial" w:eastAsia="Times New Roman" w:hAnsi="Arial" w:cs="Arial"/>
              </w:rPr>
              <w:t>(11)</w:t>
            </w:r>
          </w:p>
        </w:tc>
        <w:tc>
          <w:tcPr>
            <w:tcW w:w="1191" w:type="dxa"/>
            <w:tcBorders>
              <w:left w:val="nil"/>
              <w:right w:val="nil"/>
            </w:tcBorders>
            <w:shd w:val="clear" w:color="auto" w:fill="FFFFFF" w:themeFill="background1"/>
            <w:vAlign w:val="center"/>
          </w:tcPr>
          <w:p w14:paraId="477EC030" w14:textId="77777777" w:rsidR="00A14F00" w:rsidRPr="00EB4495" w:rsidRDefault="00A14F00" w:rsidP="00A14F00">
            <w:pPr>
              <w:jc w:val="right"/>
              <w:textAlignment w:val="bottom"/>
              <w:rPr>
                <w:rFonts w:ascii="Arial" w:eastAsia="Times New Roman" w:hAnsi="Arial" w:cs="Arial"/>
                <w:color w:val="FF0000"/>
              </w:rPr>
            </w:pPr>
            <w:r w:rsidRPr="00EB4495">
              <w:rPr>
                <w:rFonts w:ascii="Arial" w:eastAsia="Times New Roman" w:hAnsi="Arial" w:cs="Arial"/>
              </w:rPr>
              <w:t>(14)</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649FC355" w14:textId="56773E4D" w:rsidR="00A14F00" w:rsidRPr="00EB4495" w:rsidRDefault="00A14F00" w:rsidP="00A14F00">
            <w:pPr>
              <w:jc w:val="right"/>
              <w:textAlignment w:val="bottom"/>
              <w:rPr>
                <w:rFonts w:ascii="Arial" w:eastAsia="Times New Roman" w:hAnsi="Arial" w:cs="Arial"/>
              </w:rPr>
            </w:pPr>
            <w:r w:rsidRPr="00EB4495">
              <w:rPr>
                <w:rFonts w:ascii="Arial" w:hAnsi="Arial" w:cs="Arial"/>
              </w:rPr>
              <w:t>+21.3%</w:t>
            </w:r>
          </w:p>
        </w:tc>
        <w:tc>
          <w:tcPr>
            <w:tcW w:w="1191" w:type="dxa"/>
            <w:tcBorders>
              <w:left w:val="nil"/>
              <w:right w:val="single" w:sz="4" w:space="0" w:color="auto"/>
            </w:tcBorders>
            <w:shd w:val="clear" w:color="auto" w:fill="FFFFFF" w:themeFill="background1"/>
            <w:tcMar>
              <w:top w:w="15" w:type="dxa"/>
              <w:left w:w="15" w:type="dxa"/>
              <w:bottom w:w="0" w:type="dxa"/>
              <w:right w:w="15" w:type="dxa"/>
            </w:tcMar>
            <w:vAlign w:val="center"/>
          </w:tcPr>
          <w:p w14:paraId="6015822C" w14:textId="64DA5AFA" w:rsidR="00A14F00" w:rsidRPr="00EB4495" w:rsidRDefault="00A14F00" w:rsidP="00A14F00">
            <w:pPr>
              <w:jc w:val="right"/>
              <w:textAlignment w:val="bottom"/>
              <w:rPr>
                <w:rFonts w:ascii="Arial" w:eastAsia="Times New Roman" w:hAnsi="Arial" w:cs="Arial"/>
              </w:rPr>
            </w:pPr>
            <w:r w:rsidRPr="00EB4495">
              <w:rPr>
                <w:rFonts w:ascii="Arial" w:hAnsi="Arial" w:cs="Arial"/>
              </w:rPr>
              <w:t>+16.4%</w:t>
            </w:r>
          </w:p>
        </w:tc>
        <w:tc>
          <w:tcPr>
            <w:tcW w:w="1195" w:type="dxa"/>
            <w:tcBorders>
              <w:left w:val="single" w:sz="4" w:space="0" w:color="auto"/>
            </w:tcBorders>
            <w:shd w:val="clear" w:color="auto" w:fill="FFFFFF" w:themeFill="background1"/>
            <w:vAlign w:val="center"/>
          </w:tcPr>
          <w:p w14:paraId="342FBA36" w14:textId="77777777" w:rsidR="00A14F00" w:rsidRPr="00EB4495" w:rsidRDefault="00A14F00" w:rsidP="00A14F00">
            <w:pPr>
              <w:jc w:val="right"/>
              <w:textAlignment w:val="bottom"/>
              <w:rPr>
                <w:rFonts w:ascii="Arial" w:eastAsia="Times New Roman" w:hAnsi="Arial" w:cs="Arial"/>
              </w:rPr>
            </w:pPr>
          </w:p>
        </w:tc>
      </w:tr>
      <w:tr w:rsidR="00A14F00" w:rsidRPr="00EB4495" w14:paraId="1794DDFC" w14:textId="77777777" w:rsidTr="00896FEF">
        <w:trPr>
          <w:trHeight w:val="255"/>
        </w:trPr>
        <w:tc>
          <w:tcPr>
            <w:tcW w:w="3061" w:type="dxa"/>
            <w:tcBorders>
              <w:left w:val="single" w:sz="4" w:space="0" w:color="auto"/>
              <w:right w:val="nil"/>
            </w:tcBorders>
            <w:shd w:val="clear" w:color="auto" w:fill="FFFFFF" w:themeFill="background1"/>
            <w:tcMar>
              <w:top w:w="15" w:type="dxa"/>
              <w:left w:w="113" w:type="dxa"/>
              <w:bottom w:w="0" w:type="dxa"/>
              <w:right w:w="15" w:type="dxa"/>
            </w:tcMar>
            <w:vAlign w:val="center"/>
          </w:tcPr>
          <w:p w14:paraId="0759A78E" w14:textId="77777777" w:rsidR="00A14F00" w:rsidRPr="00EB4495" w:rsidRDefault="00A14F00" w:rsidP="00A14F00">
            <w:pPr>
              <w:jc w:val="left"/>
              <w:rPr>
                <w:rFonts w:ascii="Arial" w:eastAsiaTheme="minorEastAsia" w:hAnsi="Arial" w:cs="Arial"/>
                <w:color w:val="000000" w:themeColor="text1"/>
                <w:kern w:val="24"/>
              </w:rPr>
            </w:pPr>
            <w:r w:rsidRPr="00EB4495">
              <w:rPr>
                <w:rFonts w:ascii="Arial" w:eastAsiaTheme="minorEastAsia" w:hAnsi="Arial" w:cs="Arial"/>
                <w:color w:val="000000" w:themeColor="text1"/>
                <w:kern w:val="24"/>
              </w:rPr>
              <w:t>Other</w:t>
            </w:r>
            <w:r w:rsidRPr="00EB4495">
              <w:rPr>
                <w:rFonts w:ascii="Arial" w:hAnsi="Arial" w:cs="Arial"/>
                <w:vertAlign w:val="superscript"/>
              </w:rPr>
              <w:t>±</w:t>
            </w:r>
          </w:p>
        </w:tc>
        <w:tc>
          <w:tcPr>
            <w:tcW w:w="908" w:type="dxa"/>
            <w:tcBorders>
              <w:left w:val="nil"/>
              <w:right w:val="nil"/>
            </w:tcBorders>
            <w:shd w:val="clear" w:color="auto" w:fill="FFFFFF" w:themeFill="background1"/>
            <w:tcMar>
              <w:top w:w="15" w:type="dxa"/>
              <w:left w:w="15" w:type="dxa"/>
              <w:bottom w:w="0" w:type="dxa"/>
              <w:right w:w="15" w:type="dxa"/>
            </w:tcMar>
            <w:vAlign w:val="center"/>
          </w:tcPr>
          <w:p w14:paraId="157D95A8" w14:textId="77777777" w:rsidR="00A14F00" w:rsidRPr="00EB4495" w:rsidRDefault="00A14F00" w:rsidP="00A14F00">
            <w:pPr>
              <w:jc w:val="center"/>
              <w:textAlignment w:val="bottom"/>
              <w:rPr>
                <w:rFonts w:ascii="Arial" w:eastAsia="Times New Roman" w:hAnsi="Arial" w:cs="Arial"/>
              </w:rPr>
            </w:pPr>
          </w:p>
        </w:tc>
        <w:tc>
          <w:tcPr>
            <w:tcW w:w="1133" w:type="dxa"/>
            <w:tcBorders>
              <w:left w:val="nil"/>
              <w:right w:val="nil"/>
            </w:tcBorders>
            <w:shd w:val="clear" w:color="auto" w:fill="FFFFFF" w:themeFill="background1"/>
            <w:vAlign w:val="center"/>
          </w:tcPr>
          <w:p w14:paraId="0DE301CF" w14:textId="41C910EF" w:rsidR="00A14F00" w:rsidRPr="00EB4495" w:rsidRDefault="00A14F00" w:rsidP="00A14F00">
            <w:pPr>
              <w:jc w:val="right"/>
              <w:textAlignment w:val="bottom"/>
              <w:rPr>
                <w:rFonts w:ascii="Arial" w:eastAsia="Times New Roman" w:hAnsi="Arial" w:cs="Arial"/>
              </w:rPr>
            </w:pPr>
            <w:r w:rsidRPr="00EB4495">
              <w:rPr>
                <w:rFonts w:ascii="Arial" w:eastAsia="Times New Roman" w:hAnsi="Arial" w:cs="Arial"/>
              </w:rPr>
              <w:t>(10)</w:t>
            </w:r>
          </w:p>
        </w:tc>
        <w:tc>
          <w:tcPr>
            <w:tcW w:w="1191" w:type="dxa"/>
            <w:tcBorders>
              <w:left w:val="nil"/>
              <w:right w:val="nil"/>
            </w:tcBorders>
            <w:shd w:val="clear" w:color="auto" w:fill="FFFFFF" w:themeFill="background1"/>
            <w:vAlign w:val="center"/>
          </w:tcPr>
          <w:p w14:paraId="58C92961" w14:textId="77777777" w:rsidR="00A14F00" w:rsidRPr="00EB4495" w:rsidRDefault="00A14F00" w:rsidP="00A14F00">
            <w:pPr>
              <w:jc w:val="right"/>
              <w:textAlignment w:val="bottom"/>
              <w:rPr>
                <w:rFonts w:ascii="Arial" w:hAnsi="Arial" w:cs="Arial"/>
              </w:rPr>
            </w:pPr>
            <w:r w:rsidRPr="00EB4495">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38455D82" w14:textId="545F1FE8" w:rsidR="00A14F00" w:rsidRPr="00EB4495" w:rsidRDefault="00A14F00" w:rsidP="00A14F00">
            <w:pPr>
              <w:jc w:val="right"/>
              <w:textAlignment w:val="bottom"/>
              <w:rPr>
                <w:rFonts w:ascii="Arial" w:hAnsi="Arial" w:cs="Arial"/>
              </w:rPr>
            </w:pPr>
            <w:r w:rsidRPr="00EB4495">
              <w:rPr>
                <w:rFonts w:ascii="Arial" w:hAnsi="Arial" w:cs="Arial"/>
              </w:rPr>
              <w:t>n/a</w:t>
            </w:r>
          </w:p>
        </w:tc>
        <w:tc>
          <w:tcPr>
            <w:tcW w:w="1191" w:type="dxa"/>
            <w:tcBorders>
              <w:left w:val="nil"/>
              <w:right w:val="single" w:sz="4" w:space="0" w:color="auto"/>
            </w:tcBorders>
            <w:shd w:val="clear" w:color="auto" w:fill="FFFFFF" w:themeFill="background1"/>
            <w:tcMar>
              <w:top w:w="15" w:type="dxa"/>
              <w:left w:w="15" w:type="dxa"/>
              <w:bottom w:w="0" w:type="dxa"/>
              <w:right w:w="15" w:type="dxa"/>
            </w:tcMar>
            <w:vAlign w:val="center"/>
          </w:tcPr>
          <w:p w14:paraId="582113F3" w14:textId="41395250" w:rsidR="00A14F00" w:rsidRPr="00EB4495" w:rsidRDefault="00A14F00" w:rsidP="00A14F00">
            <w:pPr>
              <w:jc w:val="right"/>
              <w:textAlignment w:val="bottom"/>
              <w:rPr>
                <w:rFonts w:ascii="Arial" w:hAnsi="Arial" w:cs="Arial"/>
              </w:rPr>
            </w:pPr>
            <w:r w:rsidRPr="00EB4495">
              <w:rPr>
                <w:rFonts w:ascii="Arial" w:hAnsi="Arial" w:cs="Arial"/>
              </w:rPr>
              <w:t>n/a</w:t>
            </w:r>
          </w:p>
        </w:tc>
        <w:tc>
          <w:tcPr>
            <w:tcW w:w="1195" w:type="dxa"/>
            <w:tcBorders>
              <w:left w:val="single" w:sz="4" w:space="0" w:color="auto"/>
            </w:tcBorders>
            <w:shd w:val="clear" w:color="auto" w:fill="FFFFFF" w:themeFill="background1"/>
            <w:vAlign w:val="center"/>
          </w:tcPr>
          <w:p w14:paraId="0807354F" w14:textId="77777777" w:rsidR="00A14F00" w:rsidRPr="00EB4495" w:rsidRDefault="00A14F00" w:rsidP="00A14F00">
            <w:pPr>
              <w:jc w:val="right"/>
              <w:textAlignment w:val="bottom"/>
              <w:rPr>
                <w:rFonts w:ascii="Arial" w:eastAsia="Times New Roman" w:hAnsi="Arial" w:cs="Arial"/>
              </w:rPr>
            </w:pPr>
          </w:p>
        </w:tc>
      </w:tr>
      <w:tr w:rsidR="00A14F00" w:rsidRPr="00EB4495" w14:paraId="35101CD1" w14:textId="77777777" w:rsidTr="00896FEF">
        <w:trPr>
          <w:trHeight w:val="255"/>
        </w:trPr>
        <w:tc>
          <w:tcPr>
            <w:tcW w:w="3061" w:type="dxa"/>
            <w:tcBorders>
              <w:left w:val="single" w:sz="4" w:space="0" w:color="auto"/>
              <w:right w:val="nil"/>
            </w:tcBorders>
            <w:shd w:val="clear" w:color="auto" w:fill="FFFFFF" w:themeFill="background1"/>
            <w:tcMar>
              <w:top w:w="15" w:type="dxa"/>
              <w:left w:w="113" w:type="dxa"/>
              <w:bottom w:w="0" w:type="dxa"/>
              <w:right w:w="15" w:type="dxa"/>
            </w:tcMar>
            <w:vAlign w:val="center"/>
            <w:hideMark/>
          </w:tcPr>
          <w:p w14:paraId="4514CE8F" w14:textId="77777777" w:rsidR="00A14F00" w:rsidRPr="00EB4495" w:rsidRDefault="00A14F00" w:rsidP="00A14F00">
            <w:pPr>
              <w:jc w:val="left"/>
              <w:rPr>
                <w:rFonts w:ascii="Arial" w:eastAsia="Times New Roman" w:hAnsi="Arial" w:cs="Arial"/>
              </w:rPr>
            </w:pPr>
            <w:r w:rsidRPr="00EB4495">
              <w:rPr>
                <w:rFonts w:ascii="Arial" w:eastAsiaTheme="minorEastAsia" w:hAnsi="Arial" w:cs="Arial"/>
                <w:color w:val="000000" w:themeColor="text1"/>
                <w:kern w:val="24"/>
              </w:rPr>
              <w:t>Russia</w:t>
            </w:r>
            <w:r w:rsidRPr="00EB4495">
              <w:rPr>
                <w:rFonts w:ascii="Arial" w:hAnsi="Arial" w:cs="Arial"/>
                <w:bCs/>
                <w:vertAlign w:val="superscript"/>
              </w:rPr>
              <w:t>(2)</w:t>
            </w:r>
          </w:p>
        </w:tc>
        <w:tc>
          <w:tcPr>
            <w:tcW w:w="908" w:type="dxa"/>
            <w:tcBorders>
              <w:left w:val="nil"/>
              <w:right w:val="nil"/>
            </w:tcBorders>
            <w:shd w:val="clear" w:color="auto" w:fill="FFFFFF" w:themeFill="background1"/>
            <w:tcMar>
              <w:top w:w="15" w:type="dxa"/>
              <w:left w:w="15" w:type="dxa"/>
              <w:bottom w:w="0" w:type="dxa"/>
              <w:right w:w="15" w:type="dxa"/>
            </w:tcMar>
            <w:vAlign w:val="center"/>
          </w:tcPr>
          <w:p w14:paraId="4A451EC3" w14:textId="77777777" w:rsidR="00A14F00" w:rsidRPr="00EB4495" w:rsidRDefault="00A14F00" w:rsidP="00A14F00">
            <w:pPr>
              <w:jc w:val="center"/>
              <w:textAlignment w:val="bottom"/>
              <w:rPr>
                <w:rFonts w:ascii="Arial" w:eastAsia="Times New Roman" w:hAnsi="Arial" w:cs="Arial"/>
              </w:rPr>
            </w:pPr>
          </w:p>
        </w:tc>
        <w:tc>
          <w:tcPr>
            <w:tcW w:w="1133" w:type="dxa"/>
            <w:tcBorders>
              <w:left w:val="nil"/>
              <w:right w:val="nil"/>
            </w:tcBorders>
            <w:shd w:val="clear" w:color="auto" w:fill="FFFFFF" w:themeFill="background1"/>
            <w:vAlign w:val="center"/>
          </w:tcPr>
          <w:p w14:paraId="58B9FE5F" w14:textId="6A27458F" w:rsidR="00A14F00" w:rsidRPr="00EB4495" w:rsidRDefault="00A14F00" w:rsidP="00A14F00">
            <w:pPr>
              <w:jc w:val="right"/>
              <w:textAlignment w:val="bottom"/>
              <w:rPr>
                <w:rFonts w:ascii="Arial" w:eastAsia="Times New Roman" w:hAnsi="Arial" w:cs="Arial"/>
              </w:rPr>
            </w:pPr>
            <w:r w:rsidRPr="00EB4495">
              <w:rPr>
                <w:rFonts w:ascii="Arial" w:hAnsi="Arial" w:cs="Arial"/>
              </w:rPr>
              <w:t>-</w:t>
            </w:r>
          </w:p>
        </w:tc>
        <w:tc>
          <w:tcPr>
            <w:tcW w:w="1191" w:type="dxa"/>
            <w:tcBorders>
              <w:left w:val="nil"/>
              <w:right w:val="nil"/>
            </w:tcBorders>
            <w:shd w:val="clear" w:color="auto" w:fill="FFFFFF" w:themeFill="background1"/>
            <w:vAlign w:val="center"/>
          </w:tcPr>
          <w:p w14:paraId="7260730D" w14:textId="77777777" w:rsidR="00A14F00" w:rsidRPr="00EB4495" w:rsidRDefault="00A14F00" w:rsidP="00A14F00">
            <w:pPr>
              <w:jc w:val="right"/>
              <w:textAlignment w:val="bottom"/>
              <w:rPr>
                <w:rFonts w:ascii="Arial" w:eastAsia="Times New Roman" w:hAnsi="Arial" w:cs="Arial"/>
                <w:color w:val="FF0000"/>
              </w:rPr>
            </w:pPr>
            <w:r w:rsidRPr="00EB4495">
              <w:rPr>
                <w:rFonts w:ascii="Arial" w:hAnsi="Arial" w:cs="Arial"/>
              </w:rPr>
              <w:t>(3)</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792AB32E" w14:textId="013BFDBA" w:rsidR="00A14F00" w:rsidRPr="00EB4495" w:rsidRDefault="00A14F00" w:rsidP="00A14F00">
            <w:pPr>
              <w:jc w:val="right"/>
              <w:textAlignment w:val="bottom"/>
              <w:rPr>
                <w:rFonts w:ascii="Arial" w:eastAsia="Times New Roman" w:hAnsi="Arial" w:cs="Arial"/>
              </w:rPr>
            </w:pPr>
            <w:r w:rsidRPr="00EB4495">
              <w:rPr>
                <w:rFonts w:ascii="Arial" w:hAnsi="Arial" w:cs="Arial"/>
              </w:rPr>
              <w:t>n/a</w:t>
            </w:r>
          </w:p>
        </w:tc>
        <w:tc>
          <w:tcPr>
            <w:tcW w:w="1191" w:type="dxa"/>
            <w:tcBorders>
              <w:left w:val="nil"/>
              <w:right w:val="single" w:sz="4" w:space="0" w:color="auto"/>
            </w:tcBorders>
            <w:shd w:val="clear" w:color="auto" w:fill="FFFFFF" w:themeFill="background1"/>
            <w:tcMar>
              <w:top w:w="15" w:type="dxa"/>
              <w:left w:w="15" w:type="dxa"/>
              <w:bottom w:w="0" w:type="dxa"/>
              <w:right w:w="15" w:type="dxa"/>
            </w:tcMar>
            <w:vAlign w:val="center"/>
          </w:tcPr>
          <w:p w14:paraId="7628D67B" w14:textId="58190D3B" w:rsidR="00A14F00" w:rsidRPr="00EB4495" w:rsidRDefault="00A14F00" w:rsidP="00A14F00">
            <w:pPr>
              <w:jc w:val="right"/>
              <w:textAlignment w:val="bottom"/>
              <w:rPr>
                <w:rFonts w:ascii="Arial" w:eastAsia="Times New Roman" w:hAnsi="Arial" w:cs="Arial"/>
              </w:rPr>
            </w:pPr>
            <w:r w:rsidRPr="00EB4495">
              <w:rPr>
                <w:rFonts w:ascii="Arial" w:hAnsi="Arial" w:cs="Arial"/>
              </w:rPr>
              <w:t>n/a</w:t>
            </w:r>
          </w:p>
        </w:tc>
        <w:tc>
          <w:tcPr>
            <w:tcW w:w="1195" w:type="dxa"/>
            <w:tcBorders>
              <w:left w:val="single" w:sz="4" w:space="0" w:color="auto"/>
            </w:tcBorders>
            <w:shd w:val="clear" w:color="auto" w:fill="FFFFFF" w:themeFill="background1"/>
            <w:vAlign w:val="center"/>
          </w:tcPr>
          <w:p w14:paraId="17B926BF" w14:textId="77777777" w:rsidR="00A14F00" w:rsidRPr="00EB4495" w:rsidRDefault="00A14F00" w:rsidP="00A14F00">
            <w:pPr>
              <w:jc w:val="right"/>
              <w:textAlignment w:val="bottom"/>
              <w:rPr>
                <w:rFonts w:ascii="Arial" w:eastAsia="Times New Roman" w:hAnsi="Arial" w:cs="Arial"/>
              </w:rPr>
            </w:pPr>
          </w:p>
        </w:tc>
      </w:tr>
      <w:tr w:rsidR="00A14F00" w:rsidRPr="00EB4495" w14:paraId="02683411" w14:textId="77777777" w:rsidTr="00896FEF">
        <w:trPr>
          <w:trHeight w:val="255"/>
        </w:trPr>
        <w:tc>
          <w:tcPr>
            <w:tcW w:w="3061" w:type="dxa"/>
            <w:tcBorders>
              <w:left w:val="single" w:sz="4" w:space="0" w:color="auto"/>
              <w:bottom w:val="single" w:sz="4" w:space="0" w:color="auto"/>
              <w:right w:val="nil"/>
            </w:tcBorders>
            <w:shd w:val="clear" w:color="auto" w:fill="FFFFFF" w:themeFill="background1"/>
            <w:tcMar>
              <w:top w:w="15" w:type="dxa"/>
              <w:left w:w="113" w:type="dxa"/>
              <w:bottom w:w="0" w:type="dxa"/>
              <w:right w:w="15" w:type="dxa"/>
            </w:tcMar>
            <w:vAlign w:val="center"/>
            <w:hideMark/>
          </w:tcPr>
          <w:p w14:paraId="462E56F1" w14:textId="77777777" w:rsidR="00A14F00" w:rsidRPr="00EB4495" w:rsidRDefault="00A14F00" w:rsidP="00A14F00">
            <w:pPr>
              <w:jc w:val="left"/>
              <w:rPr>
                <w:rFonts w:ascii="Arial" w:eastAsia="Times New Roman" w:hAnsi="Arial" w:cs="Arial"/>
              </w:rPr>
            </w:pPr>
            <w:r w:rsidRPr="00EB4495">
              <w:rPr>
                <w:rFonts w:ascii="Arial" w:eastAsiaTheme="minorEastAsia" w:hAnsi="Arial" w:cs="Arial"/>
                <w:color w:val="000000" w:themeColor="text1"/>
                <w:kern w:val="24"/>
              </w:rPr>
              <w:t>Turkey (50% joint venture)</w:t>
            </w:r>
          </w:p>
        </w:tc>
        <w:tc>
          <w:tcPr>
            <w:tcW w:w="908"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7ACA2D4B" w14:textId="77777777" w:rsidR="00A14F00" w:rsidRPr="00EB4495" w:rsidRDefault="00A14F00" w:rsidP="00A14F00">
            <w:pPr>
              <w:jc w:val="center"/>
              <w:textAlignment w:val="bottom"/>
              <w:rPr>
                <w:rFonts w:ascii="Arial" w:eastAsia="Times New Roman" w:hAnsi="Arial" w:cs="Arial"/>
              </w:rPr>
            </w:pPr>
          </w:p>
        </w:tc>
        <w:tc>
          <w:tcPr>
            <w:tcW w:w="1133" w:type="dxa"/>
            <w:tcBorders>
              <w:left w:val="nil"/>
              <w:bottom w:val="single" w:sz="4" w:space="0" w:color="auto"/>
              <w:right w:val="nil"/>
            </w:tcBorders>
            <w:shd w:val="clear" w:color="auto" w:fill="FFFFFF" w:themeFill="background1"/>
            <w:vAlign w:val="center"/>
          </w:tcPr>
          <w:p w14:paraId="39389CF8" w14:textId="6F3157E8" w:rsidR="00A14F00" w:rsidRPr="00EB4495" w:rsidRDefault="00A14F00" w:rsidP="00A14F00">
            <w:pPr>
              <w:jc w:val="right"/>
              <w:textAlignment w:val="bottom"/>
              <w:rPr>
                <w:rFonts w:ascii="Arial" w:eastAsia="Times New Roman" w:hAnsi="Arial" w:cs="Arial"/>
              </w:rPr>
            </w:pPr>
            <w:r w:rsidRPr="00EB4495">
              <w:rPr>
                <w:rFonts w:ascii="Arial" w:hAnsi="Arial" w:cs="Arial"/>
              </w:rPr>
              <w:t>7</w:t>
            </w:r>
          </w:p>
        </w:tc>
        <w:tc>
          <w:tcPr>
            <w:tcW w:w="1191" w:type="dxa"/>
            <w:tcBorders>
              <w:left w:val="nil"/>
              <w:bottom w:val="single" w:sz="4" w:space="0" w:color="auto"/>
              <w:right w:val="nil"/>
            </w:tcBorders>
            <w:shd w:val="clear" w:color="auto" w:fill="FFFFFF" w:themeFill="background1"/>
            <w:vAlign w:val="center"/>
          </w:tcPr>
          <w:p w14:paraId="4BEAA059" w14:textId="77777777" w:rsidR="00A14F00" w:rsidRPr="00EB4495" w:rsidRDefault="00A14F00" w:rsidP="00A14F00">
            <w:pPr>
              <w:jc w:val="right"/>
              <w:textAlignment w:val="bottom"/>
              <w:rPr>
                <w:rFonts w:ascii="Arial" w:eastAsia="Times New Roman" w:hAnsi="Arial" w:cs="Arial"/>
                <w:color w:val="FF0000"/>
              </w:rPr>
            </w:pPr>
            <w:r w:rsidRPr="00EB4495">
              <w:rPr>
                <w:rFonts w:ascii="Arial" w:hAnsi="Arial" w:cs="Arial"/>
              </w:rPr>
              <w:t>9</w:t>
            </w:r>
          </w:p>
        </w:tc>
        <w:tc>
          <w:tcPr>
            <w:tcW w:w="1191"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03165066" w14:textId="0CDB3867" w:rsidR="00A14F00" w:rsidRPr="00EB4495" w:rsidRDefault="00A14F00" w:rsidP="00A14F00">
            <w:pPr>
              <w:jc w:val="right"/>
              <w:textAlignment w:val="bottom"/>
              <w:rPr>
                <w:rFonts w:ascii="Arial" w:eastAsia="Times New Roman" w:hAnsi="Arial" w:cs="Arial"/>
              </w:rPr>
            </w:pPr>
            <w:r w:rsidRPr="00EB4495">
              <w:rPr>
                <w:rFonts w:ascii="Arial" w:hAnsi="Arial" w:cs="Arial"/>
              </w:rPr>
              <w:t>(22.3)%</w:t>
            </w:r>
          </w:p>
        </w:tc>
        <w:tc>
          <w:tcPr>
            <w:tcW w:w="1191" w:type="dxa"/>
            <w:tcBorders>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0A171946" w14:textId="0AC39676" w:rsidR="00A14F00" w:rsidRPr="00EB4495" w:rsidRDefault="00A14F00" w:rsidP="00A14F00">
            <w:pPr>
              <w:jc w:val="right"/>
              <w:textAlignment w:val="bottom"/>
              <w:rPr>
                <w:rFonts w:ascii="Arial" w:eastAsia="Times New Roman" w:hAnsi="Arial" w:cs="Arial"/>
              </w:rPr>
            </w:pPr>
            <w:r w:rsidRPr="00EB4495">
              <w:rPr>
                <w:rFonts w:ascii="Arial" w:eastAsia="Times New Roman" w:hAnsi="Arial" w:cs="Arial"/>
              </w:rPr>
              <w:t>+8.8%</w:t>
            </w:r>
          </w:p>
        </w:tc>
        <w:tc>
          <w:tcPr>
            <w:tcW w:w="1195" w:type="dxa"/>
            <w:tcBorders>
              <w:left w:val="single" w:sz="4" w:space="0" w:color="auto"/>
            </w:tcBorders>
            <w:shd w:val="clear" w:color="auto" w:fill="FFFFFF" w:themeFill="background1"/>
            <w:vAlign w:val="center"/>
          </w:tcPr>
          <w:p w14:paraId="33313919" w14:textId="77777777" w:rsidR="00A14F00" w:rsidRPr="00EB4495" w:rsidRDefault="00A14F00" w:rsidP="00A14F00">
            <w:pPr>
              <w:jc w:val="right"/>
              <w:textAlignment w:val="bottom"/>
              <w:rPr>
                <w:rFonts w:ascii="Arial" w:eastAsia="Times New Roman" w:hAnsi="Arial" w:cs="Arial"/>
              </w:rPr>
            </w:pPr>
          </w:p>
        </w:tc>
      </w:tr>
      <w:tr w:rsidR="00A14F00" w:rsidRPr="00EB4495" w14:paraId="1D018CA0" w14:textId="77777777" w:rsidTr="00896FEF">
        <w:trPr>
          <w:trHeight w:val="255"/>
        </w:trPr>
        <w:tc>
          <w:tcPr>
            <w:tcW w:w="3061" w:type="dxa"/>
            <w:tcBorders>
              <w:top w:val="single" w:sz="4" w:space="0" w:color="auto"/>
              <w:left w:val="single" w:sz="4" w:space="0" w:color="auto"/>
              <w:bottom w:val="single" w:sz="4" w:space="0" w:color="auto"/>
              <w:right w:val="nil"/>
            </w:tcBorders>
            <w:shd w:val="clear" w:color="auto" w:fill="FFFFFF" w:themeFill="background1"/>
            <w:tcMar>
              <w:top w:w="15" w:type="dxa"/>
              <w:left w:w="113" w:type="dxa"/>
              <w:bottom w:w="0" w:type="dxa"/>
              <w:right w:w="15" w:type="dxa"/>
            </w:tcMar>
            <w:vAlign w:val="center"/>
            <w:hideMark/>
          </w:tcPr>
          <w:p w14:paraId="72A2190C" w14:textId="77777777" w:rsidR="00A14F00" w:rsidRPr="00EB4495" w:rsidRDefault="00A14F00" w:rsidP="00A14F00">
            <w:pPr>
              <w:jc w:val="left"/>
              <w:rPr>
                <w:rFonts w:ascii="Arial" w:eastAsia="Times New Roman" w:hAnsi="Arial" w:cs="Arial"/>
                <w:b/>
                <w:bCs/>
              </w:rPr>
            </w:pPr>
            <w:r w:rsidRPr="00EB4495">
              <w:rPr>
                <w:rFonts w:ascii="Arial" w:eastAsiaTheme="minorEastAsia" w:hAnsi="Arial" w:cs="Arial"/>
                <w:b/>
                <w:bCs/>
                <w:color w:val="000000" w:themeColor="text1"/>
                <w:kern w:val="24"/>
              </w:rPr>
              <w:t xml:space="preserve">Other International* </w:t>
            </w:r>
          </w:p>
        </w:tc>
        <w:tc>
          <w:tcPr>
            <w:tcW w:w="908"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4FA7D1A4" w14:textId="77777777" w:rsidR="00A14F00" w:rsidRPr="00EB4495" w:rsidRDefault="00A14F00" w:rsidP="00A14F00">
            <w:pPr>
              <w:jc w:val="center"/>
              <w:textAlignment w:val="bottom"/>
              <w:rPr>
                <w:rFonts w:ascii="Arial" w:eastAsia="Times New Roman" w:hAnsi="Arial" w:cs="Arial"/>
                <w:b/>
                <w:bCs/>
              </w:rPr>
            </w:pPr>
          </w:p>
        </w:tc>
        <w:tc>
          <w:tcPr>
            <w:tcW w:w="1133" w:type="dxa"/>
            <w:tcBorders>
              <w:top w:val="single" w:sz="4" w:space="0" w:color="auto"/>
              <w:left w:val="nil"/>
              <w:bottom w:val="single" w:sz="4" w:space="0" w:color="auto"/>
              <w:right w:val="nil"/>
            </w:tcBorders>
            <w:shd w:val="clear" w:color="auto" w:fill="FFFFFF" w:themeFill="background1"/>
            <w:vAlign w:val="center"/>
          </w:tcPr>
          <w:p w14:paraId="74226581" w14:textId="1D745783" w:rsidR="00A14F00" w:rsidRPr="00EB4495" w:rsidRDefault="00A14F00" w:rsidP="00A14F00">
            <w:pPr>
              <w:jc w:val="right"/>
              <w:textAlignment w:val="bottom"/>
              <w:rPr>
                <w:rFonts w:ascii="Arial" w:eastAsia="Times New Roman" w:hAnsi="Arial" w:cs="Arial"/>
                <w:b/>
                <w:bCs/>
              </w:rPr>
            </w:pPr>
            <w:r w:rsidRPr="00EB4495">
              <w:rPr>
                <w:rFonts w:ascii="Arial" w:eastAsia="Times New Roman" w:hAnsi="Arial" w:cs="Arial"/>
                <w:b/>
                <w:bCs/>
              </w:rPr>
              <w:t>133</w:t>
            </w:r>
          </w:p>
        </w:tc>
        <w:tc>
          <w:tcPr>
            <w:tcW w:w="1191" w:type="dxa"/>
            <w:tcBorders>
              <w:top w:val="single" w:sz="4" w:space="0" w:color="auto"/>
              <w:left w:val="nil"/>
              <w:bottom w:val="single" w:sz="4" w:space="0" w:color="auto"/>
              <w:right w:val="nil"/>
            </w:tcBorders>
            <w:shd w:val="clear" w:color="auto" w:fill="FFFFFF" w:themeFill="background1"/>
            <w:vAlign w:val="center"/>
          </w:tcPr>
          <w:p w14:paraId="669CF967" w14:textId="77777777" w:rsidR="00A14F00" w:rsidRPr="00EB4495" w:rsidRDefault="00A14F00" w:rsidP="00A14F00">
            <w:pPr>
              <w:jc w:val="right"/>
              <w:textAlignment w:val="bottom"/>
              <w:rPr>
                <w:rFonts w:ascii="Arial" w:eastAsia="Times New Roman" w:hAnsi="Arial" w:cs="Arial"/>
                <w:b/>
                <w:bCs/>
                <w:color w:val="FF0000"/>
              </w:rPr>
            </w:pPr>
            <w:r w:rsidRPr="00EB4495">
              <w:rPr>
                <w:rFonts w:ascii="Arial" w:eastAsia="Times New Roman" w:hAnsi="Arial" w:cs="Arial"/>
                <w:b/>
                <w:bCs/>
              </w:rPr>
              <w:t>141</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2F18C1DB" w14:textId="6CCC83FB" w:rsidR="00A14F00" w:rsidRPr="00EB4495" w:rsidRDefault="00A14F00" w:rsidP="00A14F00">
            <w:pPr>
              <w:jc w:val="right"/>
              <w:textAlignment w:val="bottom"/>
              <w:rPr>
                <w:rFonts w:ascii="Arial" w:eastAsia="Times New Roman" w:hAnsi="Arial" w:cs="Arial"/>
                <w:b/>
                <w:bCs/>
              </w:rPr>
            </w:pPr>
            <w:r w:rsidRPr="00EB4495">
              <w:rPr>
                <w:rFonts w:ascii="Arial" w:hAnsi="Arial" w:cs="Arial"/>
              </w:rPr>
              <w:t>(5.8)%</w:t>
            </w:r>
          </w:p>
        </w:tc>
        <w:tc>
          <w:tcPr>
            <w:tcW w:w="1191"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63D1B570" w14:textId="356CDE08" w:rsidR="00A14F00" w:rsidRPr="00EB4495" w:rsidRDefault="00A14F00" w:rsidP="00A14F00">
            <w:pPr>
              <w:jc w:val="right"/>
              <w:textAlignment w:val="bottom"/>
              <w:rPr>
                <w:rFonts w:ascii="Arial" w:eastAsia="Times New Roman" w:hAnsi="Arial" w:cs="Arial"/>
                <w:b/>
                <w:bCs/>
              </w:rPr>
            </w:pPr>
            <w:r w:rsidRPr="00EB4495">
              <w:rPr>
                <w:rFonts w:ascii="Arial" w:hAnsi="Arial" w:cs="Arial"/>
              </w:rPr>
              <w:t>+2.1%</w:t>
            </w:r>
          </w:p>
        </w:tc>
        <w:tc>
          <w:tcPr>
            <w:tcW w:w="1195" w:type="dxa"/>
            <w:tcBorders>
              <w:left w:val="single" w:sz="4" w:space="0" w:color="auto"/>
            </w:tcBorders>
            <w:shd w:val="clear" w:color="auto" w:fill="FFFFFF" w:themeFill="background1"/>
            <w:vAlign w:val="center"/>
          </w:tcPr>
          <w:p w14:paraId="7F2A8371" w14:textId="77777777" w:rsidR="00A14F00" w:rsidRPr="00EB4495" w:rsidRDefault="00A14F00" w:rsidP="00A14F00">
            <w:pPr>
              <w:jc w:val="right"/>
              <w:textAlignment w:val="bottom"/>
              <w:rPr>
                <w:rFonts w:ascii="Arial" w:eastAsia="Times New Roman" w:hAnsi="Arial" w:cs="Arial"/>
                <w:b/>
                <w:bCs/>
              </w:rPr>
            </w:pPr>
          </w:p>
        </w:tc>
      </w:tr>
      <w:tr w:rsidR="00A14F00" w:rsidRPr="00EB4495" w14:paraId="17B8581F" w14:textId="77777777" w:rsidTr="00896FEF">
        <w:trPr>
          <w:trHeight w:val="255"/>
        </w:trPr>
        <w:tc>
          <w:tcPr>
            <w:tcW w:w="3061" w:type="dxa"/>
            <w:tcBorders>
              <w:top w:val="single" w:sz="4" w:space="0" w:color="auto"/>
              <w:right w:val="nil"/>
            </w:tcBorders>
            <w:shd w:val="clear" w:color="auto" w:fill="FFFFFF" w:themeFill="background1"/>
            <w:tcMar>
              <w:top w:w="15" w:type="dxa"/>
              <w:left w:w="113" w:type="dxa"/>
              <w:bottom w:w="0" w:type="dxa"/>
              <w:right w:w="15" w:type="dxa"/>
            </w:tcMar>
            <w:vAlign w:val="center"/>
            <w:hideMark/>
          </w:tcPr>
          <w:p w14:paraId="5F7C924A" w14:textId="77777777" w:rsidR="00A14F00" w:rsidRPr="00EB4495" w:rsidRDefault="00A14F00" w:rsidP="00A14F00">
            <w:pPr>
              <w:jc w:val="left"/>
              <w:rPr>
                <w:rFonts w:ascii="Arial" w:eastAsia="Times New Roman" w:hAnsi="Arial" w:cs="Arial"/>
                <w:b/>
                <w:bCs/>
              </w:rPr>
            </w:pPr>
            <w:r w:rsidRPr="00EB4495">
              <w:rPr>
                <w:rFonts w:ascii="Arial" w:eastAsiaTheme="minorEastAsia" w:hAnsi="Arial" w:cs="Arial"/>
                <w:b/>
                <w:bCs/>
                <w:color w:val="000000" w:themeColor="text1"/>
                <w:kern w:val="24"/>
              </w:rPr>
              <w:t>Retail profit</w:t>
            </w:r>
          </w:p>
        </w:tc>
        <w:tc>
          <w:tcPr>
            <w:tcW w:w="908"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49051B9D" w14:textId="77777777" w:rsidR="00A14F00" w:rsidRPr="00EB4495" w:rsidRDefault="00A14F00" w:rsidP="00A14F00">
            <w:pPr>
              <w:jc w:val="center"/>
              <w:textAlignment w:val="bottom"/>
              <w:rPr>
                <w:rFonts w:ascii="Arial" w:eastAsia="Times New Roman" w:hAnsi="Arial" w:cs="Arial"/>
                <w:b/>
                <w:bCs/>
              </w:rPr>
            </w:pPr>
          </w:p>
        </w:tc>
        <w:tc>
          <w:tcPr>
            <w:tcW w:w="1133" w:type="dxa"/>
            <w:tcBorders>
              <w:top w:val="single" w:sz="4" w:space="0" w:color="auto"/>
              <w:left w:val="nil"/>
              <w:right w:val="nil"/>
            </w:tcBorders>
            <w:shd w:val="clear" w:color="auto" w:fill="FFFFFF" w:themeFill="background1"/>
            <w:vAlign w:val="center"/>
          </w:tcPr>
          <w:p w14:paraId="6401441A" w14:textId="7A230663" w:rsidR="00A14F00" w:rsidRPr="00EB4495" w:rsidRDefault="00A14F00" w:rsidP="00A14F00">
            <w:pPr>
              <w:jc w:val="right"/>
              <w:textAlignment w:val="bottom"/>
              <w:rPr>
                <w:rFonts w:ascii="Arial" w:eastAsia="Times New Roman" w:hAnsi="Arial" w:cs="Arial"/>
                <w:b/>
                <w:bCs/>
              </w:rPr>
            </w:pPr>
            <w:r w:rsidRPr="00EB4495">
              <w:rPr>
                <w:rFonts w:ascii="Arial" w:eastAsia="Times New Roman" w:hAnsi="Arial" w:cs="Arial"/>
                <w:b/>
                <w:bCs/>
              </w:rPr>
              <w:t>1,148</w:t>
            </w:r>
          </w:p>
        </w:tc>
        <w:tc>
          <w:tcPr>
            <w:tcW w:w="1191" w:type="dxa"/>
            <w:tcBorders>
              <w:top w:val="single" w:sz="4" w:space="0" w:color="auto"/>
              <w:left w:val="nil"/>
              <w:right w:val="nil"/>
            </w:tcBorders>
            <w:shd w:val="clear" w:color="auto" w:fill="FFFFFF" w:themeFill="background1"/>
            <w:vAlign w:val="center"/>
          </w:tcPr>
          <w:p w14:paraId="1F9E9322" w14:textId="77777777" w:rsidR="00A14F00" w:rsidRPr="00EB4495" w:rsidRDefault="00A14F00" w:rsidP="00A14F00">
            <w:pPr>
              <w:jc w:val="right"/>
              <w:textAlignment w:val="bottom"/>
              <w:rPr>
                <w:rFonts w:ascii="Arial" w:eastAsia="Times New Roman" w:hAnsi="Arial" w:cs="Arial"/>
                <w:b/>
                <w:bCs/>
                <w:color w:val="FF0000"/>
              </w:rPr>
            </w:pPr>
            <w:r w:rsidRPr="00EB4495">
              <w:rPr>
                <w:rFonts w:ascii="Arial" w:eastAsia="Times New Roman" w:hAnsi="Arial" w:cs="Arial"/>
                <w:b/>
                <w:bCs/>
              </w:rPr>
              <w:t>1,003</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217F323B" w14:textId="39200736" w:rsidR="00A14F00" w:rsidRPr="00EB4495" w:rsidRDefault="00A14F00" w:rsidP="00A14F00">
            <w:pPr>
              <w:jc w:val="right"/>
              <w:textAlignment w:val="bottom"/>
              <w:rPr>
                <w:rFonts w:ascii="Arial" w:eastAsia="Times New Roman" w:hAnsi="Arial" w:cs="Arial"/>
                <w:b/>
                <w:bCs/>
              </w:rPr>
            </w:pPr>
            <w:r w:rsidRPr="00EB4495">
              <w:rPr>
                <w:rFonts w:ascii="Arial" w:hAnsi="Arial" w:cs="Arial"/>
              </w:rPr>
              <w:t>+14.5%</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27B6C1B9" w14:textId="5C953AF5" w:rsidR="00A14F00" w:rsidRPr="00EB4495" w:rsidRDefault="00A14F00" w:rsidP="00A14F00">
            <w:pPr>
              <w:jc w:val="right"/>
              <w:textAlignment w:val="bottom"/>
              <w:rPr>
                <w:rFonts w:ascii="Arial" w:eastAsia="Times New Roman" w:hAnsi="Arial" w:cs="Arial"/>
                <w:b/>
                <w:bCs/>
              </w:rPr>
            </w:pPr>
            <w:r w:rsidRPr="00EB4495">
              <w:rPr>
                <w:rFonts w:ascii="Arial" w:hAnsi="Arial" w:cs="Arial"/>
              </w:rPr>
              <w:t>+16.7%</w:t>
            </w:r>
          </w:p>
        </w:tc>
        <w:tc>
          <w:tcPr>
            <w:tcW w:w="1195" w:type="dxa"/>
            <w:tcBorders>
              <w:left w:val="nil"/>
            </w:tcBorders>
            <w:shd w:val="clear" w:color="auto" w:fill="FFFFFF" w:themeFill="background1"/>
            <w:vAlign w:val="center"/>
          </w:tcPr>
          <w:p w14:paraId="2932AA34" w14:textId="77777777" w:rsidR="00A14F00" w:rsidRPr="00EB4495" w:rsidRDefault="00A14F00" w:rsidP="00A14F00">
            <w:pPr>
              <w:jc w:val="right"/>
              <w:textAlignment w:val="bottom"/>
              <w:rPr>
                <w:rFonts w:ascii="Arial" w:eastAsia="Times New Roman" w:hAnsi="Arial" w:cs="Arial"/>
                <w:b/>
                <w:bCs/>
              </w:rPr>
            </w:pPr>
          </w:p>
        </w:tc>
      </w:tr>
      <w:tr w:rsidR="00A14F00" w:rsidRPr="00EB4495" w14:paraId="3CF11D87" w14:textId="77777777" w:rsidTr="00896FEF">
        <w:trPr>
          <w:trHeight w:val="255"/>
        </w:trPr>
        <w:tc>
          <w:tcPr>
            <w:tcW w:w="3061" w:type="dxa"/>
            <w:tcBorders>
              <w:left w:val="nil"/>
              <w:right w:val="nil"/>
            </w:tcBorders>
            <w:shd w:val="clear" w:color="auto" w:fill="FFFFFF" w:themeFill="background1"/>
            <w:tcMar>
              <w:top w:w="15" w:type="dxa"/>
              <w:left w:w="113" w:type="dxa"/>
              <w:bottom w:w="0" w:type="dxa"/>
              <w:right w:w="15" w:type="dxa"/>
            </w:tcMar>
            <w:vAlign w:val="center"/>
            <w:hideMark/>
          </w:tcPr>
          <w:p w14:paraId="16195ED4" w14:textId="77777777" w:rsidR="00A14F00" w:rsidRPr="00EB4495" w:rsidRDefault="00A14F00" w:rsidP="00A14F00">
            <w:pPr>
              <w:jc w:val="left"/>
              <w:rPr>
                <w:rFonts w:ascii="Arial" w:eastAsia="Times New Roman" w:hAnsi="Arial" w:cs="Arial"/>
              </w:rPr>
            </w:pPr>
            <w:r w:rsidRPr="00EB4495">
              <w:rPr>
                <w:rFonts w:ascii="Arial" w:eastAsiaTheme="minorEastAsia" w:hAnsi="Arial" w:cs="Arial"/>
                <w:color w:val="000000" w:themeColor="text1"/>
                <w:kern w:val="24"/>
              </w:rPr>
              <w:t>Central costs*</w:t>
            </w:r>
          </w:p>
        </w:tc>
        <w:tc>
          <w:tcPr>
            <w:tcW w:w="908" w:type="dxa"/>
            <w:tcBorders>
              <w:left w:val="nil"/>
              <w:right w:val="nil"/>
            </w:tcBorders>
            <w:shd w:val="clear" w:color="auto" w:fill="FFFFFF" w:themeFill="background1"/>
            <w:tcMar>
              <w:top w:w="15" w:type="dxa"/>
              <w:left w:w="15" w:type="dxa"/>
              <w:bottom w:w="0" w:type="dxa"/>
              <w:right w:w="15" w:type="dxa"/>
            </w:tcMar>
            <w:vAlign w:val="center"/>
          </w:tcPr>
          <w:p w14:paraId="66579C04" w14:textId="77777777" w:rsidR="00A14F00" w:rsidRPr="00EB4495" w:rsidRDefault="00A14F00" w:rsidP="00A14F00">
            <w:pPr>
              <w:jc w:val="center"/>
              <w:textAlignment w:val="bottom"/>
              <w:rPr>
                <w:rFonts w:ascii="Arial" w:eastAsia="Times New Roman" w:hAnsi="Arial" w:cs="Arial"/>
              </w:rPr>
            </w:pPr>
          </w:p>
        </w:tc>
        <w:tc>
          <w:tcPr>
            <w:tcW w:w="1133" w:type="dxa"/>
            <w:tcBorders>
              <w:left w:val="nil"/>
              <w:right w:val="nil"/>
            </w:tcBorders>
            <w:shd w:val="clear" w:color="auto" w:fill="FFFFFF" w:themeFill="background1"/>
            <w:vAlign w:val="center"/>
          </w:tcPr>
          <w:p w14:paraId="4A093DB6" w14:textId="6AA4D980" w:rsidR="00A14F00" w:rsidRPr="00EB4495" w:rsidRDefault="00A14F00" w:rsidP="00A14F00">
            <w:pPr>
              <w:jc w:val="right"/>
              <w:textAlignment w:val="bottom"/>
              <w:rPr>
                <w:rFonts w:ascii="Arial" w:eastAsia="Times New Roman" w:hAnsi="Arial" w:cs="Arial"/>
              </w:rPr>
            </w:pPr>
            <w:r w:rsidRPr="00EB4495">
              <w:rPr>
                <w:rFonts w:ascii="Arial" w:hAnsi="Arial" w:cs="Arial"/>
                <w:bCs/>
              </w:rPr>
              <w:t>(60)</w:t>
            </w:r>
          </w:p>
        </w:tc>
        <w:tc>
          <w:tcPr>
            <w:tcW w:w="1191" w:type="dxa"/>
            <w:tcBorders>
              <w:left w:val="nil"/>
              <w:right w:val="nil"/>
            </w:tcBorders>
            <w:shd w:val="clear" w:color="auto" w:fill="FFFFFF" w:themeFill="background1"/>
            <w:vAlign w:val="center"/>
          </w:tcPr>
          <w:p w14:paraId="5F915D69" w14:textId="77777777" w:rsidR="00A14F00" w:rsidRPr="00EB4495" w:rsidRDefault="00A14F00" w:rsidP="00A14F00">
            <w:pPr>
              <w:jc w:val="right"/>
              <w:textAlignment w:val="bottom"/>
              <w:rPr>
                <w:rFonts w:ascii="Arial" w:eastAsia="Times New Roman" w:hAnsi="Arial" w:cs="Arial"/>
                <w:bCs/>
                <w:color w:val="FF0000"/>
              </w:rPr>
            </w:pPr>
            <w:r w:rsidRPr="00EB4495">
              <w:rPr>
                <w:rFonts w:ascii="Arial" w:hAnsi="Arial" w:cs="Arial"/>
                <w:bCs/>
              </w:rPr>
              <w:t>(54)</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66B96D5E" w14:textId="77777777" w:rsidR="00A14F00" w:rsidRPr="00EB4495" w:rsidRDefault="00A14F00" w:rsidP="00A14F00">
            <w:pPr>
              <w:jc w:val="right"/>
              <w:textAlignment w:val="bottom"/>
              <w:rPr>
                <w:rFonts w:ascii="Arial" w:eastAsia="Times New Roman" w:hAnsi="Arial" w:cs="Arial"/>
              </w:rPr>
            </w:pPr>
            <w:r w:rsidRPr="00EB4495">
              <w:rPr>
                <w:rFonts w:ascii="Arial" w:hAnsi="Arial" w:cs="Arial"/>
              </w:rPr>
              <w:t>n/a</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72A5A263" w14:textId="77777777" w:rsidR="00A14F00" w:rsidRPr="00EB4495" w:rsidRDefault="00A14F00" w:rsidP="00A14F00">
            <w:pPr>
              <w:jc w:val="right"/>
              <w:textAlignment w:val="bottom"/>
              <w:rPr>
                <w:rFonts w:ascii="Arial" w:eastAsia="Times New Roman" w:hAnsi="Arial" w:cs="Arial"/>
              </w:rPr>
            </w:pPr>
          </w:p>
        </w:tc>
        <w:tc>
          <w:tcPr>
            <w:tcW w:w="1195" w:type="dxa"/>
            <w:tcBorders>
              <w:left w:val="nil"/>
              <w:right w:val="nil"/>
            </w:tcBorders>
            <w:shd w:val="clear" w:color="auto" w:fill="FFFFFF" w:themeFill="background1"/>
            <w:vAlign w:val="center"/>
          </w:tcPr>
          <w:p w14:paraId="575397BD" w14:textId="77777777" w:rsidR="00A14F00" w:rsidRPr="00EB4495" w:rsidRDefault="00A14F00" w:rsidP="00A14F00">
            <w:pPr>
              <w:jc w:val="right"/>
              <w:textAlignment w:val="bottom"/>
              <w:rPr>
                <w:rFonts w:ascii="Arial" w:eastAsia="Times New Roman" w:hAnsi="Arial" w:cs="Arial"/>
              </w:rPr>
            </w:pPr>
          </w:p>
        </w:tc>
      </w:tr>
      <w:tr w:rsidR="00A14F00" w:rsidRPr="00EB4495" w14:paraId="3624647D" w14:textId="77777777" w:rsidTr="00896FEF">
        <w:trPr>
          <w:trHeight w:val="255"/>
        </w:trPr>
        <w:tc>
          <w:tcPr>
            <w:tcW w:w="3061" w:type="dxa"/>
            <w:tcBorders>
              <w:left w:val="nil"/>
              <w:right w:val="nil"/>
            </w:tcBorders>
            <w:shd w:val="clear" w:color="auto" w:fill="FFFFFF" w:themeFill="background1"/>
            <w:tcMar>
              <w:top w:w="15" w:type="dxa"/>
              <w:left w:w="113" w:type="dxa"/>
              <w:bottom w:w="0" w:type="dxa"/>
              <w:right w:w="15" w:type="dxa"/>
            </w:tcMar>
            <w:vAlign w:val="center"/>
            <w:hideMark/>
          </w:tcPr>
          <w:p w14:paraId="0906A527" w14:textId="77777777" w:rsidR="00A14F00" w:rsidRPr="00EB4495" w:rsidRDefault="00A14F00" w:rsidP="00A14F00">
            <w:pPr>
              <w:jc w:val="left"/>
              <w:rPr>
                <w:rFonts w:ascii="Arial" w:eastAsia="Times New Roman" w:hAnsi="Arial" w:cs="Arial"/>
              </w:rPr>
            </w:pPr>
            <w:r w:rsidRPr="00EB4495">
              <w:rPr>
                <w:rFonts w:ascii="Arial" w:eastAsiaTheme="minorEastAsia" w:hAnsi="Arial" w:cs="Arial"/>
                <w:color w:val="000000" w:themeColor="text1"/>
                <w:kern w:val="24"/>
              </w:rPr>
              <w:t>Share of JV interest and tax</w:t>
            </w:r>
          </w:p>
        </w:tc>
        <w:tc>
          <w:tcPr>
            <w:tcW w:w="908" w:type="dxa"/>
            <w:tcBorders>
              <w:left w:val="nil"/>
              <w:right w:val="nil"/>
            </w:tcBorders>
            <w:shd w:val="clear" w:color="auto" w:fill="FFFFFF" w:themeFill="background1"/>
            <w:tcMar>
              <w:top w:w="15" w:type="dxa"/>
              <w:left w:w="15" w:type="dxa"/>
              <w:bottom w:w="0" w:type="dxa"/>
              <w:right w:w="15" w:type="dxa"/>
            </w:tcMar>
            <w:vAlign w:val="center"/>
          </w:tcPr>
          <w:p w14:paraId="5EFA8C3A" w14:textId="77777777" w:rsidR="00A14F00" w:rsidRPr="00EB4495" w:rsidRDefault="00A14F00" w:rsidP="00A14F00">
            <w:pPr>
              <w:jc w:val="center"/>
              <w:textAlignment w:val="bottom"/>
              <w:rPr>
                <w:rFonts w:ascii="Arial" w:eastAsia="Times New Roman" w:hAnsi="Arial" w:cs="Arial"/>
              </w:rPr>
            </w:pPr>
          </w:p>
        </w:tc>
        <w:tc>
          <w:tcPr>
            <w:tcW w:w="1133" w:type="dxa"/>
            <w:tcBorders>
              <w:left w:val="nil"/>
              <w:right w:val="nil"/>
            </w:tcBorders>
            <w:shd w:val="clear" w:color="auto" w:fill="FFFFFF" w:themeFill="background1"/>
            <w:vAlign w:val="center"/>
          </w:tcPr>
          <w:p w14:paraId="4CE27CB7" w14:textId="0D46EA71" w:rsidR="00A14F00" w:rsidRPr="00EB4495" w:rsidRDefault="00A14F00" w:rsidP="00A14F00">
            <w:pPr>
              <w:jc w:val="right"/>
              <w:textAlignment w:val="bottom"/>
              <w:rPr>
                <w:rFonts w:ascii="Arial" w:eastAsia="Times New Roman" w:hAnsi="Arial" w:cs="Arial"/>
              </w:rPr>
            </w:pPr>
            <w:r w:rsidRPr="00EB4495">
              <w:rPr>
                <w:rFonts w:ascii="Arial" w:hAnsi="Arial" w:cs="Arial"/>
                <w:bCs/>
              </w:rPr>
              <w:t>(2)</w:t>
            </w:r>
          </w:p>
        </w:tc>
        <w:tc>
          <w:tcPr>
            <w:tcW w:w="1191" w:type="dxa"/>
            <w:tcBorders>
              <w:left w:val="nil"/>
              <w:right w:val="nil"/>
            </w:tcBorders>
            <w:shd w:val="clear" w:color="auto" w:fill="FFFFFF" w:themeFill="background1"/>
            <w:vAlign w:val="center"/>
          </w:tcPr>
          <w:p w14:paraId="27D744AF" w14:textId="77777777" w:rsidR="00A14F00" w:rsidRPr="00EB4495" w:rsidRDefault="00A14F00" w:rsidP="00A14F00">
            <w:pPr>
              <w:jc w:val="right"/>
              <w:textAlignment w:val="bottom"/>
              <w:rPr>
                <w:rFonts w:ascii="Arial" w:eastAsia="Times New Roman" w:hAnsi="Arial" w:cs="Arial"/>
                <w:bCs/>
              </w:rPr>
            </w:pPr>
            <w:r w:rsidRPr="00EB4495">
              <w:rPr>
                <w:rFonts w:ascii="Arial" w:hAnsi="Arial" w:cs="Arial"/>
                <w:bCs/>
              </w:rPr>
              <w:t>(3)</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0872BD00" w14:textId="77777777" w:rsidR="00A14F00" w:rsidRPr="00EB4495" w:rsidRDefault="00A14F00" w:rsidP="00A14F00">
            <w:pPr>
              <w:jc w:val="right"/>
              <w:textAlignment w:val="bottom"/>
              <w:rPr>
                <w:rFonts w:ascii="Arial" w:eastAsia="Times New Roman" w:hAnsi="Arial" w:cs="Arial"/>
              </w:rPr>
            </w:pPr>
            <w:r w:rsidRPr="00EB4495">
              <w:rPr>
                <w:rFonts w:ascii="Arial" w:hAnsi="Arial" w:cs="Arial"/>
              </w:rPr>
              <w:t>n/a</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34C97128" w14:textId="77777777" w:rsidR="00A14F00" w:rsidRPr="00EB4495" w:rsidRDefault="00A14F00" w:rsidP="00A14F00">
            <w:pPr>
              <w:jc w:val="right"/>
              <w:textAlignment w:val="bottom"/>
              <w:rPr>
                <w:rFonts w:ascii="Arial" w:eastAsia="Times New Roman" w:hAnsi="Arial" w:cs="Arial"/>
              </w:rPr>
            </w:pPr>
          </w:p>
        </w:tc>
        <w:tc>
          <w:tcPr>
            <w:tcW w:w="1195" w:type="dxa"/>
            <w:tcBorders>
              <w:left w:val="nil"/>
              <w:right w:val="nil"/>
            </w:tcBorders>
            <w:shd w:val="clear" w:color="auto" w:fill="FFFFFF" w:themeFill="background1"/>
            <w:vAlign w:val="center"/>
          </w:tcPr>
          <w:p w14:paraId="2F06E24D" w14:textId="77777777" w:rsidR="00A14F00" w:rsidRPr="00EB4495" w:rsidRDefault="00A14F00" w:rsidP="00A14F00">
            <w:pPr>
              <w:jc w:val="right"/>
              <w:textAlignment w:val="bottom"/>
              <w:rPr>
                <w:rFonts w:ascii="Arial" w:eastAsia="Times New Roman" w:hAnsi="Arial" w:cs="Arial"/>
              </w:rPr>
            </w:pPr>
          </w:p>
        </w:tc>
      </w:tr>
      <w:tr w:rsidR="00285440" w:rsidRPr="00EB4495" w14:paraId="0B1A4CC7" w14:textId="77777777" w:rsidTr="00896FEF">
        <w:trPr>
          <w:trHeight w:val="255"/>
        </w:trPr>
        <w:tc>
          <w:tcPr>
            <w:tcW w:w="3969" w:type="dxa"/>
            <w:gridSpan w:val="2"/>
            <w:tcBorders>
              <w:top w:val="single" w:sz="4" w:space="0" w:color="auto"/>
              <w:left w:val="nil"/>
              <w:bottom w:val="single" w:sz="4" w:space="0" w:color="auto"/>
              <w:right w:val="nil"/>
            </w:tcBorders>
            <w:shd w:val="clear" w:color="auto" w:fill="FFFFFF" w:themeFill="background1"/>
            <w:tcMar>
              <w:top w:w="15" w:type="dxa"/>
              <w:left w:w="113" w:type="dxa"/>
              <w:bottom w:w="0" w:type="dxa"/>
              <w:right w:w="15" w:type="dxa"/>
            </w:tcMar>
            <w:vAlign w:val="center"/>
            <w:hideMark/>
          </w:tcPr>
          <w:p w14:paraId="2D2FD1F3" w14:textId="77777777" w:rsidR="00285440" w:rsidRPr="00EB4495" w:rsidRDefault="00285440" w:rsidP="00896FEF">
            <w:pPr>
              <w:jc w:val="left"/>
              <w:rPr>
                <w:rFonts w:ascii="Arial" w:eastAsiaTheme="minorEastAsia" w:hAnsi="Arial" w:cs="Arial"/>
                <w:b/>
                <w:bCs/>
                <w:color w:val="000000" w:themeColor="text1"/>
                <w:kern w:val="24"/>
              </w:rPr>
            </w:pPr>
            <w:r w:rsidRPr="00EB4495">
              <w:rPr>
                <w:rFonts w:ascii="Arial" w:eastAsiaTheme="minorEastAsia" w:hAnsi="Arial" w:cs="Arial"/>
                <w:b/>
                <w:bCs/>
                <w:color w:val="000000" w:themeColor="text1"/>
                <w:kern w:val="24"/>
              </w:rPr>
              <w:t xml:space="preserve">Operating profit </w:t>
            </w:r>
          </w:p>
          <w:p w14:paraId="1E961625" w14:textId="77777777" w:rsidR="00285440" w:rsidRPr="00EB4495" w:rsidRDefault="00285440" w:rsidP="00896FEF">
            <w:pPr>
              <w:jc w:val="left"/>
              <w:textAlignment w:val="bottom"/>
              <w:rPr>
                <w:rFonts w:ascii="Arial" w:eastAsia="Times New Roman" w:hAnsi="Arial" w:cs="Arial"/>
                <w:b/>
                <w:bCs/>
              </w:rPr>
            </w:pPr>
            <w:r w:rsidRPr="00EB4495">
              <w:rPr>
                <w:rFonts w:ascii="Arial" w:eastAsiaTheme="minorEastAsia" w:hAnsi="Arial" w:cs="Arial"/>
                <w:b/>
                <w:bCs/>
                <w:color w:val="000000" w:themeColor="text1"/>
                <w:kern w:val="24"/>
              </w:rPr>
              <w:t>(pre-adjusting items)</w:t>
            </w:r>
          </w:p>
        </w:tc>
        <w:tc>
          <w:tcPr>
            <w:tcW w:w="1133" w:type="dxa"/>
            <w:tcBorders>
              <w:top w:val="single" w:sz="4" w:space="0" w:color="auto"/>
              <w:left w:val="nil"/>
              <w:bottom w:val="single" w:sz="4" w:space="0" w:color="auto"/>
              <w:right w:val="nil"/>
            </w:tcBorders>
            <w:shd w:val="clear" w:color="auto" w:fill="FFFFFF" w:themeFill="background1"/>
            <w:vAlign w:val="center"/>
          </w:tcPr>
          <w:p w14:paraId="7EDC4C20" w14:textId="6565FD10" w:rsidR="00285440" w:rsidRPr="00EB4495" w:rsidRDefault="00A14F00" w:rsidP="00896FEF">
            <w:pPr>
              <w:jc w:val="right"/>
              <w:textAlignment w:val="bottom"/>
              <w:rPr>
                <w:rFonts w:ascii="Arial" w:eastAsia="Times New Roman" w:hAnsi="Arial" w:cs="Arial"/>
                <w:b/>
                <w:bCs/>
              </w:rPr>
            </w:pPr>
            <w:r w:rsidRPr="00EB4495">
              <w:rPr>
                <w:rFonts w:ascii="Arial" w:eastAsia="Times New Roman" w:hAnsi="Arial" w:cs="Arial"/>
                <w:b/>
                <w:bCs/>
              </w:rPr>
              <w:t>1,086</w:t>
            </w:r>
          </w:p>
        </w:tc>
        <w:tc>
          <w:tcPr>
            <w:tcW w:w="1191" w:type="dxa"/>
            <w:tcBorders>
              <w:top w:val="single" w:sz="4" w:space="0" w:color="auto"/>
              <w:left w:val="nil"/>
              <w:bottom w:val="single" w:sz="4" w:space="0" w:color="auto"/>
              <w:right w:val="nil"/>
            </w:tcBorders>
            <w:shd w:val="clear" w:color="auto" w:fill="FFFFFF" w:themeFill="background1"/>
            <w:vAlign w:val="center"/>
          </w:tcPr>
          <w:p w14:paraId="64615ACA" w14:textId="77777777" w:rsidR="00285440" w:rsidRPr="00EB4495" w:rsidRDefault="00285440" w:rsidP="00896FEF">
            <w:pPr>
              <w:jc w:val="right"/>
              <w:textAlignment w:val="bottom"/>
              <w:rPr>
                <w:rFonts w:ascii="Arial" w:eastAsia="Times New Roman" w:hAnsi="Arial" w:cs="Arial"/>
                <w:b/>
                <w:bCs/>
              </w:rPr>
            </w:pPr>
            <w:r w:rsidRPr="00EB4495">
              <w:rPr>
                <w:rFonts w:ascii="Arial" w:eastAsia="Times New Roman" w:hAnsi="Arial" w:cs="Arial"/>
                <w:b/>
                <w:bCs/>
              </w:rPr>
              <w:t>946</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05E4D845" w14:textId="66D1DB33" w:rsidR="00285440" w:rsidRPr="00EB4495" w:rsidRDefault="00285440" w:rsidP="00896FEF">
            <w:pPr>
              <w:jc w:val="right"/>
              <w:textAlignment w:val="bottom"/>
              <w:rPr>
                <w:rFonts w:ascii="Arial" w:hAnsi="Arial" w:cs="Arial"/>
                <w:b/>
              </w:rPr>
            </w:pPr>
            <w:r w:rsidRPr="00EB4495">
              <w:rPr>
                <w:rFonts w:ascii="Arial" w:hAnsi="Arial" w:cs="Arial"/>
              </w:rPr>
              <w:t>+</w:t>
            </w:r>
            <w:r w:rsidR="00A14F00" w:rsidRPr="00EB4495">
              <w:rPr>
                <w:rFonts w:ascii="Arial" w:hAnsi="Arial" w:cs="Arial"/>
              </w:rPr>
              <w:t>14</w:t>
            </w:r>
            <w:r w:rsidRPr="00EB4495">
              <w:rPr>
                <w:rFonts w:ascii="Arial" w:hAnsi="Arial" w:cs="Arial"/>
              </w:rPr>
              <w:t>.</w:t>
            </w:r>
            <w:r w:rsidR="00A14F00" w:rsidRPr="00EB4495">
              <w:rPr>
                <w:rFonts w:ascii="Arial" w:hAnsi="Arial" w:cs="Arial"/>
              </w:rPr>
              <w:t>8</w:t>
            </w:r>
            <w:r w:rsidRPr="00EB4495">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37497D39" w14:textId="77777777" w:rsidR="00285440" w:rsidRPr="00EB4495" w:rsidRDefault="00285440" w:rsidP="00896FEF">
            <w:pPr>
              <w:jc w:val="right"/>
              <w:textAlignment w:val="bottom"/>
              <w:rPr>
                <w:rFonts w:ascii="Arial" w:hAnsi="Arial" w:cs="Arial"/>
                <w:b/>
              </w:rPr>
            </w:pPr>
          </w:p>
        </w:tc>
        <w:tc>
          <w:tcPr>
            <w:tcW w:w="1195" w:type="dxa"/>
            <w:tcBorders>
              <w:left w:val="nil"/>
              <w:right w:val="nil"/>
            </w:tcBorders>
            <w:shd w:val="clear" w:color="auto" w:fill="FFFFFF" w:themeFill="background1"/>
            <w:vAlign w:val="center"/>
          </w:tcPr>
          <w:p w14:paraId="1955C95A" w14:textId="77777777" w:rsidR="00285440" w:rsidRPr="00EB4495" w:rsidRDefault="00285440" w:rsidP="00896FEF">
            <w:pPr>
              <w:jc w:val="right"/>
              <w:textAlignment w:val="bottom"/>
              <w:rPr>
                <w:rFonts w:ascii="Arial" w:eastAsia="Times New Roman" w:hAnsi="Arial" w:cs="Arial"/>
                <w:b/>
                <w:bCs/>
              </w:rPr>
            </w:pPr>
          </w:p>
        </w:tc>
      </w:tr>
      <w:tr w:rsidR="00285440" w:rsidRPr="00EB4495" w14:paraId="3455B893" w14:textId="77777777" w:rsidTr="00896FEF">
        <w:trPr>
          <w:trHeight w:val="255"/>
        </w:trPr>
        <w:tc>
          <w:tcPr>
            <w:tcW w:w="3969" w:type="dxa"/>
            <w:gridSpan w:val="2"/>
            <w:tcBorders>
              <w:top w:val="single" w:sz="4" w:space="0" w:color="auto"/>
              <w:left w:val="nil"/>
              <w:right w:val="nil"/>
            </w:tcBorders>
            <w:shd w:val="clear" w:color="auto" w:fill="FFFFFF" w:themeFill="background1"/>
            <w:tcMar>
              <w:top w:w="15" w:type="dxa"/>
              <w:left w:w="113" w:type="dxa"/>
              <w:bottom w:w="0" w:type="dxa"/>
              <w:right w:w="15" w:type="dxa"/>
            </w:tcMar>
            <w:vAlign w:val="center"/>
            <w:hideMark/>
          </w:tcPr>
          <w:p w14:paraId="0B0021EC" w14:textId="1F0C5530" w:rsidR="00285440" w:rsidRPr="00EB4495" w:rsidRDefault="00285440" w:rsidP="00896FEF">
            <w:pPr>
              <w:jc w:val="left"/>
              <w:textAlignment w:val="bottom"/>
              <w:rPr>
                <w:rFonts w:ascii="Arial" w:eastAsia="Times New Roman" w:hAnsi="Arial" w:cs="Arial"/>
              </w:rPr>
            </w:pPr>
            <w:r w:rsidRPr="00EB4495">
              <w:rPr>
                <w:rFonts w:ascii="Arial" w:eastAsiaTheme="minorEastAsia" w:hAnsi="Arial" w:cs="Arial"/>
                <w:color w:val="000000" w:themeColor="text1"/>
                <w:kern w:val="24"/>
              </w:rPr>
              <w:t>Net finance costs</w:t>
            </w:r>
          </w:p>
        </w:tc>
        <w:tc>
          <w:tcPr>
            <w:tcW w:w="1133" w:type="dxa"/>
            <w:tcBorders>
              <w:top w:val="single" w:sz="4" w:space="0" w:color="auto"/>
              <w:left w:val="nil"/>
              <w:right w:val="nil"/>
            </w:tcBorders>
            <w:shd w:val="clear" w:color="auto" w:fill="FFFFFF" w:themeFill="background1"/>
            <w:vAlign w:val="center"/>
          </w:tcPr>
          <w:p w14:paraId="1F2213FB" w14:textId="7396C4A2" w:rsidR="00285440" w:rsidRPr="00EB4495" w:rsidRDefault="00285440" w:rsidP="00896FEF">
            <w:pPr>
              <w:jc w:val="right"/>
              <w:textAlignment w:val="bottom"/>
              <w:rPr>
                <w:rFonts w:ascii="Arial" w:eastAsia="Times New Roman" w:hAnsi="Arial" w:cs="Arial"/>
              </w:rPr>
            </w:pPr>
            <w:r w:rsidRPr="00EB4495">
              <w:rPr>
                <w:rFonts w:ascii="Arial" w:eastAsia="Times New Roman" w:hAnsi="Arial" w:cs="Arial"/>
              </w:rPr>
              <w:t>(</w:t>
            </w:r>
            <w:r w:rsidR="00A14F00" w:rsidRPr="00EB4495">
              <w:rPr>
                <w:rFonts w:ascii="Arial" w:eastAsia="Times New Roman" w:hAnsi="Arial" w:cs="Arial"/>
              </w:rPr>
              <w:t>137</w:t>
            </w:r>
            <w:r w:rsidRPr="00EB4495">
              <w:rPr>
                <w:rFonts w:ascii="Arial" w:eastAsia="Times New Roman" w:hAnsi="Arial" w:cs="Arial"/>
              </w:rPr>
              <w:t>)</w:t>
            </w:r>
          </w:p>
        </w:tc>
        <w:tc>
          <w:tcPr>
            <w:tcW w:w="1191" w:type="dxa"/>
            <w:tcBorders>
              <w:top w:val="single" w:sz="4" w:space="0" w:color="auto"/>
              <w:left w:val="nil"/>
              <w:right w:val="nil"/>
            </w:tcBorders>
            <w:shd w:val="clear" w:color="auto" w:fill="FFFFFF" w:themeFill="background1"/>
            <w:vAlign w:val="center"/>
          </w:tcPr>
          <w:p w14:paraId="79655554" w14:textId="77777777" w:rsidR="00285440" w:rsidRPr="00EB4495" w:rsidRDefault="00285440" w:rsidP="00896FEF">
            <w:pPr>
              <w:jc w:val="right"/>
              <w:textAlignment w:val="bottom"/>
              <w:rPr>
                <w:rFonts w:ascii="Arial" w:eastAsia="Times New Roman" w:hAnsi="Arial" w:cs="Arial"/>
                <w:bCs/>
              </w:rPr>
            </w:pPr>
            <w:r w:rsidRPr="00EB4495">
              <w:rPr>
                <w:rFonts w:ascii="Arial" w:hAnsi="Arial" w:cs="Arial"/>
                <w:bCs/>
              </w:rPr>
              <w:t>(160)</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3F876CDB" w14:textId="77777777" w:rsidR="00285440" w:rsidRPr="00EB4495" w:rsidRDefault="00285440" w:rsidP="00896FEF">
            <w:pPr>
              <w:jc w:val="right"/>
              <w:textAlignment w:val="bottom"/>
              <w:rPr>
                <w:rFonts w:ascii="Arial" w:eastAsia="Times New Roman" w:hAnsi="Arial" w:cs="Arial"/>
              </w:rPr>
            </w:pPr>
            <w:r w:rsidRPr="00EB4495">
              <w:rPr>
                <w:rFonts w:ascii="Arial" w:hAnsi="Arial" w:cs="Arial"/>
              </w:rPr>
              <w:t>n/a</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4967D26B" w14:textId="77777777" w:rsidR="00285440" w:rsidRPr="00EB4495" w:rsidRDefault="00285440" w:rsidP="00896FEF">
            <w:pPr>
              <w:jc w:val="right"/>
              <w:rPr>
                <w:rFonts w:ascii="Arial" w:eastAsia="Times New Roman" w:hAnsi="Arial" w:cs="Arial"/>
              </w:rPr>
            </w:pPr>
          </w:p>
        </w:tc>
        <w:tc>
          <w:tcPr>
            <w:tcW w:w="1195" w:type="dxa"/>
            <w:tcBorders>
              <w:left w:val="nil"/>
              <w:right w:val="nil"/>
            </w:tcBorders>
            <w:shd w:val="clear" w:color="auto" w:fill="FFFFFF" w:themeFill="background1"/>
            <w:vAlign w:val="center"/>
          </w:tcPr>
          <w:p w14:paraId="2F0029F0" w14:textId="77777777" w:rsidR="00285440" w:rsidRPr="00EB4495" w:rsidRDefault="00285440" w:rsidP="00896FEF">
            <w:pPr>
              <w:jc w:val="right"/>
              <w:textAlignment w:val="bottom"/>
              <w:rPr>
                <w:rFonts w:ascii="Arial" w:eastAsia="Times New Roman" w:hAnsi="Arial" w:cs="Arial"/>
              </w:rPr>
            </w:pPr>
          </w:p>
        </w:tc>
      </w:tr>
      <w:tr w:rsidR="00A14F00" w:rsidRPr="00EB4495" w14:paraId="074DABF5" w14:textId="77777777" w:rsidTr="00896FEF">
        <w:trPr>
          <w:trHeight w:val="255"/>
        </w:trPr>
        <w:tc>
          <w:tcPr>
            <w:tcW w:w="3061" w:type="dxa"/>
            <w:tcBorders>
              <w:top w:val="single" w:sz="4" w:space="0" w:color="auto"/>
              <w:left w:val="nil"/>
              <w:bottom w:val="single" w:sz="4" w:space="0" w:color="auto"/>
              <w:right w:val="nil"/>
            </w:tcBorders>
            <w:shd w:val="clear" w:color="auto" w:fill="FFFFFF" w:themeFill="background1"/>
            <w:tcMar>
              <w:top w:w="15" w:type="dxa"/>
              <w:left w:w="113" w:type="dxa"/>
              <w:bottom w:w="0" w:type="dxa"/>
              <w:right w:w="15" w:type="dxa"/>
            </w:tcMar>
            <w:vAlign w:val="center"/>
            <w:hideMark/>
          </w:tcPr>
          <w:p w14:paraId="5796B7D1" w14:textId="77777777" w:rsidR="00A14F00" w:rsidRPr="00EB4495" w:rsidRDefault="00A14F00" w:rsidP="00A14F00">
            <w:pPr>
              <w:jc w:val="left"/>
              <w:rPr>
                <w:rFonts w:ascii="Arial" w:eastAsia="Times New Roman" w:hAnsi="Arial" w:cs="Arial"/>
                <w:b/>
                <w:bCs/>
              </w:rPr>
            </w:pPr>
            <w:r w:rsidRPr="00EB4495">
              <w:rPr>
                <w:rFonts w:ascii="Arial" w:eastAsiaTheme="minorEastAsia" w:hAnsi="Arial" w:cs="Arial"/>
                <w:b/>
                <w:bCs/>
                <w:color w:val="000000" w:themeColor="text1"/>
                <w:kern w:val="24"/>
              </w:rPr>
              <w:t>Adjusted pre-tax profit</w:t>
            </w:r>
          </w:p>
        </w:tc>
        <w:tc>
          <w:tcPr>
            <w:tcW w:w="908"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4C16B3A7" w14:textId="77777777" w:rsidR="00A14F00" w:rsidRPr="00EB4495" w:rsidRDefault="00A14F00" w:rsidP="00A14F00">
            <w:pPr>
              <w:jc w:val="center"/>
              <w:textAlignment w:val="bottom"/>
              <w:rPr>
                <w:rFonts w:ascii="Arial" w:eastAsia="Times New Roman" w:hAnsi="Arial" w:cs="Arial"/>
                <w:b/>
                <w:bCs/>
              </w:rPr>
            </w:pPr>
          </w:p>
        </w:tc>
        <w:tc>
          <w:tcPr>
            <w:tcW w:w="1133" w:type="dxa"/>
            <w:tcBorders>
              <w:top w:val="single" w:sz="4" w:space="0" w:color="auto"/>
              <w:left w:val="nil"/>
              <w:bottom w:val="single" w:sz="4" w:space="0" w:color="auto"/>
              <w:right w:val="nil"/>
            </w:tcBorders>
            <w:shd w:val="clear" w:color="auto" w:fill="FFFFFF" w:themeFill="background1"/>
            <w:vAlign w:val="center"/>
          </w:tcPr>
          <w:p w14:paraId="1DF6E8A2" w14:textId="2B57BAE2" w:rsidR="00A14F00" w:rsidRPr="00EB4495" w:rsidRDefault="00A14F00" w:rsidP="00A14F00">
            <w:pPr>
              <w:jc w:val="right"/>
              <w:textAlignment w:val="bottom"/>
              <w:rPr>
                <w:rFonts w:ascii="Arial" w:eastAsia="Times New Roman" w:hAnsi="Arial" w:cs="Arial"/>
                <w:b/>
                <w:bCs/>
              </w:rPr>
            </w:pPr>
            <w:r w:rsidRPr="00EB4495">
              <w:rPr>
                <w:rFonts w:ascii="Arial" w:hAnsi="Arial" w:cs="Arial"/>
                <w:b/>
              </w:rPr>
              <w:t>949</w:t>
            </w:r>
          </w:p>
        </w:tc>
        <w:tc>
          <w:tcPr>
            <w:tcW w:w="1191" w:type="dxa"/>
            <w:tcBorders>
              <w:top w:val="single" w:sz="4" w:space="0" w:color="auto"/>
              <w:left w:val="nil"/>
              <w:bottom w:val="single" w:sz="4" w:space="0" w:color="auto"/>
              <w:right w:val="nil"/>
            </w:tcBorders>
            <w:shd w:val="clear" w:color="auto" w:fill="FFFFFF" w:themeFill="background1"/>
            <w:vAlign w:val="center"/>
          </w:tcPr>
          <w:p w14:paraId="244755F6" w14:textId="77777777" w:rsidR="00A14F00" w:rsidRPr="00EB4495" w:rsidRDefault="00A14F00" w:rsidP="00A14F00">
            <w:pPr>
              <w:jc w:val="right"/>
              <w:textAlignment w:val="bottom"/>
              <w:rPr>
                <w:rFonts w:ascii="Arial" w:eastAsia="Times New Roman" w:hAnsi="Arial" w:cs="Arial"/>
                <w:b/>
                <w:bCs/>
              </w:rPr>
            </w:pPr>
            <w:r w:rsidRPr="00EB4495">
              <w:rPr>
                <w:rFonts w:ascii="Arial" w:hAnsi="Arial" w:cs="Arial"/>
                <w:b/>
              </w:rPr>
              <w:t>786</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5FB9804D" w14:textId="372CD3DA" w:rsidR="00A14F00" w:rsidRPr="00EB4495" w:rsidRDefault="00A14F00" w:rsidP="00A14F00">
            <w:pPr>
              <w:jc w:val="right"/>
              <w:textAlignment w:val="bottom"/>
              <w:rPr>
                <w:rFonts w:ascii="Arial" w:hAnsi="Arial" w:cs="Arial"/>
                <w:b/>
              </w:rPr>
            </w:pPr>
            <w:r w:rsidRPr="00EB4495">
              <w:rPr>
                <w:rFonts w:ascii="Arial" w:hAnsi="Arial" w:cs="Arial"/>
              </w:rPr>
              <w:t>+20.</w:t>
            </w:r>
            <w:r w:rsidR="009A4250">
              <w:rPr>
                <w:rFonts w:ascii="Arial" w:hAnsi="Arial" w:cs="Arial"/>
              </w:rPr>
              <w:t>9</w:t>
            </w:r>
            <w:r w:rsidRPr="00EB4495">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6A7C042E" w14:textId="77777777" w:rsidR="00A14F00" w:rsidRPr="00EB4495" w:rsidRDefault="00A14F00" w:rsidP="00A14F00">
            <w:pPr>
              <w:jc w:val="right"/>
              <w:textAlignment w:val="bottom"/>
              <w:rPr>
                <w:rFonts w:ascii="Arial" w:hAnsi="Arial" w:cs="Arial"/>
                <w:b/>
              </w:rPr>
            </w:pPr>
          </w:p>
        </w:tc>
        <w:tc>
          <w:tcPr>
            <w:tcW w:w="1195" w:type="dxa"/>
            <w:tcBorders>
              <w:left w:val="nil"/>
              <w:right w:val="nil"/>
            </w:tcBorders>
            <w:shd w:val="clear" w:color="auto" w:fill="FFFFFF" w:themeFill="background1"/>
            <w:vAlign w:val="center"/>
          </w:tcPr>
          <w:p w14:paraId="32B93C5E" w14:textId="77777777" w:rsidR="00A14F00" w:rsidRPr="00EB4495" w:rsidRDefault="00A14F00" w:rsidP="00A14F00">
            <w:pPr>
              <w:jc w:val="right"/>
              <w:textAlignment w:val="bottom"/>
              <w:rPr>
                <w:rFonts w:ascii="Arial" w:eastAsia="Times New Roman" w:hAnsi="Arial" w:cs="Arial"/>
                <w:b/>
                <w:bCs/>
              </w:rPr>
            </w:pPr>
          </w:p>
        </w:tc>
      </w:tr>
      <w:tr w:rsidR="00A14F00" w:rsidRPr="00EB4495" w14:paraId="4A1A0C8A" w14:textId="77777777" w:rsidTr="00896FEF">
        <w:trPr>
          <w:trHeight w:val="255"/>
        </w:trPr>
        <w:tc>
          <w:tcPr>
            <w:tcW w:w="3061" w:type="dxa"/>
            <w:tcBorders>
              <w:top w:val="single" w:sz="4" w:space="0" w:color="auto"/>
              <w:left w:val="nil"/>
              <w:right w:val="nil"/>
            </w:tcBorders>
            <w:shd w:val="clear" w:color="auto" w:fill="FFFFFF" w:themeFill="background1"/>
            <w:tcMar>
              <w:top w:w="15" w:type="dxa"/>
              <w:left w:w="113" w:type="dxa"/>
              <w:bottom w:w="0" w:type="dxa"/>
              <w:right w:w="15" w:type="dxa"/>
            </w:tcMar>
            <w:vAlign w:val="center"/>
            <w:hideMark/>
          </w:tcPr>
          <w:p w14:paraId="49CA8642" w14:textId="77777777" w:rsidR="00A14F00" w:rsidRPr="00EB4495" w:rsidRDefault="00A14F00" w:rsidP="00A14F00">
            <w:pPr>
              <w:jc w:val="left"/>
              <w:rPr>
                <w:rFonts w:ascii="Arial" w:eastAsia="Times New Roman" w:hAnsi="Arial" w:cs="Arial"/>
              </w:rPr>
            </w:pPr>
            <w:r w:rsidRPr="00EB4495">
              <w:rPr>
                <w:rFonts w:ascii="Arial" w:eastAsiaTheme="minorEastAsia" w:hAnsi="Arial" w:cs="Arial"/>
                <w:color w:val="000000" w:themeColor="text1"/>
                <w:kern w:val="24"/>
              </w:rPr>
              <w:t>Adjusting items</w:t>
            </w:r>
          </w:p>
        </w:tc>
        <w:tc>
          <w:tcPr>
            <w:tcW w:w="908"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798D6AEA" w14:textId="77777777" w:rsidR="00A14F00" w:rsidRPr="00EB4495" w:rsidRDefault="00A14F00" w:rsidP="00A14F00">
            <w:pPr>
              <w:jc w:val="right"/>
              <w:textAlignment w:val="bottom"/>
              <w:rPr>
                <w:rFonts w:ascii="Arial" w:eastAsia="Times New Roman" w:hAnsi="Arial" w:cs="Arial"/>
              </w:rPr>
            </w:pPr>
          </w:p>
        </w:tc>
        <w:tc>
          <w:tcPr>
            <w:tcW w:w="1133" w:type="dxa"/>
            <w:tcBorders>
              <w:top w:val="single" w:sz="4" w:space="0" w:color="auto"/>
              <w:left w:val="nil"/>
              <w:right w:val="nil"/>
            </w:tcBorders>
            <w:shd w:val="clear" w:color="auto" w:fill="FFFFFF" w:themeFill="background1"/>
            <w:vAlign w:val="center"/>
          </w:tcPr>
          <w:p w14:paraId="414B8426" w14:textId="6167D1B6" w:rsidR="00A14F00" w:rsidRPr="00EB4495" w:rsidRDefault="00A14F00" w:rsidP="00A14F00">
            <w:pPr>
              <w:jc w:val="right"/>
              <w:textAlignment w:val="bottom"/>
              <w:rPr>
                <w:rFonts w:ascii="Arial" w:eastAsia="Times New Roman" w:hAnsi="Arial" w:cs="Arial"/>
              </w:rPr>
            </w:pPr>
            <w:r w:rsidRPr="00EB4495">
              <w:rPr>
                <w:rFonts w:ascii="Arial" w:hAnsi="Arial" w:cs="Arial"/>
                <w:bCs/>
              </w:rPr>
              <w:t>58</w:t>
            </w:r>
          </w:p>
        </w:tc>
        <w:tc>
          <w:tcPr>
            <w:tcW w:w="1191" w:type="dxa"/>
            <w:tcBorders>
              <w:top w:val="single" w:sz="4" w:space="0" w:color="auto"/>
              <w:left w:val="nil"/>
              <w:right w:val="nil"/>
            </w:tcBorders>
            <w:shd w:val="clear" w:color="auto" w:fill="FFFFFF" w:themeFill="background1"/>
            <w:vAlign w:val="center"/>
          </w:tcPr>
          <w:p w14:paraId="09198A70" w14:textId="77777777" w:rsidR="00A14F00" w:rsidRPr="00EB4495" w:rsidRDefault="00A14F00" w:rsidP="00A14F00">
            <w:pPr>
              <w:jc w:val="right"/>
              <w:textAlignment w:val="bottom"/>
              <w:rPr>
                <w:rFonts w:ascii="Arial" w:eastAsia="Times New Roman" w:hAnsi="Arial" w:cs="Arial"/>
                <w:bCs/>
              </w:rPr>
            </w:pPr>
            <w:r w:rsidRPr="00EB4495">
              <w:rPr>
                <w:rFonts w:ascii="Arial" w:hAnsi="Arial" w:cs="Arial"/>
                <w:bCs/>
              </w:rPr>
              <w:t>(30)</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33E09BFE" w14:textId="61F80FA4" w:rsidR="00A14F00" w:rsidRPr="00EB4495" w:rsidRDefault="00A14F00" w:rsidP="00A14F00">
            <w:pPr>
              <w:jc w:val="right"/>
              <w:textAlignment w:val="bottom"/>
              <w:rPr>
                <w:rFonts w:ascii="Arial" w:eastAsia="Times New Roman" w:hAnsi="Arial" w:cs="Arial"/>
              </w:rPr>
            </w:pPr>
            <w:r w:rsidRPr="00EB4495">
              <w:rPr>
                <w:rFonts w:ascii="Arial" w:hAnsi="Arial" w:cs="Arial"/>
              </w:rPr>
              <w:t>n/a</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4ACD26AE" w14:textId="77777777" w:rsidR="00A14F00" w:rsidRPr="00EB4495" w:rsidRDefault="00A14F00" w:rsidP="00A14F00">
            <w:pPr>
              <w:jc w:val="right"/>
              <w:rPr>
                <w:rFonts w:ascii="Arial" w:eastAsia="Times New Roman" w:hAnsi="Arial" w:cs="Arial"/>
              </w:rPr>
            </w:pPr>
          </w:p>
        </w:tc>
        <w:tc>
          <w:tcPr>
            <w:tcW w:w="1195" w:type="dxa"/>
            <w:tcBorders>
              <w:left w:val="nil"/>
              <w:right w:val="nil"/>
            </w:tcBorders>
            <w:shd w:val="clear" w:color="auto" w:fill="FFFFFF" w:themeFill="background1"/>
            <w:vAlign w:val="center"/>
          </w:tcPr>
          <w:p w14:paraId="3B51BF06" w14:textId="77777777" w:rsidR="00A14F00" w:rsidRPr="00EB4495" w:rsidRDefault="00A14F00" w:rsidP="00A14F00">
            <w:pPr>
              <w:jc w:val="right"/>
              <w:textAlignment w:val="bottom"/>
              <w:rPr>
                <w:rFonts w:ascii="Arial" w:eastAsia="Times New Roman" w:hAnsi="Arial" w:cs="Arial"/>
              </w:rPr>
            </w:pPr>
          </w:p>
        </w:tc>
      </w:tr>
      <w:tr w:rsidR="00A14F00" w:rsidRPr="00EB4495" w14:paraId="5433076C" w14:textId="77777777" w:rsidTr="00896FEF">
        <w:trPr>
          <w:trHeight w:val="255"/>
        </w:trPr>
        <w:tc>
          <w:tcPr>
            <w:tcW w:w="3061" w:type="dxa"/>
            <w:tcBorders>
              <w:top w:val="single" w:sz="4" w:space="0" w:color="auto"/>
              <w:left w:val="nil"/>
              <w:bottom w:val="single" w:sz="4" w:space="0" w:color="auto"/>
              <w:right w:val="nil"/>
            </w:tcBorders>
            <w:shd w:val="clear" w:color="auto" w:fill="FFFFFF" w:themeFill="background1"/>
            <w:tcMar>
              <w:top w:w="15" w:type="dxa"/>
              <w:left w:w="113" w:type="dxa"/>
              <w:bottom w:w="0" w:type="dxa"/>
              <w:right w:w="15" w:type="dxa"/>
            </w:tcMar>
            <w:vAlign w:val="center"/>
            <w:hideMark/>
          </w:tcPr>
          <w:p w14:paraId="645FEF49" w14:textId="77777777" w:rsidR="00A14F00" w:rsidRPr="00EB4495" w:rsidRDefault="00A14F00" w:rsidP="00A14F00">
            <w:pPr>
              <w:jc w:val="left"/>
              <w:rPr>
                <w:rFonts w:ascii="Arial" w:eastAsia="Times New Roman" w:hAnsi="Arial" w:cs="Arial"/>
                <w:b/>
                <w:bCs/>
              </w:rPr>
            </w:pPr>
            <w:r w:rsidRPr="00EB4495">
              <w:rPr>
                <w:rFonts w:ascii="Arial" w:eastAsiaTheme="minorEastAsia" w:hAnsi="Arial" w:cs="Arial"/>
                <w:b/>
                <w:bCs/>
                <w:color w:val="000000" w:themeColor="text1"/>
                <w:kern w:val="24"/>
              </w:rPr>
              <w:t>Statutory pre-tax profit</w:t>
            </w:r>
          </w:p>
        </w:tc>
        <w:tc>
          <w:tcPr>
            <w:tcW w:w="908"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4F6BA59A" w14:textId="77777777" w:rsidR="00A14F00" w:rsidRPr="00EB4495" w:rsidRDefault="00A14F00" w:rsidP="00A14F00">
            <w:pPr>
              <w:jc w:val="center"/>
              <w:textAlignment w:val="bottom"/>
              <w:rPr>
                <w:rFonts w:ascii="Arial" w:eastAsia="Times New Roman" w:hAnsi="Arial" w:cs="Arial"/>
                <w:b/>
                <w:bCs/>
              </w:rPr>
            </w:pPr>
          </w:p>
        </w:tc>
        <w:tc>
          <w:tcPr>
            <w:tcW w:w="1133" w:type="dxa"/>
            <w:tcBorders>
              <w:top w:val="single" w:sz="4" w:space="0" w:color="auto"/>
              <w:left w:val="nil"/>
              <w:bottom w:val="single" w:sz="4" w:space="0" w:color="auto"/>
              <w:right w:val="nil"/>
            </w:tcBorders>
            <w:shd w:val="clear" w:color="auto" w:fill="FFFFFF" w:themeFill="background1"/>
            <w:vAlign w:val="center"/>
          </w:tcPr>
          <w:p w14:paraId="6FBCD5DE" w14:textId="6803358C" w:rsidR="00A14F00" w:rsidRPr="00EB4495" w:rsidRDefault="00A14F00" w:rsidP="00A14F00">
            <w:pPr>
              <w:jc w:val="right"/>
              <w:textAlignment w:val="bottom"/>
              <w:rPr>
                <w:rFonts w:ascii="Arial" w:eastAsia="Times New Roman" w:hAnsi="Arial" w:cs="Arial"/>
                <w:b/>
                <w:bCs/>
              </w:rPr>
            </w:pPr>
            <w:r w:rsidRPr="00EB4495">
              <w:rPr>
                <w:rFonts w:ascii="Arial" w:hAnsi="Arial" w:cs="Arial"/>
                <w:b/>
              </w:rPr>
              <w:t>1,007</w:t>
            </w:r>
          </w:p>
        </w:tc>
        <w:tc>
          <w:tcPr>
            <w:tcW w:w="1191" w:type="dxa"/>
            <w:tcBorders>
              <w:top w:val="single" w:sz="4" w:space="0" w:color="auto"/>
              <w:left w:val="nil"/>
              <w:bottom w:val="single" w:sz="4" w:space="0" w:color="auto"/>
              <w:right w:val="nil"/>
            </w:tcBorders>
            <w:shd w:val="clear" w:color="auto" w:fill="FFFFFF" w:themeFill="background1"/>
            <w:vAlign w:val="center"/>
          </w:tcPr>
          <w:p w14:paraId="3A658615" w14:textId="77777777" w:rsidR="00A14F00" w:rsidRPr="00EB4495" w:rsidRDefault="00A14F00" w:rsidP="00A14F00">
            <w:pPr>
              <w:jc w:val="right"/>
              <w:textAlignment w:val="bottom"/>
              <w:rPr>
                <w:rFonts w:ascii="Arial" w:eastAsia="Times New Roman" w:hAnsi="Arial" w:cs="Arial"/>
                <w:b/>
                <w:bCs/>
              </w:rPr>
            </w:pPr>
            <w:r w:rsidRPr="00EB4495">
              <w:rPr>
                <w:rFonts w:ascii="Arial" w:hAnsi="Arial" w:cs="Arial"/>
                <w:b/>
              </w:rPr>
              <w:t>756</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63D5A4C6" w14:textId="4DC81BA0" w:rsidR="00A14F00" w:rsidRPr="00EB4495" w:rsidRDefault="00A14F00" w:rsidP="00A14F00">
            <w:pPr>
              <w:jc w:val="right"/>
              <w:textAlignment w:val="bottom"/>
              <w:rPr>
                <w:rFonts w:ascii="Arial" w:hAnsi="Arial" w:cs="Arial"/>
                <w:b/>
              </w:rPr>
            </w:pPr>
            <w:r w:rsidRPr="00EB4495">
              <w:rPr>
                <w:rFonts w:ascii="Arial" w:hAnsi="Arial" w:cs="Arial"/>
              </w:rPr>
              <w:t>+33.</w:t>
            </w:r>
            <w:r w:rsidR="009A4250">
              <w:rPr>
                <w:rFonts w:ascii="Arial" w:hAnsi="Arial" w:cs="Arial"/>
              </w:rPr>
              <w:t>1</w:t>
            </w:r>
            <w:r w:rsidRPr="00EB4495">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161F3545" w14:textId="77777777" w:rsidR="00A14F00" w:rsidRPr="00EB4495" w:rsidRDefault="00A14F00" w:rsidP="00A14F00">
            <w:pPr>
              <w:jc w:val="right"/>
              <w:textAlignment w:val="bottom"/>
              <w:rPr>
                <w:rFonts w:ascii="Arial" w:hAnsi="Arial" w:cs="Arial"/>
                <w:b/>
              </w:rPr>
            </w:pPr>
          </w:p>
        </w:tc>
        <w:tc>
          <w:tcPr>
            <w:tcW w:w="1195" w:type="dxa"/>
            <w:tcBorders>
              <w:left w:val="nil"/>
              <w:right w:val="nil"/>
            </w:tcBorders>
            <w:shd w:val="clear" w:color="auto" w:fill="FFFFFF" w:themeFill="background1"/>
            <w:vAlign w:val="center"/>
          </w:tcPr>
          <w:p w14:paraId="464B5CC7" w14:textId="77777777" w:rsidR="00A14F00" w:rsidRPr="00EB4495" w:rsidRDefault="00A14F00" w:rsidP="00A14F00">
            <w:pPr>
              <w:jc w:val="right"/>
              <w:textAlignment w:val="bottom"/>
              <w:rPr>
                <w:rFonts w:ascii="Arial" w:eastAsia="Times New Roman" w:hAnsi="Arial" w:cs="Arial"/>
                <w:b/>
                <w:bCs/>
              </w:rPr>
            </w:pPr>
          </w:p>
        </w:tc>
      </w:tr>
    </w:tbl>
    <w:p w14:paraId="44B09EDD" w14:textId="77777777" w:rsidR="00285440" w:rsidRPr="00EB4495" w:rsidRDefault="00285440" w:rsidP="00285440">
      <w:pPr>
        <w:jc w:val="left"/>
        <w:rPr>
          <w:rFonts w:ascii="Arial" w:hAnsi="Arial" w:cs="Arial"/>
          <w:bCs/>
          <w:sz w:val="18"/>
          <w:szCs w:val="18"/>
        </w:rPr>
      </w:pPr>
    </w:p>
    <w:p w14:paraId="46CB5BF3" w14:textId="77777777" w:rsidR="00285440" w:rsidRPr="00EB4495" w:rsidRDefault="00285440" w:rsidP="00285440">
      <w:pPr>
        <w:jc w:val="left"/>
        <w:rPr>
          <w:rFonts w:ascii="Arial" w:hAnsi="Arial" w:cs="Arial"/>
          <w:sz w:val="18"/>
          <w:szCs w:val="18"/>
        </w:rPr>
      </w:pPr>
      <w:r w:rsidRPr="00EB4495">
        <w:rPr>
          <w:rFonts w:ascii="Arial" w:hAnsi="Arial" w:cs="Arial"/>
          <w:sz w:val="18"/>
          <w:szCs w:val="18"/>
          <w:vertAlign w:val="superscript"/>
        </w:rPr>
        <w:t>±</w:t>
      </w:r>
      <w:r w:rsidRPr="00EB4495">
        <w:rPr>
          <w:rFonts w:ascii="Arial" w:hAnsi="Arial" w:cs="Arial"/>
          <w:sz w:val="18"/>
          <w:szCs w:val="18"/>
        </w:rPr>
        <w:t xml:space="preserve"> ‘Other’ </w:t>
      </w:r>
      <w:r w:rsidRPr="00EB4495">
        <w:rPr>
          <w:rFonts w:ascii="Arial" w:hAnsi="Arial" w:cs="Arial"/>
          <w:bCs/>
          <w:sz w:val="18"/>
          <w:szCs w:val="18"/>
        </w:rPr>
        <w:t>consists of the consolidated results of NeedHelp (acquired in November 2020), Screwfix International (launched online in France in April 2021), and results from franchise agreements.</w:t>
      </w:r>
    </w:p>
    <w:p w14:paraId="0293670D" w14:textId="748E280B" w:rsidR="00075802" w:rsidRPr="00EB4495" w:rsidRDefault="00075802" w:rsidP="00075802">
      <w:pPr>
        <w:jc w:val="left"/>
        <w:rPr>
          <w:rFonts w:ascii="Arial" w:hAnsi="Arial" w:cs="Arial"/>
          <w:bCs/>
        </w:rPr>
      </w:pPr>
      <w:r w:rsidRPr="00EB4495">
        <w:rPr>
          <w:rFonts w:ascii="Arial" w:hAnsi="Arial" w:cs="Arial"/>
          <w:bCs/>
        </w:rPr>
        <w:br w:type="page"/>
      </w:r>
    </w:p>
    <w:p w14:paraId="6BE5152B" w14:textId="77777777" w:rsidR="00285440" w:rsidRPr="00EB4495" w:rsidRDefault="00285440" w:rsidP="00285440">
      <w:pPr>
        <w:jc w:val="left"/>
        <w:rPr>
          <w:rFonts w:ascii="Arial" w:hAnsi="Arial" w:cs="Arial"/>
          <w:b/>
          <w:bCs/>
        </w:rPr>
      </w:pPr>
      <w:r w:rsidRPr="00EB4495">
        <w:rPr>
          <w:rFonts w:ascii="Arial" w:hAnsi="Arial" w:cs="Arial"/>
          <w:b/>
          <w:bCs/>
          <w:u w:val="single"/>
        </w:rPr>
        <w:lastRenderedPageBreak/>
        <w:t xml:space="preserve">LFL sales by quarter </w:t>
      </w:r>
    </w:p>
    <w:p w14:paraId="4E69FC59" w14:textId="77777777" w:rsidR="00285440" w:rsidRPr="00EB4495" w:rsidRDefault="00285440" w:rsidP="00285440">
      <w:pPr>
        <w:jc w:val="left"/>
        <w:rPr>
          <w:rFonts w:ascii="Arial" w:hAnsi="Arial" w:cs="Arial"/>
        </w:rPr>
      </w:pPr>
    </w:p>
    <w:tbl>
      <w:tblPr>
        <w:tblStyle w:val="TableGrid"/>
        <w:tblW w:w="9865" w:type="dxa"/>
        <w:tblBorders>
          <w:insideH w:val="none" w:sz="0" w:space="0" w:color="auto"/>
          <w:insideV w:val="none" w:sz="0" w:space="0" w:color="auto"/>
        </w:tblBorders>
        <w:tblLayout w:type="fixed"/>
        <w:tblLook w:val="04A0" w:firstRow="1" w:lastRow="0" w:firstColumn="1" w:lastColumn="0" w:noHBand="0" w:noVBand="1"/>
      </w:tblPr>
      <w:tblGrid>
        <w:gridCol w:w="9865"/>
      </w:tblGrid>
      <w:tr w:rsidR="00285440" w:rsidRPr="00EB4495" w14:paraId="28E228D0" w14:textId="77777777" w:rsidTr="00896FEF">
        <w:trPr>
          <w:trHeight w:val="1361"/>
        </w:trPr>
        <w:tc>
          <w:tcPr>
            <w:tcW w:w="9865" w:type="dxa"/>
            <w:tcBorders>
              <w:top w:val="single" w:sz="4" w:space="0" w:color="auto"/>
              <w:left w:val="single" w:sz="4" w:space="0" w:color="auto"/>
              <w:bottom w:val="single" w:sz="4" w:space="0" w:color="auto"/>
              <w:right w:val="single" w:sz="4" w:space="0" w:color="auto"/>
            </w:tcBorders>
            <w:hideMark/>
          </w:tcPr>
          <w:tbl>
            <w:tblPr>
              <w:tblW w:w="9670" w:type="dxa"/>
              <w:tblLayout w:type="fixed"/>
              <w:tblLook w:val="01E0" w:firstRow="1" w:lastRow="1" w:firstColumn="1" w:lastColumn="1" w:noHBand="0" w:noVBand="0"/>
            </w:tblPr>
            <w:tblGrid>
              <w:gridCol w:w="3628"/>
              <w:gridCol w:w="1203"/>
              <w:gridCol w:w="1203"/>
              <w:gridCol w:w="1199"/>
              <w:gridCol w:w="1199"/>
              <w:gridCol w:w="1201"/>
              <w:gridCol w:w="37"/>
            </w:tblGrid>
            <w:tr w:rsidR="00285440" w:rsidRPr="00EB4495" w14:paraId="05E07154" w14:textId="77777777" w:rsidTr="00896FEF">
              <w:trPr>
                <w:gridAfter w:val="1"/>
                <w:wAfter w:w="19" w:type="pct"/>
                <w:trHeight w:val="93"/>
              </w:trPr>
              <w:tc>
                <w:tcPr>
                  <w:tcW w:w="1876" w:type="pct"/>
                  <w:vMerge w:val="restart"/>
                  <w:vAlign w:val="center"/>
                  <w:hideMark/>
                </w:tcPr>
                <w:p w14:paraId="5302B820" w14:textId="77777777" w:rsidR="00285440" w:rsidRPr="00EB4495" w:rsidRDefault="00285440" w:rsidP="00896FEF">
                  <w:pPr>
                    <w:jc w:val="left"/>
                    <w:rPr>
                      <w:rFonts w:ascii="Arial" w:hAnsi="Arial" w:cs="Arial"/>
                      <w:b/>
                      <w:bCs/>
                    </w:rPr>
                  </w:pPr>
                  <w:r w:rsidRPr="00EB4495">
                    <w:rPr>
                      <w:rFonts w:ascii="Arial" w:hAnsi="Arial" w:cs="Arial"/>
                      <w:b/>
                      <w:bCs/>
                    </w:rPr>
                    <w:t>Quarterly sales</w:t>
                  </w:r>
                </w:p>
              </w:tc>
              <w:tc>
                <w:tcPr>
                  <w:tcW w:w="3105" w:type="pct"/>
                  <w:gridSpan w:val="5"/>
                  <w:tcBorders>
                    <w:top w:val="nil"/>
                    <w:left w:val="nil"/>
                    <w:bottom w:val="single" w:sz="4" w:space="0" w:color="auto"/>
                    <w:right w:val="nil"/>
                  </w:tcBorders>
                  <w:vAlign w:val="center"/>
                  <w:hideMark/>
                </w:tcPr>
                <w:p w14:paraId="2A5E7CA4" w14:textId="77777777" w:rsidR="00285440" w:rsidRPr="00EB4495" w:rsidRDefault="00285440" w:rsidP="00896FEF">
                  <w:pPr>
                    <w:jc w:val="center"/>
                    <w:rPr>
                      <w:rFonts w:ascii="Arial" w:hAnsi="Arial" w:cs="Arial"/>
                      <w:b/>
                      <w:bCs/>
                    </w:rPr>
                  </w:pPr>
                  <w:r w:rsidRPr="00EB4495">
                    <w:rPr>
                      <w:rFonts w:ascii="Arial" w:hAnsi="Arial" w:cs="Arial"/>
                      <w:b/>
                      <w:bCs/>
                    </w:rPr>
                    <w:t>% LFL Change</w:t>
                  </w:r>
                </w:p>
              </w:tc>
            </w:tr>
            <w:tr w:rsidR="00285440" w:rsidRPr="00EB4495" w14:paraId="48B5347D" w14:textId="77777777" w:rsidTr="00896FEF">
              <w:trPr>
                <w:trHeight w:hRule="exact" w:val="311"/>
              </w:trPr>
              <w:tc>
                <w:tcPr>
                  <w:tcW w:w="1876" w:type="pct"/>
                  <w:vMerge/>
                  <w:tcBorders>
                    <w:bottom w:val="nil"/>
                  </w:tcBorders>
                </w:tcPr>
                <w:p w14:paraId="0E685D83" w14:textId="77777777" w:rsidR="00285440" w:rsidRPr="00EB4495" w:rsidRDefault="00285440" w:rsidP="00896FEF">
                  <w:pPr>
                    <w:jc w:val="left"/>
                    <w:rPr>
                      <w:rFonts w:ascii="Arial" w:hAnsi="Arial" w:cs="Arial"/>
                      <w:b/>
                    </w:rPr>
                  </w:pPr>
                </w:p>
              </w:tc>
              <w:tc>
                <w:tcPr>
                  <w:tcW w:w="622" w:type="pct"/>
                  <w:tcBorders>
                    <w:top w:val="single" w:sz="4" w:space="0" w:color="auto"/>
                    <w:bottom w:val="nil"/>
                    <w:right w:val="nil"/>
                  </w:tcBorders>
                  <w:vAlign w:val="center"/>
                  <w:hideMark/>
                </w:tcPr>
                <w:p w14:paraId="54D834B1" w14:textId="77777777" w:rsidR="00285440" w:rsidRPr="00EB4495" w:rsidRDefault="00285440" w:rsidP="00896FEF">
                  <w:pPr>
                    <w:jc w:val="right"/>
                    <w:rPr>
                      <w:rFonts w:ascii="Arial" w:hAnsi="Arial" w:cs="Arial"/>
                      <w:b/>
                    </w:rPr>
                  </w:pPr>
                  <w:r w:rsidRPr="00EB4495">
                    <w:rPr>
                      <w:rFonts w:ascii="Arial" w:hAnsi="Arial" w:cs="Arial"/>
                      <w:b/>
                      <w:bCs/>
                    </w:rPr>
                    <w:t>Q1 21/22</w:t>
                  </w:r>
                </w:p>
              </w:tc>
              <w:tc>
                <w:tcPr>
                  <w:tcW w:w="622" w:type="pct"/>
                  <w:tcBorders>
                    <w:top w:val="single" w:sz="4" w:space="0" w:color="auto"/>
                    <w:left w:val="nil"/>
                    <w:bottom w:val="nil"/>
                    <w:right w:val="nil"/>
                  </w:tcBorders>
                  <w:vAlign w:val="center"/>
                </w:tcPr>
                <w:p w14:paraId="056A5CCC" w14:textId="77777777" w:rsidR="00285440" w:rsidRPr="00EB4495" w:rsidRDefault="00285440" w:rsidP="00896FEF">
                  <w:pPr>
                    <w:jc w:val="right"/>
                    <w:rPr>
                      <w:rFonts w:ascii="Arial" w:hAnsi="Arial" w:cs="Arial"/>
                      <w:b/>
                    </w:rPr>
                  </w:pPr>
                  <w:r w:rsidRPr="00EB4495">
                    <w:rPr>
                      <w:rFonts w:ascii="Arial" w:hAnsi="Arial" w:cs="Arial"/>
                      <w:b/>
                      <w:bCs/>
                    </w:rPr>
                    <w:t>Q2 21/22</w:t>
                  </w:r>
                </w:p>
              </w:tc>
              <w:tc>
                <w:tcPr>
                  <w:tcW w:w="620" w:type="pct"/>
                  <w:tcBorders>
                    <w:top w:val="single" w:sz="4" w:space="0" w:color="auto"/>
                    <w:left w:val="nil"/>
                    <w:bottom w:val="nil"/>
                    <w:right w:val="nil"/>
                  </w:tcBorders>
                  <w:vAlign w:val="center"/>
                </w:tcPr>
                <w:p w14:paraId="5C76A033" w14:textId="77777777" w:rsidR="00285440" w:rsidRPr="00EB4495" w:rsidRDefault="00285440" w:rsidP="00896FEF">
                  <w:pPr>
                    <w:jc w:val="right"/>
                    <w:rPr>
                      <w:rFonts w:ascii="Arial" w:hAnsi="Arial" w:cs="Arial"/>
                      <w:b/>
                    </w:rPr>
                  </w:pPr>
                  <w:r w:rsidRPr="00EB4495">
                    <w:rPr>
                      <w:rFonts w:ascii="Arial" w:hAnsi="Arial" w:cs="Arial"/>
                      <w:b/>
                      <w:bCs/>
                    </w:rPr>
                    <w:t>Q3 21/22</w:t>
                  </w:r>
                </w:p>
              </w:tc>
              <w:tc>
                <w:tcPr>
                  <w:tcW w:w="620" w:type="pct"/>
                  <w:tcBorders>
                    <w:top w:val="single" w:sz="4" w:space="0" w:color="auto"/>
                    <w:left w:val="nil"/>
                    <w:bottom w:val="nil"/>
                    <w:right w:val="nil"/>
                  </w:tcBorders>
                  <w:vAlign w:val="center"/>
                </w:tcPr>
                <w:p w14:paraId="4DECB72B" w14:textId="77777777" w:rsidR="00285440" w:rsidRPr="00EB4495" w:rsidRDefault="00285440" w:rsidP="00896FEF">
                  <w:pPr>
                    <w:jc w:val="right"/>
                    <w:rPr>
                      <w:rFonts w:ascii="Arial" w:hAnsi="Arial" w:cs="Arial"/>
                      <w:b/>
                    </w:rPr>
                  </w:pPr>
                  <w:r w:rsidRPr="00EB4495">
                    <w:rPr>
                      <w:rFonts w:ascii="Arial" w:hAnsi="Arial" w:cs="Arial"/>
                      <w:b/>
                      <w:bCs/>
                    </w:rPr>
                    <w:t>Q4 21/22</w:t>
                  </w:r>
                </w:p>
              </w:tc>
              <w:tc>
                <w:tcPr>
                  <w:tcW w:w="640" w:type="pct"/>
                  <w:gridSpan w:val="2"/>
                  <w:tcBorders>
                    <w:top w:val="single" w:sz="4" w:space="0" w:color="auto"/>
                    <w:left w:val="nil"/>
                    <w:bottom w:val="nil"/>
                    <w:right w:val="nil"/>
                  </w:tcBorders>
                  <w:vAlign w:val="center"/>
                  <w:hideMark/>
                </w:tcPr>
                <w:p w14:paraId="0D3BC304" w14:textId="77777777" w:rsidR="00285440" w:rsidRPr="00EB4495" w:rsidRDefault="00285440" w:rsidP="00896FEF">
                  <w:pPr>
                    <w:jc w:val="right"/>
                    <w:rPr>
                      <w:rFonts w:ascii="Arial" w:hAnsi="Arial" w:cs="Arial"/>
                      <w:b/>
                    </w:rPr>
                  </w:pPr>
                  <w:r w:rsidRPr="00EB4495">
                    <w:rPr>
                      <w:rFonts w:ascii="Arial" w:hAnsi="Arial" w:cs="Arial"/>
                      <w:b/>
                      <w:bCs/>
                    </w:rPr>
                    <w:t>FY 21/22</w:t>
                  </w:r>
                </w:p>
              </w:tc>
            </w:tr>
            <w:tr w:rsidR="00285440" w:rsidRPr="00EB4495" w14:paraId="186AD9F0" w14:textId="77777777" w:rsidTr="00896FEF">
              <w:trPr>
                <w:trHeight w:hRule="exact" w:val="311"/>
              </w:trPr>
              <w:tc>
                <w:tcPr>
                  <w:tcW w:w="1876" w:type="pct"/>
                  <w:tcBorders>
                    <w:top w:val="single" w:sz="4" w:space="0" w:color="auto"/>
                    <w:left w:val="nil"/>
                    <w:bottom w:val="nil"/>
                    <w:right w:val="nil"/>
                  </w:tcBorders>
                  <w:vAlign w:val="center"/>
                </w:tcPr>
                <w:p w14:paraId="6AAB768D" w14:textId="77777777" w:rsidR="00285440" w:rsidRPr="00EB4495" w:rsidRDefault="00285440" w:rsidP="00896FEF">
                  <w:pPr>
                    <w:jc w:val="left"/>
                    <w:rPr>
                      <w:rFonts w:ascii="Arial" w:hAnsi="Arial" w:cs="Arial"/>
                      <w:b/>
                    </w:rPr>
                  </w:pPr>
                  <w:r w:rsidRPr="00EB4495">
                    <w:rPr>
                      <w:rFonts w:ascii="Arial" w:hAnsi="Arial" w:cs="Arial"/>
                      <w:b/>
                    </w:rPr>
                    <w:t>UK &amp; Ireland</w:t>
                  </w:r>
                </w:p>
              </w:tc>
              <w:tc>
                <w:tcPr>
                  <w:tcW w:w="622" w:type="pct"/>
                  <w:tcBorders>
                    <w:top w:val="single" w:sz="4" w:space="0" w:color="auto"/>
                    <w:left w:val="nil"/>
                    <w:bottom w:val="nil"/>
                    <w:right w:val="nil"/>
                  </w:tcBorders>
                  <w:vAlign w:val="center"/>
                </w:tcPr>
                <w:p w14:paraId="4EEFE294" w14:textId="77777777" w:rsidR="00285440" w:rsidRPr="00EB4495" w:rsidRDefault="00285440" w:rsidP="00896FEF">
                  <w:pPr>
                    <w:jc w:val="right"/>
                    <w:rPr>
                      <w:rFonts w:ascii="Arial" w:hAnsi="Arial" w:cs="Arial"/>
                      <w:b/>
                    </w:rPr>
                  </w:pPr>
                  <w:r w:rsidRPr="00EB4495">
                    <w:rPr>
                      <w:rFonts w:ascii="Arial" w:hAnsi="Arial" w:cs="Arial"/>
                      <w:b/>
                    </w:rPr>
                    <w:t>+65.0%</w:t>
                  </w:r>
                </w:p>
              </w:tc>
              <w:tc>
                <w:tcPr>
                  <w:tcW w:w="622" w:type="pct"/>
                  <w:tcBorders>
                    <w:top w:val="single" w:sz="4" w:space="0" w:color="auto"/>
                    <w:left w:val="nil"/>
                    <w:bottom w:val="nil"/>
                    <w:right w:val="nil"/>
                  </w:tcBorders>
                  <w:vAlign w:val="center"/>
                </w:tcPr>
                <w:p w14:paraId="63D41C0F" w14:textId="77777777" w:rsidR="00285440" w:rsidRPr="00EB4495" w:rsidRDefault="00285440" w:rsidP="00896FEF">
                  <w:pPr>
                    <w:jc w:val="right"/>
                    <w:rPr>
                      <w:rFonts w:ascii="Arial" w:hAnsi="Arial" w:cs="Arial"/>
                      <w:b/>
                    </w:rPr>
                  </w:pPr>
                  <w:r w:rsidRPr="00EB4495">
                    <w:rPr>
                      <w:rFonts w:ascii="Arial" w:hAnsi="Arial" w:cs="Arial"/>
                      <w:b/>
                    </w:rPr>
                    <w:t>+3.8%</w:t>
                  </w:r>
                </w:p>
              </w:tc>
              <w:tc>
                <w:tcPr>
                  <w:tcW w:w="620" w:type="pct"/>
                  <w:tcBorders>
                    <w:top w:val="single" w:sz="4" w:space="0" w:color="auto"/>
                    <w:left w:val="nil"/>
                    <w:bottom w:val="nil"/>
                    <w:right w:val="nil"/>
                  </w:tcBorders>
                  <w:vAlign w:val="center"/>
                </w:tcPr>
                <w:p w14:paraId="5B45528D" w14:textId="77777777" w:rsidR="00285440" w:rsidRPr="00EB4495" w:rsidRDefault="00285440" w:rsidP="00896FEF">
                  <w:pPr>
                    <w:jc w:val="right"/>
                    <w:rPr>
                      <w:rFonts w:ascii="Arial" w:hAnsi="Arial" w:cs="Arial"/>
                      <w:b/>
                    </w:rPr>
                  </w:pPr>
                  <w:r w:rsidRPr="00EB4495">
                    <w:rPr>
                      <w:rFonts w:ascii="Arial" w:hAnsi="Arial" w:cs="Arial"/>
                      <w:b/>
                    </w:rPr>
                    <w:t>(3.5)%</w:t>
                  </w:r>
                </w:p>
              </w:tc>
              <w:tc>
                <w:tcPr>
                  <w:tcW w:w="620" w:type="pct"/>
                  <w:tcBorders>
                    <w:top w:val="single" w:sz="4" w:space="0" w:color="auto"/>
                    <w:left w:val="nil"/>
                    <w:bottom w:val="nil"/>
                    <w:right w:val="nil"/>
                  </w:tcBorders>
                  <w:vAlign w:val="center"/>
                </w:tcPr>
                <w:p w14:paraId="0D7CC2AB" w14:textId="1A747219" w:rsidR="00285440" w:rsidRPr="00EB4495" w:rsidRDefault="00285440" w:rsidP="00896FEF">
                  <w:pPr>
                    <w:jc w:val="right"/>
                    <w:rPr>
                      <w:rFonts w:ascii="Arial" w:hAnsi="Arial" w:cs="Arial"/>
                      <w:b/>
                    </w:rPr>
                  </w:pPr>
                  <w:r w:rsidRPr="00EB4495">
                    <w:rPr>
                      <w:rFonts w:ascii="Arial" w:hAnsi="Arial" w:cs="Arial"/>
                      <w:b/>
                    </w:rPr>
                    <w:t>(</w:t>
                  </w:r>
                  <w:r w:rsidR="007F0A8B" w:rsidRPr="00EB4495">
                    <w:rPr>
                      <w:rFonts w:ascii="Arial" w:hAnsi="Arial" w:cs="Arial"/>
                      <w:b/>
                    </w:rPr>
                    <w:t>2.9</w:t>
                  </w:r>
                  <w:r w:rsidRPr="00EB4495">
                    <w:rPr>
                      <w:rFonts w:ascii="Arial" w:hAnsi="Arial" w:cs="Arial"/>
                      <w:b/>
                    </w:rPr>
                    <w:t>)%</w:t>
                  </w:r>
                </w:p>
              </w:tc>
              <w:tc>
                <w:tcPr>
                  <w:tcW w:w="640" w:type="pct"/>
                  <w:gridSpan w:val="2"/>
                  <w:tcBorders>
                    <w:top w:val="single" w:sz="4" w:space="0" w:color="auto"/>
                    <w:left w:val="nil"/>
                    <w:bottom w:val="nil"/>
                    <w:right w:val="nil"/>
                  </w:tcBorders>
                  <w:vAlign w:val="center"/>
                </w:tcPr>
                <w:p w14:paraId="0644CCA0" w14:textId="62A02020" w:rsidR="00285440" w:rsidRPr="00EB4495" w:rsidRDefault="00285440" w:rsidP="00896FEF">
                  <w:pPr>
                    <w:jc w:val="right"/>
                    <w:rPr>
                      <w:rFonts w:ascii="Arial" w:hAnsi="Arial" w:cs="Arial"/>
                      <w:b/>
                    </w:rPr>
                  </w:pPr>
                  <w:r w:rsidRPr="00EB4495">
                    <w:rPr>
                      <w:rFonts w:ascii="Arial" w:hAnsi="Arial" w:cs="Arial"/>
                      <w:b/>
                    </w:rPr>
                    <w:t>+</w:t>
                  </w:r>
                  <w:r w:rsidR="007F0A8B" w:rsidRPr="00EB4495">
                    <w:rPr>
                      <w:rFonts w:ascii="Arial" w:hAnsi="Arial" w:cs="Arial"/>
                      <w:b/>
                    </w:rPr>
                    <w:t>11.8</w:t>
                  </w:r>
                  <w:r w:rsidRPr="00EB4495">
                    <w:rPr>
                      <w:rFonts w:ascii="Arial" w:hAnsi="Arial" w:cs="Arial"/>
                      <w:b/>
                    </w:rPr>
                    <w:t>%</w:t>
                  </w:r>
                </w:p>
              </w:tc>
            </w:tr>
            <w:tr w:rsidR="00285440" w:rsidRPr="00EB4495" w14:paraId="1F88E82B" w14:textId="77777777" w:rsidTr="00896FEF">
              <w:trPr>
                <w:trHeight w:hRule="exact" w:val="289"/>
              </w:trPr>
              <w:tc>
                <w:tcPr>
                  <w:tcW w:w="1876" w:type="pct"/>
                  <w:vAlign w:val="center"/>
                </w:tcPr>
                <w:p w14:paraId="56378E6C" w14:textId="77777777" w:rsidR="00285440" w:rsidRPr="00EB4495" w:rsidRDefault="00285440" w:rsidP="00896FEF">
                  <w:pPr>
                    <w:jc w:val="left"/>
                    <w:rPr>
                      <w:rFonts w:ascii="Arial" w:hAnsi="Arial" w:cs="Arial"/>
                      <w:bCs/>
                    </w:rPr>
                  </w:pPr>
                  <w:r w:rsidRPr="00EB4495">
                    <w:rPr>
                      <w:rFonts w:ascii="Arial" w:hAnsi="Arial" w:cs="Arial"/>
                      <w:bCs/>
                    </w:rPr>
                    <w:t>- B&amp;Q</w:t>
                  </w:r>
                </w:p>
              </w:tc>
              <w:tc>
                <w:tcPr>
                  <w:tcW w:w="622" w:type="pct"/>
                  <w:vAlign w:val="center"/>
                </w:tcPr>
                <w:p w14:paraId="2C5FB4F4" w14:textId="77777777" w:rsidR="00285440" w:rsidRPr="00EB4495" w:rsidRDefault="00285440" w:rsidP="00896FEF">
                  <w:pPr>
                    <w:jc w:val="right"/>
                    <w:rPr>
                      <w:rFonts w:ascii="Arial" w:hAnsi="Arial" w:cs="Arial"/>
                      <w:bCs/>
                    </w:rPr>
                  </w:pPr>
                  <w:r w:rsidRPr="00EB4495">
                    <w:rPr>
                      <w:rFonts w:ascii="Arial" w:hAnsi="Arial" w:cs="Arial"/>
                      <w:color w:val="000000"/>
                    </w:rPr>
                    <w:t>+81.9%</w:t>
                  </w:r>
                </w:p>
              </w:tc>
              <w:tc>
                <w:tcPr>
                  <w:tcW w:w="622" w:type="pct"/>
                  <w:vAlign w:val="center"/>
                </w:tcPr>
                <w:p w14:paraId="6EADC7CF" w14:textId="77777777" w:rsidR="00285440" w:rsidRPr="00EB4495" w:rsidRDefault="00285440" w:rsidP="00896FEF">
                  <w:pPr>
                    <w:jc w:val="right"/>
                    <w:rPr>
                      <w:rFonts w:ascii="Arial" w:hAnsi="Arial" w:cs="Arial"/>
                      <w:bCs/>
                    </w:rPr>
                  </w:pPr>
                  <w:r w:rsidRPr="00EB4495">
                    <w:rPr>
                      <w:rFonts w:ascii="Arial" w:hAnsi="Arial" w:cs="Arial"/>
                      <w:bCs/>
                    </w:rPr>
                    <w:t>(1.2)%</w:t>
                  </w:r>
                </w:p>
              </w:tc>
              <w:tc>
                <w:tcPr>
                  <w:tcW w:w="620" w:type="pct"/>
                  <w:vAlign w:val="center"/>
                </w:tcPr>
                <w:p w14:paraId="1BD741DE" w14:textId="77777777" w:rsidR="00285440" w:rsidRPr="00EB4495" w:rsidRDefault="00285440" w:rsidP="00896FEF">
                  <w:pPr>
                    <w:jc w:val="right"/>
                    <w:rPr>
                      <w:rFonts w:ascii="Arial" w:hAnsi="Arial" w:cs="Arial"/>
                      <w:bCs/>
                    </w:rPr>
                  </w:pPr>
                  <w:r w:rsidRPr="00EB4495">
                    <w:rPr>
                      <w:rFonts w:ascii="Arial" w:hAnsi="Arial" w:cs="Arial"/>
                      <w:bCs/>
                    </w:rPr>
                    <w:t>(5.6)%</w:t>
                  </w:r>
                </w:p>
              </w:tc>
              <w:tc>
                <w:tcPr>
                  <w:tcW w:w="620" w:type="pct"/>
                  <w:vAlign w:val="center"/>
                </w:tcPr>
                <w:p w14:paraId="2C06AA41" w14:textId="2FAD4349" w:rsidR="00285440" w:rsidRPr="00EB4495" w:rsidRDefault="00285440" w:rsidP="00896FEF">
                  <w:pPr>
                    <w:jc w:val="right"/>
                    <w:rPr>
                      <w:rFonts w:ascii="Arial" w:hAnsi="Arial" w:cs="Arial"/>
                      <w:bCs/>
                    </w:rPr>
                  </w:pPr>
                  <w:r w:rsidRPr="00EB4495">
                    <w:rPr>
                      <w:rFonts w:ascii="Arial" w:hAnsi="Arial" w:cs="Arial"/>
                      <w:bCs/>
                    </w:rPr>
                    <w:t>(</w:t>
                  </w:r>
                  <w:r w:rsidR="007F0A8B" w:rsidRPr="00EB4495">
                    <w:rPr>
                      <w:rFonts w:ascii="Arial" w:hAnsi="Arial" w:cs="Arial"/>
                      <w:bCs/>
                    </w:rPr>
                    <w:t>2.0</w:t>
                  </w:r>
                  <w:r w:rsidRPr="00EB4495">
                    <w:rPr>
                      <w:rFonts w:ascii="Arial" w:hAnsi="Arial" w:cs="Arial"/>
                      <w:bCs/>
                    </w:rPr>
                    <w:t>)%</w:t>
                  </w:r>
                </w:p>
              </w:tc>
              <w:tc>
                <w:tcPr>
                  <w:tcW w:w="640" w:type="pct"/>
                  <w:gridSpan w:val="2"/>
                  <w:vAlign w:val="center"/>
                </w:tcPr>
                <w:p w14:paraId="16BE59D4" w14:textId="686B2288" w:rsidR="00285440" w:rsidRPr="00EB4495" w:rsidRDefault="00285440" w:rsidP="00896FEF">
                  <w:pPr>
                    <w:jc w:val="right"/>
                    <w:rPr>
                      <w:rFonts w:ascii="Arial" w:hAnsi="Arial" w:cs="Arial"/>
                      <w:bCs/>
                    </w:rPr>
                  </w:pPr>
                  <w:r w:rsidRPr="00EB4495">
                    <w:rPr>
                      <w:rFonts w:ascii="Arial" w:hAnsi="Arial" w:cs="Arial"/>
                      <w:bCs/>
                    </w:rPr>
                    <w:t>+</w:t>
                  </w:r>
                  <w:r w:rsidR="007F0A8B" w:rsidRPr="00EB4495">
                    <w:rPr>
                      <w:rFonts w:ascii="Arial" w:hAnsi="Arial" w:cs="Arial"/>
                      <w:bCs/>
                    </w:rPr>
                    <w:t>12.3</w:t>
                  </w:r>
                  <w:r w:rsidRPr="00EB4495">
                    <w:rPr>
                      <w:rFonts w:ascii="Arial" w:hAnsi="Arial" w:cs="Arial"/>
                      <w:bCs/>
                    </w:rPr>
                    <w:t>%</w:t>
                  </w:r>
                </w:p>
              </w:tc>
            </w:tr>
            <w:tr w:rsidR="00285440" w:rsidRPr="00EB4495" w14:paraId="765F635D" w14:textId="77777777" w:rsidTr="00896FEF">
              <w:trPr>
                <w:trHeight w:hRule="exact" w:val="289"/>
              </w:trPr>
              <w:tc>
                <w:tcPr>
                  <w:tcW w:w="1876" w:type="pct"/>
                  <w:vAlign w:val="center"/>
                </w:tcPr>
                <w:p w14:paraId="623F7E67" w14:textId="77777777" w:rsidR="00285440" w:rsidRPr="00EB4495" w:rsidRDefault="00285440" w:rsidP="00896FEF">
                  <w:pPr>
                    <w:jc w:val="left"/>
                    <w:rPr>
                      <w:rFonts w:ascii="Arial" w:hAnsi="Arial" w:cs="Arial"/>
                      <w:bCs/>
                    </w:rPr>
                  </w:pPr>
                  <w:r w:rsidRPr="00EB4495">
                    <w:rPr>
                      <w:rFonts w:ascii="Arial" w:hAnsi="Arial" w:cs="Arial"/>
                      <w:bCs/>
                    </w:rPr>
                    <w:t>- Screwfix</w:t>
                  </w:r>
                </w:p>
              </w:tc>
              <w:tc>
                <w:tcPr>
                  <w:tcW w:w="622" w:type="pct"/>
                  <w:vAlign w:val="center"/>
                </w:tcPr>
                <w:p w14:paraId="38E12BE1" w14:textId="77777777" w:rsidR="00285440" w:rsidRPr="00EB4495" w:rsidRDefault="00285440" w:rsidP="00896FEF">
                  <w:pPr>
                    <w:jc w:val="right"/>
                    <w:rPr>
                      <w:rFonts w:ascii="Arial" w:hAnsi="Arial" w:cs="Arial"/>
                      <w:bCs/>
                    </w:rPr>
                  </w:pPr>
                  <w:r w:rsidRPr="00EB4495">
                    <w:rPr>
                      <w:rFonts w:ascii="Arial" w:hAnsi="Arial" w:cs="Arial"/>
                      <w:color w:val="000000"/>
                    </w:rPr>
                    <w:t>+39.0%</w:t>
                  </w:r>
                </w:p>
              </w:tc>
              <w:tc>
                <w:tcPr>
                  <w:tcW w:w="622" w:type="pct"/>
                  <w:vAlign w:val="center"/>
                </w:tcPr>
                <w:p w14:paraId="315D373F" w14:textId="77777777" w:rsidR="00285440" w:rsidRPr="00EB4495" w:rsidRDefault="00285440" w:rsidP="00896FEF">
                  <w:pPr>
                    <w:jc w:val="right"/>
                    <w:rPr>
                      <w:rFonts w:ascii="Arial" w:hAnsi="Arial" w:cs="Arial"/>
                      <w:bCs/>
                    </w:rPr>
                  </w:pPr>
                  <w:r w:rsidRPr="00EB4495">
                    <w:rPr>
                      <w:rFonts w:ascii="Arial" w:hAnsi="Arial" w:cs="Arial"/>
                      <w:bCs/>
                    </w:rPr>
                    <w:t>+15.9%</w:t>
                  </w:r>
                </w:p>
              </w:tc>
              <w:tc>
                <w:tcPr>
                  <w:tcW w:w="620" w:type="pct"/>
                  <w:vAlign w:val="center"/>
                </w:tcPr>
                <w:p w14:paraId="601D43ED" w14:textId="77777777" w:rsidR="00285440" w:rsidRPr="00EB4495" w:rsidRDefault="00285440" w:rsidP="00896FEF">
                  <w:pPr>
                    <w:jc w:val="right"/>
                    <w:rPr>
                      <w:rFonts w:ascii="Arial" w:hAnsi="Arial" w:cs="Arial"/>
                      <w:bCs/>
                    </w:rPr>
                  </w:pPr>
                  <w:r w:rsidRPr="00EB4495">
                    <w:rPr>
                      <w:rFonts w:ascii="Arial" w:hAnsi="Arial" w:cs="Arial"/>
                      <w:bCs/>
                    </w:rPr>
                    <w:t>+0.2%</w:t>
                  </w:r>
                </w:p>
              </w:tc>
              <w:tc>
                <w:tcPr>
                  <w:tcW w:w="620" w:type="pct"/>
                  <w:vAlign w:val="center"/>
                </w:tcPr>
                <w:p w14:paraId="5DC3C558" w14:textId="6984BB01" w:rsidR="00285440" w:rsidRPr="00EB4495" w:rsidRDefault="007F0A8B" w:rsidP="00896FEF">
                  <w:pPr>
                    <w:jc w:val="right"/>
                    <w:rPr>
                      <w:rFonts w:ascii="Arial" w:hAnsi="Arial" w:cs="Arial"/>
                      <w:bCs/>
                    </w:rPr>
                  </w:pPr>
                  <w:r w:rsidRPr="00EB4495">
                    <w:rPr>
                      <w:rFonts w:ascii="Arial" w:hAnsi="Arial" w:cs="Arial"/>
                      <w:bCs/>
                    </w:rPr>
                    <w:t>(4.2)</w:t>
                  </w:r>
                  <w:r w:rsidR="00285440" w:rsidRPr="00EB4495">
                    <w:rPr>
                      <w:rFonts w:ascii="Arial" w:hAnsi="Arial" w:cs="Arial"/>
                      <w:bCs/>
                    </w:rPr>
                    <w:t>%</w:t>
                  </w:r>
                </w:p>
              </w:tc>
              <w:tc>
                <w:tcPr>
                  <w:tcW w:w="640" w:type="pct"/>
                  <w:gridSpan w:val="2"/>
                  <w:vAlign w:val="center"/>
                </w:tcPr>
                <w:p w14:paraId="3A76B08A" w14:textId="0FF0347D" w:rsidR="00285440" w:rsidRPr="00EB4495" w:rsidRDefault="00285440" w:rsidP="00896FEF">
                  <w:pPr>
                    <w:jc w:val="right"/>
                    <w:rPr>
                      <w:rFonts w:ascii="Arial" w:hAnsi="Arial" w:cs="Arial"/>
                      <w:bCs/>
                    </w:rPr>
                  </w:pPr>
                  <w:r w:rsidRPr="00EB4495">
                    <w:rPr>
                      <w:rFonts w:ascii="Arial" w:hAnsi="Arial" w:cs="Arial"/>
                      <w:bCs/>
                    </w:rPr>
                    <w:t>+</w:t>
                  </w:r>
                  <w:r w:rsidR="007F0A8B" w:rsidRPr="00EB4495">
                    <w:rPr>
                      <w:rFonts w:ascii="Arial" w:hAnsi="Arial" w:cs="Arial"/>
                      <w:bCs/>
                    </w:rPr>
                    <w:t>10.9</w:t>
                  </w:r>
                  <w:r w:rsidRPr="00EB4495">
                    <w:rPr>
                      <w:rFonts w:ascii="Arial" w:hAnsi="Arial" w:cs="Arial"/>
                      <w:bCs/>
                    </w:rPr>
                    <w:t>%</w:t>
                  </w:r>
                </w:p>
              </w:tc>
            </w:tr>
            <w:tr w:rsidR="00285440" w:rsidRPr="00EB4495" w14:paraId="09DA5CE3" w14:textId="77777777" w:rsidTr="00896FEF">
              <w:trPr>
                <w:trHeight w:hRule="exact" w:val="289"/>
              </w:trPr>
              <w:tc>
                <w:tcPr>
                  <w:tcW w:w="1876" w:type="pct"/>
                  <w:vAlign w:val="center"/>
                  <w:hideMark/>
                </w:tcPr>
                <w:p w14:paraId="4473E0B2" w14:textId="77777777" w:rsidR="00285440" w:rsidRPr="00EB4495" w:rsidRDefault="00285440" w:rsidP="00896FEF">
                  <w:pPr>
                    <w:jc w:val="left"/>
                    <w:rPr>
                      <w:rFonts w:ascii="Arial" w:hAnsi="Arial" w:cs="Arial"/>
                      <w:b/>
                    </w:rPr>
                  </w:pPr>
                  <w:r w:rsidRPr="00EB4495">
                    <w:rPr>
                      <w:rFonts w:ascii="Arial" w:hAnsi="Arial" w:cs="Arial"/>
                      <w:b/>
                    </w:rPr>
                    <w:t>France</w:t>
                  </w:r>
                </w:p>
              </w:tc>
              <w:tc>
                <w:tcPr>
                  <w:tcW w:w="622" w:type="pct"/>
                  <w:vAlign w:val="center"/>
                  <w:hideMark/>
                </w:tcPr>
                <w:p w14:paraId="2C7FD486" w14:textId="77777777" w:rsidR="00285440" w:rsidRPr="00EB4495" w:rsidRDefault="00285440" w:rsidP="00896FEF">
                  <w:pPr>
                    <w:jc w:val="right"/>
                    <w:rPr>
                      <w:rFonts w:ascii="Arial" w:hAnsi="Arial" w:cs="Arial"/>
                      <w:b/>
                    </w:rPr>
                  </w:pPr>
                  <w:r w:rsidRPr="00EB4495">
                    <w:rPr>
                      <w:rFonts w:ascii="Arial" w:hAnsi="Arial" w:cs="Arial"/>
                      <w:b/>
                    </w:rPr>
                    <w:t>+101.7%</w:t>
                  </w:r>
                </w:p>
              </w:tc>
              <w:tc>
                <w:tcPr>
                  <w:tcW w:w="622" w:type="pct"/>
                  <w:vAlign w:val="center"/>
                </w:tcPr>
                <w:p w14:paraId="3F08D393" w14:textId="77777777" w:rsidR="00285440" w:rsidRPr="00EB4495" w:rsidRDefault="00285440" w:rsidP="00896FEF">
                  <w:pPr>
                    <w:jc w:val="right"/>
                    <w:rPr>
                      <w:rFonts w:ascii="Arial" w:hAnsi="Arial" w:cs="Arial"/>
                      <w:b/>
                    </w:rPr>
                  </w:pPr>
                  <w:r w:rsidRPr="00EB4495">
                    <w:rPr>
                      <w:rFonts w:ascii="Arial" w:hAnsi="Arial" w:cs="Arial"/>
                      <w:b/>
                    </w:rPr>
                    <w:t>(8.4)%</w:t>
                  </w:r>
                </w:p>
              </w:tc>
              <w:tc>
                <w:tcPr>
                  <w:tcW w:w="620" w:type="pct"/>
                  <w:vAlign w:val="center"/>
                </w:tcPr>
                <w:p w14:paraId="50A97F66" w14:textId="77777777" w:rsidR="00285440" w:rsidRPr="00EB4495" w:rsidRDefault="00285440" w:rsidP="00896FEF">
                  <w:pPr>
                    <w:jc w:val="right"/>
                    <w:rPr>
                      <w:rFonts w:ascii="Arial" w:hAnsi="Arial" w:cs="Arial"/>
                      <w:b/>
                    </w:rPr>
                  </w:pPr>
                  <w:r w:rsidRPr="00EB4495">
                    <w:rPr>
                      <w:rFonts w:ascii="Arial" w:hAnsi="Arial" w:cs="Arial"/>
                      <w:b/>
                    </w:rPr>
                    <w:t>(4.3)%</w:t>
                  </w:r>
                </w:p>
              </w:tc>
              <w:tc>
                <w:tcPr>
                  <w:tcW w:w="620" w:type="pct"/>
                  <w:vAlign w:val="center"/>
                </w:tcPr>
                <w:p w14:paraId="11895375" w14:textId="6995C3B1" w:rsidR="00285440" w:rsidRPr="00EB4495" w:rsidRDefault="00285440" w:rsidP="00896FEF">
                  <w:pPr>
                    <w:jc w:val="right"/>
                    <w:rPr>
                      <w:rFonts w:ascii="Arial" w:hAnsi="Arial" w:cs="Arial"/>
                      <w:b/>
                    </w:rPr>
                  </w:pPr>
                  <w:r w:rsidRPr="00EB4495">
                    <w:rPr>
                      <w:rFonts w:ascii="Arial" w:hAnsi="Arial" w:cs="Arial"/>
                      <w:b/>
                    </w:rPr>
                    <w:t>(</w:t>
                  </w:r>
                  <w:r w:rsidR="007F0A8B" w:rsidRPr="00EB4495">
                    <w:rPr>
                      <w:rFonts w:ascii="Arial" w:hAnsi="Arial" w:cs="Arial"/>
                      <w:b/>
                    </w:rPr>
                    <w:t>4.2</w:t>
                  </w:r>
                  <w:r w:rsidRPr="00EB4495">
                    <w:rPr>
                      <w:rFonts w:ascii="Arial" w:hAnsi="Arial" w:cs="Arial"/>
                      <w:b/>
                    </w:rPr>
                    <w:t>)%</w:t>
                  </w:r>
                </w:p>
              </w:tc>
              <w:tc>
                <w:tcPr>
                  <w:tcW w:w="640" w:type="pct"/>
                  <w:gridSpan w:val="2"/>
                  <w:vAlign w:val="center"/>
                  <w:hideMark/>
                </w:tcPr>
                <w:p w14:paraId="5C537C74" w14:textId="0D14FA7F" w:rsidR="00285440" w:rsidRPr="00EB4495" w:rsidRDefault="00285440" w:rsidP="00896FEF">
                  <w:pPr>
                    <w:jc w:val="right"/>
                    <w:rPr>
                      <w:rFonts w:ascii="Arial" w:hAnsi="Arial" w:cs="Arial"/>
                      <w:b/>
                    </w:rPr>
                  </w:pPr>
                  <w:r w:rsidRPr="00EB4495">
                    <w:rPr>
                      <w:rFonts w:ascii="Arial" w:hAnsi="Arial" w:cs="Arial"/>
                      <w:b/>
                    </w:rPr>
                    <w:t>+</w:t>
                  </w:r>
                  <w:r w:rsidR="00693C50" w:rsidRPr="00EB4495">
                    <w:rPr>
                      <w:rFonts w:ascii="Arial" w:hAnsi="Arial" w:cs="Arial"/>
                      <w:b/>
                    </w:rPr>
                    <w:t>9.3</w:t>
                  </w:r>
                  <w:r w:rsidRPr="00EB4495">
                    <w:rPr>
                      <w:rFonts w:ascii="Arial" w:hAnsi="Arial" w:cs="Arial"/>
                      <w:b/>
                    </w:rPr>
                    <w:t>%</w:t>
                  </w:r>
                </w:p>
              </w:tc>
            </w:tr>
            <w:tr w:rsidR="00285440" w:rsidRPr="00EB4495" w14:paraId="03A3FF8C" w14:textId="77777777" w:rsidTr="00896FEF">
              <w:trPr>
                <w:trHeight w:hRule="exact" w:val="294"/>
              </w:trPr>
              <w:tc>
                <w:tcPr>
                  <w:tcW w:w="1876" w:type="pct"/>
                  <w:vAlign w:val="center"/>
                </w:tcPr>
                <w:p w14:paraId="192A35C7" w14:textId="77777777" w:rsidR="00285440" w:rsidRPr="00EB4495" w:rsidRDefault="00285440" w:rsidP="00896FEF">
                  <w:pPr>
                    <w:jc w:val="left"/>
                    <w:rPr>
                      <w:rFonts w:ascii="Arial" w:hAnsi="Arial" w:cs="Arial"/>
                      <w:bCs/>
                    </w:rPr>
                  </w:pPr>
                  <w:r w:rsidRPr="00EB4495">
                    <w:rPr>
                      <w:rFonts w:ascii="Arial" w:hAnsi="Arial" w:cs="Arial"/>
                      <w:bCs/>
                    </w:rPr>
                    <w:t>- Castorama</w:t>
                  </w:r>
                </w:p>
              </w:tc>
              <w:tc>
                <w:tcPr>
                  <w:tcW w:w="622" w:type="pct"/>
                  <w:vAlign w:val="center"/>
                </w:tcPr>
                <w:p w14:paraId="035DC772" w14:textId="77777777" w:rsidR="00285440" w:rsidRPr="00EB4495" w:rsidRDefault="00285440" w:rsidP="00896FEF">
                  <w:pPr>
                    <w:jc w:val="right"/>
                    <w:rPr>
                      <w:rFonts w:ascii="Arial" w:hAnsi="Arial" w:cs="Arial"/>
                      <w:bCs/>
                    </w:rPr>
                  </w:pPr>
                  <w:r w:rsidRPr="00EB4495">
                    <w:rPr>
                      <w:rFonts w:ascii="Arial" w:hAnsi="Arial" w:cs="Arial"/>
                      <w:color w:val="000000"/>
                    </w:rPr>
                    <w:t>+101.8%</w:t>
                  </w:r>
                </w:p>
              </w:tc>
              <w:tc>
                <w:tcPr>
                  <w:tcW w:w="622" w:type="pct"/>
                  <w:vAlign w:val="center"/>
                </w:tcPr>
                <w:p w14:paraId="3FB92413" w14:textId="77777777" w:rsidR="00285440" w:rsidRPr="00EB4495" w:rsidRDefault="00285440" w:rsidP="00896FEF">
                  <w:pPr>
                    <w:jc w:val="right"/>
                    <w:rPr>
                      <w:rFonts w:ascii="Arial" w:hAnsi="Arial" w:cs="Arial"/>
                      <w:bCs/>
                    </w:rPr>
                  </w:pPr>
                  <w:r w:rsidRPr="00EB4495">
                    <w:rPr>
                      <w:rFonts w:ascii="Arial" w:hAnsi="Arial" w:cs="Arial"/>
                      <w:bCs/>
                    </w:rPr>
                    <w:t>(8.5)%</w:t>
                  </w:r>
                </w:p>
              </w:tc>
              <w:tc>
                <w:tcPr>
                  <w:tcW w:w="620" w:type="pct"/>
                  <w:vAlign w:val="center"/>
                </w:tcPr>
                <w:p w14:paraId="3CA9C791" w14:textId="77777777" w:rsidR="00285440" w:rsidRPr="00EB4495" w:rsidRDefault="00285440" w:rsidP="00896FEF">
                  <w:pPr>
                    <w:jc w:val="right"/>
                    <w:rPr>
                      <w:rFonts w:ascii="Arial" w:hAnsi="Arial" w:cs="Arial"/>
                      <w:bCs/>
                    </w:rPr>
                  </w:pPr>
                  <w:r w:rsidRPr="00EB4495">
                    <w:rPr>
                      <w:rFonts w:ascii="Arial" w:hAnsi="Arial" w:cs="Arial"/>
                      <w:bCs/>
                    </w:rPr>
                    <w:t>(6.1)%</w:t>
                  </w:r>
                </w:p>
              </w:tc>
              <w:tc>
                <w:tcPr>
                  <w:tcW w:w="620" w:type="pct"/>
                  <w:vAlign w:val="center"/>
                </w:tcPr>
                <w:p w14:paraId="5859D746" w14:textId="24DB8CE2" w:rsidR="00285440" w:rsidRPr="00EB4495" w:rsidRDefault="00285440" w:rsidP="00896FEF">
                  <w:pPr>
                    <w:jc w:val="right"/>
                    <w:rPr>
                      <w:rFonts w:ascii="Arial" w:hAnsi="Arial" w:cs="Arial"/>
                      <w:bCs/>
                    </w:rPr>
                  </w:pPr>
                  <w:r w:rsidRPr="00EB4495">
                    <w:rPr>
                      <w:rFonts w:ascii="Arial" w:hAnsi="Arial" w:cs="Arial"/>
                      <w:bCs/>
                    </w:rPr>
                    <w:t>(</w:t>
                  </w:r>
                  <w:r w:rsidR="007F0A8B" w:rsidRPr="00EB4495">
                    <w:rPr>
                      <w:rFonts w:ascii="Arial" w:hAnsi="Arial" w:cs="Arial"/>
                      <w:bCs/>
                    </w:rPr>
                    <w:t>7.1</w:t>
                  </w:r>
                  <w:r w:rsidRPr="00EB4495">
                    <w:rPr>
                      <w:rFonts w:ascii="Arial" w:hAnsi="Arial" w:cs="Arial"/>
                      <w:bCs/>
                    </w:rPr>
                    <w:t>)%</w:t>
                  </w:r>
                </w:p>
              </w:tc>
              <w:tc>
                <w:tcPr>
                  <w:tcW w:w="640" w:type="pct"/>
                  <w:gridSpan w:val="2"/>
                  <w:vAlign w:val="center"/>
                </w:tcPr>
                <w:p w14:paraId="09A46ADB" w14:textId="0CC72791" w:rsidR="00285440" w:rsidRPr="00EB4495" w:rsidRDefault="00285440" w:rsidP="00896FEF">
                  <w:pPr>
                    <w:jc w:val="right"/>
                    <w:rPr>
                      <w:rFonts w:ascii="Arial" w:hAnsi="Arial" w:cs="Arial"/>
                      <w:bCs/>
                    </w:rPr>
                  </w:pPr>
                  <w:r w:rsidRPr="00EB4495">
                    <w:rPr>
                      <w:rFonts w:ascii="Arial" w:hAnsi="Arial" w:cs="Arial"/>
                      <w:bCs/>
                    </w:rPr>
                    <w:t>+</w:t>
                  </w:r>
                  <w:r w:rsidR="00693C50" w:rsidRPr="00EB4495">
                    <w:rPr>
                      <w:rFonts w:ascii="Arial" w:hAnsi="Arial" w:cs="Arial"/>
                      <w:bCs/>
                    </w:rPr>
                    <w:t>7.2</w:t>
                  </w:r>
                  <w:r w:rsidRPr="00EB4495">
                    <w:rPr>
                      <w:rFonts w:ascii="Arial" w:hAnsi="Arial" w:cs="Arial"/>
                      <w:bCs/>
                    </w:rPr>
                    <w:t>%</w:t>
                  </w:r>
                </w:p>
              </w:tc>
            </w:tr>
            <w:tr w:rsidR="00285440" w:rsidRPr="00EB4495" w14:paraId="563765E0" w14:textId="77777777" w:rsidTr="00896FEF">
              <w:trPr>
                <w:trHeight w:hRule="exact" w:val="294"/>
              </w:trPr>
              <w:tc>
                <w:tcPr>
                  <w:tcW w:w="1876" w:type="pct"/>
                  <w:vAlign w:val="center"/>
                </w:tcPr>
                <w:p w14:paraId="458F42E0" w14:textId="77777777" w:rsidR="00285440" w:rsidRPr="00EB4495" w:rsidRDefault="00285440" w:rsidP="00896FEF">
                  <w:pPr>
                    <w:jc w:val="left"/>
                    <w:rPr>
                      <w:rFonts w:ascii="Arial" w:hAnsi="Arial" w:cs="Arial"/>
                      <w:bCs/>
                    </w:rPr>
                  </w:pPr>
                  <w:r w:rsidRPr="00EB4495">
                    <w:rPr>
                      <w:rFonts w:ascii="Arial" w:hAnsi="Arial" w:cs="Arial"/>
                      <w:bCs/>
                    </w:rPr>
                    <w:t>- Brico Dépôt</w:t>
                  </w:r>
                </w:p>
              </w:tc>
              <w:tc>
                <w:tcPr>
                  <w:tcW w:w="622" w:type="pct"/>
                  <w:vAlign w:val="center"/>
                </w:tcPr>
                <w:p w14:paraId="24055AE0" w14:textId="77777777" w:rsidR="00285440" w:rsidRPr="00EB4495" w:rsidRDefault="00285440" w:rsidP="00896FEF">
                  <w:pPr>
                    <w:jc w:val="right"/>
                    <w:rPr>
                      <w:rFonts w:ascii="Arial" w:hAnsi="Arial" w:cs="Arial"/>
                      <w:bCs/>
                    </w:rPr>
                  </w:pPr>
                  <w:r w:rsidRPr="00EB4495">
                    <w:rPr>
                      <w:rFonts w:ascii="Arial" w:hAnsi="Arial" w:cs="Arial"/>
                      <w:color w:val="000000"/>
                    </w:rPr>
                    <w:t>+101.7%</w:t>
                  </w:r>
                </w:p>
              </w:tc>
              <w:tc>
                <w:tcPr>
                  <w:tcW w:w="622" w:type="pct"/>
                  <w:vAlign w:val="center"/>
                </w:tcPr>
                <w:p w14:paraId="7C7C127F" w14:textId="77777777" w:rsidR="00285440" w:rsidRPr="00EB4495" w:rsidRDefault="00285440" w:rsidP="00896FEF">
                  <w:pPr>
                    <w:jc w:val="right"/>
                    <w:rPr>
                      <w:rFonts w:ascii="Arial" w:hAnsi="Arial" w:cs="Arial"/>
                      <w:bCs/>
                    </w:rPr>
                  </w:pPr>
                  <w:r w:rsidRPr="00EB4495">
                    <w:rPr>
                      <w:rFonts w:ascii="Arial" w:hAnsi="Arial" w:cs="Arial"/>
                      <w:bCs/>
                    </w:rPr>
                    <w:t>(8.2)%</w:t>
                  </w:r>
                </w:p>
              </w:tc>
              <w:tc>
                <w:tcPr>
                  <w:tcW w:w="620" w:type="pct"/>
                  <w:vAlign w:val="center"/>
                </w:tcPr>
                <w:p w14:paraId="3EDE8B25" w14:textId="77777777" w:rsidR="00285440" w:rsidRPr="00EB4495" w:rsidRDefault="00285440" w:rsidP="00896FEF">
                  <w:pPr>
                    <w:jc w:val="right"/>
                    <w:rPr>
                      <w:rFonts w:ascii="Arial" w:hAnsi="Arial" w:cs="Arial"/>
                      <w:bCs/>
                    </w:rPr>
                  </w:pPr>
                  <w:r w:rsidRPr="00EB4495">
                    <w:rPr>
                      <w:rFonts w:ascii="Arial" w:hAnsi="Arial" w:cs="Arial"/>
                      <w:bCs/>
                    </w:rPr>
                    <w:t>(2.3)%</w:t>
                  </w:r>
                </w:p>
              </w:tc>
              <w:tc>
                <w:tcPr>
                  <w:tcW w:w="620" w:type="pct"/>
                  <w:vAlign w:val="center"/>
                </w:tcPr>
                <w:p w14:paraId="7A8CF1C4" w14:textId="17799572" w:rsidR="00285440" w:rsidRPr="00EB4495" w:rsidRDefault="00285440" w:rsidP="00896FEF">
                  <w:pPr>
                    <w:jc w:val="right"/>
                    <w:rPr>
                      <w:rFonts w:ascii="Arial" w:hAnsi="Arial" w:cs="Arial"/>
                      <w:bCs/>
                    </w:rPr>
                  </w:pPr>
                  <w:r w:rsidRPr="00EB4495">
                    <w:rPr>
                      <w:rFonts w:ascii="Arial" w:hAnsi="Arial" w:cs="Arial"/>
                      <w:bCs/>
                    </w:rPr>
                    <w:t>(</w:t>
                  </w:r>
                  <w:r w:rsidR="007F0A8B" w:rsidRPr="00EB4495">
                    <w:rPr>
                      <w:rFonts w:ascii="Arial" w:hAnsi="Arial" w:cs="Arial"/>
                      <w:bCs/>
                    </w:rPr>
                    <w:t>0.9</w:t>
                  </w:r>
                  <w:r w:rsidRPr="00EB4495">
                    <w:rPr>
                      <w:rFonts w:ascii="Arial" w:hAnsi="Arial" w:cs="Arial"/>
                      <w:bCs/>
                    </w:rPr>
                    <w:t>)%</w:t>
                  </w:r>
                </w:p>
              </w:tc>
              <w:tc>
                <w:tcPr>
                  <w:tcW w:w="640" w:type="pct"/>
                  <w:gridSpan w:val="2"/>
                  <w:vAlign w:val="center"/>
                </w:tcPr>
                <w:p w14:paraId="0C23D88E" w14:textId="14A87321" w:rsidR="00285440" w:rsidRPr="00EB4495" w:rsidRDefault="00285440" w:rsidP="00896FEF">
                  <w:pPr>
                    <w:jc w:val="right"/>
                    <w:rPr>
                      <w:rFonts w:ascii="Arial" w:hAnsi="Arial" w:cs="Arial"/>
                      <w:bCs/>
                    </w:rPr>
                  </w:pPr>
                  <w:r w:rsidRPr="00EB4495">
                    <w:rPr>
                      <w:rFonts w:ascii="Arial" w:hAnsi="Arial" w:cs="Arial"/>
                      <w:bCs/>
                    </w:rPr>
                    <w:t>+</w:t>
                  </w:r>
                  <w:r w:rsidR="00693C50" w:rsidRPr="00EB4495">
                    <w:rPr>
                      <w:rFonts w:ascii="Arial" w:hAnsi="Arial" w:cs="Arial"/>
                      <w:bCs/>
                    </w:rPr>
                    <w:t>11.6</w:t>
                  </w:r>
                  <w:r w:rsidRPr="00EB4495">
                    <w:rPr>
                      <w:rFonts w:ascii="Arial" w:hAnsi="Arial" w:cs="Arial"/>
                      <w:bCs/>
                    </w:rPr>
                    <w:t>%</w:t>
                  </w:r>
                </w:p>
              </w:tc>
            </w:tr>
            <w:tr w:rsidR="00285440" w:rsidRPr="00EB4495" w14:paraId="0637AB42" w14:textId="77777777" w:rsidTr="00896FEF">
              <w:trPr>
                <w:trHeight w:hRule="exact" w:val="294"/>
              </w:trPr>
              <w:tc>
                <w:tcPr>
                  <w:tcW w:w="1876" w:type="pct"/>
                  <w:vAlign w:val="center"/>
                </w:tcPr>
                <w:p w14:paraId="264C153F" w14:textId="77777777" w:rsidR="00285440" w:rsidRPr="00EB4495" w:rsidRDefault="00285440" w:rsidP="00896FEF">
                  <w:pPr>
                    <w:jc w:val="left"/>
                    <w:rPr>
                      <w:rFonts w:ascii="Arial" w:hAnsi="Arial" w:cs="Arial"/>
                      <w:b/>
                    </w:rPr>
                  </w:pPr>
                  <w:r w:rsidRPr="00EB4495">
                    <w:rPr>
                      <w:rFonts w:ascii="Arial" w:hAnsi="Arial" w:cs="Arial"/>
                      <w:b/>
                    </w:rPr>
                    <w:t>Other International</w:t>
                  </w:r>
                </w:p>
              </w:tc>
              <w:tc>
                <w:tcPr>
                  <w:tcW w:w="622" w:type="pct"/>
                  <w:vAlign w:val="center"/>
                </w:tcPr>
                <w:p w14:paraId="4FD7E7AE" w14:textId="77777777" w:rsidR="00285440" w:rsidRPr="00EB4495" w:rsidRDefault="00285440" w:rsidP="00896FEF">
                  <w:pPr>
                    <w:jc w:val="right"/>
                    <w:rPr>
                      <w:rFonts w:ascii="Arial" w:hAnsi="Arial" w:cs="Arial"/>
                      <w:b/>
                    </w:rPr>
                  </w:pPr>
                  <w:r w:rsidRPr="00EB4495">
                    <w:rPr>
                      <w:rFonts w:ascii="Arial" w:hAnsi="Arial" w:cs="Arial"/>
                      <w:b/>
                    </w:rPr>
                    <w:t>+5.9%</w:t>
                  </w:r>
                </w:p>
              </w:tc>
              <w:tc>
                <w:tcPr>
                  <w:tcW w:w="622" w:type="pct"/>
                  <w:vAlign w:val="center"/>
                </w:tcPr>
                <w:p w14:paraId="28DFD73A" w14:textId="77777777" w:rsidR="00285440" w:rsidRPr="00EB4495" w:rsidRDefault="00285440" w:rsidP="00896FEF">
                  <w:pPr>
                    <w:jc w:val="right"/>
                    <w:rPr>
                      <w:rFonts w:ascii="Arial" w:hAnsi="Arial" w:cs="Arial"/>
                      <w:b/>
                    </w:rPr>
                  </w:pPr>
                  <w:r w:rsidRPr="00EB4495">
                    <w:rPr>
                      <w:rFonts w:ascii="Arial" w:hAnsi="Arial" w:cs="Arial"/>
                      <w:b/>
                    </w:rPr>
                    <w:t>+4.0%</w:t>
                  </w:r>
                </w:p>
              </w:tc>
              <w:tc>
                <w:tcPr>
                  <w:tcW w:w="620" w:type="pct"/>
                  <w:vAlign w:val="center"/>
                </w:tcPr>
                <w:p w14:paraId="2E509DD2" w14:textId="77777777" w:rsidR="00285440" w:rsidRPr="00EB4495" w:rsidRDefault="00285440" w:rsidP="00896FEF">
                  <w:pPr>
                    <w:jc w:val="right"/>
                    <w:rPr>
                      <w:rFonts w:ascii="Arial" w:hAnsi="Arial" w:cs="Arial"/>
                      <w:b/>
                    </w:rPr>
                  </w:pPr>
                  <w:r w:rsidRPr="00EB4495">
                    <w:rPr>
                      <w:rFonts w:ascii="Arial" w:hAnsi="Arial" w:cs="Arial"/>
                      <w:b/>
                    </w:rPr>
                    <w:t>+5.3%</w:t>
                  </w:r>
                </w:p>
              </w:tc>
              <w:tc>
                <w:tcPr>
                  <w:tcW w:w="620" w:type="pct"/>
                  <w:vAlign w:val="center"/>
                </w:tcPr>
                <w:p w14:paraId="65C33B48" w14:textId="745C370F" w:rsidR="00285440" w:rsidRPr="00EB4495" w:rsidRDefault="00285440" w:rsidP="00896FEF">
                  <w:pPr>
                    <w:jc w:val="right"/>
                    <w:rPr>
                      <w:rFonts w:ascii="Arial" w:hAnsi="Arial" w:cs="Arial"/>
                      <w:b/>
                    </w:rPr>
                  </w:pPr>
                  <w:r w:rsidRPr="00EB4495">
                    <w:rPr>
                      <w:rFonts w:ascii="Arial" w:hAnsi="Arial" w:cs="Arial"/>
                      <w:b/>
                    </w:rPr>
                    <w:t>+</w:t>
                  </w:r>
                  <w:r w:rsidR="007F0A8B" w:rsidRPr="00EB4495">
                    <w:rPr>
                      <w:rFonts w:ascii="Arial" w:hAnsi="Arial" w:cs="Arial"/>
                      <w:b/>
                    </w:rPr>
                    <w:t>7.5</w:t>
                  </w:r>
                  <w:r w:rsidRPr="00EB4495">
                    <w:rPr>
                      <w:rFonts w:ascii="Arial" w:hAnsi="Arial" w:cs="Arial"/>
                      <w:b/>
                    </w:rPr>
                    <w:t>%</w:t>
                  </w:r>
                </w:p>
              </w:tc>
              <w:tc>
                <w:tcPr>
                  <w:tcW w:w="640" w:type="pct"/>
                  <w:gridSpan w:val="2"/>
                  <w:vAlign w:val="center"/>
                </w:tcPr>
                <w:p w14:paraId="0DC629A1" w14:textId="51FF250F" w:rsidR="00285440" w:rsidRPr="00EB4495" w:rsidRDefault="00285440" w:rsidP="00896FEF">
                  <w:pPr>
                    <w:jc w:val="right"/>
                    <w:rPr>
                      <w:rFonts w:ascii="Arial" w:hAnsi="Arial" w:cs="Arial"/>
                      <w:b/>
                    </w:rPr>
                  </w:pPr>
                  <w:r w:rsidRPr="00EB4495">
                    <w:rPr>
                      <w:rFonts w:ascii="Arial" w:hAnsi="Arial" w:cs="Arial"/>
                      <w:b/>
                    </w:rPr>
                    <w:t>+</w:t>
                  </w:r>
                  <w:r w:rsidR="00693C50" w:rsidRPr="00EB4495">
                    <w:rPr>
                      <w:rFonts w:ascii="Arial" w:hAnsi="Arial" w:cs="Arial"/>
                      <w:b/>
                    </w:rPr>
                    <w:t>5.5</w:t>
                  </w:r>
                  <w:r w:rsidRPr="00EB4495">
                    <w:rPr>
                      <w:rFonts w:ascii="Arial" w:hAnsi="Arial" w:cs="Arial"/>
                      <w:b/>
                    </w:rPr>
                    <w:t>%</w:t>
                  </w:r>
                </w:p>
              </w:tc>
            </w:tr>
            <w:tr w:rsidR="00285440" w:rsidRPr="00EB4495" w14:paraId="70E1F5BD" w14:textId="77777777" w:rsidTr="00896FEF">
              <w:trPr>
                <w:trHeight w:hRule="exact" w:val="294"/>
              </w:trPr>
              <w:tc>
                <w:tcPr>
                  <w:tcW w:w="1876" w:type="pct"/>
                  <w:vAlign w:val="center"/>
                </w:tcPr>
                <w:p w14:paraId="20B1A512" w14:textId="77777777" w:rsidR="00285440" w:rsidRPr="00EB4495" w:rsidRDefault="00285440" w:rsidP="00896FEF">
                  <w:pPr>
                    <w:jc w:val="left"/>
                    <w:rPr>
                      <w:rFonts w:ascii="Arial" w:hAnsi="Arial" w:cs="Arial"/>
                      <w:b/>
                    </w:rPr>
                  </w:pPr>
                  <w:r w:rsidRPr="00EB4495">
                    <w:rPr>
                      <w:rFonts w:ascii="Arial" w:hAnsi="Arial" w:cs="Arial"/>
                      <w:bCs/>
                    </w:rPr>
                    <w:t>- Poland</w:t>
                  </w:r>
                </w:p>
              </w:tc>
              <w:tc>
                <w:tcPr>
                  <w:tcW w:w="622" w:type="pct"/>
                  <w:vAlign w:val="center"/>
                </w:tcPr>
                <w:p w14:paraId="5A166FD1" w14:textId="77777777" w:rsidR="00285440" w:rsidRPr="00EB4495" w:rsidRDefault="00285440" w:rsidP="00896FEF">
                  <w:pPr>
                    <w:jc w:val="right"/>
                    <w:rPr>
                      <w:rFonts w:ascii="Arial" w:hAnsi="Arial" w:cs="Arial"/>
                      <w:b/>
                    </w:rPr>
                  </w:pPr>
                  <w:r w:rsidRPr="00EB4495">
                    <w:rPr>
                      <w:rFonts w:ascii="Arial" w:hAnsi="Arial" w:cs="Arial"/>
                    </w:rPr>
                    <w:t>(12.0)%</w:t>
                  </w:r>
                </w:p>
              </w:tc>
              <w:tc>
                <w:tcPr>
                  <w:tcW w:w="622" w:type="pct"/>
                  <w:vAlign w:val="center"/>
                </w:tcPr>
                <w:p w14:paraId="29CC7B52" w14:textId="77777777" w:rsidR="00285440" w:rsidRPr="00EB4495" w:rsidRDefault="00285440" w:rsidP="00896FEF">
                  <w:pPr>
                    <w:jc w:val="right"/>
                    <w:rPr>
                      <w:rFonts w:ascii="Arial" w:hAnsi="Arial" w:cs="Arial"/>
                      <w:b/>
                    </w:rPr>
                  </w:pPr>
                  <w:r w:rsidRPr="00EB4495">
                    <w:rPr>
                      <w:rFonts w:ascii="Arial" w:hAnsi="Arial" w:cs="Arial"/>
                    </w:rPr>
                    <w:t>-</w:t>
                  </w:r>
                </w:p>
              </w:tc>
              <w:tc>
                <w:tcPr>
                  <w:tcW w:w="620" w:type="pct"/>
                  <w:vAlign w:val="center"/>
                </w:tcPr>
                <w:p w14:paraId="24A3BCD3" w14:textId="77777777" w:rsidR="00285440" w:rsidRPr="00EB4495" w:rsidRDefault="00285440" w:rsidP="00896FEF">
                  <w:pPr>
                    <w:jc w:val="right"/>
                    <w:rPr>
                      <w:rFonts w:ascii="Arial" w:hAnsi="Arial" w:cs="Arial"/>
                      <w:b/>
                    </w:rPr>
                  </w:pPr>
                  <w:r w:rsidRPr="00EB4495">
                    <w:rPr>
                      <w:rFonts w:ascii="Arial" w:hAnsi="Arial" w:cs="Arial"/>
                      <w:bCs/>
                    </w:rPr>
                    <w:t>+4.9%</w:t>
                  </w:r>
                </w:p>
              </w:tc>
              <w:tc>
                <w:tcPr>
                  <w:tcW w:w="620" w:type="pct"/>
                  <w:vAlign w:val="center"/>
                </w:tcPr>
                <w:p w14:paraId="388FC1CB" w14:textId="626B43BA" w:rsidR="00285440" w:rsidRPr="00EB4495" w:rsidRDefault="00285440" w:rsidP="00896FEF">
                  <w:pPr>
                    <w:jc w:val="right"/>
                    <w:rPr>
                      <w:rFonts w:ascii="Arial" w:hAnsi="Arial" w:cs="Arial"/>
                      <w:b/>
                    </w:rPr>
                  </w:pPr>
                  <w:r w:rsidRPr="00EB4495">
                    <w:rPr>
                      <w:rFonts w:ascii="Arial" w:hAnsi="Arial" w:cs="Arial"/>
                      <w:bCs/>
                    </w:rPr>
                    <w:t>+</w:t>
                  </w:r>
                  <w:r w:rsidR="007F0A8B" w:rsidRPr="00EB4495">
                    <w:rPr>
                      <w:rFonts w:ascii="Arial" w:hAnsi="Arial" w:cs="Arial"/>
                      <w:bCs/>
                    </w:rPr>
                    <w:t>6.8</w:t>
                  </w:r>
                  <w:r w:rsidRPr="00EB4495">
                    <w:rPr>
                      <w:rFonts w:ascii="Arial" w:hAnsi="Arial" w:cs="Arial"/>
                      <w:bCs/>
                    </w:rPr>
                    <w:t>%</w:t>
                  </w:r>
                </w:p>
              </w:tc>
              <w:tc>
                <w:tcPr>
                  <w:tcW w:w="640" w:type="pct"/>
                  <w:gridSpan w:val="2"/>
                  <w:vAlign w:val="center"/>
                </w:tcPr>
                <w:p w14:paraId="7E0A6C19" w14:textId="4F5BDE58" w:rsidR="00285440" w:rsidRPr="00EB4495" w:rsidRDefault="00285440" w:rsidP="00896FEF">
                  <w:pPr>
                    <w:jc w:val="right"/>
                    <w:rPr>
                      <w:rFonts w:ascii="Arial" w:hAnsi="Arial" w:cs="Arial"/>
                      <w:b/>
                    </w:rPr>
                  </w:pPr>
                  <w:r w:rsidRPr="00EB4495">
                    <w:rPr>
                      <w:rFonts w:ascii="Arial" w:hAnsi="Arial" w:cs="Arial"/>
                      <w:bCs/>
                    </w:rPr>
                    <w:t>+</w:t>
                  </w:r>
                  <w:r w:rsidR="00693C50" w:rsidRPr="00EB4495">
                    <w:rPr>
                      <w:rFonts w:ascii="Arial" w:hAnsi="Arial" w:cs="Arial"/>
                      <w:bCs/>
                    </w:rPr>
                    <w:t>0.3</w:t>
                  </w:r>
                  <w:r w:rsidRPr="00EB4495">
                    <w:rPr>
                      <w:rFonts w:ascii="Arial" w:hAnsi="Arial" w:cs="Arial"/>
                      <w:bCs/>
                    </w:rPr>
                    <w:t>%</w:t>
                  </w:r>
                </w:p>
              </w:tc>
            </w:tr>
            <w:tr w:rsidR="00285440" w:rsidRPr="00EB4495" w14:paraId="3F785825" w14:textId="77777777" w:rsidTr="00896FEF">
              <w:trPr>
                <w:trHeight w:hRule="exact" w:val="294"/>
              </w:trPr>
              <w:tc>
                <w:tcPr>
                  <w:tcW w:w="1876" w:type="pct"/>
                  <w:vAlign w:val="center"/>
                </w:tcPr>
                <w:p w14:paraId="279D3AD7" w14:textId="77777777" w:rsidR="00285440" w:rsidRPr="00EB4495" w:rsidRDefault="00285440" w:rsidP="00896FEF">
                  <w:pPr>
                    <w:jc w:val="left"/>
                    <w:rPr>
                      <w:rFonts w:ascii="Arial" w:hAnsi="Arial" w:cs="Arial"/>
                      <w:b/>
                    </w:rPr>
                  </w:pPr>
                  <w:r w:rsidRPr="00EB4495">
                    <w:rPr>
                      <w:rFonts w:ascii="Arial" w:hAnsi="Arial" w:cs="Arial"/>
                      <w:bCs/>
                    </w:rPr>
                    <w:t>- Iberia</w:t>
                  </w:r>
                </w:p>
              </w:tc>
              <w:tc>
                <w:tcPr>
                  <w:tcW w:w="622" w:type="pct"/>
                  <w:vAlign w:val="center"/>
                </w:tcPr>
                <w:p w14:paraId="55E7023A" w14:textId="77777777" w:rsidR="00285440" w:rsidRPr="00EB4495" w:rsidRDefault="00285440" w:rsidP="00896FEF">
                  <w:pPr>
                    <w:jc w:val="right"/>
                    <w:rPr>
                      <w:rFonts w:ascii="Arial" w:hAnsi="Arial" w:cs="Arial"/>
                      <w:b/>
                    </w:rPr>
                  </w:pPr>
                  <w:r w:rsidRPr="00EB4495">
                    <w:rPr>
                      <w:rFonts w:ascii="Arial" w:hAnsi="Arial" w:cs="Arial"/>
                      <w:color w:val="000000"/>
                    </w:rPr>
                    <w:t>+112.3%</w:t>
                  </w:r>
                </w:p>
              </w:tc>
              <w:tc>
                <w:tcPr>
                  <w:tcW w:w="622" w:type="pct"/>
                  <w:vAlign w:val="center"/>
                </w:tcPr>
                <w:p w14:paraId="1A4D46C9" w14:textId="77777777" w:rsidR="00285440" w:rsidRPr="00EB4495" w:rsidRDefault="00285440" w:rsidP="00896FEF">
                  <w:pPr>
                    <w:jc w:val="right"/>
                    <w:rPr>
                      <w:rFonts w:ascii="Arial" w:hAnsi="Arial" w:cs="Arial"/>
                      <w:b/>
                    </w:rPr>
                  </w:pPr>
                  <w:r w:rsidRPr="00EB4495">
                    <w:rPr>
                      <w:rFonts w:ascii="Arial" w:hAnsi="Arial" w:cs="Arial"/>
                      <w:bCs/>
                    </w:rPr>
                    <w:t>+15.0%</w:t>
                  </w:r>
                </w:p>
              </w:tc>
              <w:tc>
                <w:tcPr>
                  <w:tcW w:w="620" w:type="pct"/>
                  <w:vAlign w:val="center"/>
                </w:tcPr>
                <w:p w14:paraId="21A14D16" w14:textId="77777777" w:rsidR="00285440" w:rsidRPr="00EB4495" w:rsidRDefault="00285440" w:rsidP="00896FEF">
                  <w:pPr>
                    <w:jc w:val="right"/>
                    <w:rPr>
                      <w:rFonts w:ascii="Arial" w:hAnsi="Arial" w:cs="Arial"/>
                      <w:b/>
                    </w:rPr>
                  </w:pPr>
                  <w:r w:rsidRPr="00EB4495">
                    <w:rPr>
                      <w:rFonts w:ascii="Arial" w:hAnsi="Arial" w:cs="Arial"/>
                      <w:bCs/>
                    </w:rPr>
                    <w:t>(1.9)%</w:t>
                  </w:r>
                </w:p>
              </w:tc>
              <w:tc>
                <w:tcPr>
                  <w:tcW w:w="620" w:type="pct"/>
                  <w:vAlign w:val="center"/>
                </w:tcPr>
                <w:p w14:paraId="44170415" w14:textId="02AB52CE" w:rsidR="00285440" w:rsidRPr="00EB4495" w:rsidRDefault="007F0A8B" w:rsidP="00896FEF">
                  <w:pPr>
                    <w:jc w:val="right"/>
                    <w:rPr>
                      <w:rFonts w:ascii="Arial" w:hAnsi="Arial" w:cs="Arial"/>
                      <w:b/>
                    </w:rPr>
                  </w:pPr>
                  <w:r w:rsidRPr="00EB4495">
                    <w:rPr>
                      <w:rFonts w:ascii="Arial" w:hAnsi="Arial" w:cs="Arial"/>
                      <w:bCs/>
                    </w:rPr>
                    <w:t>+13.8</w:t>
                  </w:r>
                  <w:r w:rsidR="00285440" w:rsidRPr="00EB4495">
                    <w:rPr>
                      <w:rFonts w:ascii="Arial" w:hAnsi="Arial" w:cs="Arial"/>
                      <w:bCs/>
                    </w:rPr>
                    <w:t>%</w:t>
                  </w:r>
                </w:p>
              </w:tc>
              <w:tc>
                <w:tcPr>
                  <w:tcW w:w="640" w:type="pct"/>
                  <w:gridSpan w:val="2"/>
                  <w:vAlign w:val="center"/>
                </w:tcPr>
                <w:p w14:paraId="42047138" w14:textId="44E3A76B" w:rsidR="00285440" w:rsidRPr="00EB4495" w:rsidRDefault="00693C50" w:rsidP="00896FEF">
                  <w:pPr>
                    <w:jc w:val="right"/>
                    <w:rPr>
                      <w:rFonts w:ascii="Arial" w:hAnsi="Arial" w:cs="Arial"/>
                      <w:b/>
                    </w:rPr>
                  </w:pPr>
                  <w:r w:rsidRPr="00EB4495">
                    <w:rPr>
                      <w:rFonts w:ascii="Arial" w:hAnsi="Arial" w:cs="Arial"/>
                      <w:bCs/>
                    </w:rPr>
                    <w:t>+23.2</w:t>
                  </w:r>
                  <w:r w:rsidR="00285440" w:rsidRPr="00EB4495">
                    <w:rPr>
                      <w:rFonts w:ascii="Arial" w:hAnsi="Arial" w:cs="Arial"/>
                      <w:bCs/>
                    </w:rPr>
                    <w:t>%</w:t>
                  </w:r>
                </w:p>
              </w:tc>
            </w:tr>
            <w:tr w:rsidR="00285440" w:rsidRPr="00EB4495" w14:paraId="0619B51D" w14:textId="77777777" w:rsidTr="00896FEF">
              <w:trPr>
                <w:trHeight w:hRule="exact" w:val="294"/>
              </w:trPr>
              <w:tc>
                <w:tcPr>
                  <w:tcW w:w="1876" w:type="pct"/>
                  <w:tcBorders>
                    <w:bottom w:val="single" w:sz="4" w:space="0" w:color="auto"/>
                  </w:tcBorders>
                  <w:vAlign w:val="center"/>
                  <w:hideMark/>
                </w:tcPr>
                <w:p w14:paraId="06DA6560" w14:textId="77777777" w:rsidR="00285440" w:rsidRPr="00EB4495" w:rsidRDefault="00285440" w:rsidP="00896FEF">
                  <w:pPr>
                    <w:jc w:val="left"/>
                    <w:rPr>
                      <w:rFonts w:ascii="Arial" w:hAnsi="Arial" w:cs="Arial"/>
                      <w:bCs/>
                    </w:rPr>
                  </w:pPr>
                  <w:r w:rsidRPr="00EB4495">
                    <w:rPr>
                      <w:rFonts w:ascii="Arial" w:hAnsi="Arial" w:cs="Arial"/>
                      <w:bCs/>
                    </w:rPr>
                    <w:t>- Romania</w:t>
                  </w:r>
                  <w:r w:rsidRPr="00EB4495">
                    <w:rPr>
                      <w:rFonts w:ascii="Arial" w:hAnsi="Arial" w:cs="Arial"/>
                      <w:bCs/>
                      <w:vertAlign w:val="superscript"/>
                    </w:rPr>
                    <w:t>(3)</w:t>
                  </w:r>
                </w:p>
              </w:tc>
              <w:tc>
                <w:tcPr>
                  <w:tcW w:w="622" w:type="pct"/>
                  <w:tcBorders>
                    <w:bottom w:val="single" w:sz="4" w:space="0" w:color="auto"/>
                  </w:tcBorders>
                  <w:vAlign w:val="center"/>
                  <w:hideMark/>
                </w:tcPr>
                <w:p w14:paraId="036FD6DD" w14:textId="77777777" w:rsidR="00285440" w:rsidRPr="00EB4495" w:rsidRDefault="00285440" w:rsidP="00896FEF">
                  <w:pPr>
                    <w:jc w:val="right"/>
                    <w:rPr>
                      <w:rFonts w:ascii="Arial" w:hAnsi="Arial" w:cs="Arial"/>
                      <w:bCs/>
                    </w:rPr>
                  </w:pPr>
                  <w:r w:rsidRPr="00EB4495">
                    <w:rPr>
                      <w:rFonts w:ascii="Arial" w:hAnsi="Arial" w:cs="Arial"/>
                      <w:color w:val="000000"/>
                    </w:rPr>
                    <w:t>+27.4%</w:t>
                  </w:r>
                </w:p>
              </w:tc>
              <w:tc>
                <w:tcPr>
                  <w:tcW w:w="622" w:type="pct"/>
                  <w:tcBorders>
                    <w:bottom w:val="single" w:sz="4" w:space="0" w:color="auto"/>
                  </w:tcBorders>
                  <w:vAlign w:val="center"/>
                </w:tcPr>
                <w:p w14:paraId="74929E98" w14:textId="77777777" w:rsidR="00285440" w:rsidRPr="00EB4495" w:rsidRDefault="00285440" w:rsidP="00896FEF">
                  <w:pPr>
                    <w:jc w:val="right"/>
                    <w:rPr>
                      <w:rFonts w:ascii="Arial" w:hAnsi="Arial" w:cs="Arial"/>
                      <w:bCs/>
                    </w:rPr>
                  </w:pPr>
                  <w:r w:rsidRPr="00EB4495">
                    <w:rPr>
                      <w:rFonts w:ascii="Arial" w:hAnsi="Arial" w:cs="Arial"/>
                      <w:bCs/>
                    </w:rPr>
                    <w:t>+14.0%</w:t>
                  </w:r>
                </w:p>
              </w:tc>
              <w:tc>
                <w:tcPr>
                  <w:tcW w:w="620" w:type="pct"/>
                  <w:tcBorders>
                    <w:bottom w:val="single" w:sz="4" w:space="0" w:color="auto"/>
                  </w:tcBorders>
                  <w:vAlign w:val="center"/>
                </w:tcPr>
                <w:p w14:paraId="37DB23E8" w14:textId="77777777" w:rsidR="00285440" w:rsidRPr="00EB4495" w:rsidRDefault="00285440" w:rsidP="00896FEF">
                  <w:pPr>
                    <w:jc w:val="right"/>
                    <w:rPr>
                      <w:rFonts w:ascii="Arial" w:hAnsi="Arial" w:cs="Arial"/>
                      <w:bCs/>
                    </w:rPr>
                  </w:pPr>
                  <w:r w:rsidRPr="00EB4495">
                    <w:rPr>
                      <w:rFonts w:ascii="Arial" w:hAnsi="Arial" w:cs="Arial"/>
                      <w:bCs/>
                    </w:rPr>
                    <w:t>+17.2%</w:t>
                  </w:r>
                </w:p>
              </w:tc>
              <w:tc>
                <w:tcPr>
                  <w:tcW w:w="620" w:type="pct"/>
                  <w:tcBorders>
                    <w:bottom w:val="single" w:sz="4" w:space="0" w:color="auto"/>
                  </w:tcBorders>
                  <w:vAlign w:val="center"/>
                </w:tcPr>
                <w:p w14:paraId="6CFD4A54" w14:textId="4E38D0C3" w:rsidR="00285440" w:rsidRPr="00EB4495" w:rsidRDefault="00285440" w:rsidP="00896FEF">
                  <w:pPr>
                    <w:jc w:val="right"/>
                    <w:rPr>
                      <w:rFonts w:ascii="Arial" w:hAnsi="Arial" w:cs="Arial"/>
                      <w:bCs/>
                    </w:rPr>
                  </w:pPr>
                  <w:r w:rsidRPr="00EB4495">
                    <w:rPr>
                      <w:rFonts w:ascii="Arial" w:hAnsi="Arial" w:cs="Arial"/>
                      <w:bCs/>
                    </w:rPr>
                    <w:t>+</w:t>
                  </w:r>
                  <w:r w:rsidR="007F0A8B" w:rsidRPr="00EB4495">
                    <w:rPr>
                      <w:rFonts w:ascii="Arial" w:hAnsi="Arial" w:cs="Arial"/>
                      <w:bCs/>
                    </w:rPr>
                    <w:t>2.6</w:t>
                  </w:r>
                  <w:r w:rsidRPr="00EB4495">
                    <w:rPr>
                      <w:rFonts w:ascii="Arial" w:hAnsi="Arial" w:cs="Arial"/>
                      <w:bCs/>
                    </w:rPr>
                    <w:t>%</w:t>
                  </w:r>
                </w:p>
              </w:tc>
              <w:tc>
                <w:tcPr>
                  <w:tcW w:w="640" w:type="pct"/>
                  <w:gridSpan w:val="2"/>
                  <w:tcBorders>
                    <w:bottom w:val="single" w:sz="4" w:space="0" w:color="auto"/>
                  </w:tcBorders>
                  <w:vAlign w:val="center"/>
                  <w:hideMark/>
                </w:tcPr>
                <w:p w14:paraId="4C196A8E" w14:textId="42111F0C" w:rsidR="00285440" w:rsidRPr="00EB4495" w:rsidRDefault="00285440" w:rsidP="00896FEF">
                  <w:pPr>
                    <w:jc w:val="right"/>
                    <w:rPr>
                      <w:rFonts w:ascii="Arial" w:hAnsi="Arial" w:cs="Arial"/>
                      <w:bCs/>
                    </w:rPr>
                  </w:pPr>
                  <w:r w:rsidRPr="00EB4495">
                    <w:rPr>
                      <w:rFonts w:ascii="Arial" w:hAnsi="Arial" w:cs="Arial"/>
                      <w:bCs/>
                    </w:rPr>
                    <w:t>+</w:t>
                  </w:r>
                  <w:r w:rsidR="00693C50" w:rsidRPr="00EB4495">
                    <w:rPr>
                      <w:rFonts w:ascii="Arial" w:hAnsi="Arial" w:cs="Arial"/>
                      <w:bCs/>
                    </w:rPr>
                    <w:t>15.0</w:t>
                  </w:r>
                  <w:r w:rsidRPr="00EB4495">
                    <w:rPr>
                      <w:rFonts w:ascii="Arial" w:hAnsi="Arial" w:cs="Arial"/>
                      <w:bCs/>
                    </w:rPr>
                    <w:t>%</w:t>
                  </w:r>
                </w:p>
              </w:tc>
            </w:tr>
            <w:tr w:rsidR="00285440" w:rsidRPr="00EB4495" w14:paraId="216CA234" w14:textId="77777777" w:rsidTr="00896FEF">
              <w:trPr>
                <w:trHeight w:hRule="exact" w:val="340"/>
              </w:trPr>
              <w:tc>
                <w:tcPr>
                  <w:tcW w:w="1876" w:type="pct"/>
                  <w:tcBorders>
                    <w:top w:val="single" w:sz="4" w:space="0" w:color="auto"/>
                    <w:left w:val="nil"/>
                    <w:bottom w:val="single" w:sz="4" w:space="0" w:color="auto"/>
                    <w:right w:val="nil"/>
                  </w:tcBorders>
                  <w:vAlign w:val="center"/>
                  <w:hideMark/>
                </w:tcPr>
                <w:p w14:paraId="2345BFC0" w14:textId="77777777" w:rsidR="00285440" w:rsidRPr="00EB4495" w:rsidRDefault="00285440" w:rsidP="00896FEF">
                  <w:pPr>
                    <w:jc w:val="left"/>
                    <w:rPr>
                      <w:rFonts w:ascii="Arial" w:hAnsi="Arial" w:cs="Arial"/>
                      <w:bCs/>
                    </w:rPr>
                  </w:pPr>
                  <w:r w:rsidRPr="00EB4495">
                    <w:rPr>
                      <w:rFonts w:ascii="Arial" w:hAnsi="Arial" w:cs="Arial"/>
                      <w:b/>
                      <w:bCs/>
                    </w:rPr>
                    <w:t>Group LFL</w:t>
                  </w:r>
                  <w:r w:rsidRPr="00EB4495">
                    <w:rPr>
                      <w:rFonts w:ascii="Arial" w:hAnsi="Arial" w:cs="Arial"/>
                      <w:b/>
                      <w:bCs/>
                      <w:vertAlign w:val="superscript"/>
                    </w:rPr>
                    <w:t>(4)</w:t>
                  </w:r>
                </w:p>
              </w:tc>
              <w:tc>
                <w:tcPr>
                  <w:tcW w:w="622" w:type="pct"/>
                  <w:tcBorders>
                    <w:top w:val="single" w:sz="4" w:space="0" w:color="auto"/>
                    <w:left w:val="nil"/>
                    <w:bottom w:val="single" w:sz="4" w:space="0" w:color="auto"/>
                    <w:right w:val="nil"/>
                  </w:tcBorders>
                  <w:vAlign w:val="center"/>
                  <w:hideMark/>
                </w:tcPr>
                <w:p w14:paraId="45D9F4A7" w14:textId="77777777" w:rsidR="00285440" w:rsidRPr="00EB4495" w:rsidRDefault="00285440" w:rsidP="00896FEF">
                  <w:pPr>
                    <w:jc w:val="right"/>
                    <w:rPr>
                      <w:rFonts w:ascii="Arial" w:hAnsi="Arial" w:cs="Arial"/>
                      <w:b/>
                      <w:bCs/>
                    </w:rPr>
                  </w:pPr>
                  <w:r w:rsidRPr="00EB4495">
                    <w:rPr>
                      <w:rFonts w:ascii="Arial" w:hAnsi="Arial" w:cs="Arial"/>
                      <w:b/>
                    </w:rPr>
                    <w:t>+64.2%</w:t>
                  </w:r>
                </w:p>
              </w:tc>
              <w:tc>
                <w:tcPr>
                  <w:tcW w:w="622" w:type="pct"/>
                  <w:tcBorders>
                    <w:top w:val="single" w:sz="4" w:space="0" w:color="auto"/>
                    <w:left w:val="nil"/>
                    <w:bottom w:val="single" w:sz="4" w:space="0" w:color="auto"/>
                    <w:right w:val="nil"/>
                  </w:tcBorders>
                  <w:vAlign w:val="center"/>
                </w:tcPr>
                <w:p w14:paraId="558B8495" w14:textId="77777777" w:rsidR="00285440" w:rsidRPr="00EB4495" w:rsidRDefault="00285440" w:rsidP="00896FEF">
                  <w:pPr>
                    <w:jc w:val="right"/>
                    <w:rPr>
                      <w:rFonts w:ascii="Arial" w:hAnsi="Arial" w:cs="Arial"/>
                      <w:b/>
                      <w:bCs/>
                    </w:rPr>
                  </w:pPr>
                  <w:r w:rsidRPr="00EB4495">
                    <w:rPr>
                      <w:rFonts w:ascii="Arial" w:hAnsi="Arial" w:cs="Arial"/>
                      <w:b/>
                      <w:bCs/>
                    </w:rPr>
                    <w:t>(0.8)%</w:t>
                  </w:r>
                </w:p>
              </w:tc>
              <w:tc>
                <w:tcPr>
                  <w:tcW w:w="620" w:type="pct"/>
                  <w:tcBorders>
                    <w:top w:val="single" w:sz="4" w:space="0" w:color="auto"/>
                    <w:left w:val="nil"/>
                    <w:bottom w:val="single" w:sz="4" w:space="0" w:color="auto"/>
                    <w:right w:val="nil"/>
                  </w:tcBorders>
                  <w:vAlign w:val="center"/>
                </w:tcPr>
                <w:p w14:paraId="646A20C4" w14:textId="77777777" w:rsidR="00285440" w:rsidRPr="00EB4495" w:rsidRDefault="00285440" w:rsidP="00896FEF">
                  <w:pPr>
                    <w:jc w:val="right"/>
                    <w:rPr>
                      <w:rFonts w:ascii="Arial" w:hAnsi="Arial" w:cs="Arial"/>
                      <w:b/>
                      <w:bCs/>
                    </w:rPr>
                  </w:pPr>
                  <w:r w:rsidRPr="00EB4495">
                    <w:rPr>
                      <w:rFonts w:ascii="Arial" w:hAnsi="Arial" w:cs="Arial"/>
                      <w:b/>
                      <w:bCs/>
                    </w:rPr>
                    <w:t>(2.4)%</w:t>
                  </w:r>
                </w:p>
              </w:tc>
              <w:tc>
                <w:tcPr>
                  <w:tcW w:w="620" w:type="pct"/>
                  <w:tcBorders>
                    <w:top w:val="single" w:sz="4" w:space="0" w:color="auto"/>
                    <w:left w:val="nil"/>
                    <w:bottom w:val="single" w:sz="4" w:space="0" w:color="auto"/>
                    <w:right w:val="nil"/>
                  </w:tcBorders>
                  <w:vAlign w:val="center"/>
                </w:tcPr>
                <w:p w14:paraId="5677FAD5" w14:textId="097620C7" w:rsidR="00285440" w:rsidRPr="00EB4495" w:rsidRDefault="00285440" w:rsidP="00896FEF">
                  <w:pPr>
                    <w:jc w:val="right"/>
                    <w:rPr>
                      <w:rFonts w:ascii="Arial" w:hAnsi="Arial" w:cs="Arial"/>
                      <w:b/>
                      <w:bCs/>
                    </w:rPr>
                  </w:pPr>
                  <w:r w:rsidRPr="00EB4495">
                    <w:rPr>
                      <w:rFonts w:ascii="Arial" w:hAnsi="Arial" w:cs="Arial"/>
                      <w:b/>
                      <w:bCs/>
                    </w:rPr>
                    <w:t>(</w:t>
                  </w:r>
                  <w:r w:rsidR="007F0A8B" w:rsidRPr="00EB4495">
                    <w:rPr>
                      <w:rFonts w:ascii="Arial" w:hAnsi="Arial" w:cs="Arial"/>
                      <w:b/>
                      <w:bCs/>
                    </w:rPr>
                    <w:t>1.7</w:t>
                  </w:r>
                  <w:r w:rsidRPr="00EB4495">
                    <w:rPr>
                      <w:rFonts w:ascii="Arial" w:hAnsi="Arial" w:cs="Arial"/>
                      <w:b/>
                      <w:bCs/>
                    </w:rPr>
                    <w:t>)%</w:t>
                  </w:r>
                </w:p>
              </w:tc>
              <w:tc>
                <w:tcPr>
                  <w:tcW w:w="640" w:type="pct"/>
                  <w:gridSpan w:val="2"/>
                  <w:tcBorders>
                    <w:top w:val="single" w:sz="4" w:space="0" w:color="auto"/>
                    <w:left w:val="nil"/>
                    <w:bottom w:val="single" w:sz="4" w:space="0" w:color="auto"/>
                    <w:right w:val="nil"/>
                  </w:tcBorders>
                  <w:vAlign w:val="center"/>
                  <w:hideMark/>
                </w:tcPr>
                <w:p w14:paraId="53DEB257" w14:textId="33F647A1" w:rsidR="00285440" w:rsidRPr="00EB4495" w:rsidRDefault="00285440" w:rsidP="00896FEF">
                  <w:pPr>
                    <w:jc w:val="right"/>
                    <w:rPr>
                      <w:rFonts w:ascii="Arial" w:hAnsi="Arial" w:cs="Arial"/>
                      <w:b/>
                      <w:bCs/>
                    </w:rPr>
                  </w:pPr>
                  <w:r w:rsidRPr="00EB4495">
                    <w:rPr>
                      <w:rFonts w:ascii="Arial" w:hAnsi="Arial" w:cs="Arial"/>
                      <w:b/>
                      <w:bCs/>
                    </w:rPr>
                    <w:t>+</w:t>
                  </w:r>
                  <w:r w:rsidR="00693C50" w:rsidRPr="00EB4495">
                    <w:rPr>
                      <w:rFonts w:ascii="Arial" w:hAnsi="Arial" w:cs="Arial"/>
                      <w:b/>
                      <w:bCs/>
                    </w:rPr>
                    <w:t>9.9</w:t>
                  </w:r>
                  <w:r w:rsidRPr="00EB4495">
                    <w:rPr>
                      <w:rFonts w:ascii="Arial" w:hAnsi="Arial" w:cs="Arial"/>
                      <w:b/>
                      <w:bCs/>
                    </w:rPr>
                    <w:t>%</w:t>
                  </w:r>
                </w:p>
              </w:tc>
            </w:tr>
            <w:tr w:rsidR="00170F65" w:rsidRPr="00EB4495" w14:paraId="4A74119B" w14:textId="77777777" w:rsidTr="00896FEF">
              <w:trPr>
                <w:trHeight w:hRule="exact" w:val="340"/>
              </w:trPr>
              <w:tc>
                <w:tcPr>
                  <w:tcW w:w="1876" w:type="pct"/>
                  <w:tcBorders>
                    <w:top w:val="single" w:sz="4" w:space="0" w:color="auto"/>
                    <w:left w:val="nil"/>
                    <w:bottom w:val="nil"/>
                    <w:right w:val="nil"/>
                  </w:tcBorders>
                  <w:vAlign w:val="center"/>
                  <w:hideMark/>
                </w:tcPr>
                <w:p w14:paraId="5F975C43" w14:textId="77777777" w:rsidR="00170F65" w:rsidRPr="00EB4495" w:rsidRDefault="00170F65" w:rsidP="00170F65">
                  <w:pPr>
                    <w:jc w:val="left"/>
                    <w:rPr>
                      <w:rFonts w:ascii="Arial" w:hAnsi="Arial" w:cs="Arial"/>
                      <w:b/>
                      <w:bCs/>
                    </w:rPr>
                  </w:pPr>
                  <w:r w:rsidRPr="00EB4495">
                    <w:rPr>
                      <w:rFonts w:ascii="Arial" w:hAnsi="Arial" w:cs="Arial"/>
                      <w:b/>
                      <w:bCs/>
                    </w:rPr>
                    <w:t>E-commerce sales</w:t>
                  </w:r>
                  <w:r w:rsidRPr="00EB4495">
                    <w:rPr>
                      <w:rFonts w:ascii="Arial" w:hAnsi="Arial" w:cs="Arial"/>
                      <w:b/>
                      <w:bCs/>
                      <w:vertAlign w:val="superscript"/>
                    </w:rPr>
                    <w:t>(5)</w:t>
                  </w:r>
                </w:p>
              </w:tc>
              <w:tc>
                <w:tcPr>
                  <w:tcW w:w="622" w:type="pct"/>
                  <w:tcBorders>
                    <w:top w:val="single" w:sz="4" w:space="0" w:color="auto"/>
                    <w:left w:val="nil"/>
                    <w:bottom w:val="nil"/>
                    <w:right w:val="nil"/>
                  </w:tcBorders>
                  <w:vAlign w:val="center"/>
                  <w:hideMark/>
                </w:tcPr>
                <w:p w14:paraId="4CBB5918" w14:textId="77777777" w:rsidR="00170F65" w:rsidRPr="00EB4495" w:rsidRDefault="00170F65" w:rsidP="00170F65">
                  <w:pPr>
                    <w:jc w:val="right"/>
                    <w:rPr>
                      <w:rFonts w:ascii="Arial" w:hAnsi="Arial" w:cs="Arial"/>
                      <w:b/>
                      <w:bCs/>
                    </w:rPr>
                  </w:pPr>
                  <w:r w:rsidRPr="00EB4495">
                    <w:rPr>
                      <w:rFonts w:ascii="Arial" w:hAnsi="Arial" w:cs="Arial"/>
                      <w:b/>
                      <w:bCs/>
                    </w:rPr>
                    <w:t>+62.9%</w:t>
                  </w:r>
                </w:p>
              </w:tc>
              <w:tc>
                <w:tcPr>
                  <w:tcW w:w="622" w:type="pct"/>
                  <w:tcBorders>
                    <w:top w:val="single" w:sz="4" w:space="0" w:color="auto"/>
                    <w:left w:val="nil"/>
                    <w:bottom w:val="nil"/>
                    <w:right w:val="nil"/>
                  </w:tcBorders>
                  <w:vAlign w:val="center"/>
                </w:tcPr>
                <w:p w14:paraId="4A55D6FE" w14:textId="77777777" w:rsidR="00170F65" w:rsidRPr="00EB4495" w:rsidRDefault="00170F65" w:rsidP="00170F65">
                  <w:pPr>
                    <w:jc w:val="right"/>
                    <w:rPr>
                      <w:rFonts w:ascii="Arial" w:hAnsi="Arial" w:cs="Arial"/>
                      <w:b/>
                      <w:bCs/>
                    </w:rPr>
                  </w:pPr>
                  <w:r w:rsidRPr="00EB4495">
                    <w:rPr>
                      <w:rFonts w:ascii="Arial" w:hAnsi="Arial" w:cs="Arial"/>
                      <w:b/>
                      <w:bCs/>
                    </w:rPr>
                    <w:t>(6.5)%</w:t>
                  </w:r>
                </w:p>
              </w:tc>
              <w:tc>
                <w:tcPr>
                  <w:tcW w:w="620" w:type="pct"/>
                  <w:tcBorders>
                    <w:top w:val="single" w:sz="4" w:space="0" w:color="auto"/>
                    <w:left w:val="nil"/>
                    <w:bottom w:val="nil"/>
                    <w:right w:val="nil"/>
                  </w:tcBorders>
                  <w:vAlign w:val="center"/>
                </w:tcPr>
                <w:p w14:paraId="5A25AFFB" w14:textId="052140B6" w:rsidR="00170F65" w:rsidRPr="00EB4495" w:rsidRDefault="00170F65" w:rsidP="00170F65">
                  <w:pPr>
                    <w:jc w:val="right"/>
                    <w:rPr>
                      <w:rFonts w:ascii="Arial" w:hAnsi="Arial" w:cs="Arial"/>
                      <w:b/>
                      <w:bCs/>
                    </w:rPr>
                  </w:pPr>
                  <w:r w:rsidRPr="00EB4495">
                    <w:rPr>
                      <w:rFonts w:ascii="Arial" w:hAnsi="Arial" w:cs="Arial"/>
                      <w:b/>
                      <w:bCs/>
                    </w:rPr>
                    <w:t>(7.</w:t>
                  </w:r>
                  <w:r>
                    <w:rPr>
                      <w:rFonts w:ascii="Arial" w:hAnsi="Arial" w:cs="Arial"/>
                      <w:b/>
                      <w:bCs/>
                    </w:rPr>
                    <w:t>8</w:t>
                  </w:r>
                  <w:r w:rsidRPr="00EB4495">
                    <w:rPr>
                      <w:rFonts w:ascii="Arial" w:hAnsi="Arial" w:cs="Arial"/>
                      <w:b/>
                      <w:bCs/>
                    </w:rPr>
                    <w:t>)%</w:t>
                  </w:r>
                </w:p>
              </w:tc>
              <w:tc>
                <w:tcPr>
                  <w:tcW w:w="620" w:type="pct"/>
                  <w:tcBorders>
                    <w:top w:val="single" w:sz="4" w:space="0" w:color="auto"/>
                    <w:left w:val="nil"/>
                    <w:bottom w:val="nil"/>
                    <w:right w:val="nil"/>
                  </w:tcBorders>
                  <w:vAlign w:val="center"/>
                </w:tcPr>
                <w:p w14:paraId="72DD04A0" w14:textId="67BC4A86" w:rsidR="00170F65" w:rsidRPr="004364F2" w:rsidRDefault="00170F65" w:rsidP="00170F65">
                  <w:pPr>
                    <w:jc w:val="right"/>
                    <w:rPr>
                      <w:rFonts w:ascii="Arial" w:hAnsi="Arial" w:cs="Arial"/>
                      <w:b/>
                      <w:bCs/>
                    </w:rPr>
                  </w:pPr>
                  <w:r w:rsidRPr="00170F65">
                    <w:rPr>
                      <w:rFonts w:ascii="Arial" w:hAnsi="Arial" w:cs="Arial"/>
                      <w:b/>
                      <w:bCs/>
                    </w:rPr>
                    <w:t>(12.1)%</w:t>
                  </w:r>
                </w:p>
              </w:tc>
              <w:tc>
                <w:tcPr>
                  <w:tcW w:w="640" w:type="pct"/>
                  <w:gridSpan w:val="2"/>
                  <w:tcBorders>
                    <w:top w:val="single" w:sz="4" w:space="0" w:color="auto"/>
                    <w:left w:val="nil"/>
                    <w:bottom w:val="nil"/>
                    <w:right w:val="nil"/>
                  </w:tcBorders>
                  <w:vAlign w:val="center"/>
                  <w:hideMark/>
                </w:tcPr>
                <w:p w14:paraId="2407632A" w14:textId="09B47883" w:rsidR="00170F65" w:rsidRPr="004364F2" w:rsidRDefault="00170F65" w:rsidP="00170F65">
                  <w:pPr>
                    <w:jc w:val="right"/>
                    <w:rPr>
                      <w:rFonts w:ascii="Arial" w:hAnsi="Arial" w:cs="Arial"/>
                      <w:b/>
                      <w:bCs/>
                    </w:rPr>
                  </w:pPr>
                  <w:r w:rsidRPr="004364F2">
                    <w:rPr>
                      <w:rFonts w:ascii="Arial" w:hAnsi="Arial" w:cs="Arial"/>
                      <w:b/>
                      <w:bCs/>
                    </w:rPr>
                    <w:t>+5.3%</w:t>
                  </w:r>
                </w:p>
              </w:tc>
            </w:tr>
          </w:tbl>
          <w:p w14:paraId="61D44EDC" w14:textId="77777777" w:rsidR="00285440" w:rsidRPr="00EB4495" w:rsidRDefault="00285440" w:rsidP="00896FEF">
            <w:pPr>
              <w:jc w:val="left"/>
              <w:rPr>
                <w:rFonts w:ascii="Arial" w:hAnsi="Arial" w:cs="Arial"/>
                <w:b/>
                <w:bCs/>
                <w:sz w:val="22"/>
                <w:szCs w:val="22"/>
              </w:rPr>
            </w:pPr>
          </w:p>
        </w:tc>
      </w:tr>
    </w:tbl>
    <w:p w14:paraId="074473B4" w14:textId="77777777" w:rsidR="00285440" w:rsidRPr="00EB4495" w:rsidRDefault="00285440" w:rsidP="00285440">
      <w:pPr>
        <w:jc w:val="left"/>
        <w:rPr>
          <w:rFonts w:ascii="Arial" w:hAnsi="Arial" w:cs="Arial"/>
        </w:rPr>
      </w:pPr>
    </w:p>
    <w:p w14:paraId="698DBD3F" w14:textId="77777777" w:rsidR="00285440" w:rsidRPr="00EB4495" w:rsidRDefault="00285440" w:rsidP="00285440">
      <w:pPr>
        <w:jc w:val="left"/>
        <w:rPr>
          <w:rFonts w:ascii="Arial" w:hAnsi="Arial" w:cs="Arial"/>
          <w:b/>
          <w:bCs/>
        </w:rPr>
      </w:pPr>
      <w:r w:rsidRPr="00EB4495">
        <w:rPr>
          <w:rFonts w:ascii="Arial" w:hAnsi="Arial" w:cs="Arial"/>
          <w:b/>
          <w:bCs/>
          <w:u w:val="single"/>
        </w:rPr>
        <w:t xml:space="preserve">2-year LFL sales by quarter </w:t>
      </w:r>
    </w:p>
    <w:p w14:paraId="7DA2010F" w14:textId="77777777" w:rsidR="00285440" w:rsidRPr="00EB4495" w:rsidRDefault="00285440" w:rsidP="00285440">
      <w:pPr>
        <w:jc w:val="left"/>
        <w:rPr>
          <w:rFonts w:ascii="Arial" w:hAnsi="Arial" w:cs="Arial"/>
        </w:rPr>
      </w:pPr>
    </w:p>
    <w:tbl>
      <w:tblPr>
        <w:tblStyle w:val="TableGrid"/>
        <w:tblW w:w="9865" w:type="dxa"/>
        <w:tblBorders>
          <w:insideH w:val="none" w:sz="0" w:space="0" w:color="auto"/>
          <w:insideV w:val="none" w:sz="0" w:space="0" w:color="auto"/>
        </w:tblBorders>
        <w:tblLayout w:type="fixed"/>
        <w:tblLook w:val="04A0" w:firstRow="1" w:lastRow="0" w:firstColumn="1" w:lastColumn="0" w:noHBand="0" w:noVBand="1"/>
      </w:tblPr>
      <w:tblGrid>
        <w:gridCol w:w="9865"/>
      </w:tblGrid>
      <w:tr w:rsidR="00285440" w:rsidRPr="00EB4495" w14:paraId="02CBB4C4" w14:textId="77777777" w:rsidTr="00896FEF">
        <w:trPr>
          <w:trHeight w:val="1361"/>
        </w:trPr>
        <w:tc>
          <w:tcPr>
            <w:tcW w:w="9865" w:type="dxa"/>
            <w:tcBorders>
              <w:top w:val="single" w:sz="4" w:space="0" w:color="auto"/>
              <w:left w:val="single" w:sz="4" w:space="0" w:color="auto"/>
              <w:bottom w:val="single" w:sz="4" w:space="0" w:color="auto"/>
              <w:right w:val="single" w:sz="4" w:space="0" w:color="auto"/>
            </w:tcBorders>
            <w:hideMark/>
          </w:tcPr>
          <w:tbl>
            <w:tblPr>
              <w:tblW w:w="9670" w:type="dxa"/>
              <w:tblLayout w:type="fixed"/>
              <w:tblLook w:val="01E0" w:firstRow="1" w:lastRow="1" w:firstColumn="1" w:lastColumn="1" w:noHBand="0" w:noVBand="0"/>
            </w:tblPr>
            <w:tblGrid>
              <w:gridCol w:w="3628"/>
              <w:gridCol w:w="1203"/>
              <w:gridCol w:w="1203"/>
              <w:gridCol w:w="1199"/>
              <w:gridCol w:w="1199"/>
              <w:gridCol w:w="1201"/>
              <w:gridCol w:w="37"/>
            </w:tblGrid>
            <w:tr w:rsidR="00285440" w:rsidRPr="00EB4495" w14:paraId="361E1254" w14:textId="77777777" w:rsidTr="00896FEF">
              <w:trPr>
                <w:gridAfter w:val="1"/>
                <w:wAfter w:w="19" w:type="pct"/>
                <w:trHeight w:val="93"/>
              </w:trPr>
              <w:tc>
                <w:tcPr>
                  <w:tcW w:w="1876" w:type="pct"/>
                  <w:vMerge w:val="restart"/>
                  <w:vAlign w:val="center"/>
                  <w:hideMark/>
                </w:tcPr>
                <w:p w14:paraId="4B0FA139" w14:textId="77777777" w:rsidR="00285440" w:rsidRPr="00EB4495" w:rsidRDefault="00285440" w:rsidP="00896FEF">
                  <w:pPr>
                    <w:jc w:val="left"/>
                    <w:rPr>
                      <w:rFonts w:ascii="Arial" w:hAnsi="Arial" w:cs="Arial"/>
                      <w:b/>
                      <w:bCs/>
                    </w:rPr>
                  </w:pPr>
                  <w:r w:rsidRPr="00EB4495">
                    <w:rPr>
                      <w:rFonts w:ascii="Arial" w:hAnsi="Arial" w:cs="Arial"/>
                      <w:b/>
                      <w:bCs/>
                    </w:rPr>
                    <w:t>Quarterly sales</w:t>
                  </w:r>
                </w:p>
              </w:tc>
              <w:tc>
                <w:tcPr>
                  <w:tcW w:w="3105" w:type="pct"/>
                  <w:gridSpan w:val="5"/>
                  <w:tcBorders>
                    <w:top w:val="nil"/>
                    <w:left w:val="nil"/>
                    <w:bottom w:val="single" w:sz="4" w:space="0" w:color="auto"/>
                    <w:right w:val="nil"/>
                  </w:tcBorders>
                  <w:vAlign w:val="center"/>
                  <w:hideMark/>
                </w:tcPr>
                <w:p w14:paraId="31A8DC74" w14:textId="77777777" w:rsidR="00285440" w:rsidRPr="00EB4495" w:rsidRDefault="00285440" w:rsidP="00896FEF">
                  <w:pPr>
                    <w:jc w:val="center"/>
                    <w:rPr>
                      <w:rFonts w:ascii="Arial" w:hAnsi="Arial" w:cs="Arial"/>
                      <w:b/>
                      <w:bCs/>
                    </w:rPr>
                  </w:pPr>
                  <w:r w:rsidRPr="00EB4495">
                    <w:rPr>
                      <w:rFonts w:ascii="Arial" w:hAnsi="Arial" w:cs="Arial"/>
                      <w:b/>
                      <w:bCs/>
                    </w:rPr>
                    <w:t>% 2-year LFL Change</w:t>
                  </w:r>
                </w:p>
              </w:tc>
            </w:tr>
            <w:tr w:rsidR="00285440" w:rsidRPr="00EB4495" w14:paraId="691D66DE" w14:textId="77777777" w:rsidTr="00896FEF">
              <w:trPr>
                <w:trHeight w:hRule="exact" w:val="311"/>
              </w:trPr>
              <w:tc>
                <w:tcPr>
                  <w:tcW w:w="1876" w:type="pct"/>
                  <w:vMerge/>
                  <w:tcBorders>
                    <w:bottom w:val="nil"/>
                  </w:tcBorders>
                </w:tcPr>
                <w:p w14:paraId="3AB1DF3B" w14:textId="77777777" w:rsidR="00285440" w:rsidRPr="00EB4495" w:rsidRDefault="00285440" w:rsidP="00896FEF">
                  <w:pPr>
                    <w:jc w:val="left"/>
                    <w:rPr>
                      <w:rFonts w:ascii="Arial" w:hAnsi="Arial" w:cs="Arial"/>
                      <w:b/>
                    </w:rPr>
                  </w:pPr>
                </w:p>
              </w:tc>
              <w:tc>
                <w:tcPr>
                  <w:tcW w:w="622" w:type="pct"/>
                  <w:tcBorders>
                    <w:top w:val="single" w:sz="4" w:space="0" w:color="auto"/>
                    <w:bottom w:val="nil"/>
                    <w:right w:val="nil"/>
                  </w:tcBorders>
                  <w:vAlign w:val="center"/>
                  <w:hideMark/>
                </w:tcPr>
                <w:p w14:paraId="54CDB58C" w14:textId="77777777" w:rsidR="00285440" w:rsidRPr="00EB4495" w:rsidRDefault="00285440" w:rsidP="00896FEF">
                  <w:pPr>
                    <w:jc w:val="right"/>
                    <w:rPr>
                      <w:rFonts w:ascii="Arial" w:hAnsi="Arial" w:cs="Arial"/>
                      <w:b/>
                    </w:rPr>
                  </w:pPr>
                  <w:r w:rsidRPr="00EB4495">
                    <w:rPr>
                      <w:rFonts w:ascii="Arial" w:hAnsi="Arial" w:cs="Arial"/>
                      <w:b/>
                      <w:bCs/>
                    </w:rPr>
                    <w:t>Q1 21/22</w:t>
                  </w:r>
                </w:p>
              </w:tc>
              <w:tc>
                <w:tcPr>
                  <w:tcW w:w="622" w:type="pct"/>
                  <w:tcBorders>
                    <w:top w:val="single" w:sz="4" w:space="0" w:color="auto"/>
                    <w:left w:val="nil"/>
                    <w:bottom w:val="nil"/>
                    <w:right w:val="nil"/>
                  </w:tcBorders>
                  <w:vAlign w:val="center"/>
                </w:tcPr>
                <w:p w14:paraId="72BA90E6" w14:textId="77777777" w:rsidR="00285440" w:rsidRPr="00EB4495" w:rsidRDefault="00285440" w:rsidP="00896FEF">
                  <w:pPr>
                    <w:jc w:val="right"/>
                    <w:rPr>
                      <w:rFonts w:ascii="Arial" w:hAnsi="Arial" w:cs="Arial"/>
                      <w:b/>
                    </w:rPr>
                  </w:pPr>
                  <w:r w:rsidRPr="00EB4495">
                    <w:rPr>
                      <w:rFonts w:ascii="Arial" w:hAnsi="Arial" w:cs="Arial"/>
                      <w:b/>
                      <w:bCs/>
                    </w:rPr>
                    <w:t>Q2 21/22</w:t>
                  </w:r>
                </w:p>
              </w:tc>
              <w:tc>
                <w:tcPr>
                  <w:tcW w:w="620" w:type="pct"/>
                  <w:tcBorders>
                    <w:top w:val="single" w:sz="4" w:space="0" w:color="auto"/>
                    <w:left w:val="nil"/>
                    <w:bottom w:val="nil"/>
                    <w:right w:val="nil"/>
                  </w:tcBorders>
                  <w:vAlign w:val="center"/>
                </w:tcPr>
                <w:p w14:paraId="7A55CDF9" w14:textId="77777777" w:rsidR="00285440" w:rsidRPr="00EB4495" w:rsidRDefault="00285440" w:rsidP="00896FEF">
                  <w:pPr>
                    <w:jc w:val="right"/>
                    <w:rPr>
                      <w:rFonts w:ascii="Arial" w:hAnsi="Arial" w:cs="Arial"/>
                      <w:b/>
                    </w:rPr>
                  </w:pPr>
                  <w:r w:rsidRPr="00EB4495">
                    <w:rPr>
                      <w:rFonts w:ascii="Arial" w:hAnsi="Arial" w:cs="Arial"/>
                      <w:b/>
                      <w:bCs/>
                    </w:rPr>
                    <w:t>Q3 21/22</w:t>
                  </w:r>
                </w:p>
              </w:tc>
              <w:tc>
                <w:tcPr>
                  <w:tcW w:w="620" w:type="pct"/>
                  <w:tcBorders>
                    <w:top w:val="single" w:sz="4" w:space="0" w:color="auto"/>
                    <w:left w:val="nil"/>
                    <w:bottom w:val="nil"/>
                    <w:right w:val="nil"/>
                  </w:tcBorders>
                  <w:vAlign w:val="center"/>
                </w:tcPr>
                <w:p w14:paraId="48CBC490" w14:textId="77777777" w:rsidR="00285440" w:rsidRPr="00EB4495" w:rsidRDefault="00285440" w:rsidP="00896FEF">
                  <w:pPr>
                    <w:jc w:val="right"/>
                    <w:rPr>
                      <w:rFonts w:ascii="Arial" w:hAnsi="Arial" w:cs="Arial"/>
                      <w:b/>
                    </w:rPr>
                  </w:pPr>
                  <w:r w:rsidRPr="00EB4495">
                    <w:rPr>
                      <w:rFonts w:ascii="Arial" w:hAnsi="Arial" w:cs="Arial"/>
                      <w:b/>
                      <w:bCs/>
                    </w:rPr>
                    <w:t>Q4 21/22</w:t>
                  </w:r>
                </w:p>
              </w:tc>
              <w:tc>
                <w:tcPr>
                  <w:tcW w:w="640" w:type="pct"/>
                  <w:gridSpan w:val="2"/>
                  <w:tcBorders>
                    <w:top w:val="single" w:sz="4" w:space="0" w:color="auto"/>
                    <w:left w:val="nil"/>
                    <w:bottom w:val="nil"/>
                    <w:right w:val="nil"/>
                  </w:tcBorders>
                  <w:vAlign w:val="center"/>
                  <w:hideMark/>
                </w:tcPr>
                <w:p w14:paraId="4C40B2EF" w14:textId="77777777" w:rsidR="00285440" w:rsidRPr="00EB4495" w:rsidRDefault="00285440" w:rsidP="00896FEF">
                  <w:pPr>
                    <w:jc w:val="right"/>
                    <w:rPr>
                      <w:rFonts w:ascii="Arial" w:hAnsi="Arial" w:cs="Arial"/>
                      <w:b/>
                    </w:rPr>
                  </w:pPr>
                  <w:r w:rsidRPr="00EB4495">
                    <w:rPr>
                      <w:rFonts w:ascii="Arial" w:hAnsi="Arial" w:cs="Arial"/>
                      <w:b/>
                      <w:bCs/>
                    </w:rPr>
                    <w:t>FY 21/22</w:t>
                  </w:r>
                </w:p>
              </w:tc>
            </w:tr>
            <w:tr w:rsidR="00285440" w:rsidRPr="00EB4495" w14:paraId="5559B9AA" w14:textId="77777777" w:rsidTr="00896FEF">
              <w:trPr>
                <w:trHeight w:hRule="exact" w:val="311"/>
              </w:trPr>
              <w:tc>
                <w:tcPr>
                  <w:tcW w:w="1876" w:type="pct"/>
                  <w:tcBorders>
                    <w:top w:val="single" w:sz="4" w:space="0" w:color="auto"/>
                    <w:left w:val="nil"/>
                    <w:bottom w:val="nil"/>
                    <w:right w:val="nil"/>
                  </w:tcBorders>
                  <w:vAlign w:val="center"/>
                </w:tcPr>
                <w:p w14:paraId="28005001" w14:textId="77777777" w:rsidR="00285440" w:rsidRPr="00EB4495" w:rsidRDefault="00285440" w:rsidP="00896FEF">
                  <w:pPr>
                    <w:jc w:val="left"/>
                    <w:rPr>
                      <w:rFonts w:ascii="Arial" w:hAnsi="Arial" w:cs="Arial"/>
                      <w:b/>
                    </w:rPr>
                  </w:pPr>
                  <w:r w:rsidRPr="00EB4495">
                    <w:rPr>
                      <w:rFonts w:ascii="Arial" w:hAnsi="Arial" w:cs="Arial"/>
                      <w:b/>
                    </w:rPr>
                    <w:t>UK &amp; Ireland</w:t>
                  </w:r>
                </w:p>
              </w:tc>
              <w:tc>
                <w:tcPr>
                  <w:tcW w:w="622" w:type="pct"/>
                  <w:tcBorders>
                    <w:top w:val="single" w:sz="4" w:space="0" w:color="auto"/>
                    <w:left w:val="nil"/>
                    <w:bottom w:val="nil"/>
                    <w:right w:val="nil"/>
                  </w:tcBorders>
                  <w:vAlign w:val="center"/>
                </w:tcPr>
                <w:p w14:paraId="2F0A0BC8" w14:textId="77777777" w:rsidR="00285440" w:rsidRPr="00EB4495" w:rsidRDefault="00285440" w:rsidP="00896FEF">
                  <w:pPr>
                    <w:jc w:val="right"/>
                    <w:rPr>
                      <w:rFonts w:ascii="Arial" w:hAnsi="Arial" w:cs="Arial"/>
                      <w:b/>
                    </w:rPr>
                  </w:pPr>
                  <w:r w:rsidRPr="00EB4495">
                    <w:rPr>
                      <w:rFonts w:ascii="Arial" w:hAnsi="Arial" w:cs="Arial"/>
                      <w:b/>
                    </w:rPr>
                    <w:t>+38.6%</w:t>
                  </w:r>
                </w:p>
              </w:tc>
              <w:tc>
                <w:tcPr>
                  <w:tcW w:w="622" w:type="pct"/>
                  <w:tcBorders>
                    <w:top w:val="single" w:sz="4" w:space="0" w:color="auto"/>
                    <w:left w:val="nil"/>
                    <w:bottom w:val="nil"/>
                    <w:right w:val="nil"/>
                  </w:tcBorders>
                  <w:vAlign w:val="center"/>
                </w:tcPr>
                <w:p w14:paraId="2F72D432" w14:textId="77777777" w:rsidR="00285440" w:rsidRPr="00EB4495" w:rsidRDefault="00285440" w:rsidP="00896FEF">
                  <w:pPr>
                    <w:jc w:val="right"/>
                    <w:rPr>
                      <w:rFonts w:ascii="Arial" w:hAnsi="Arial" w:cs="Arial"/>
                      <w:b/>
                    </w:rPr>
                  </w:pPr>
                  <w:r w:rsidRPr="00EB4495">
                    <w:rPr>
                      <w:rFonts w:ascii="Arial" w:hAnsi="Arial" w:cs="Arial"/>
                      <w:b/>
                    </w:rPr>
                    <w:t>+24.1%</w:t>
                  </w:r>
                </w:p>
              </w:tc>
              <w:tc>
                <w:tcPr>
                  <w:tcW w:w="620" w:type="pct"/>
                  <w:tcBorders>
                    <w:top w:val="single" w:sz="4" w:space="0" w:color="auto"/>
                    <w:left w:val="nil"/>
                    <w:bottom w:val="nil"/>
                    <w:right w:val="nil"/>
                  </w:tcBorders>
                  <w:vAlign w:val="center"/>
                </w:tcPr>
                <w:p w14:paraId="63434227" w14:textId="77777777" w:rsidR="00285440" w:rsidRPr="00EB4495" w:rsidRDefault="00285440" w:rsidP="00896FEF">
                  <w:pPr>
                    <w:jc w:val="right"/>
                    <w:rPr>
                      <w:rFonts w:ascii="Arial" w:hAnsi="Arial" w:cs="Arial"/>
                      <w:b/>
                    </w:rPr>
                  </w:pPr>
                  <w:r w:rsidRPr="00EB4495">
                    <w:rPr>
                      <w:rFonts w:ascii="Arial" w:hAnsi="Arial" w:cs="Arial"/>
                      <w:b/>
                    </w:rPr>
                    <w:t>+15.7%</w:t>
                  </w:r>
                </w:p>
              </w:tc>
              <w:tc>
                <w:tcPr>
                  <w:tcW w:w="620" w:type="pct"/>
                  <w:tcBorders>
                    <w:top w:val="single" w:sz="4" w:space="0" w:color="auto"/>
                    <w:left w:val="nil"/>
                    <w:bottom w:val="nil"/>
                    <w:right w:val="nil"/>
                  </w:tcBorders>
                  <w:vAlign w:val="center"/>
                </w:tcPr>
                <w:p w14:paraId="264DB0A8" w14:textId="6103C8CB" w:rsidR="00285440" w:rsidRPr="00EB4495" w:rsidRDefault="00285440" w:rsidP="00896FEF">
                  <w:pPr>
                    <w:jc w:val="right"/>
                    <w:rPr>
                      <w:rFonts w:ascii="Arial" w:hAnsi="Arial" w:cs="Arial"/>
                      <w:b/>
                    </w:rPr>
                  </w:pPr>
                  <w:r w:rsidRPr="00EB4495">
                    <w:rPr>
                      <w:rFonts w:ascii="Arial" w:hAnsi="Arial" w:cs="Arial"/>
                      <w:b/>
                    </w:rPr>
                    <w:t>+</w:t>
                  </w:r>
                  <w:r w:rsidR="00F47B38" w:rsidRPr="00EB4495">
                    <w:rPr>
                      <w:rFonts w:ascii="Arial" w:hAnsi="Arial" w:cs="Arial"/>
                      <w:b/>
                    </w:rPr>
                    <w:t>16.0</w:t>
                  </w:r>
                  <w:r w:rsidRPr="00EB4495">
                    <w:rPr>
                      <w:rFonts w:ascii="Arial" w:hAnsi="Arial" w:cs="Arial"/>
                      <w:b/>
                    </w:rPr>
                    <w:t>%</w:t>
                  </w:r>
                </w:p>
              </w:tc>
              <w:tc>
                <w:tcPr>
                  <w:tcW w:w="640" w:type="pct"/>
                  <w:gridSpan w:val="2"/>
                  <w:tcBorders>
                    <w:top w:val="single" w:sz="4" w:space="0" w:color="auto"/>
                    <w:left w:val="nil"/>
                    <w:bottom w:val="nil"/>
                    <w:right w:val="nil"/>
                  </w:tcBorders>
                  <w:vAlign w:val="center"/>
                </w:tcPr>
                <w:p w14:paraId="0D7ED262" w14:textId="2A10C640" w:rsidR="00285440" w:rsidRPr="00EB4495" w:rsidRDefault="00285440" w:rsidP="00896FEF">
                  <w:pPr>
                    <w:jc w:val="right"/>
                    <w:rPr>
                      <w:rFonts w:ascii="Arial" w:hAnsi="Arial" w:cs="Arial"/>
                      <w:b/>
                    </w:rPr>
                  </w:pPr>
                  <w:r w:rsidRPr="00EB4495">
                    <w:rPr>
                      <w:rFonts w:ascii="Arial" w:hAnsi="Arial" w:cs="Arial"/>
                      <w:b/>
                    </w:rPr>
                    <w:t>+</w:t>
                  </w:r>
                  <w:r w:rsidR="00F47B38" w:rsidRPr="00EB4495">
                    <w:rPr>
                      <w:rFonts w:ascii="Arial" w:hAnsi="Arial" w:cs="Arial"/>
                      <w:b/>
                    </w:rPr>
                    <w:t>23.8</w:t>
                  </w:r>
                  <w:r w:rsidRPr="00EB4495">
                    <w:rPr>
                      <w:rFonts w:ascii="Arial" w:hAnsi="Arial" w:cs="Arial"/>
                      <w:b/>
                    </w:rPr>
                    <w:t>%</w:t>
                  </w:r>
                </w:p>
              </w:tc>
            </w:tr>
            <w:tr w:rsidR="00285440" w:rsidRPr="00EB4495" w14:paraId="10EB2EB4" w14:textId="77777777" w:rsidTr="00896FEF">
              <w:trPr>
                <w:trHeight w:hRule="exact" w:val="289"/>
              </w:trPr>
              <w:tc>
                <w:tcPr>
                  <w:tcW w:w="1876" w:type="pct"/>
                  <w:vAlign w:val="center"/>
                </w:tcPr>
                <w:p w14:paraId="6E349435" w14:textId="77777777" w:rsidR="00285440" w:rsidRPr="00EB4495" w:rsidRDefault="00285440" w:rsidP="00896FEF">
                  <w:pPr>
                    <w:jc w:val="left"/>
                    <w:rPr>
                      <w:rFonts w:ascii="Arial" w:hAnsi="Arial" w:cs="Arial"/>
                      <w:bCs/>
                    </w:rPr>
                  </w:pPr>
                  <w:r w:rsidRPr="00EB4495">
                    <w:rPr>
                      <w:rFonts w:ascii="Arial" w:hAnsi="Arial" w:cs="Arial"/>
                      <w:bCs/>
                    </w:rPr>
                    <w:t>- B&amp;Q</w:t>
                  </w:r>
                </w:p>
              </w:tc>
              <w:tc>
                <w:tcPr>
                  <w:tcW w:w="622" w:type="pct"/>
                  <w:vAlign w:val="center"/>
                </w:tcPr>
                <w:p w14:paraId="7226B335" w14:textId="77777777" w:rsidR="00285440" w:rsidRPr="00EB4495" w:rsidRDefault="00285440" w:rsidP="00896FEF">
                  <w:pPr>
                    <w:jc w:val="right"/>
                    <w:rPr>
                      <w:rFonts w:ascii="Arial" w:hAnsi="Arial" w:cs="Arial"/>
                      <w:bCs/>
                    </w:rPr>
                  </w:pPr>
                  <w:r w:rsidRPr="00EB4495">
                    <w:rPr>
                      <w:rFonts w:ascii="Arial" w:hAnsi="Arial" w:cs="Arial"/>
                      <w:color w:val="000000"/>
                    </w:rPr>
                    <w:t>+42.3%</w:t>
                  </w:r>
                </w:p>
              </w:tc>
              <w:tc>
                <w:tcPr>
                  <w:tcW w:w="622" w:type="pct"/>
                  <w:vAlign w:val="center"/>
                </w:tcPr>
                <w:p w14:paraId="51B5DF21" w14:textId="77777777" w:rsidR="00285440" w:rsidRPr="00EB4495" w:rsidRDefault="00285440" w:rsidP="00896FEF">
                  <w:pPr>
                    <w:jc w:val="right"/>
                    <w:rPr>
                      <w:rFonts w:ascii="Arial" w:hAnsi="Arial" w:cs="Arial"/>
                      <w:bCs/>
                    </w:rPr>
                  </w:pPr>
                  <w:r w:rsidRPr="00EB4495">
                    <w:rPr>
                      <w:rFonts w:ascii="Arial" w:hAnsi="Arial" w:cs="Arial"/>
                      <w:bCs/>
                    </w:rPr>
                    <w:t>+26.5%</w:t>
                  </w:r>
                </w:p>
              </w:tc>
              <w:tc>
                <w:tcPr>
                  <w:tcW w:w="620" w:type="pct"/>
                  <w:vAlign w:val="center"/>
                </w:tcPr>
                <w:p w14:paraId="493DDDF6" w14:textId="77777777" w:rsidR="00285440" w:rsidRPr="00EB4495" w:rsidRDefault="00285440" w:rsidP="00896FEF">
                  <w:pPr>
                    <w:jc w:val="right"/>
                    <w:rPr>
                      <w:rFonts w:ascii="Arial" w:hAnsi="Arial" w:cs="Arial"/>
                      <w:bCs/>
                    </w:rPr>
                  </w:pPr>
                  <w:r w:rsidRPr="00EB4495">
                    <w:rPr>
                      <w:rFonts w:ascii="Arial" w:hAnsi="Arial" w:cs="Arial"/>
                      <w:bCs/>
                    </w:rPr>
                    <w:t>+17.1%</w:t>
                  </w:r>
                </w:p>
              </w:tc>
              <w:tc>
                <w:tcPr>
                  <w:tcW w:w="620" w:type="pct"/>
                  <w:vAlign w:val="center"/>
                </w:tcPr>
                <w:p w14:paraId="65791290" w14:textId="13F72D6D" w:rsidR="00285440" w:rsidRPr="00EB4495" w:rsidRDefault="00285440" w:rsidP="00896FEF">
                  <w:pPr>
                    <w:jc w:val="right"/>
                    <w:rPr>
                      <w:rFonts w:ascii="Arial" w:hAnsi="Arial" w:cs="Arial"/>
                      <w:bCs/>
                    </w:rPr>
                  </w:pPr>
                  <w:r w:rsidRPr="00EB4495">
                    <w:rPr>
                      <w:rFonts w:ascii="Arial" w:hAnsi="Arial" w:cs="Arial"/>
                      <w:bCs/>
                    </w:rPr>
                    <w:t>+</w:t>
                  </w:r>
                  <w:r w:rsidR="00F47B38" w:rsidRPr="00EB4495">
                    <w:rPr>
                      <w:rFonts w:ascii="Arial" w:hAnsi="Arial" w:cs="Arial"/>
                      <w:bCs/>
                    </w:rPr>
                    <w:t>20.2</w:t>
                  </w:r>
                  <w:r w:rsidRPr="00EB4495">
                    <w:rPr>
                      <w:rFonts w:ascii="Arial" w:hAnsi="Arial" w:cs="Arial"/>
                      <w:bCs/>
                    </w:rPr>
                    <w:t>%</w:t>
                  </w:r>
                </w:p>
              </w:tc>
              <w:tc>
                <w:tcPr>
                  <w:tcW w:w="640" w:type="pct"/>
                  <w:gridSpan w:val="2"/>
                  <w:vAlign w:val="center"/>
                </w:tcPr>
                <w:p w14:paraId="70CA033D" w14:textId="7BE8E050" w:rsidR="00285440" w:rsidRPr="00EB4495" w:rsidRDefault="00285440" w:rsidP="00896FEF">
                  <w:pPr>
                    <w:jc w:val="right"/>
                    <w:rPr>
                      <w:rFonts w:ascii="Arial" w:hAnsi="Arial" w:cs="Arial"/>
                      <w:bCs/>
                    </w:rPr>
                  </w:pPr>
                  <w:r w:rsidRPr="00EB4495">
                    <w:rPr>
                      <w:rFonts w:ascii="Arial" w:hAnsi="Arial" w:cs="Arial"/>
                      <w:bCs/>
                    </w:rPr>
                    <w:t>+</w:t>
                  </w:r>
                  <w:r w:rsidR="00F47B38" w:rsidRPr="00EB4495">
                    <w:rPr>
                      <w:rFonts w:ascii="Arial" w:hAnsi="Arial" w:cs="Arial"/>
                      <w:bCs/>
                    </w:rPr>
                    <w:t>26.9</w:t>
                  </w:r>
                  <w:r w:rsidRPr="00EB4495">
                    <w:rPr>
                      <w:rFonts w:ascii="Arial" w:hAnsi="Arial" w:cs="Arial"/>
                      <w:bCs/>
                    </w:rPr>
                    <w:t>%</w:t>
                  </w:r>
                </w:p>
              </w:tc>
            </w:tr>
            <w:tr w:rsidR="00285440" w:rsidRPr="00EB4495" w14:paraId="50DE177D" w14:textId="77777777" w:rsidTr="00896FEF">
              <w:trPr>
                <w:trHeight w:hRule="exact" w:val="289"/>
              </w:trPr>
              <w:tc>
                <w:tcPr>
                  <w:tcW w:w="1876" w:type="pct"/>
                  <w:vAlign w:val="center"/>
                </w:tcPr>
                <w:p w14:paraId="296B6677" w14:textId="77777777" w:rsidR="00285440" w:rsidRPr="00EB4495" w:rsidRDefault="00285440" w:rsidP="00896FEF">
                  <w:pPr>
                    <w:jc w:val="left"/>
                    <w:rPr>
                      <w:rFonts w:ascii="Arial" w:hAnsi="Arial" w:cs="Arial"/>
                      <w:bCs/>
                    </w:rPr>
                  </w:pPr>
                  <w:r w:rsidRPr="00EB4495">
                    <w:rPr>
                      <w:rFonts w:ascii="Arial" w:hAnsi="Arial" w:cs="Arial"/>
                      <w:bCs/>
                    </w:rPr>
                    <w:t>- Screwfix</w:t>
                  </w:r>
                </w:p>
              </w:tc>
              <w:tc>
                <w:tcPr>
                  <w:tcW w:w="622" w:type="pct"/>
                  <w:vAlign w:val="center"/>
                </w:tcPr>
                <w:p w14:paraId="1846AA1E" w14:textId="77777777" w:rsidR="00285440" w:rsidRPr="00EB4495" w:rsidRDefault="00285440" w:rsidP="00896FEF">
                  <w:pPr>
                    <w:jc w:val="right"/>
                    <w:rPr>
                      <w:rFonts w:ascii="Arial" w:hAnsi="Arial" w:cs="Arial"/>
                      <w:bCs/>
                    </w:rPr>
                  </w:pPr>
                  <w:r w:rsidRPr="00EB4495">
                    <w:rPr>
                      <w:rFonts w:ascii="Arial" w:hAnsi="Arial" w:cs="Arial"/>
                      <w:color w:val="000000"/>
                    </w:rPr>
                    <w:t>+32.5%</w:t>
                  </w:r>
                </w:p>
              </w:tc>
              <w:tc>
                <w:tcPr>
                  <w:tcW w:w="622" w:type="pct"/>
                  <w:vAlign w:val="center"/>
                </w:tcPr>
                <w:p w14:paraId="69F8EDEE" w14:textId="77777777" w:rsidR="00285440" w:rsidRPr="00EB4495" w:rsidRDefault="00285440" w:rsidP="00896FEF">
                  <w:pPr>
                    <w:jc w:val="right"/>
                    <w:rPr>
                      <w:rFonts w:ascii="Arial" w:hAnsi="Arial" w:cs="Arial"/>
                      <w:bCs/>
                    </w:rPr>
                  </w:pPr>
                  <w:r w:rsidRPr="00EB4495">
                    <w:rPr>
                      <w:rFonts w:ascii="Arial" w:hAnsi="Arial" w:cs="Arial"/>
                      <w:bCs/>
                    </w:rPr>
                    <w:t>+18.7%</w:t>
                  </w:r>
                </w:p>
              </w:tc>
              <w:tc>
                <w:tcPr>
                  <w:tcW w:w="620" w:type="pct"/>
                  <w:vAlign w:val="center"/>
                </w:tcPr>
                <w:p w14:paraId="0DCCA3AC" w14:textId="77777777" w:rsidR="00285440" w:rsidRPr="00EB4495" w:rsidRDefault="00285440" w:rsidP="00896FEF">
                  <w:pPr>
                    <w:jc w:val="right"/>
                    <w:rPr>
                      <w:rFonts w:ascii="Arial" w:hAnsi="Arial" w:cs="Arial"/>
                      <w:bCs/>
                    </w:rPr>
                  </w:pPr>
                  <w:r w:rsidRPr="00EB4495">
                    <w:rPr>
                      <w:rFonts w:ascii="Arial" w:hAnsi="Arial" w:cs="Arial"/>
                      <w:bCs/>
                    </w:rPr>
                    <w:t>+13.0%</w:t>
                  </w:r>
                </w:p>
              </w:tc>
              <w:tc>
                <w:tcPr>
                  <w:tcW w:w="620" w:type="pct"/>
                  <w:vAlign w:val="center"/>
                </w:tcPr>
                <w:p w14:paraId="7EAFB9A6" w14:textId="06E9CA07" w:rsidR="00285440" w:rsidRPr="00EB4495" w:rsidRDefault="00285440" w:rsidP="00896FEF">
                  <w:pPr>
                    <w:jc w:val="right"/>
                    <w:rPr>
                      <w:rFonts w:ascii="Arial" w:hAnsi="Arial" w:cs="Arial"/>
                      <w:bCs/>
                    </w:rPr>
                  </w:pPr>
                  <w:r w:rsidRPr="00EB4495">
                    <w:rPr>
                      <w:rFonts w:ascii="Arial" w:hAnsi="Arial" w:cs="Arial"/>
                      <w:bCs/>
                    </w:rPr>
                    <w:t>+</w:t>
                  </w:r>
                  <w:r w:rsidR="00F47B38" w:rsidRPr="00EB4495">
                    <w:rPr>
                      <w:rFonts w:ascii="Arial" w:hAnsi="Arial" w:cs="Arial"/>
                      <w:bCs/>
                    </w:rPr>
                    <w:t>9.9</w:t>
                  </w:r>
                  <w:r w:rsidRPr="00EB4495">
                    <w:rPr>
                      <w:rFonts w:ascii="Arial" w:hAnsi="Arial" w:cs="Arial"/>
                      <w:bCs/>
                    </w:rPr>
                    <w:t>%</w:t>
                  </w:r>
                </w:p>
              </w:tc>
              <w:tc>
                <w:tcPr>
                  <w:tcW w:w="640" w:type="pct"/>
                  <w:gridSpan w:val="2"/>
                  <w:vAlign w:val="center"/>
                </w:tcPr>
                <w:p w14:paraId="3672100A" w14:textId="598F4BA2" w:rsidR="00285440" w:rsidRPr="00EB4495" w:rsidRDefault="00285440" w:rsidP="00896FEF">
                  <w:pPr>
                    <w:jc w:val="right"/>
                    <w:rPr>
                      <w:rFonts w:ascii="Arial" w:hAnsi="Arial" w:cs="Arial"/>
                      <w:bCs/>
                    </w:rPr>
                  </w:pPr>
                  <w:r w:rsidRPr="00EB4495">
                    <w:rPr>
                      <w:rFonts w:ascii="Arial" w:hAnsi="Arial" w:cs="Arial"/>
                      <w:bCs/>
                    </w:rPr>
                    <w:t>+</w:t>
                  </w:r>
                  <w:r w:rsidR="00F47B38" w:rsidRPr="00EB4495">
                    <w:rPr>
                      <w:rFonts w:ascii="Arial" w:hAnsi="Arial" w:cs="Arial"/>
                      <w:bCs/>
                    </w:rPr>
                    <w:t>18.2</w:t>
                  </w:r>
                  <w:r w:rsidRPr="00EB4495">
                    <w:rPr>
                      <w:rFonts w:ascii="Arial" w:hAnsi="Arial" w:cs="Arial"/>
                      <w:bCs/>
                    </w:rPr>
                    <w:t>%</w:t>
                  </w:r>
                </w:p>
              </w:tc>
            </w:tr>
            <w:tr w:rsidR="00285440" w:rsidRPr="00EB4495" w14:paraId="5064A528" w14:textId="77777777" w:rsidTr="00896FEF">
              <w:trPr>
                <w:trHeight w:hRule="exact" w:val="289"/>
              </w:trPr>
              <w:tc>
                <w:tcPr>
                  <w:tcW w:w="1876" w:type="pct"/>
                  <w:vAlign w:val="center"/>
                  <w:hideMark/>
                </w:tcPr>
                <w:p w14:paraId="7337F7AA" w14:textId="77777777" w:rsidR="00285440" w:rsidRPr="00EB4495" w:rsidRDefault="00285440" w:rsidP="00896FEF">
                  <w:pPr>
                    <w:jc w:val="left"/>
                    <w:rPr>
                      <w:rFonts w:ascii="Arial" w:hAnsi="Arial" w:cs="Arial"/>
                      <w:b/>
                    </w:rPr>
                  </w:pPr>
                  <w:r w:rsidRPr="00EB4495">
                    <w:rPr>
                      <w:rFonts w:ascii="Arial" w:hAnsi="Arial" w:cs="Arial"/>
                      <w:b/>
                    </w:rPr>
                    <w:t>France</w:t>
                  </w:r>
                </w:p>
              </w:tc>
              <w:tc>
                <w:tcPr>
                  <w:tcW w:w="622" w:type="pct"/>
                  <w:vAlign w:val="center"/>
                  <w:hideMark/>
                </w:tcPr>
                <w:p w14:paraId="45252C1E" w14:textId="77777777" w:rsidR="00285440" w:rsidRPr="00EB4495" w:rsidRDefault="00285440" w:rsidP="00896FEF">
                  <w:pPr>
                    <w:jc w:val="right"/>
                    <w:rPr>
                      <w:rFonts w:ascii="Arial" w:hAnsi="Arial" w:cs="Arial"/>
                      <w:b/>
                    </w:rPr>
                  </w:pPr>
                  <w:r w:rsidRPr="00EB4495">
                    <w:rPr>
                      <w:rFonts w:ascii="Arial" w:hAnsi="Arial" w:cs="Arial"/>
                      <w:b/>
                    </w:rPr>
                    <w:t>+18.1%</w:t>
                  </w:r>
                </w:p>
              </w:tc>
              <w:tc>
                <w:tcPr>
                  <w:tcW w:w="622" w:type="pct"/>
                  <w:vAlign w:val="center"/>
                </w:tcPr>
                <w:p w14:paraId="3E1A6260" w14:textId="77777777" w:rsidR="00285440" w:rsidRPr="00EB4495" w:rsidRDefault="00285440" w:rsidP="00896FEF">
                  <w:pPr>
                    <w:jc w:val="right"/>
                    <w:rPr>
                      <w:rFonts w:ascii="Arial" w:hAnsi="Arial" w:cs="Arial"/>
                      <w:b/>
                    </w:rPr>
                  </w:pPr>
                  <w:r w:rsidRPr="00EB4495">
                    <w:rPr>
                      <w:rFonts w:ascii="Arial" w:hAnsi="Arial" w:cs="Arial"/>
                      <w:b/>
                    </w:rPr>
                    <w:t>+16.4%</w:t>
                  </w:r>
                </w:p>
              </w:tc>
              <w:tc>
                <w:tcPr>
                  <w:tcW w:w="620" w:type="pct"/>
                  <w:vAlign w:val="center"/>
                </w:tcPr>
                <w:p w14:paraId="153CD0CC" w14:textId="77777777" w:rsidR="00285440" w:rsidRPr="00EB4495" w:rsidRDefault="00285440" w:rsidP="00896FEF">
                  <w:pPr>
                    <w:jc w:val="right"/>
                    <w:rPr>
                      <w:rFonts w:ascii="Arial" w:hAnsi="Arial" w:cs="Arial"/>
                      <w:b/>
                    </w:rPr>
                  </w:pPr>
                  <w:r w:rsidRPr="00EB4495">
                    <w:rPr>
                      <w:rFonts w:ascii="Arial" w:hAnsi="Arial" w:cs="Arial"/>
                      <w:b/>
                    </w:rPr>
                    <w:t>+14.1%</w:t>
                  </w:r>
                </w:p>
              </w:tc>
              <w:tc>
                <w:tcPr>
                  <w:tcW w:w="620" w:type="pct"/>
                  <w:vAlign w:val="center"/>
                </w:tcPr>
                <w:p w14:paraId="5922E65E" w14:textId="7C788C08" w:rsidR="00285440" w:rsidRPr="00EB4495" w:rsidRDefault="00285440" w:rsidP="00896FEF">
                  <w:pPr>
                    <w:jc w:val="right"/>
                    <w:rPr>
                      <w:rFonts w:ascii="Arial" w:hAnsi="Arial" w:cs="Arial"/>
                      <w:b/>
                    </w:rPr>
                  </w:pPr>
                  <w:r w:rsidRPr="00EB4495">
                    <w:rPr>
                      <w:rFonts w:ascii="Arial" w:hAnsi="Arial" w:cs="Arial"/>
                      <w:b/>
                    </w:rPr>
                    <w:t>+</w:t>
                  </w:r>
                  <w:r w:rsidR="00F47B38" w:rsidRPr="00EB4495">
                    <w:rPr>
                      <w:rFonts w:ascii="Arial" w:hAnsi="Arial" w:cs="Arial"/>
                      <w:b/>
                    </w:rPr>
                    <w:t>10.5</w:t>
                  </w:r>
                  <w:r w:rsidRPr="00EB4495">
                    <w:rPr>
                      <w:rFonts w:ascii="Arial" w:hAnsi="Arial" w:cs="Arial"/>
                      <w:b/>
                    </w:rPr>
                    <w:t>%</w:t>
                  </w:r>
                </w:p>
              </w:tc>
              <w:tc>
                <w:tcPr>
                  <w:tcW w:w="640" w:type="pct"/>
                  <w:gridSpan w:val="2"/>
                  <w:vAlign w:val="center"/>
                  <w:hideMark/>
                </w:tcPr>
                <w:p w14:paraId="2AEC9032" w14:textId="4C89FC93" w:rsidR="00285440" w:rsidRPr="00EB4495" w:rsidRDefault="00285440" w:rsidP="00896FEF">
                  <w:pPr>
                    <w:jc w:val="right"/>
                    <w:rPr>
                      <w:rFonts w:ascii="Arial" w:hAnsi="Arial" w:cs="Arial"/>
                      <w:b/>
                    </w:rPr>
                  </w:pPr>
                  <w:r w:rsidRPr="00EB4495">
                    <w:rPr>
                      <w:rFonts w:ascii="Arial" w:hAnsi="Arial" w:cs="Arial"/>
                      <w:b/>
                    </w:rPr>
                    <w:t>+</w:t>
                  </w:r>
                  <w:r w:rsidR="00F47B38" w:rsidRPr="00EB4495">
                    <w:rPr>
                      <w:rFonts w:ascii="Arial" w:hAnsi="Arial" w:cs="Arial"/>
                      <w:b/>
                    </w:rPr>
                    <w:t>14.8</w:t>
                  </w:r>
                  <w:r w:rsidRPr="00EB4495">
                    <w:rPr>
                      <w:rFonts w:ascii="Arial" w:hAnsi="Arial" w:cs="Arial"/>
                      <w:b/>
                    </w:rPr>
                    <w:t>%</w:t>
                  </w:r>
                </w:p>
              </w:tc>
            </w:tr>
            <w:tr w:rsidR="00285440" w:rsidRPr="00EB4495" w14:paraId="0736996A" w14:textId="77777777" w:rsidTr="00896FEF">
              <w:trPr>
                <w:trHeight w:hRule="exact" w:val="294"/>
              </w:trPr>
              <w:tc>
                <w:tcPr>
                  <w:tcW w:w="1876" w:type="pct"/>
                  <w:vAlign w:val="center"/>
                </w:tcPr>
                <w:p w14:paraId="4020C4F3" w14:textId="77777777" w:rsidR="00285440" w:rsidRPr="00EB4495" w:rsidRDefault="00285440" w:rsidP="00896FEF">
                  <w:pPr>
                    <w:jc w:val="left"/>
                    <w:rPr>
                      <w:rFonts w:ascii="Arial" w:hAnsi="Arial" w:cs="Arial"/>
                      <w:bCs/>
                    </w:rPr>
                  </w:pPr>
                  <w:r w:rsidRPr="00EB4495">
                    <w:rPr>
                      <w:rFonts w:ascii="Arial" w:hAnsi="Arial" w:cs="Arial"/>
                      <w:bCs/>
                    </w:rPr>
                    <w:t>- Castorama</w:t>
                  </w:r>
                </w:p>
              </w:tc>
              <w:tc>
                <w:tcPr>
                  <w:tcW w:w="622" w:type="pct"/>
                  <w:vAlign w:val="center"/>
                </w:tcPr>
                <w:p w14:paraId="44307AD0" w14:textId="77777777" w:rsidR="00285440" w:rsidRPr="00EB4495" w:rsidRDefault="00285440" w:rsidP="00896FEF">
                  <w:pPr>
                    <w:jc w:val="right"/>
                    <w:rPr>
                      <w:rFonts w:ascii="Arial" w:hAnsi="Arial" w:cs="Arial"/>
                      <w:bCs/>
                    </w:rPr>
                  </w:pPr>
                  <w:r w:rsidRPr="00EB4495">
                    <w:rPr>
                      <w:rFonts w:ascii="Arial" w:hAnsi="Arial" w:cs="Arial"/>
                      <w:color w:val="000000"/>
                    </w:rPr>
                    <w:t>+13.9%</w:t>
                  </w:r>
                </w:p>
              </w:tc>
              <w:tc>
                <w:tcPr>
                  <w:tcW w:w="622" w:type="pct"/>
                  <w:vAlign w:val="center"/>
                </w:tcPr>
                <w:p w14:paraId="12E463EB" w14:textId="77777777" w:rsidR="00285440" w:rsidRPr="00EB4495" w:rsidRDefault="00285440" w:rsidP="00896FEF">
                  <w:pPr>
                    <w:jc w:val="right"/>
                    <w:rPr>
                      <w:rFonts w:ascii="Arial" w:hAnsi="Arial" w:cs="Arial"/>
                      <w:bCs/>
                    </w:rPr>
                  </w:pPr>
                  <w:r w:rsidRPr="00EB4495">
                    <w:rPr>
                      <w:rFonts w:ascii="Arial" w:hAnsi="Arial" w:cs="Arial"/>
                      <w:bCs/>
                    </w:rPr>
                    <w:t>+14.7%</w:t>
                  </w:r>
                </w:p>
              </w:tc>
              <w:tc>
                <w:tcPr>
                  <w:tcW w:w="620" w:type="pct"/>
                  <w:vAlign w:val="center"/>
                </w:tcPr>
                <w:p w14:paraId="5ED9E67E" w14:textId="77777777" w:rsidR="00285440" w:rsidRPr="00EB4495" w:rsidRDefault="00285440" w:rsidP="00896FEF">
                  <w:pPr>
                    <w:jc w:val="right"/>
                    <w:rPr>
                      <w:rFonts w:ascii="Arial" w:hAnsi="Arial" w:cs="Arial"/>
                      <w:bCs/>
                    </w:rPr>
                  </w:pPr>
                  <w:r w:rsidRPr="00EB4495">
                    <w:rPr>
                      <w:rFonts w:ascii="Arial" w:hAnsi="Arial" w:cs="Arial"/>
                      <w:bCs/>
                    </w:rPr>
                    <w:t>+15.7%</w:t>
                  </w:r>
                </w:p>
              </w:tc>
              <w:tc>
                <w:tcPr>
                  <w:tcW w:w="620" w:type="pct"/>
                  <w:vAlign w:val="center"/>
                </w:tcPr>
                <w:p w14:paraId="686C4B7C" w14:textId="1E98E698" w:rsidR="00285440" w:rsidRPr="00EB4495" w:rsidRDefault="00285440" w:rsidP="00896FEF">
                  <w:pPr>
                    <w:jc w:val="right"/>
                    <w:rPr>
                      <w:rFonts w:ascii="Arial" w:hAnsi="Arial" w:cs="Arial"/>
                      <w:bCs/>
                    </w:rPr>
                  </w:pPr>
                  <w:r w:rsidRPr="00EB4495">
                    <w:rPr>
                      <w:rFonts w:ascii="Arial" w:hAnsi="Arial" w:cs="Arial"/>
                      <w:bCs/>
                    </w:rPr>
                    <w:t>+</w:t>
                  </w:r>
                  <w:r w:rsidR="00F47B38" w:rsidRPr="00EB4495">
                    <w:rPr>
                      <w:rFonts w:ascii="Arial" w:hAnsi="Arial" w:cs="Arial"/>
                      <w:bCs/>
                    </w:rPr>
                    <w:t>12.0</w:t>
                  </w:r>
                  <w:r w:rsidRPr="00EB4495">
                    <w:rPr>
                      <w:rFonts w:ascii="Arial" w:hAnsi="Arial" w:cs="Arial"/>
                      <w:bCs/>
                    </w:rPr>
                    <w:t>%</w:t>
                  </w:r>
                </w:p>
              </w:tc>
              <w:tc>
                <w:tcPr>
                  <w:tcW w:w="640" w:type="pct"/>
                  <w:gridSpan w:val="2"/>
                  <w:vAlign w:val="center"/>
                </w:tcPr>
                <w:p w14:paraId="1D98BA7A" w14:textId="5DD5DE0A" w:rsidR="00285440" w:rsidRPr="00EB4495" w:rsidRDefault="00285440" w:rsidP="00896FEF">
                  <w:pPr>
                    <w:jc w:val="right"/>
                    <w:rPr>
                      <w:rFonts w:ascii="Arial" w:hAnsi="Arial" w:cs="Arial"/>
                      <w:bCs/>
                    </w:rPr>
                  </w:pPr>
                  <w:r w:rsidRPr="00EB4495">
                    <w:rPr>
                      <w:rFonts w:ascii="Arial" w:hAnsi="Arial" w:cs="Arial"/>
                      <w:bCs/>
                    </w:rPr>
                    <w:t>+</w:t>
                  </w:r>
                  <w:r w:rsidR="00F47B38" w:rsidRPr="00EB4495">
                    <w:rPr>
                      <w:rFonts w:ascii="Arial" w:hAnsi="Arial" w:cs="Arial"/>
                      <w:bCs/>
                    </w:rPr>
                    <w:t>13.9</w:t>
                  </w:r>
                  <w:r w:rsidRPr="00EB4495">
                    <w:rPr>
                      <w:rFonts w:ascii="Arial" w:hAnsi="Arial" w:cs="Arial"/>
                      <w:bCs/>
                    </w:rPr>
                    <w:t>%</w:t>
                  </w:r>
                </w:p>
              </w:tc>
            </w:tr>
            <w:tr w:rsidR="00285440" w:rsidRPr="00EB4495" w14:paraId="4BA97639" w14:textId="77777777" w:rsidTr="00896FEF">
              <w:trPr>
                <w:trHeight w:hRule="exact" w:val="294"/>
              </w:trPr>
              <w:tc>
                <w:tcPr>
                  <w:tcW w:w="1876" w:type="pct"/>
                  <w:vAlign w:val="center"/>
                </w:tcPr>
                <w:p w14:paraId="54A828BC" w14:textId="77777777" w:rsidR="00285440" w:rsidRPr="00EB4495" w:rsidRDefault="00285440" w:rsidP="00896FEF">
                  <w:pPr>
                    <w:jc w:val="left"/>
                    <w:rPr>
                      <w:rFonts w:ascii="Arial" w:hAnsi="Arial" w:cs="Arial"/>
                      <w:bCs/>
                    </w:rPr>
                  </w:pPr>
                  <w:r w:rsidRPr="00EB4495">
                    <w:rPr>
                      <w:rFonts w:ascii="Arial" w:hAnsi="Arial" w:cs="Arial"/>
                      <w:bCs/>
                    </w:rPr>
                    <w:t>- Brico Dépôt</w:t>
                  </w:r>
                </w:p>
              </w:tc>
              <w:tc>
                <w:tcPr>
                  <w:tcW w:w="622" w:type="pct"/>
                  <w:vAlign w:val="center"/>
                </w:tcPr>
                <w:p w14:paraId="522F9B19" w14:textId="77777777" w:rsidR="00285440" w:rsidRPr="00EB4495" w:rsidRDefault="00285440" w:rsidP="00896FEF">
                  <w:pPr>
                    <w:jc w:val="right"/>
                    <w:rPr>
                      <w:rFonts w:ascii="Arial" w:hAnsi="Arial" w:cs="Arial"/>
                      <w:bCs/>
                    </w:rPr>
                  </w:pPr>
                  <w:r w:rsidRPr="00EB4495">
                    <w:rPr>
                      <w:rFonts w:ascii="Arial" w:hAnsi="Arial" w:cs="Arial"/>
                      <w:color w:val="000000"/>
                    </w:rPr>
                    <w:t>+22.7%</w:t>
                  </w:r>
                </w:p>
              </w:tc>
              <w:tc>
                <w:tcPr>
                  <w:tcW w:w="622" w:type="pct"/>
                  <w:vAlign w:val="center"/>
                </w:tcPr>
                <w:p w14:paraId="075DF004" w14:textId="77777777" w:rsidR="00285440" w:rsidRPr="00EB4495" w:rsidRDefault="00285440" w:rsidP="00896FEF">
                  <w:pPr>
                    <w:jc w:val="right"/>
                    <w:rPr>
                      <w:rFonts w:ascii="Arial" w:hAnsi="Arial" w:cs="Arial"/>
                      <w:bCs/>
                    </w:rPr>
                  </w:pPr>
                  <w:r w:rsidRPr="00EB4495">
                    <w:rPr>
                      <w:rFonts w:ascii="Arial" w:hAnsi="Arial" w:cs="Arial"/>
                      <w:bCs/>
                    </w:rPr>
                    <w:t>+18.4%</w:t>
                  </w:r>
                </w:p>
              </w:tc>
              <w:tc>
                <w:tcPr>
                  <w:tcW w:w="620" w:type="pct"/>
                  <w:vAlign w:val="center"/>
                </w:tcPr>
                <w:p w14:paraId="39CD8C71" w14:textId="77777777" w:rsidR="00285440" w:rsidRPr="00EB4495" w:rsidRDefault="00285440" w:rsidP="00896FEF">
                  <w:pPr>
                    <w:jc w:val="right"/>
                    <w:rPr>
                      <w:rFonts w:ascii="Arial" w:hAnsi="Arial" w:cs="Arial"/>
                      <w:bCs/>
                    </w:rPr>
                  </w:pPr>
                  <w:r w:rsidRPr="00EB4495">
                    <w:rPr>
                      <w:rFonts w:ascii="Arial" w:hAnsi="Arial" w:cs="Arial"/>
                      <w:bCs/>
                    </w:rPr>
                    <w:t>+12.4%</w:t>
                  </w:r>
                </w:p>
              </w:tc>
              <w:tc>
                <w:tcPr>
                  <w:tcW w:w="620" w:type="pct"/>
                  <w:vAlign w:val="center"/>
                </w:tcPr>
                <w:p w14:paraId="1D918D5D" w14:textId="0B0ACED1" w:rsidR="00285440" w:rsidRPr="00EB4495" w:rsidRDefault="00285440" w:rsidP="00896FEF">
                  <w:pPr>
                    <w:jc w:val="right"/>
                    <w:rPr>
                      <w:rFonts w:ascii="Arial" w:hAnsi="Arial" w:cs="Arial"/>
                      <w:bCs/>
                    </w:rPr>
                  </w:pPr>
                  <w:r w:rsidRPr="00EB4495">
                    <w:rPr>
                      <w:rFonts w:ascii="Arial" w:hAnsi="Arial" w:cs="Arial"/>
                      <w:bCs/>
                    </w:rPr>
                    <w:t>+</w:t>
                  </w:r>
                  <w:r w:rsidR="00F47B38" w:rsidRPr="00EB4495">
                    <w:rPr>
                      <w:rFonts w:ascii="Arial" w:hAnsi="Arial" w:cs="Arial"/>
                      <w:bCs/>
                    </w:rPr>
                    <w:t>9.0</w:t>
                  </w:r>
                  <w:r w:rsidRPr="00EB4495">
                    <w:rPr>
                      <w:rFonts w:ascii="Arial" w:hAnsi="Arial" w:cs="Arial"/>
                      <w:bCs/>
                    </w:rPr>
                    <w:t>%</w:t>
                  </w:r>
                </w:p>
              </w:tc>
              <w:tc>
                <w:tcPr>
                  <w:tcW w:w="640" w:type="pct"/>
                  <w:gridSpan w:val="2"/>
                  <w:vAlign w:val="center"/>
                </w:tcPr>
                <w:p w14:paraId="73E8F91B" w14:textId="551A2864" w:rsidR="00285440" w:rsidRPr="00EB4495" w:rsidRDefault="00285440" w:rsidP="00896FEF">
                  <w:pPr>
                    <w:jc w:val="right"/>
                    <w:rPr>
                      <w:rFonts w:ascii="Arial" w:hAnsi="Arial" w:cs="Arial"/>
                      <w:bCs/>
                    </w:rPr>
                  </w:pPr>
                  <w:r w:rsidRPr="00EB4495">
                    <w:rPr>
                      <w:rFonts w:ascii="Arial" w:hAnsi="Arial" w:cs="Arial"/>
                      <w:bCs/>
                    </w:rPr>
                    <w:t>+</w:t>
                  </w:r>
                  <w:r w:rsidR="00F47B38" w:rsidRPr="00EB4495">
                    <w:rPr>
                      <w:rFonts w:ascii="Arial" w:hAnsi="Arial" w:cs="Arial"/>
                      <w:bCs/>
                    </w:rPr>
                    <w:t>15.9</w:t>
                  </w:r>
                  <w:r w:rsidRPr="00EB4495">
                    <w:rPr>
                      <w:rFonts w:ascii="Arial" w:hAnsi="Arial" w:cs="Arial"/>
                      <w:bCs/>
                    </w:rPr>
                    <w:t>%</w:t>
                  </w:r>
                </w:p>
              </w:tc>
            </w:tr>
            <w:tr w:rsidR="00285440" w:rsidRPr="00EB4495" w14:paraId="1C6B2AE2" w14:textId="77777777" w:rsidTr="00896FEF">
              <w:trPr>
                <w:trHeight w:hRule="exact" w:val="294"/>
              </w:trPr>
              <w:tc>
                <w:tcPr>
                  <w:tcW w:w="1876" w:type="pct"/>
                  <w:vAlign w:val="center"/>
                </w:tcPr>
                <w:p w14:paraId="3F293476" w14:textId="77777777" w:rsidR="00285440" w:rsidRPr="00EB4495" w:rsidRDefault="00285440" w:rsidP="00896FEF">
                  <w:pPr>
                    <w:jc w:val="left"/>
                    <w:rPr>
                      <w:rFonts w:ascii="Arial" w:hAnsi="Arial" w:cs="Arial"/>
                      <w:b/>
                    </w:rPr>
                  </w:pPr>
                  <w:r w:rsidRPr="00EB4495">
                    <w:rPr>
                      <w:rFonts w:ascii="Arial" w:hAnsi="Arial" w:cs="Arial"/>
                      <w:b/>
                    </w:rPr>
                    <w:t>Other International</w:t>
                  </w:r>
                </w:p>
              </w:tc>
              <w:tc>
                <w:tcPr>
                  <w:tcW w:w="622" w:type="pct"/>
                  <w:vAlign w:val="center"/>
                </w:tcPr>
                <w:p w14:paraId="2ACE5ED9" w14:textId="77777777" w:rsidR="00285440" w:rsidRPr="00EB4495" w:rsidRDefault="00285440" w:rsidP="00896FEF">
                  <w:pPr>
                    <w:jc w:val="right"/>
                    <w:rPr>
                      <w:rFonts w:ascii="Arial" w:hAnsi="Arial" w:cs="Arial"/>
                      <w:b/>
                    </w:rPr>
                  </w:pPr>
                  <w:r w:rsidRPr="00EB4495">
                    <w:rPr>
                      <w:rFonts w:ascii="Arial" w:hAnsi="Arial" w:cs="Arial"/>
                      <w:b/>
                    </w:rPr>
                    <w:t>(11.0)%</w:t>
                  </w:r>
                </w:p>
              </w:tc>
              <w:tc>
                <w:tcPr>
                  <w:tcW w:w="622" w:type="pct"/>
                  <w:vAlign w:val="center"/>
                </w:tcPr>
                <w:p w14:paraId="4A19655A" w14:textId="77777777" w:rsidR="00285440" w:rsidRPr="00EB4495" w:rsidRDefault="00285440" w:rsidP="00896FEF">
                  <w:pPr>
                    <w:jc w:val="right"/>
                    <w:rPr>
                      <w:rFonts w:ascii="Arial" w:hAnsi="Arial" w:cs="Arial"/>
                      <w:b/>
                    </w:rPr>
                  </w:pPr>
                  <w:r w:rsidRPr="00EB4495">
                    <w:rPr>
                      <w:rFonts w:ascii="Arial" w:hAnsi="Arial" w:cs="Arial"/>
                      <w:b/>
                    </w:rPr>
                    <w:t>+16.3%</w:t>
                  </w:r>
                </w:p>
              </w:tc>
              <w:tc>
                <w:tcPr>
                  <w:tcW w:w="620" w:type="pct"/>
                  <w:vAlign w:val="center"/>
                </w:tcPr>
                <w:p w14:paraId="4B520237" w14:textId="77777777" w:rsidR="00285440" w:rsidRPr="00EB4495" w:rsidRDefault="00285440" w:rsidP="00896FEF">
                  <w:pPr>
                    <w:jc w:val="right"/>
                    <w:rPr>
                      <w:rFonts w:ascii="Arial" w:hAnsi="Arial" w:cs="Arial"/>
                      <w:b/>
                    </w:rPr>
                  </w:pPr>
                  <w:r w:rsidRPr="00EB4495">
                    <w:rPr>
                      <w:rFonts w:ascii="Arial" w:hAnsi="Arial" w:cs="Arial"/>
                      <w:b/>
                    </w:rPr>
                    <w:t>+15.3%</w:t>
                  </w:r>
                </w:p>
              </w:tc>
              <w:tc>
                <w:tcPr>
                  <w:tcW w:w="620" w:type="pct"/>
                  <w:vAlign w:val="center"/>
                </w:tcPr>
                <w:p w14:paraId="242BCDA0" w14:textId="50AC205A" w:rsidR="00285440" w:rsidRPr="00EB4495" w:rsidRDefault="00285440" w:rsidP="00896FEF">
                  <w:pPr>
                    <w:jc w:val="right"/>
                    <w:rPr>
                      <w:rFonts w:ascii="Arial" w:hAnsi="Arial" w:cs="Arial"/>
                      <w:b/>
                    </w:rPr>
                  </w:pPr>
                  <w:r w:rsidRPr="00EB4495">
                    <w:rPr>
                      <w:rFonts w:ascii="Arial" w:hAnsi="Arial" w:cs="Arial"/>
                      <w:b/>
                    </w:rPr>
                    <w:t>+</w:t>
                  </w:r>
                  <w:r w:rsidR="00F47B38" w:rsidRPr="00EB4495">
                    <w:rPr>
                      <w:rFonts w:ascii="Arial" w:hAnsi="Arial" w:cs="Arial"/>
                      <w:b/>
                    </w:rPr>
                    <w:t>13.8</w:t>
                  </w:r>
                  <w:r w:rsidRPr="00EB4495">
                    <w:rPr>
                      <w:rFonts w:ascii="Arial" w:hAnsi="Arial" w:cs="Arial"/>
                      <w:b/>
                    </w:rPr>
                    <w:t>%</w:t>
                  </w:r>
                </w:p>
              </w:tc>
              <w:tc>
                <w:tcPr>
                  <w:tcW w:w="640" w:type="pct"/>
                  <w:gridSpan w:val="2"/>
                  <w:vAlign w:val="center"/>
                </w:tcPr>
                <w:p w14:paraId="3F7C3E34" w14:textId="48D70108" w:rsidR="00285440" w:rsidRPr="00EB4495" w:rsidRDefault="00285440" w:rsidP="00896FEF">
                  <w:pPr>
                    <w:jc w:val="right"/>
                    <w:rPr>
                      <w:rFonts w:ascii="Arial" w:hAnsi="Arial" w:cs="Arial"/>
                      <w:b/>
                    </w:rPr>
                  </w:pPr>
                  <w:r w:rsidRPr="00EB4495">
                    <w:rPr>
                      <w:rFonts w:ascii="Arial" w:hAnsi="Arial" w:cs="Arial"/>
                      <w:b/>
                    </w:rPr>
                    <w:t>+</w:t>
                  </w:r>
                  <w:r w:rsidR="00F47B38" w:rsidRPr="00EB4495">
                    <w:rPr>
                      <w:rFonts w:ascii="Arial" w:hAnsi="Arial" w:cs="Arial"/>
                      <w:b/>
                    </w:rPr>
                    <w:t>9.2</w:t>
                  </w:r>
                  <w:r w:rsidRPr="00EB4495">
                    <w:rPr>
                      <w:rFonts w:ascii="Arial" w:hAnsi="Arial" w:cs="Arial"/>
                      <w:b/>
                    </w:rPr>
                    <w:t>%</w:t>
                  </w:r>
                </w:p>
              </w:tc>
            </w:tr>
            <w:tr w:rsidR="00285440" w:rsidRPr="00EB4495" w14:paraId="2789BDAB" w14:textId="77777777" w:rsidTr="00896FEF">
              <w:trPr>
                <w:trHeight w:hRule="exact" w:val="294"/>
              </w:trPr>
              <w:tc>
                <w:tcPr>
                  <w:tcW w:w="1876" w:type="pct"/>
                  <w:vAlign w:val="center"/>
                </w:tcPr>
                <w:p w14:paraId="5658D959" w14:textId="77777777" w:rsidR="00285440" w:rsidRPr="00EB4495" w:rsidRDefault="00285440" w:rsidP="00896FEF">
                  <w:pPr>
                    <w:jc w:val="left"/>
                    <w:rPr>
                      <w:rFonts w:ascii="Arial" w:hAnsi="Arial" w:cs="Arial"/>
                      <w:b/>
                    </w:rPr>
                  </w:pPr>
                  <w:r w:rsidRPr="00EB4495">
                    <w:rPr>
                      <w:rFonts w:ascii="Arial" w:hAnsi="Arial" w:cs="Arial"/>
                      <w:bCs/>
                    </w:rPr>
                    <w:t>- Poland</w:t>
                  </w:r>
                </w:p>
              </w:tc>
              <w:tc>
                <w:tcPr>
                  <w:tcW w:w="622" w:type="pct"/>
                  <w:vAlign w:val="center"/>
                </w:tcPr>
                <w:p w14:paraId="2996FC7B" w14:textId="77777777" w:rsidR="00285440" w:rsidRPr="00EB4495" w:rsidRDefault="00285440" w:rsidP="00896FEF">
                  <w:pPr>
                    <w:jc w:val="right"/>
                    <w:rPr>
                      <w:rFonts w:ascii="Arial" w:hAnsi="Arial" w:cs="Arial"/>
                      <w:b/>
                    </w:rPr>
                  </w:pPr>
                  <w:r w:rsidRPr="00EB4495">
                    <w:rPr>
                      <w:rFonts w:ascii="Arial" w:hAnsi="Arial" w:cs="Arial"/>
                    </w:rPr>
                    <w:t>(20.5)%</w:t>
                  </w:r>
                </w:p>
              </w:tc>
              <w:tc>
                <w:tcPr>
                  <w:tcW w:w="622" w:type="pct"/>
                  <w:vAlign w:val="center"/>
                </w:tcPr>
                <w:p w14:paraId="2060C9A9" w14:textId="77777777" w:rsidR="00285440" w:rsidRPr="00EB4495" w:rsidRDefault="00285440" w:rsidP="00896FEF">
                  <w:pPr>
                    <w:jc w:val="right"/>
                    <w:rPr>
                      <w:rFonts w:ascii="Arial" w:hAnsi="Arial" w:cs="Arial"/>
                      <w:b/>
                    </w:rPr>
                  </w:pPr>
                  <w:r w:rsidRPr="00EB4495">
                    <w:rPr>
                      <w:rFonts w:ascii="Arial" w:hAnsi="Arial" w:cs="Arial"/>
                      <w:bCs/>
                    </w:rPr>
                    <w:t>+15.0%</w:t>
                  </w:r>
                </w:p>
              </w:tc>
              <w:tc>
                <w:tcPr>
                  <w:tcW w:w="620" w:type="pct"/>
                  <w:vAlign w:val="center"/>
                </w:tcPr>
                <w:p w14:paraId="3C251D1B" w14:textId="77777777" w:rsidR="00285440" w:rsidRPr="00EB4495" w:rsidRDefault="00285440" w:rsidP="00896FEF">
                  <w:pPr>
                    <w:jc w:val="right"/>
                    <w:rPr>
                      <w:rFonts w:ascii="Arial" w:hAnsi="Arial" w:cs="Arial"/>
                      <w:b/>
                    </w:rPr>
                  </w:pPr>
                  <w:r w:rsidRPr="00EB4495">
                    <w:rPr>
                      <w:rFonts w:ascii="Arial" w:hAnsi="Arial" w:cs="Arial"/>
                      <w:bCs/>
                    </w:rPr>
                    <w:t>+12.7%</w:t>
                  </w:r>
                </w:p>
              </w:tc>
              <w:tc>
                <w:tcPr>
                  <w:tcW w:w="620" w:type="pct"/>
                  <w:vAlign w:val="center"/>
                </w:tcPr>
                <w:p w14:paraId="76DA5DF0" w14:textId="4EDEA834" w:rsidR="00285440" w:rsidRPr="00EB4495" w:rsidRDefault="00285440" w:rsidP="00896FEF">
                  <w:pPr>
                    <w:jc w:val="right"/>
                    <w:rPr>
                      <w:rFonts w:ascii="Arial" w:hAnsi="Arial" w:cs="Arial"/>
                      <w:b/>
                    </w:rPr>
                  </w:pPr>
                  <w:r w:rsidRPr="00EB4495">
                    <w:rPr>
                      <w:rFonts w:ascii="Arial" w:hAnsi="Arial" w:cs="Arial"/>
                      <w:bCs/>
                    </w:rPr>
                    <w:t>+</w:t>
                  </w:r>
                  <w:r w:rsidR="00F47B38" w:rsidRPr="00EB4495">
                    <w:rPr>
                      <w:rFonts w:ascii="Arial" w:hAnsi="Arial" w:cs="Arial"/>
                      <w:bCs/>
                    </w:rPr>
                    <w:t>12.5</w:t>
                  </w:r>
                  <w:r w:rsidRPr="00EB4495">
                    <w:rPr>
                      <w:rFonts w:ascii="Arial" w:hAnsi="Arial" w:cs="Arial"/>
                      <w:bCs/>
                    </w:rPr>
                    <w:t>%</w:t>
                  </w:r>
                </w:p>
              </w:tc>
              <w:tc>
                <w:tcPr>
                  <w:tcW w:w="640" w:type="pct"/>
                  <w:gridSpan w:val="2"/>
                  <w:vAlign w:val="center"/>
                </w:tcPr>
                <w:p w14:paraId="3252A4D1" w14:textId="5512FAF5" w:rsidR="00285440" w:rsidRPr="00EB4495" w:rsidRDefault="00285440" w:rsidP="00896FEF">
                  <w:pPr>
                    <w:jc w:val="right"/>
                    <w:rPr>
                      <w:rFonts w:ascii="Arial" w:hAnsi="Arial" w:cs="Arial"/>
                      <w:b/>
                    </w:rPr>
                  </w:pPr>
                  <w:r w:rsidRPr="00EB4495">
                    <w:rPr>
                      <w:rFonts w:ascii="Arial" w:hAnsi="Arial" w:cs="Arial"/>
                      <w:bCs/>
                    </w:rPr>
                    <w:t>+</w:t>
                  </w:r>
                  <w:r w:rsidR="00F47B38" w:rsidRPr="00EB4495">
                    <w:rPr>
                      <w:rFonts w:ascii="Arial" w:hAnsi="Arial" w:cs="Arial"/>
                      <w:bCs/>
                    </w:rPr>
                    <w:t>5.3</w:t>
                  </w:r>
                  <w:r w:rsidRPr="00EB4495">
                    <w:rPr>
                      <w:rFonts w:ascii="Arial" w:hAnsi="Arial" w:cs="Arial"/>
                      <w:bCs/>
                    </w:rPr>
                    <w:t>%</w:t>
                  </w:r>
                </w:p>
              </w:tc>
            </w:tr>
            <w:tr w:rsidR="00285440" w:rsidRPr="00EB4495" w14:paraId="2AB37AA4" w14:textId="77777777" w:rsidTr="00896FEF">
              <w:trPr>
                <w:trHeight w:hRule="exact" w:val="294"/>
              </w:trPr>
              <w:tc>
                <w:tcPr>
                  <w:tcW w:w="1876" w:type="pct"/>
                  <w:vAlign w:val="center"/>
                </w:tcPr>
                <w:p w14:paraId="6A3E177E" w14:textId="77777777" w:rsidR="00285440" w:rsidRPr="00EB4495" w:rsidRDefault="00285440" w:rsidP="00896FEF">
                  <w:pPr>
                    <w:jc w:val="left"/>
                    <w:rPr>
                      <w:rFonts w:ascii="Arial" w:hAnsi="Arial" w:cs="Arial"/>
                      <w:b/>
                    </w:rPr>
                  </w:pPr>
                  <w:r w:rsidRPr="00EB4495">
                    <w:rPr>
                      <w:rFonts w:ascii="Arial" w:hAnsi="Arial" w:cs="Arial"/>
                      <w:bCs/>
                    </w:rPr>
                    <w:t>- Iberia</w:t>
                  </w:r>
                </w:p>
              </w:tc>
              <w:tc>
                <w:tcPr>
                  <w:tcW w:w="622" w:type="pct"/>
                  <w:vAlign w:val="center"/>
                </w:tcPr>
                <w:p w14:paraId="6B183CD3" w14:textId="77777777" w:rsidR="00285440" w:rsidRPr="00EB4495" w:rsidRDefault="00285440" w:rsidP="00896FEF">
                  <w:pPr>
                    <w:jc w:val="right"/>
                    <w:rPr>
                      <w:rFonts w:ascii="Arial" w:hAnsi="Arial" w:cs="Arial"/>
                      <w:b/>
                    </w:rPr>
                  </w:pPr>
                  <w:r w:rsidRPr="00EB4495">
                    <w:rPr>
                      <w:rFonts w:ascii="Arial" w:hAnsi="Arial" w:cs="Arial"/>
                      <w:color w:val="000000"/>
                    </w:rPr>
                    <w:t>+12.1%</w:t>
                  </w:r>
                </w:p>
              </w:tc>
              <w:tc>
                <w:tcPr>
                  <w:tcW w:w="622" w:type="pct"/>
                  <w:vAlign w:val="center"/>
                </w:tcPr>
                <w:p w14:paraId="1BE254C1" w14:textId="77777777" w:rsidR="00285440" w:rsidRPr="00EB4495" w:rsidRDefault="00285440" w:rsidP="00896FEF">
                  <w:pPr>
                    <w:jc w:val="right"/>
                    <w:rPr>
                      <w:rFonts w:ascii="Arial" w:hAnsi="Arial" w:cs="Arial"/>
                      <w:b/>
                    </w:rPr>
                  </w:pPr>
                  <w:r w:rsidRPr="00EB4495">
                    <w:rPr>
                      <w:rFonts w:ascii="Arial" w:hAnsi="Arial" w:cs="Arial"/>
                      <w:bCs/>
                    </w:rPr>
                    <w:t>+13.8%</w:t>
                  </w:r>
                </w:p>
              </w:tc>
              <w:tc>
                <w:tcPr>
                  <w:tcW w:w="620" w:type="pct"/>
                  <w:vAlign w:val="center"/>
                </w:tcPr>
                <w:p w14:paraId="54DA2B61" w14:textId="77777777" w:rsidR="00285440" w:rsidRPr="00EB4495" w:rsidRDefault="00285440" w:rsidP="00896FEF">
                  <w:pPr>
                    <w:jc w:val="right"/>
                    <w:rPr>
                      <w:rFonts w:ascii="Arial" w:hAnsi="Arial" w:cs="Arial"/>
                      <w:b/>
                    </w:rPr>
                  </w:pPr>
                  <w:r w:rsidRPr="00EB4495">
                    <w:rPr>
                      <w:rFonts w:ascii="Arial" w:hAnsi="Arial" w:cs="Arial"/>
                      <w:bCs/>
                    </w:rPr>
                    <w:t>+15.9%</w:t>
                  </w:r>
                </w:p>
              </w:tc>
              <w:tc>
                <w:tcPr>
                  <w:tcW w:w="620" w:type="pct"/>
                  <w:vAlign w:val="center"/>
                </w:tcPr>
                <w:p w14:paraId="50BF1C14" w14:textId="6B009B04" w:rsidR="00285440" w:rsidRPr="00EB4495" w:rsidRDefault="00285440" w:rsidP="00896FEF">
                  <w:pPr>
                    <w:jc w:val="right"/>
                    <w:rPr>
                      <w:rFonts w:ascii="Arial" w:hAnsi="Arial" w:cs="Arial"/>
                      <w:b/>
                    </w:rPr>
                  </w:pPr>
                  <w:r w:rsidRPr="00EB4495">
                    <w:rPr>
                      <w:rFonts w:ascii="Arial" w:hAnsi="Arial" w:cs="Arial"/>
                      <w:bCs/>
                    </w:rPr>
                    <w:t>+</w:t>
                  </w:r>
                  <w:r w:rsidR="00F47B38" w:rsidRPr="00EB4495">
                    <w:rPr>
                      <w:rFonts w:ascii="Arial" w:hAnsi="Arial" w:cs="Arial"/>
                      <w:bCs/>
                    </w:rPr>
                    <w:t>17.0</w:t>
                  </w:r>
                  <w:r w:rsidRPr="00EB4495">
                    <w:rPr>
                      <w:rFonts w:ascii="Arial" w:hAnsi="Arial" w:cs="Arial"/>
                      <w:bCs/>
                    </w:rPr>
                    <w:t>%</w:t>
                  </w:r>
                </w:p>
              </w:tc>
              <w:tc>
                <w:tcPr>
                  <w:tcW w:w="640" w:type="pct"/>
                  <w:gridSpan w:val="2"/>
                  <w:vAlign w:val="center"/>
                </w:tcPr>
                <w:p w14:paraId="4EA4FE10" w14:textId="45A5DBB5" w:rsidR="00285440" w:rsidRPr="00EB4495" w:rsidRDefault="00285440" w:rsidP="00896FEF">
                  <w:pPr>
                    <w:jc w:val="right"/>
                    <w:rPr>
                      <w:rFonts w:ascii="Arial" w:hAnsi="Arial" w:cs="Arial"/>
                      <w:b/>
                    </w:rPr>
                  </w:pPr>
                  <w:r w:rsidRPr="00EB4495">
                    <w:rPr>
                      <w:rFonts w:ascii="Arial" w:hAnsi="Arial" w:cs="Arial"/>
                      <w:bCs/>
                    </w:rPr>
                    <w:t>+</w:t>
                  </w:r>
                  <w:r w:rsidR="00F47B38" w:rsidRPr="00EB4495">
                    <w:rPr>
                      <w:rFonts w:ascii="Arial" w:hAnsi="Arial" w:cs="Arial"/>
                      <w:bCs/>
                    </w:rPr>
                    <w:t>14.6</w:t>
                  </w:r>
                  <w:r w:rsidRPr="00EB4495">
                    <w:rPr>
                      <w:rFonts w:ascii="Arial" w:hAnsi="Arial" w:cs="Arial"/>
                      <w:bCs/>
                    </w:rPr>
                    <w:t>%</w:t>
                  </w:r>
                </w:p>
              </w:tc>
            </w:tr>
            <w:tr w:rsidR="00285440" w:rsidRPr="00EB4495" w14:paraId="39686169" w14:textId="77777777" w:rsidTr="00896FEF">
              <w:trPr>
                <w:trHeight w:hRule="exact" w:val="294"/>
              </w:trPr>
              <w:tc>
                <w:tcPr>
                  <w:tcW w:w="1876" w:type="pct"/>
                  <w:tcBorders>
                    <w:bottom w:val="single" w:sz="4" w:space="0" w:color="auto"/>
                  </w:tcBorders>
                  <w:vAlign w:val="center"/>
                  <w:hideMark/>
                </w:tcPr>
                <w:p w14:paraId="42749C5A" w14:textId="77777777" w:rsidR="00285440" w:rsidRPr="00EB4495" w:rsidRDefault="00285440" w:rsidP="00896FEF">
                  <w:pPr>
                    <w:jc w:val="left"/>
                    <w:rPr>
                      <w:rFonts w:ascii="Arial" w:hAnsi="Arial" w:cs="Arial"/>
                      <w:bCs/>
                    </w:rPr>
                  </w:pPr>
                  <w:r w:rsidRPr="00EB4495">
                    <w:rPr>
                      <w:rFonts w:ascii="Arial" w:hAnsi="Arial" w:cs="Arial"/>
                      <w:bCs/>
                    </w:rPr>
                    <w:t>- Romania</w:t>
                  </w:r>
                  <w:r w:rsidRPr="00EB4495">
                    <w:rPr>
                      <w:rFonts w:ascii="Arial" w:hAnsi="Arial" w:cs="Arial"/>
                      <w:bCs/>
                      <w:vertAlign w:val="superscript"/>
                    </w:rPr>
                    <w:t>(3)</w:t>
                  </w:r>
                </w:p>
              </w:tc>
              <w:tc>
                <w:tcPr>
                  <w:tcW w:w="622" w:type="pct"/>
                  <w:tcBorders>
                    <w:bottom w:val="single" w:sz="4" w:space="0" w:color="auto"/>
                  </w:tcBorders>
                  <w:vAlign w:val="center"/>
                  <w:hideMark/>
                </w:tcPr>
                <w:p w14:paraId="0E9EFA12" w14:textId="77777777" w:rsidR="00285440" w:rsidRPr="00EB4495" w:rsidRDefault="00285440" w:rsidP="00896FEF">
                  <w:pPr>
                    <w:jc w:val="right"/>
                    <w:rPr>
                      <w:rFonts w:ascii="Arial" w:hAnsi="Arial" w:cs="Arial"/>
                      <w:bCs/>
                    </w:rPr>
                  </w:pPr>
                  <w:r w:rsidRPr="00EB4495">
                    <w:rPr>
                      <w:rFonts w:ascii="Arial" w:hAnsi="Arial" w:cs="Arial"/>
                      <w:color w:val="000000"/>
                    </w:rPr>
                    <w:t>+16.6%</w:t>
                  </w:r>
                </w:p>
              </w:tc>
              <w:tc>
                <w:tcPr>
                  <w:tcW w:w="622" w:type="pct"/>
                  <w:tcBorders>
                    <w:bottom w:val="single" w:sz="4" w:space="0" w:color="auto"/>
                  </w:tcBorders>
                  <w:vAlign w:val="center"/>
                </w:tcPr>
                <w:p w14:paraId="03EC420F" w14:textId="77777777" w:rsidR="00285440" w:rsidRPr="00EB4495" w:rsidRDefault="00285440" w:rsidP="00896FEF">
                  <w:pPr>
                    <w:jc w:val="right"/>
                    <w:rPr>
                      <w:rFonts w:ascii="Arial" w:hAnsi="Arial" w:cs="Arial"/>
                      <w:bCs/>
                    </w:rPr>
                  </w:pPr>
                  <w:r w:rsidRPr="00EB4495">
                    <w:rPr>
                      <w:rFonts w:ascii="Arial" w:hAnsi="Arial" w:cs="Arial"/>
                      <w:bCs/>
                    </w:rPr>
                    <w:t>+39.2%</w:t>
                  </w:r>
                </w:p>
              </w:tc>
              <w:tc>
                <w:tcPr>
                  <w:tcW w:w="620" w:type="pct"/>
                  <w:tcBorders>
                    <w:bottom w:val="single" w:sz="4" w:space="0" w:color="auto"/>
                  </w:tcBorders>
                  <w:vAlign w:val="center"/>
                </w:tcPr>
                <w:p w14:paraId="19AEF1CC" w14:textId="77777777" w:rsidR="00285440" w:rsidRPr="00EB4495" w:rsidRDefault="00285440" w:rsidP="00896FEF">
                  <w:pPr>
                    <w:jc w:val="right"/>
                    <w:rPr>
                      <w:rFonts w:ascii="Arial" w:hAnsi="Arial" w:cs="Arial"/>
                      <w:bCs/>
                    </w:rPr>
                  </w:pPr>
                  <w:r w:rsidRPr="00EB4495">
                    <w:rPr>
                      <w:rFonts w:ascii="Arial" w:hAnsi="Arial" w:cs="Arial"/>
                      <w:bCs/>
                    </w:rPr>
                    <w:t>+29.2%</w:t>
                  </w:r>
                </w:p>
              </w:tc>
              <w:tc>
                <w:tcPr>
                  <w:tcW w:w="620" w:type="pct"/>
                  <w:tcBorders>
                    <w:bottom w:val="single" w:sz="4" w:space="0" w:color="auto"/>
                  </w:tcBorders>
                  <w:vAlign w:val="center"/>
                </w:tcPr>
                <w:p w14:paraId="677EE95C" w14:textId="7DFBD03D" w:rsidR="00285440" w:rsidRPr="00EB4495" w:rsidRDefault="00285440" w:rsidP="00896FEF">
                  <w:pPr>
                    <w:jc w:val="right"/>
                    <w:rPr>
                      <w:rFonts w:ascii="Arial" w:hAnsi="Arial" w:cs="Arial"/>
                      <w:bCs/>
                    </w:rPr>
                  </w:pPr>
                  <w:r w:rsidRPr="00EB4495">
                    <w:rPr>
                      <w:rFonts w:ascii="Arial" w:hAnsi="Arial" w:cs="Arial"/>
                      <w:bCs/>
                    </w:rPr>
                    <w:t>+</w:t>
                  </w:r>
                  <w:r w:rsidR="002E5B2C">
                    <w:rPr>
                      <w:rFonts w:ascii="Arial" w:hAnsi="Arial" w:cs="Arial"/>
                      <w:bCs/>
                    </w:rPr>
                    <w:t>17.1</w:t>
                  </w:r>
                  <w:r w:rsidRPr="00EB4495">
                    <w:rPr>
                      <w:rFonts w:ascii="Arial" w:hAnsi="Arial" w:cs="Arial"/>
                      <w:bCs/>
                    </w:rPr>
                    <w:t>%</w:t>
                  </w:r>
                </w:p>
              </w:tc>
              <w:tc>
                <w:tcPr>
                  <w:tcW w:w="640" w:type="pct"/>
                  <w:gridSpan w:val="2"/>
                  <w:tcBorders>
                    <w:bottom w:val="single" w:sz="4" w:space="0" w:color="auto"/>
                  </w:tcBorders>
                  <w:vAlign w:val="center"/>
                  <w:hideMark/>
                </w:tcPr>
                <w:p w14:paraId="0ACB6EDA" w14:textId="61505B3B" w:rsidR="00285440" w:rsidRPr="00EB4495" w:rsidRDefault="00285440" w:rsidP="00896FEF">
                  <w:pPr>
                    <w:jc w:val="right"/>
                    <w:rPr>
                      <w:rFonts w:ascii="Arial" w:hAnsi="Arial" w:cs="Arial"/>
                      <w:bCs/>
                    </w:rPr>
                  </w:pPr>
                  <w:r w:rsidRPr="00EB4495">
                    <w:rPr>
                      <w:rFonts w:ascii="Arial" w:hAnsi="Arial" w:cs="Arial"/>
                      <w:bCs/>
                    </w:rPr>
                    <w:t>+</w:t>
                  </w:r>
                  <w:r w:rsidR="00F47B38" w:rsidRPr="00EB4495">
                    <w:rPr>
                      <w:rFonts w:ascii="Arial" w:hAnsi="Arial" w:cs="Arial"/>
                      <w:bCs/>
                    </w:rPr>
                    <w:t>28.0</w:t>
                  </w:r>
                  <w:r w:rsidRPr="00EB4495">
                    <w:rPr>
                      <w:rFonts w:ascii="Arial" w:hAnsi="Arial" w:cs="Arial"/>
                      <w:bCs/>
                    </w:rPr>
                    <w:t>%</w:t>
                  </w:r>
                </w:p>
              </w:tc>
            </w:tr>
            <w:tr w:rsidR="00285440" w:rsidRPr="00EB4495" w14:paraId="061C581D" w14:textId="77777777" w:rsidTr="00896FEF">
              <w:trPr>
                <w:trHeight w:hRule="exact" w:val="340"/>
              </w:trPr>
              <w:tc>
                <w:tcPr>
                  <w:tcW w:w="1876" w:type="pct"/>
                  <w:tcBorders>
                    <w:top w:val="single" w:sz="4" w:space="0" w:color="auto"/>
                    <w:left w:val="nil"/>
                    <w:bottom w:val="single" w:sz="4" w:space="0" w:color="auto"/>
                    <w:right w:val="nil"/>
                  </w:tcBorders>
                  <w:vAlign w:val="center"/>
                  <w:hideMark/>
                </w:tcPr>
                <w:p w14:paraId="746DC62B" w14:textId="77777777" w:rsidR="00285440" w:rsidRPr="00EB4495" w:rsidRDefault="00285440" w:rsidP="00896FEF">
                  <w:pPr>
                    <w:jc w:val="left"/>
                    <w:rPr>
                      <w:rFonts w:ascii="Arial" w:hAnsi="Arial" w:cs="Arial"/>
                      <w:bCs/>
                    </w:rPr>
                  </w:pPr>
                  <w:r w:rsidRPr="00EB4495">
                    <w:rPr>
                      <w:rFonts w:ascii="Arial" w:hAnsi="Arial" w:cs="Arial"/>
                      <w:b/>
                      <w:bCs/>
                    </w:rPr>
                    <w:t>Group LFL</w:t>
                  </w:r>
                  <w:r w:rsidRPr="00EB4495">
                    <w:rPr>
                      <w:rFonts w:ascii="Arial" w:hAnsi="Arial" w:cs="Arial"/>
                      <w:b/>
                      <w:bCs/>
                      <w:vertAlign w:val="superscript"/>
                    </w:rPr>
                    <w:t>(4)</w:t>
                  </w:r>
                </w:p>
              </w:tc>
              <w:tc>
                <w:tcPr>
                  <w:tcW w:w="622" w:type="pct"/>
                  <w:tcBorders>
                    <w:top w:val="single" w:sz="4" w:space="0" w:color="auto"/>
                    <w:left w:val="nil"/>
                    <w:bottom w:val="single" w:sz="4" w:space="0" w:color="auto"/>
                    <w:right w:val="nil"/>
                  </w:tcBorders>
                  <w:vAlign w:val="center"/>
                  <w:hideMark/>
                </w:tcPr>
                <w:p w14:paraId="32585556" w14:textId="77777777" w:rsidR="00285440" w:rsidRPr="00EB4495" w:rsidRDefault="00285440" w:rsidP="00896FEF">
                  <w:pPr>
                    <w:jc w:val="right"/>
                    <w:rPr>
                      <w:rFonts w:ascii="Arial" w:hAnsi="Arial" w:cs="Arial"/>
                      <w:b/>
                      <w:bCs/>
                    </w:rPr>
                  </w:pPr>
                  <w:r w:rsidRPr="00EB4495">
                    <w:rPr>
                      <w:rFonts w:ascii="Arial" w:hAnsi="Arial" w:cs="Arial"/>
                      <w:b/>
                    </w:rPr>
                    <w:t>+22.5%</w:t>
                  </w:r>
                </w:p>
              </w:tc>
              <w:tc>
                <w:tcPr>
                  <w:tcW w:w="622" w:type="pct"/>
                  <w:tcBorders>
                    <w:top w:val="single" w:sz="4" w:space="0" w:color="auto"/>
                    <w:left w:val="nil"/>
                    <w:bottom w:val="single" w:sz="4" w:space="0" w:color="auto"/>
                    <w:right w:val="nil"/>
                  </w:tcBorders>
                  <w:vAlign w:val="center"/>
                </w:tcPr>
                <w:p w14:paraId="01CE8582" w14:textId="77777777" w:rsidR="00285440" w:rsidRPr="00EB4495" w:rsidRDefault="00285440" w:rsidP="00896FEF">
                  <w:pPr>
                    <w:jc w:val="right"/>
                    <w:rPr>
                      <w:rFonts w:ascii="Arial" w:hAnsi="Arial" w:cs="Arial"/>
                      <w:b/>
                      <w:bCs/>
                    </w:rPr>
                  </w:pPr>
                  <w:r w:rsidRPr="00EB4495">
                    <w:rPr>
                      <w:rFonts w:ascii="Arial" w:hAnsi="Arial" w:cs="Arial"/>
                      <w:b/>
                      <w:bCs/>
                    </w:rPr>
                    <w:t>+20.0%</w:t>
                  </w:r>
                </w:p>
              </w:tc>
              <w:tc>
                <w:tcPr>
                  <w:tcW w:w="620" w:type="pct"/>
                  <w:tcBorders>
                    <w:top w:val="single" w:sz="4" w:space="0" w:color="auto"/>
                    <w:left w:val="nil"/>
                    <w:bottom w:val="single" w:sz="4" w:space="0" w:color="auto"/>
                    <w:right w:val="nil"/>
                  </w:tcBorders>
                  <w:vAlign w:val="center"/>
                </w:tcPr>
                <w:p w14:paraId="6AE487B8" w14:textId="77777777" w:rsidR="00285440" w:rsidRPr="00EB4495" w:rsidRDefault="00285440" w:rsidP="00896FEF">
                  <w:pPr>
                    <w:jc w:val="right"/>
                    <w:rPr>
                      <w:rFonts w:ascii="Arial" w:hAnsi="Arial" w:cs="Arial"/>
                      <w:b/>
                      <w:bCs/>
                    </w:rPr>
                  </w:pPr>
                  <w:r w:rsidRPr="00EB4495">
                    <w:rPr>
                      <w:rFonts w:ascii="Arial" w:hAnsi="Arial" w:cs="Arial"/>
                      <w:b/>
                      <w:bCs/>
                    </w:rPr>
                    <w:t>+15.0%</w:t>
                  </w:r>
                </w:p>
              </w:tc>
              <w:tc>
                <w:tcPr>
                  <w:tcW w:w="620" w:type="pct"/>
                  <w:tcBorders>
                    <w:top w:val="single" w:sz="4" w:space="0" w:color="auto"/>
                    <w:left w:val="nil"/>
                    <w:bottom w:val="single" w:sz="4" w:space="0" w:color="auto"/>
                    <w:right w:val="nil"/>
                  </w:tcBorders>
                  <w:vAlign w:val="center"/>
                </w:tcPr>
                <w:p w14:paraId="5C37803A" w14:textId="1F883DDE" w:rsidR="00285440" w:rsidRPr="00EB4495" w:rsidRDefault="00285440" w:rsidP="00896FEF">
                  <w:pPr>
                    <w:jc w:val="right"/>
                    <w:rPr>
                      <w:rFonts w:ascii="Arial" w:hAnsi="Arial" w:cs="Arial"/>
                      <w:b/>
                      <w:bCs/>
                    </w:rPr>
                  </w:pPr>
                  <w:r w:rsidRPr="00EB4495">
                    <w:rPr>
                      <w:rFonts w:ascii="Arial" w:hAnsi="Arial" w:cs="Arial"/>
                      <w:b/>
                    </w:rPr>
                    <w:t>+</w:t>
                  </w:r>
                  <w:r w:rsidR="00F47B38" w:rsidRPr="00EB4495">
                    <w:rPr>
                      <w:rFonts w:ascii="Arial" w:hAnsi="Arial" w:cs="Arial"/>
                      <w:b/>
                    </w:rPr>
                    <w:t>13.7</w:t>
                  </w:r>
                  <w:r w:rsidRPr="00EB4495">
                    <w:rPr>
                      <w:rFonts w:ascii="Arial" w:hAnsi="Arial" w:cs="Arial"/>
                      <w:b/>
                    </w:rPr>
                    <w:t>%</w:t>
                  </w:r>
                </w:p>
              </w:tc>
              <w:tc>
                <w:tcPr>
                  <w:tcW w:w="640" w:type="pct"/>
                  <w:gridSpan w:val="2"/>
                  <w:tcBorders>
                    <w:top w:val="single" w:sz="4" w:space="0" w:color="auto"/>
                    <w:left w:val="nil"/>
                    <w:bottom w:val="single" w:sz="4" w:space="0" w:color="auto"/>
                    <w:right w:val="nil"/>
                  </w:tcBorders>
                  <w:vAlign w:val="center"/>
                  <w:hideMark/>
                </w:tcPr>
                <w:p w14:paraId="583F0E81" w14:textId="50512FC6" w:rsidR="00285440" w:rsidRPr="00EB4495" w:rsidRDefault="00285440" w:rsidP="00896FEF">
                  <w:pPr>
                    <w:jc w:val="right"/>
                    <w:rPr>
                      <w:rFonts w:ascii="Arial" w:hAnsi="Arial" w:cs="Arial"/>
                      <w:b/>
                      <w:bCs/>
                    </w:rPr>
                  </w:pPr>
                  <w:r w:rsidRPr="00EB4495">
                    <w:rPr>
                      <w:rFonts w:ascii="Arial" w:hAnsi="Arial" w:cs="Arial"/>
                      <w:b/>
                    </w:rPr>
                    <w:t>+</w:t>
                  </w:r>
                  <w:r w:rsidR="00F47B38" w:rsidRPr="00EB4495">
                    <w:rPr>
                      <w:rFonts w:ascii="Arial" w:hAnsi="Arial" w:cs="Arial"/>
                      <w:b/>
                    </w:rPr>
                    <w:t>18.1</w:t>
                  </w:r>
                  <w:r w:rsidRPr="00EB4495">
                    <w:rPr>
                      <w:rFonts w:ascii="Arial" w:hAnsi="Arial" w:cs="Arial"/>
                      <w:b/>
                    </w:rPr>
                    <w:t>%</w:t>
                  </w:r>
                </w:p>
              </w:tc>
            </w:tr>
            <w:tr w:rsidR="00170F65" w:rsidRPr="00EB4495" w14:paraId="0EDE3A1E" w14:textId="77777777" w:rsidTr="00896FEF">
              <w:trPr>
                <w:trHeight w:hRule="exact" w:val="340"/>
              </w:trPr>
              <w:tc>
                <w:tcPr>
                  <w:tcW w:w="1876" w:type="pct"/>
                  <w:tcBorders>
                    <w:top w:val="single" w:sz="4" w:space="0" w:color="auto"/>
                    <w:left w:val="nil"/>
                    <w:bottom w:val="nil"/>
                    <w:right w:val="nil"/>
                  </w:tcBorders>
                  <w:vAlign w:val="center"/>
                  <w:hideMark/>
                </w:tcPr>
                <w:p w14:paraId="086CFD92" w14:textId="77777777" w:rsidR="00170F65" w:rsidRPr="00EB4495" w:rsidRDefault="00170F65" w:rsidP="00170F65">
                  <w:pPr>
                    <w:jc w:val="left"/>
                    <w:rPr>
                      <w:rFonts w:ascii="Arial" w:hAnsi="Arial" w:cs="Arial"/>
                      <w:b/>
                      <w:bCs/>
                    </w:rPr>
                  </w:pPr>
                  <w:r w:rsidRPr="00EB4495">
                    <w:rPr>
                      <w:rFonts w:ascii="Arial" w:hAnsi="Arial" w:cs="Arial"/>
                      <w:b/>
                      <w:bCs/>
                    </w:rPr>
                    <w:t>E-commerce sales</w:t>
                  </w:r>
                  <w:r w:rsidRPr="00EB4495">
                    <w:rPr>
                      <w:rFonts w:ascii="Arial" w:hAnsi="Arial" w:cs="Arial"/>
                      <w:b/>
                      <w:bCs/>
                      <w:vertAlign w:val="superscript"/>
                    </w:rPr>
                    <w:t>(5)</w:t>
                  </w:r>
                </w:p>
              </w:tc>
              <w:tc>
                <w:tcPr>
                  <w:tcW w:w="622" w:type="pct"/>
                  <w:tcBorders>
                    <w:top w:val="single" w:sz="4" w:space="0" w:color="auto"/>
                    <w:left w:val="nil"/>
                    <w:bottom w:val="nil"/>
                    <w:right w:val="nil"/>
                  </w:tcBorders>
                  <w:vAlign w:val="center"/>
                  <w:hideMark/>
                </w:tcPr>
                <w:p w14:paraId="584883E2" w14:textId="6B7FE964" w:rsidR="00170F65" w:rsidRPr="00EB4495" w:rsidRDefault="00170F65" w:rsidP="00170F65">
                  <w:pPr>
                    <w:jc w:val="right"/>
                    <w:rPr>
                      <w:rFonts w:ascii="Arial" w:hAnsi="Arial" w:cs="Arial"/>
                      <w:b/>
                      <w:bCs/>
                    </w:rPr>
                  </w:pPr>
                  <w:r w:rsidRPr="00EB4495">
                    <w:rPr>
                      <w:rFonts w:ascii="Arial" w:hAnsi="Arial" w:cs="Arial"/>
                      <w:b/>
                      <w:bCs/>
                    </w:rPr>
                    <w:t>+257.</w:t>
                  </w:r>
                  <w:r>
                    <w:rPr>
                      <w:rFonts w:ascii="Arial" w:hAnsi="Arial" w:cs="Arial"/>
                      <w:b/>
                      <w:bCs/>
                    </w:rPr>
                    <w:t>2</w:t>
                  </w:r>
                  <w:r w:rsidRPr="00EB4495">
                    <w:rPr>
                      <w:rFonts w:ascii="Arial" w:hAnsi="Arial" w:cs="Arial"/>
                      <w:b/>
                      <w:bCs/>
                    </w:rPr>
                    <w:t>%</w:t>
                  </w:r>
                </w:p>
              </w:tc>
              <w:tc>
                <w:tcPr>
                  <w:tcW w:w="622" w:type="pct"/>
                  <w:tcBorders>
                    <w:top w:val="single" w:sz="4" w:space="0" w:color="auto"/>
                    <w:left w:val="nil"/>
                    <w:bottom w:val="nil"/>
                    <w:right w:val="nil"/>
                  </w:tcBorders>
                  <w:vAlign w:val="center"/>
                </w:tcPr>
                <w:p w14:paraId="70F857A1" w14:textId="25299D30" w:rsidR="00170F65" w:rsidRPr="00EB4495" w:rsidRDefault="00170F65" w:rsidP="00170F65">
                  <w:pPr>
                    <w:jc w:val="right"/>
                    <w:rPr>
                      <w:rFonts w:ascii="Arial" w:hAnsi="Arial" w:cs="Arial"/>
                      <w:b/>
                      <w:bCs/>
                    </w:rPr>
                  </w:pPr>
                  <w:r w:rsidRPr="00EB4495">
                    <w:rPr>
                      <w:rFonts w:ascii="Arial" w:hAnsi="Arial" w:cs="Arial"/>
                      <w:b/>
                      <w:bCs/>
                    </w:rPr>
                    <w:t>+179.</w:t>
                  </w:r>
                  <w:r>
                    <w:rPr>
                      <w:rFonts w:ascii="Arial" w:hAnsi="Arial" w:cs="Arial"/>
                      <w:b/>
                      <w:bCs/>
                    </w:rPr>
                    <w:t>0</w:t>
                  </w:r>
                  <w:r w:rsidRPr="00EB4495">
                    <w:rPr>
                      <w:rFonts w:ascii="Arial" w:hAnsi="Arial" w:cs="Arial"/>
                      <w:b/>
                      <w:bCs/>
                    </w:rPr>
                    <w:t>%</w:t>
                  </w:r>
                </w:p>
              </w:tc>
              <w:tc>
                <w:tcPr>
                  <w:tcW w:w="620" w:type="pct"/>
                  <w:tcBorders>
                    <w:top w:val="single" w:sz="4" w:space="0" w:color="auto"/>
                    <w:left w:val="nil"/>
                    <w:bottom w:val="nil"/>
                    <w:right w:val="nil"/>
                  </w:tcBorders>
                  <w:vAlign w:val="center"/>
                </w:tcPr>
                <w:p w14:paraId="0246B63A" w14:textId="77777777" w:rsidR="00170F65" w:rsidRPr="00170F65" w:rsidRDefault="00170F65" w:rsidP="00170F65">
                  <w:pPr>
                    <w:jc w:val="right"/>
                    <w:rPr>
                      <w:rFonts w:ascii="Arial" w:hAnsi="Arial" w:cs="Arial"/>
                      <w:b/>
                      <w:bCs/>
                    </w:rPr>
                  </w:pPr>
                  <w:r w:rsidRPr="00170F65">
                    <w:rPr>
                      <w:rFonts w:ascii="Arial" w:hAnsi="Arial" w:cs="Arial"/>
                      <w:b/>
                      <w:bCs/>
                    </w:rPr>
                    <w:t>+132.7%</w:t>
                  </w:r>
                </w:p>
              </w:tc>
              <w:tc>
                <w:tcPr>
                  <w:tcW w:w="620" w:type="pct"/>
                  <w:tcBorders>
                    <w:top w:val="single" w:sz="4" w:space="0" w:color="auto"/>
                    <w:left w:val="nil"/>
                    <w:bottom w:val="nil"/>
                    <w:right w:val="nil"/>
                  </w:tcBorders>
                  <w:vAlign w:val="center"/>
                </w:tcPr>
                <w:p w14:paraId="6DC97090" w14:textId="487FF7A7" w:rsidR="00170F65" w:rsidRPr="004364F2" w:rsidRDefault="00170F65" w:rsidP="00170F65">
                  <w:pPr>
                    <w:jc w:val="right"/>
                    <w:rPr>
                      <w:rFonts w:ascii="Arial" w:hAnsi="Arial" w:cs="Arial"/>
                      <w:b/>
                      <w:bCs/>
                    </w:rPr>
                  </w:pPr>
                  <w:r w:rsidRPr="00170F65">
                    <w:rPr>
                      <w:rFonts w:ascii="Arial" w:hAnsi="Arial" w:cs="Arial"/>
                      <w:b/>
                      <w:bCs/>
                    </w:rPr>
                    <w:t>+123.1%</w:t>
                  </w:r>
                </w:p>
              </w:tc>
              <w:tc>
                <w:tcPr>
                  <w:tcW w:w="640" w:type="pct"/>
                  <w:gridSpan w:val="2"/>
                  <w:tcBorders>
                    <w:top w:val="single" w:sz="4" w:space="0" w:color="auto"/>
                    <w:left w:val="nil"/>
                    <w:bottom w:val="nil"/>
                    <w:right w:val="nil"/>
                  </w:tcBorders>
                  <w:vAlign w:val="center"/>
                  <w:hideMark/>
                </w:tcPr>
                <w:p w14:paraId="63F02592" w14:textId="4843E163" w:rsidR="00170F65" w:rsidRPr="004364F2" w:rsidRDefault="00170F65" w:rsidP="00170F65">
                  <w:pPr>
                    <w:jc w:val="right"/>
                    <w:rPr>
                      <w:rFonts w:ascii="Arial" w:hAnsi="Arial" w:cs="Arial"/>
                      <w:b/>
                      <w:bCs/>
                    </w:rPr>
                  </w:pPr>
                  <w:r w:rsidRPr="004364F2">
                    <w:rPr>
                      <w:rFonts w:ascii="Arial" w:hAnsi="Arial" w:cs="Arial"/>
                      <w:b/>
                    </w:rPr>
                    <w:t>+170.6%</w:t>
                  </w:r>
                </w:p>
              </w:tc>
            </w:tr>
          </w:tbl>
          <w:p w14:paraId="7E684FD6" w14:textId="77777777" w:rsidR="00285440" w:rsidRPr="00EB4495" w:rsidRDefault="00285440" w:rsidP="00896FEF">
            <w:pPr>
              <w:jc w:val="left"/>
              <w:rPr>
                <w:rFonts w:ascii="Arial" w:hAnsi="Arial" w:cs="Arial"/>
                <w:b/>
                <w:bCs/>
                <w:sz w:val="22"/>
                <w:szCs w:val="22"/>
              </w:rPr>
            </w:pPr>
          </w:p>
        </w:tc>
      </w:tr>
    </w:tbl>
    <w:p w14:paraId="5BE26598" w14:textId="77777777" w:rsidR="00285440" w:rsidRPr="00EB4495" w:rsidRDefault="00285440" w:rsidP="00285440">
      <w:pPr>
        <w:jc w:val="left"/>
        <w:rPr>
          <w:rFonts w:ascii="Arial" w:hAnsi="Arial" w:cs="Arial"/>
        </w:rPr>
      </w:pPr>
    </w:p>
    <w:p w14:paraId="17606060" w14:textId="77777777" w:rsidR="00285440" w:rsidRPr="00EB4495" w:rsidRDefault="00285440" w:rsidP="00285440">
      <w:pPr>
        <w:jc w:val="left"/>
        <w:rPr>
          <w:rFonts w:ascii="Arial" w:hAnsi="Arial" w:cs="Arial"/>
          <w:b/>
          <w:bCs/>
          <w:u w:val="single"/>
        </w:rPr>
      </w:pPr>
      <w:r w:rsidRPr="00EB4495">
        <w:rPr>
          <w:rFonts w:ascii="Arial" w:hAnsi="Arial" w:cs="Arial"/>
          <w:b/>
          <w:bCs/>
          <w:u w:val="single"/>
        </w:rPr>
        <w:t>Operational status summary</w:t>
      </w:r>
    </w:p>
    <w:p w14:paraId="675DF96C" w14:textId="77777777" w:rsidR="00285440" w:rsidRPr="00EB4495" w:rsidRDefault="00285440" w:rsidP="00285440">
      <w:pPr>
        <w:jc w:val="left"/>
        <w:rPr>
          <w:rFonts w:ascii="Arial" w:hAnsi="Arial" w:cs="Arial"/>
        </w:rPr>
      </w:pPr>
      <w:r w:rsidRPr="00EB4495">
        <w:rPr>
          <w:rFonts w:ascii="Arial" w:hAnsi="Arial" w:cs="Arial"/>
        </w:rPr>
        <w:t>While all stores remain open across the Kingfisher Group, the operational status of our stores in FY 21/22 has evolved in line with the prevailing COVID-related restrictions and government advice within our markets. Kingfisher remains committed to meeting the needs of our customers safely, and ensuring colleague safety and wellness.</w:t>
      </w:r>
    </w:p>
    <w:p w14:paraId="1B368711" w14:textId="77777777" w:rsidR="00285440" w:rsidRPr="00EB4495" w:rsidRDefault="00285440" w:rsidP="00285440">
      <w:pPr>
        <w:jc w:val="left"/>
        <w:rPr>
          <w:rFonts w:ascii="Arial" w:hAnsi="Arial" w:cs="Arial"/>
        </w:rPr>
      </w:pPr>
    </w:p>
    <w:p w14:paraId="15E8610F" w14:textId="4070A2D4" w:rsidR="00285440" w:rsidRPr="00EB4495" w:rsidRDefault="00285440" w:rsidP="00285440">
      <w:pPr>
        <w:jc w:val="left"/>
        <w:rPr>
          <w:rFonts w:ascii="Arial" w:hAnsi="Arial" w:cs="Arial"/>
        </w:rPr>
      </w:pPr>
      <w:r w:rsidRPr="00EB4495">
        <w:rPr>
          <w:rFonts w:ascii="Arial" w:hAnsi="Arial" w:cs="Arial"/>
        </w:rPr>
        <w:t xml:space="preserve">In the </w:t>
      </w:r>
      <w:r w:rsidRPr="00EB4495">
        <w:rPr>
          <w:rFonts w:ascii="Arial" w:hAnsi="Arial" w:cs="Arial"/>
          <w:b/>
          <w:bCs/>
        </w:rPr>
        <w:t>United Kingdom</w:t>
      </w:r>
      <w:r w:rsidRPr="00EB4495">
        <w:rPr>
          <w:rFonts w:ascii="Arial" w:hAnsi="Arial" w:cs="Arial"/>
        </w:rPr>
        <w:t>, restrictions imposed from late December 2020 meant that discrete areas of certain B&amp;Q stores (</w:t>
      </w:r>
      <w:r w:rsidR="008B5720" w:rsidRPr="00EB4495">
        <w:rPr>
          <w:rFonts w:ascii="Arial" w:hAnsi="Arial" w:cs="Arial"/>
        </w:rPr>
        <w:t>e.g.,</w:t>
      </w:r>
      <w:r w:rsidRPr="00EB4495">
        <w:rPr>
          <w:rFonts w:ascii="Arial" w:hAnsi="Arial" w:cs="Arial"/>
        </w:rPr>
        <w:t xml:space="preserve"> showrooms in England, Wales and Scotland) were temporarily closed until early-to-mid April 2021. During this period of restrictions, B&amp;Q operated a virtual sales model for kitchens and bathrooms.</w:t>
      </w:r>
    </w:p>
    <w:p w14:paraId="0EE033AD" w14:textId="77777777" w:rsidR="00285440" w:rsidRPr="00EB4495" w:rsidRDefault="00285440" w:rsidP="00285440">
      <w:pPr>
        <w:jc w:val="left"/>
        <w:rPr>
          <w:rFonts w:ascii="Arial" w:hAnsi="Arial" w:cs="Arial"/>
        </w:rPr>
      </w:pPr>
    </w:p>
    <w:p w14:paraId="4A2B224E" w14:textId="77777777" w:rsidR="00285440" w:rsidRPr="00EB4495" w:rsidRDefault="00285440" w:rsidP="00285440">
      <w:pPr>
        <w:jc w:val="left"/>
        <w:rPr>
          <w:rFonts w:ascii="Arial" w:hAnsi="Arial" w:cs="Arial"/>
        </w:rPr>
      </w:pPr>
      <w:bookmarkStart w:id="20" w:name="_Hlk72237503"/>
      <w:bookmarkStart w:id="21" w:name="_Hlk67221572"/>
      <w:r w:rsidRPr="00EB4495">
        <w:rPr>
          <w:rFonts w:ascii="Arial" w:hAnsi="Arial" w:cs="Arial"/>
        </w:rPr>
        <w:t xml:space="preserve">In </w:t>
      </w:r>
      <w:r w:rsidRPr="00EB4495">
        <w:rPr>
          <w:rFonts w:ascii="Arial" w:hAnsi="Arial" w:cs="Arial"/>
          <w:b/>
          <w:bCs/>
        </w:rPr>
        <w:t>France</w:t>
      </w:r>
      <w:r w:rsidRPr="00EB4495">
        <w:rPr>
          <w:rFonts w:ascii="Arial" w:hAnsi="Arial" w:cs="Arial"/>
        </w:rPr>
        <w:t>, from late January 2021, the government gradually instructed certain regions (</w:t>
      </w:r>
      <w:r w:rsidRPr="00EB4495">
        <w:rPr>
          <w:rFonts w:ascii="Arial" w:hAnsi="Arial" w:cs="Arial"/>
          <w:i/>
          <w:iCs/>
        </w:rPr>
        <w:t>départements</w:t>
      </w:r>
      <w:r w:rsidRPr="00EB4495">
        <w:rPr>
          <w:rFonts w:ascii="Arial" w:hAnsi="Arial" w:cs="Arial"/>
        </w:rPr>
        <w:t xml:space="preserve">) with higher COVID infection rates to implement additional containment measures. A national lockdown took effect on 3 April 2021, resulting in the temporary closure of non-essential retailers. </w:t>
      </w:r>
    </w:p>
    <w:p w14:paraId="73CFD57C" w14:textId="77777777" w:rsidR="00285440" w:rsidRPr="00EB4495" w:rsidRDefault="00285440" w:rsidP="00285440">
      <w:pPr>
        <w:jc w:val="left"/>
        <w:rPr>
          <w:rFonts w:ascii="Arial" w:hAnsi="Arial" w:cs="Arial"/>
        </w:rPr>
      </w:pPr>
    </w:p>
    <w:p w14:paraId="073DFD5F" w14:textId="3C2383CB" w:rsidR="00285440" w:rsidRPr="00EB4495" w:rsidRDefault="00285440" w:rsidP="00285440">
      <w:pPr>
        <w:jc w:val="left"/>
        <w:rPr>
          <w:rFonts w:ascii="Arial" w:hAnsi="Arial" w:cs="Arial"/>
        </w:rPr>
      </w:pPr>
      <w:r w:rsidRPr="00EB4495">
        <w:rPr>
          <w:rFonts w:ascii="Arial" w:hAnsi="Arial" w:cs="Arial"/>
        </w:rPr>
        <w:t xml:space="preserve">While Castorama and Brico Dépôt stores retained their ‘essential’ retailer status, some </w:t>
      </w:r>
      <w:r w:rsidRPr="00EB4495">
        <w:rPr>
          <w:rFonts w:ascii="Arial" w:hAnsi="Arial" w:cs="Arial"/>
          <w:i/>
          <w:iCs/>
        </w:rPr>
        <w:t>départements</w:t>
      </w:r>
      <w:r w:rsidRPr="00EB4495">
        <w:rPr>
          <w:rFonts w:ascii="Arial" w:hAnsi="Arial" w:cs="Arial"/>
        </w:rPr>
        <w:t xml:space="preserve"> required us to close larger stores even before the national lockdown. Most of these temporary store closures took effect from early March 2021, resulting in up to 26 Castorama and four Brico Dépôt stores being temporarily closed for in-store browsing and purchasing. Following the commencement of the national lockdown on 3 April, all other Castorama and Brico Dépôt stores were impacted by the </w:t>
      </w:r>
      <w:r w:rsidRPr="00EB4495">
        <w:rPr>
          <w:rFonts w:ascii="Arial" w:hAnsi="Arial" w:cs="Arial"/>
        </w:rPr>
        <w:lastRenderedPageBreak/>
        <w:t>temporary closure of non-essential areas of stores (</w:t>
      </w:r>
      <w:r w:rsidR="008B5720" w:rsidRPr="00EB4495">
        <w:rPr>
          <w:rFonts w:ascii="Arial" w:hAnsi="Arial" w:cs="Arial"/>
        </w:rPr>
        <w:t>e.g.,</w:t>
      </w:r>
      <w:r w:rsidRPr="00EB4495">
        <w:rPr>
          <w:rFonts w:ascii="Arial" w:hAnsi="Arial" w:cs="Arial"/>
        </w:rPr>
        <w:t xml:space="preserve"> showrooms and certain areas of surfaces &amp; décor). At all stores impacted, </w:t>
      </w:r>
      <w:r w:rsidR="000E1790">
        <w:rPr>
          <w:rFonts w:ascii="Arial" w:hAnsi="Arial" w:cs="Arial"/>
        </w:rPr>
        <w:t>C&amp;C</w:t>
      </w:r>
      <w:r w:rsidRPr="00EB4495">
        <w:rPr>
          <w:rFonts w:ascii="Arial" w:hAnsi="Arial" w:cs="Arial"/>
        </w:rPr>
        <w:t>, home delivery and virtual showroom planning services remained available for the public.</w:t>
      </w:r>
      <w:bookmarkEnd w:id="20"/>
      <w:r w:rsidRPr="00EB4495">
        <w:rPr>
          <w:rFonts w:ascii="Arial" w:hAnsi="Arial" w:cs="Arial"/>
        </w:rPr>
        <w:t xml:space="preserve"> On 19 May 2021, restrictions on retailers in France were lifted. </w:t>
      </w:r>
    </w:p>
    <w:p w14:paraId="702DDAC8" w14:textId="77777777" w:rsidR="00285440" w:rsidRPr="00EB4495" w:rsidRDefault="00285440" w:rsidP="00285440">
      <w:pPr>
        <w:jc w:val="left"/>
        <w:rPr>
          <w:rFonts w:ascii="Arial" w:hAnsi="Arial" w:cs="Arial"/>
        </w:rPr>
      </w:pPr>
    </w:p>
    <w:bookmarkEnd w:id="21"/>
    <w:p w14:paraId="2A2F307B" w14:textId="7B506D7A" w:rsidR="00285440" w:rsidRPr="00EB4495" w:rsidRDefault="00285440" w:rsidP="00285440">
      <w:pPr>
        <w:jc w:val="left"/>
        <w:rPr>
          <w:rFonts w:ascii="Arial" w:hAnsi="Arial" w:cs="Arial"/>
        </w:rPr>
      </w:pPr>
      <w:r w:rsidRPr="00EB4495">
        <w:rPr>
          <w:rFonts w:ascii="Arial" w:hAnsi="Arial" w:cs="Arial"/>
        </w:rPr>
        <w:t xml:space="preserve">In </w:t>
      </w:r>
      <w:r w:rsidRPr="00EB4495">
        <w:rPr>
          <w:rFonts w:ascii="Arial" w:hAnsi="Arial" w:cs="Arial"/>
          <w:b/>
          <w:bCs/>
        </w:rPr>
        <w:t>Poland</w:t>
      </w:r>
      <w:r w:rsidRPr="00EB4495">
        <w:rPr>
          <w:rFonts w:ascii="Arial" w:hAnsi="Arial" w:cs="Arial"/>
        </w:rPr>
        <w:t xml:space="preserve">, national lockdown restrictions were imposed on 27 March 2021, leading to the closure of all Castorama stores between 27 March and 3 May 2021. During some of this period, stores were able to offer </w:t>
      </w:r>
      <w:r w:rsidR="000E1790">
        <w:rPr>
          <w:rFonts w:ascii="Arial" w:hAnsi="Arial" w:cs="Arial"/>
        </w:rPr>
        <w:t>C&amp;C</w:t>
      </w:r>
      <w:r w:rsidRPr="00EB4495">
        <w:rPr>
          <w:rFonts w:ascii="Arial" w:hAnsi="Arial" w:cs="Arial"/>
        </w:rPr>
        <w:t>, home delivery, garden and buildings products, as well as in-store access for professional tradespeople. All stores fully reopened on 4 May.</w:t>
      </w:r>
    </w:p>
    <w:p w14:paraId="6F63A20B" w14:textId="77777777" w:rsidR="00285440" w:rsidRPr="00EB4495" w:rsidRDefault="00285440" w:rsidP="00285440">
      <w:pPr>
        <w:jc w:val="left"/>
        <w:rPr>
          <w:rFonts w:ascii="Arial" w:hAnsi="Arial" w:cs="Arial"/>
        </w:rPr>
      </w:pPr>
    </w:p>
    <w:p w14:paraId="5C4C6526" w14:textId="5784EA5D" w:rsidR="00285440" w:rsidRPr="00EB4495" w:rsidRDefault="00285440" w:rsidP="00285440">
      <w:pPr>
        <w:jc w:val="left"/>
        <w:rPr>
          <w:rFonts w:ascii="Arial" w:hAnsi="Arial" w:cs="Arial"/>
        </w:rPr>
      </w:pPr>
      <w:r w:rsidRPr="00EB4495">
        <w:rPr>
          <w:rFonts w:ascii="Arial" w:hAnsi="Arial" w:cs="Arial"/>
        </w:rPr>
        <w:t xml:space="preserve">In </w:t>
      </w:r>
      <w:r w:rsidRPr="00EB4495">
        <w:rPr>
          <w:rFonts w:ascii="Arial" w:hAnsi="Arial" w:cs="Arial"/>
          <w:b/>
          <w:bCs/>
        </w:rPr>
        <w:t>Iberia</w:t>
      </w:r>
      <w:r w:rsidRPr="00EB4495">
        <w:rPr>
          <w:rFonts w:ascii="Arial" w:hAnsi="Arial" w:cs="Arial"/>
        </w:rPr>
        <w:t xml:space="preserve"> and </w:t>
      </w:r>
      <w:r w:rsidRPr="00EB4495">
        <w:rPr>
          <w:rFonts w:ascii="Arial" w:hAnsi="Arial" w:cs="Arial"/>
          <w:b/>
          <w:bCs/>
        </w:rPr>
        <w:t>Romania</w:t>
      </w:r>
      <w:r w:rsidRPr="00EB4495">
        <w:rPr>
          <w:rFonts w:ascii="Arial" w:hAnsi="Arial" w:cs="Arial"/>
        </w:rPr>
        <w:t xml:space="preserve">, while all stores remained open for in-store browsing and purchasing throughout the year, restrictions were periodically imposed in several regions (including reduced opening hours, weekend closures, limits on the number of people allowed in stores, and limits on access to stores from out of the city or region). Furthermore, in </w:t>
      </w:r>
      <w:r w:rsidRPr="00EB4495">
        <w:rPr>
          <w:rFonts w:ascii="Arial" w:hAnsi="Arial" w:cs="Arial"/>
          <w:b/>
          <w:bCs/>
        </w:rPr>
        <w:t>Romania</w:t>
      </w:r>
      <w:r w:rsidRPr="00EB4495">
        <w:rPr>
          <w:rFonts w:ascii="Arial" w:hAnsi="Arial" w:cs="Arial"/>
        </w:rPr>
        <w:t xml:space="preserve">, national restrictions were imposed on 25 October 2021 to limit access to retail stores (except standalone food stores, pharmacies and petrol stations) to customers who can prove their double-vaccination status or recovery from the virus, via health certificates. These restrictions were </w:t>
      </w:r>
      <w:r w:rsidR="005C4397">
        <w:rPr>
          <w:rFonts w:ascii="Arial" w:hAnsi="Arial" w:cs="Arial"/>
        </w:rPr>
        <w:t>lifted on 9 March 2022</w:t>
      </w:r>
      <w:r w:rsidRPr="00EB4495">
        <w:rPr>
          <w:rFonts w:ascii="Arial" w:hAnsi="Arial" w:cs="Arial"/>
        </w:rPr>
        <w:t>.</w:t>
      </w:r>
    </w:p>
    <w:p w14:paraId="7F8D639E" w14:textId="77777777" w:rsidR="00F27ABB" w:rsidRPr="00EB4495" w:rsidRDefault="00F27ABB" w:rsidP="00285440">
      <w:pPr>
        <w:jc w:val="left"/>
        <w:rPr>
          <w:rFonts w:ascii="Arial" w:hAnsi="Arial" w:cs="Arial"/>
        </w:rPr>
      </w:pPr>
    </w:p>
    <w:p w14:paraId="79D14508" w14:textId="77777777" w:rsidR="00285440" w:rsidRPr="002D735D" w:rsidRDefault="00285440" w:rsidP="00285440">
      <w:pPr>
        <w:jc w:val="left"/>
        <w:rPr>
          <w:rFonts w:ascii="Arial" w:hAnsi="Arial" w:cs="Arial"/>
          <w:b/>
          <w:bCs/>
          <w:u w:val="single"/>
        </w:rPr>
      </w:pPr>
      <w:r w:rsidRPr="002D735D">
        <w:rPr>
          <w:rFonts w:ascii="Arial" w:hAnsi="Arial" w:cs="Arial"/>
          <w:b/>
          <w:bCs/>
          <w:u w:val="single"/>
        </w:rPr>
        <w:t xml:space="preserve">Trading in Q4 21/22 </w:t>
      </w:r>
    </w:p>
    <w:p w14:paraId="6C524920" w14:textId="211FD42B" w:rsidR="00285440" w:rsidRPr="00EB4495" w:rsidRDefault="00285440" w:rsidP="00285440">
      <w:pPr>
        <w:jc w:val="left"/>
        <w:rPr>
          <w:rFonts w:ascii="Arial" w:hAnsi="Arial" w:cs="Arial"/>
        </w:rPr>
      </w:pPr>
      <w:r w:rsidRPr="00EB4495">
        <w:rPr>
          <w:rFonts w:ascii="Arial" w:hAnsi="Arial" w:cs="Arial"/>
        </w:rPr>
        <w:t xml:space="preserve">LFL sales were down by </w:t>
      </w:r>
      <w:r w:rsidR="00431AB4" w:rsidRPr="00EB4495">
        <w:rPr>
          <w:rFonts w:ascii="Arial" w:hAnsi="Arial" w:cs="Arial"/>
        </w:rPr>
        <w:t>1.7</w:t>
      </w:r>
      <w:r w:rsidRPr="00EB4495">
        <w:rPr>
          <w:rFonts w:ascii="Arial" w:hAnsi="Arial" w:cs="Arial"/>
        </w:rPr>
        <w:t>% in Q4</w:t>
      </w:r>
      <w:r w:rsidR="00BF7C59">
        <w:rPr>
          <w:rFonts w:ascii="Arial" w:hAnsi="Arial" w:cs="Arial"/>
        </w:rPr>
        <w:t xml:space="preserve"> (compared to -2.4% in Q3)</w:t>
      </w:r>
      <w:r w:rsidRPr="00EB4495">
        <w:rPr>
          <w:rFonts w:ascii="Arial" w:hAnsi="Arial" w:cs="Arial"/>
        </w:rPr>
        <w:t xml:space="preserve">, with the corresponding 2-year LFL up </w:t>
      </w:r>
      <w:r w:rsidR="00431AB4" w:rsidRPr="00EB4495">
        <w:rPr>
          <w:rFonts w:ascii="Arial" w:hAnsi="Arial" w:cs="Arial"/>
        </w:rPr>
        <w:t>13.7</w:t>
      </w:r>
      <w:r w:rsidRPr="00EB4495">
        <w:rPr>
          <w:rFonts w:ascii="Arial" w:hAnsi="Arial" w:cs="Arial"/>
        </w:rPr>
        <w:t xml:space="preserve">%. E-commerce sales were down by </w:t>
      </w:r>
      <w:r w:rsidR="009772E0" w:rsidRPr="00525A29">
        <w:rPr>
          <w:rFonts w:ascii="Arial" w:hAnsi="Arial" w:cs="Arial"/>
        </w:rPr>
        <w:t>12</w:t>
      </w:r>
      <w:r w:rsidRPr="00525A29">
        <w:rPr>
          <w:rFonts w:ascii="Arial" w:hAnsi="Arial" w:cs="Arial"/>
        </w:rPr>
        <w:t>%</w:t>
      </w:r>
      <w:r w:rsidRPr="00EB4495">
        <w:rPr>
          <w:rFonts w:ascii="Arial" w:hAnsi="Arial" w:cs="Arial"/>
        </w:rPr>
        <w:t xml:space="preserve"> </w:t>
      </w:r>
      <w:r w:rsidR="00C77B95">
        <w:rPr>
          <w:rFonts w:ascii="Arial" w:hAnsi="Arial" w:cs="Arial"/>
        </w:rPr>
        <w:t xml:space="preserve">in Q4 </w:t>
      </w:r>
      <w:r w:rsidRPr="00EB4495">
        <w:rPr>
          <w:rFonts w:ascii="Arial" w:hAnsi="Arial" w:cs="Arial"/>
        </w:rPr>
        <w:t xml:space="preserve">and up by </w:t>
      </w:r>
      <w:r w:rsidR="00BC11FB" w:rsidRPr="00525A29">
        <w:rPr>
          <w:rFonts w:ascii="Arial" w:hAnsi="Arial" w:cs="Arial"/>
        </w:rPr>
        <w:t>123</w:t>
      </w:r>
      <w:r w:rsidRPr="00525A29">
        <w:rPr>
          <w:rFonts w:ascii="Arial" w:hAnsi="Arial" w:cs="Arial"/>
        </w:rPr>
        <w:t>%</w:t>
      </w:r>
      <w:r w:rsidRPr="00EB4495">
        <w:rPr>
          <w:rFonts w:ascii="Arial" w:hAnsi="Arial" w:cs="Arial"/>
        </w:rPr>
        <w:t xml:space="preserve"> on a 2-year basis. 2-year </w:t>
      </w:r>
      <w:r w:rsidR="00BC11FB" w:rsidRPr="00EB4495">
        <w:rPr>
          <w:rFonts w:ascii="Arial" w:hAnsi="Arial" w:cs="Arial"/>
        </w:rPr>
        <w:t>LFL</w:t>
      </w:r>
      <w:r w:rsidR="00B16E67" w:rsidRPr="00EB4495">
        <w:rPr>
          <w:rFonts w:ascii="Arial" w:hAnsi="Arial" w:cs="Arial"/>
        </w:rPr>
        <w:t xml:space="preserve"> </w:t>
      </w:r>
      <w:r w:rsidR="00C77B95">
        <w:rPr>
          <w:rFonts w:ascii="Arial" w:hAnsi="Arial" w:cs="Arial"/>
        </w:rPr>
        <w:t xml:space="preserve">sales </w:t>
      </w:r>
      <w:r w:rsidRPr="00EB4495">
        <w:rPr>
          <w:rFonts w:ascii="Arial" w:hAnsi="Arial" w:cs="Arial"/>
        </w:rPr>
        <w:t xml:space="preserve">growth remained </w:t>
      </w:r>
      <w:r w:rsidR="00612592">
        <w:rPr>
          <w:rFonts w:ascii="Arial" w:hAnsi="Arial" w:cs="Arial"/>
        </w:rPr>
        <w:t>strong</w:t>
      </w:r>
      <w:r w:rsidRPr="00EB4495">
        <w:rPr>
          <w:rFonts w:ascii="Arial" w:hAnsi="Arial" w:cs="Arial"/>
        </w:rPr>
        <w:t xml:space="preserve">, supported by strong average basket </w:t>
      </w:r>
      <w:r w:rsidR="005E364C">
        <w:rPr>
          <w:rFonts w:ascii="Arial" w:hAnsi="Arial" w:cs="Arial"/>
        </w:rPr>
        <w:t xml:space="preserve">value </w:t>
      </w:r>
      <w:r w:rsidRPr="00EB4495">
        <w:rPr>
          <w:rFonts w:ascii="Arial" w:hAnsi="Arial" w:cs="Arial"/>
        </w:rPr>
        <w:t xml:space="preserve">growth. The performance reflects continued strong execution, together with high levels of demand from both new and existing customers, across retail and trade channels. </w:t>
      </w:r>
    </w:p>
    <w:p w14:paraId="2BCC4F55" w14:textId="77777777" w:rsidR="00285440" w:rsidRPr="00EB4495" w:rsidRDefault="00285440" w:rsidP="00285440">
      <w:pPr>
        <w:jc w:val="left"/>
        <w:rPr>
          <w:rFonts w:ascii="Arial" w:hAnsi="Arial" w:cs="Arial"/>
        </w:rPr>
      </w:pPr>
    </w:p>
    <w:p w14:paraId="580C2959" w14:textId="5D1B3C0D" w:rsidR="00285440" w:rsidRPr="00EB4495" w:rsidRDefault="00285440" w:rsidP="00285440">
      <w:pPr>
        <w:jc w:val="left"/>
        <w:rPr>
          <w:rFonts w:ascii="Arial" w:hAnsi="Arial" w:cs="Arial"/>
        </w:rPr>
      </w:pPr>
      <w:r w:rsidRPr="00EB4495">
        <w:rPr>
          <w:rFonts w:ascii="Arial" w:hAnsi="Arial" w:cs="Arial"/>
        </w:rPr>
        <w:t xml:space="preserve">As </w:t>
      </w:r>
      <w:r w:rsidR="00BD40F9">
        <w:rPr>
          <w:rFonts w:ascii="Arial" w:hAnsi="Arial" w:cs="Arial"/>
        </w:rPr>
        <w:t>expected</w:t>
      </w:r>
      <w:r w:rsidRPr="00EB4495">
        <w:rPr>
          <w:rFonts w:ascii="Arial" w:hAnsi="Arial" w:cs="Arial"/>
        </w:rPr>
        <w:t xml:space="preserve">, 2-year growth slowed slightly in Q4 (relative to Q3), largely driven by France – albeit 2-year LFL sales growth remained strong for France, in the low double-digits. This is largely explained by </w:t>
      </w:r>
      <w:r w:rsidR="005111B2">
        <w:rPr>
          <w:rFonts w:ascii="Arial" w:hAnsi="Arial" w:cs="Arial"/>
        </w:rPr>
        <w:t xml:space="preserve">a </w:t>
      </w:r>
      <w:r w:rsidRPr="00EB4495">
        <w:rPr>
          <w:rFonts w:ascii="Arial" w:hAnsi="Arial" w:cs="Arial"/>
        </w:rPr>
        <w:t>stronger 2-year comparative in Q4 19/20 relative to the first nine months of FY 19/20. Group LFL sales in Q4 19/20 were four percentage points higher than Q3 YTD 19/20 (with France LFL sales over eight percentage points higher than Q3 YTD 19/20).</w:t>
      </w:r>
    </w:p>
    <w:p w14:paraId="659B2162" w14:textId="77777777" w:rsidR="00285440" w:rsidRPr="00EB4495" w:rsidRDefault="00285440" w:rsidP="00285440">
      <w:pPr>
        <w:jc w:val="left"/>
        <w:rPr>
          <w:rFonts w:ascii="Arial" w:hAnsi="Arial" w:cs="Arial"/>
        </w:rPr>
      </w:pPr>
    </w:p>
    <w:p w14:paraId="0B5C9594" w14:textId="0A5AB4A2" w:rsidR="00285440" w:rsidRPr="00EB4495" w:rsidRDefault="000B79B8" w:rsidP="00285440">
      <w:pPr>
        <w:jc w:val="left"/>
        <w:rPr>
          <w:rFonts w:ascii="Arial" w:hAnsi="Arial" w:cs="Arial"/>
          <w:u w:val="single"/>
        </w:rPr>
      </w:pPr>
      <w:bookmarkStart w:id="22" w:name="_Hlk98748227"/>
      <w:r>
        <w:rPr>
          <w:rFonts w:ascii="Arial" w:hAnsi="Arial" w:cs="Arial"/>
          <w:b/>
          <w:bCs/>
          <w:u w:val="single"/>
        </w:rPr>
        <w:t>Current t</w:t>
      </w:r>
      <w:r w:rsidR="00285440" w:rsidRPr="00EB4495">
        <w:rPr>
          <w:rFonts w:ascii="Arial" w:hAnsi="Arial" w:cs="Arial"/>
          <w:b/>
          <w:bCs/>
          <w:u w:val="single"/>
        </w:rPr>
        <w:t xml:space="preserve">rading </w:t>
      </w:r>
      <w:r>
        <w:rPr>
          <w:rFonts w:ascii="Arial" w:hAnsi="Arial" w:cs="Arial"/>
          <w:b/>
          <w:bCs/>
          <w:u w:val="single"/>
        </w:rPr>
        <w:t>in FY 22/23</w:t>
      </w:r>
    </w:p>
    <w:p w14:paraId="25F7AC2B" w14:textId="62B9962B" w:rsidR="007E6A21" w:rsidRPr="00B33268" w:rsidRDefault="001222DF" w:rsidP="001222DF">
      <w:pPr>
        <w:jc w:val="left"/>
        <w:rPr>
          <w:rFonts w:ascii="Arial" w:hAnsi="Arial" w:cs="Arial"/>
        </w:rPr>
      </w:pPr>
      <w:bookmarkStart w:id="23" w:name="_Hlk65580252"/>
      <w:r w:rsidRPr="00EB4495">
        <w:rPr>
          <w:rFonts w:ascii="Arial" w:hAnsi="Arial" w:cs="Arial"/>
        </w:rPr>
        <w:t xml:space="preserve">In FY 21/22 we started to report </w:t>
      </w:r>
      <w:r w:rsidRPr="002D735D">
        <w:rPr>
          <w:rFonts w:ascii="Arial" w:hAnsi="Arial" w:cs="Arial"/>
          <w:b/>
          <w:bCs/>
        </w:rPr>
        <w:t>2-year LFLs</w:t>
      </w:r>
      <w:r w:rsidRPr="00EB4495">
        <w:rPr>
          <w:rFonts w:ascii="Arial" w:hAnsi="Arial" w:cs="Arial"/>
        </w:rPr>
        <w:t xml:space="preserve">, which compounds current and prior year LFL sales growth. We did this to provide a more meaningful understanding of our </w:t>
      </w:r>
      <w:r>
        <w:rPr>
          <w:rFonts w:ascii="Arial" w:hAnsi="Arial" w:cs="Arial"/>
        </w:rPr>
        <w:t xml:space="preserve">underlying progress and </w:t>
      </w:r>
      <w:r w:rsidRPr="00EB4495">
        <w:rPr>
          <w:rFonts w:ascii="Arial" w:hAnsi="Arial" w:cs="Arial"/>
        </w:rPr>
        <w:t xml:space="preserve">performance on a comparable basis versus FY 19/20, given the </w:t>
      </w:r>
      <w:r w:rsidRPr="005D2DE5">
        <w:rPr>
          <w:rFonts w:ascii="Arial" w:hAnsi="Arial" w:cs="Arial"/>
        </w:rPr>
        <w:t xml:space="preserve">considerable impact of the pandemic (both positive and negative) on our performance throughout 2020 and 2021. </w:t>
      </w:r>
      <w:r w:rsidR="00B24A46" w:rsidRPr="00A42C80">
        <w:rPr>
          <w:rFonts w:ascii="Arial" w:hAnsi="Arial" w:cs="Arial"/>
        </w:rPr>
        <w:t>This year, w</w:t>
      </w:r>
      <w:r w:rsidRPr="00A42C80">
        <w:rPr>
          <w:rFonts w:ascii="Arial" w:hAnsi="Arial" w:cs="Arial"/>
        </w:rPr>
        <w:t xml:space="preserve">e will report 2-year </w:t>
      </w:r>
      <w:r w:rsidR="005D2DE5" w:rsidRPr="00A42C80">
        <w:rPr>
          <w:rFonts w:ascii="Arial" w:hAnsi="Arial" w:cs="Arial"/>
        </w:rPr>
        <w:t xml:space="preserve">Group </w:t>
      </w:r>
      <w:r w:rsidRPr="00A42C80">
        <w:rPr>
          <w:rFonts w:ascii="Arial" w:hAnsi="Arial" w:cs="Arial"/>
        </w:rPr>
        <w:t xml:space="preserve">LFL </w:t>
      </w:r>
      <w:r w:rsidR="00CF50FB" w:rsidRPr="00A42C80">
        <w:rPr>
          <w:rFonts w:ascii="Arial" w:hAnsi="Arial" w:cs="Arial"/>
        </w:rPr>
        <w:t>on</w:t>
      </w:r>
      <w:r w:rsidR="00B24A46" w:rsidRPr="00A42C80">
        <w:rPr>
          <w:rFonts w:ascii="Arial" w:hAnsi="Arial" w:cs="Arial"/>
        </w:rPr>
        <w:t xml:space="preserve">ly </w:t>
      </w:r>
      <w:r w:rsidR="00C629BA" w:rsidRPr="00A42C80">
        <w:rPr>
          <w:rFonts w:ascii="Arial" w:hAnsi="Arial" w:cs="Arial"/>
        </w:rPr>
        <w:t xml:space="preserve">for </w:t>
      </w:r>
      <w:r w:rsidR="00B24A46" w:rsidRPr="00A42C80">
        <w:rPr>
          <w:rFonts w:ascii="Arial" w:hAnsi="Arial" w:cs="Arial"/>
        </w:rPr>
        <w:t xml:space="preserve">this current </w:t>
      </w:r>
      <w:r w:rsidRPr="00A42C80">
        <w:rPr>
          <w:rFonts w:ascii="Arial" w:hAnsi="Arial" w:cs="Arial"/>
        </w:rPr>
        <w:t xml:space="preserve">trading </w:t>
      </w:r>
      <w:r w:rsidR="00B24A46" w:rsidRPr="00A42C80">
        <w:rPr>
          <w:rFonts w:ascii="Arial" w:hAnsi="Arial" w:cs="Arial"/>
        </w:rPr>
        <w:t>period</w:t>
      </w:r>
      <w:r w:rsidRPr="00A42C80">
        <w:rPr>
          <w:rFonts w:ascii="Arial" w:hAnsi="Arial" w:cs="Arial"/>
        </w:rPr>
        <w:t>, as after that the 2-year comparison becomes less relevant due to COVID-related impacts on our trading</w:t>
      </w:r>
      <w:r w:rsidR="0050252A" w:rsidRPr="00A42C80">
        <w:rPr>
          <w:rFonts w:ascii="Arial" w:hAnsi="Arial" w:cs="Arial"/>
        </w:rPr>
        <w:t xml:space="preserve"> since </w:t>
      </w:r>
      <w:r w:rsidR="0090446C" w:rsidRPr="00A42C80">
        <w:rPr>
          <w:rFonts w:ascii="Arial" w:hAnsi="Arial" w:cs="Arial"/>
        </w:rPr>
        <w:t xml:space="preserve">the second half of </w:t>
      </w:r>
      <w:r w:rsidR="0050252A" w:rsidRPr="00A42C80">
        <w:rPr>
          <w:rFonts w:ascii="Arial" w:hAnsi="Arial" w:cs="Arial"/>
        </w:rPr>
        <w:t>March 2020</w:t>
      </w:r>
      <w:r w:rsidRPr="00A42C80">
        <w:rPr>
          <w:rFonts w:ascii="Arial" w:hAnsi="Arial" w:cs="Arial"/>
        </w:rPr>
        <w:t>.</w:t>
      </w:r>
      <w:r w:rsidR="007E6A21" w:rsidRPr="00B33268">
        <w:rPr>
          <w:rFonts w:ascii="Arial" w:hAnsi="Arial" w:cs="Arial"/>
        </w:rPr>
        <w:t xml:space="preserve"> </w:t>
      </w:r>
    </w:p>
    <w:p w14:paraId="71F650EE" w14:textId="77777777" w:rsidR="007E6A21" w:rsidRPr="00B33268" w:rsidRDefault="007E6A21" w:rsidP="001222DF">
      <w:pPr>
        <w:jc w:val="left"/>
        <w:rPr>
          <w:rFonts w:ascii="Arial" w:hAnsi="Arial" w:cs="Arial"/>
        </w:rPr>
      </w:pPr>
    </w:p>
    <w:p w14:paraId="54BAEB1C" w14:textId="14AAFD5D" w:rsidR="005726A1" w:rsidRDefault="005726A1" w:rsidP="005726A1">
      <w:pPr>
        <w:rPr>
          <w:rFonts w:ascii="Arial" w:eastAsiaTheme="minorHAnsi" w:hAnsi="Arial" w:cs="Arial"/>
        </w:rPr>
      </w:pPr>
      <w:r w:rsidRPr="00B33268">
        <w:rPr>
          <w:rFonts w:ascii="Arial" w:hAnsi="Arial" w:cs="Arial"/>
        </w:rPr>
        <w:t>Q1 22/23 LFL sales (to 19 March 2022)</w:t>
      </w:r>
      <w:r w:rsidRPr="00B33268">
        <w:rPr>
          <w:rFonts w:ascii="Arial" w:hAnsi="Arial" w:cs="Arial"/>
          <w:vertAlign w:val="superscript"/>
        </w:rPr>
        <w:t>(6)</w:t>
      </w:r>
      <w:r w:rsidRPr="00B33268">
        <w:rPr>
          <w:rFonts w:ascii="Arial" w:hAnsi="Arial" w:cs="Arial"/>
        </w:rPr>
        <w:t xml:space="preserve"> are down by </w:t>
      </w:r>
      <w:r w:rsidR="00B33268" w:rsidRPr="00A42C80">
        <w:rPr>
          <w:rFonts w:ascii="Arial" w:hAnsi="Arial" w:cs="Arial"/>
        </w:rPr>
        <w:t>8</w:t>
      </w:r>
      <w:r w:rsidRPr="00A42C80">
        <w:rPr>
          <w:rFonts w:ascii="Arial" w:hAnsi="Arial" w:cs="Arial"/>
        </w:rPr>
        <w:t>.</w:t>
      </w:r>
      <w:r w:rsidR="00B33268" w:rsidRPr="00A42C80">
        <w:rPr>
          <w:rFonts w:ascii="Arial" w:hAnsi="Arial" w:cs="Arial"/>
        </w:rPr>
        <w:t>1</w:t>
      </w:r>
      <w:r w:rsidRPr="00A42C80">
        <w:rPr>
          <w:rFonts w:ascii="Arial" w:hAnsi="Arial" w:cs="Arial"/>
        </w:rPr>
        <w:t>%</w:t>
      </w:r>
      <w:r w:rsidRPr="00B33268">
        <w:rPr>
          <w:rFonts w:ascii="Arial" w:hAnsi="Arial" w:cs="Arial"/>
        </w:rPr>
        <w:t xml:space="preserve">, reflecting very strong comparatives in the prior year. The corresponding 2-year LFL is up </w:t>
      </w:r>
      <w:r w:rsidR="00B33268" w:rsidRPr="00A42C80">
        <w:rPr>
          <w:rFonts w:ascii="Arial" w:hAnsi="Arial" w:cs="Arial"/>
        </w:rPr>
        <w:t>16</w:t>
      </w:r>
      <w:r w:rsidRPr="00A42C80">
        <w:rPr>
          <w:rFonts w:ascii="Arial" w:hAnsi="Arial" w:cs="Arial"/>
        </w:rPr>
        <w:t>.</w:t>
      </w:r>
      <w:r w:rsidR="00B33268" w:rsidRPr="00A42C80">
        <w:rPr>
          <w:rFonts w:ascii="Arial" w:hAnsi="Arial" w:cs="Arial"/>
        </w:rPr>
        <w:t>0</w:t>
      </w:r>
      <w:r w:rsidRPr="00A42C80">
        <w:rPr>
          <w:rFonts w:ascii="Arial" w:hAnsi="Arial" w:cs="Arial"/>
        </w:rPr>
        <w:t>%</w:t>
      </w:r>
      <w:r w:rsidRPr="00B33268">
        <w:rPr>
          <w:rFonts w:ascii="Arial" w:hAnsi="Arial" w:cs="Arial"/>
        </w:rPr>
        <w:t>. This performance indicates, in these early weeks of FY 22/23, a very healthy retention of the demand and revenue</w:t>
      </w:r>
      <w:r>
        <w:rPr>
          <w:rFonts w:ascii="Arial" w:hAnsi="Arial" w:cs="Arial"/>
        </w:rPr>
        <w:t xml:space="preserve"> uplift from the prior two years. Trading in all banners is encouraging, including in Poland and Romania which have traded strongly in the most recent weeks. In the UK and France, growth was impacted by storms in February. However, the week commencing 15 March 2020 was impacted by all stores in France closing following the start of the national lockdown. Taking all this together, we believe that underlying trading is more in line with our Q4 21/22 2-year LFL.</w:t>
      </w:r>
    </w:p>
    <w:p w14:paraId="21DA65B1" w14:textId="77777777" w:rsidR="005726A1" w:rsidRDefault="005726A1" w:rsidP="005726A1">
      <w:pPr>
        <w:rPr>
          <w:rFonts w:ascii="Arial" w:hAnsi="Arial" w:cs="Arial"/>
        </w:rPr>
      </w:pPr>
    </w:p>
    <w:p w14:paraId="527C0CF1" w14:textId="77777777" w:rsidR="005726A1" w:rsidRDefault="005726A1" w:rsidP="005726A1">
      <w:pPr>
        <w:rPr>
          <w:rFonts w:ascii="Arial" w:hAnsi="Arial" w:cs="Arial"/>
        </w:rPr>
      </w:pPr>
      <w:r>
        <w:rPr>
          <w:rFonts w:ascii="Arial" w:hAnsi="Arial" w:cs="Arial"/>
        </w:rPr>
        <w:t>We have built a good inventory position ahead of peak trading periods over the upcoming warmer weather months. Furthermore, our ‘big-ticket’ ranges are in strong demand to date, with the current showroom order book for B&amp;Q and Castorama France 72% higher versus the same point last year (up 79% on a 2-year basis).</w:t>
      </w:r>
    </w:p>
    <w:p w14:paraId="090283E5" w14:textId="0457A959" w:rsidR="005726A1" w:rsidRDefault="005726A1" w:rsidP="00285440">
      <w:pPr>
        <w:jc w:val="left"/>
        <w:rPr>
          <w:rFonts w:ascii="Arial" w:hAnsi="Arial" w:cs="Arial"/>
        </w:rPr>
      </w:pPr>
    </w:p>
    <w:bookmarkEnd w:id="23"/>
    <w:bookmarkEnd w:id="22"/>
    <w:p w14:paraId="5FFC5951" w14:textId="77777777" w:rsidR="00572682" w:rsidRPr="00EB4495" w:rsidRDefault="00572682" w:rsidP="00572682">
      <w:pPr>
        <w:jc w:val="left"/>
        <w:rPr>
          <w:rFonts w:ascii="Arial" w:hAnsi="Arial" w:cs="Arial"/>
          <w:b/>
          <w:bCs/>
          <w:u w:val="single"/>
        </w:rPr>
      </w:pPr>
      <w:r w:rsidRPr="00EB4495">
        <w:rPr>
          <w:rFonts w:ascii="Arial" w:hAnsi="Arial" w:cs="Arial"/>
          <w:b/>
          <w:bCs/>
          <w:u w:val="single"/>
        </w:rPr>
        <w:t>Outlook for FY 22/23</w:t>
      </w:r>
    </w:p>
    <w:p w14:paraId="7E99C965" w14:textId="148F51A2" w:rsidR="00676659" w:rsidRDefault="00676659" w:rsidP="009F55E6">
      <w:pPr>
        <w:jc w:val="left"/>
        <w:rPr>
          <w:rFonts w:ascii="Arial" w:hAnsi="Arial" w:cs="Arial"/>
        </w:rPr>
      </w:pPr>
      <w:bookmarkStart w:id="24" w:name="_Hlk96778368"/>
      <w:r>
        <w:rPr>
          <w:rFonts w:ascii="Arial" w:hAnsi="Arial" w:cs="Arial"/>
        </w:rPr>
        <w:t xml:space="preserve">As described above we have had </w:t>
      </w:r>
      <w:r w:rsidR="00F32F32">
        <w:rPr>
          <w:rFonts w:ascii="Arial" w:hAnsi="Arial" w:cs="Arial"/>
        </w:rPr>
        <w:t xml:space="preserve">an </w:t>
      </w:r>
      <w:r w:rsidR="002D735D" w:rsidRPr="00EB4495">
        <w:rPr>
          <w:rFonts w:ascii="Arial" w:hAnsi="Arial" w:cs="Arial"/>
        </w:rPr>
        <w:t>encouraging start to the first quarter,</w:t>
      </w:r>
      <w:r>
        <w:rPr>
          <w:rFonts w:ascii="Arial" w:hAnsi="Arial" w:cs="Arial"/>
        </w:rPr>
        <w:t xml:space="preserve"> with resilient demand across all our markets. We are however very </w:t>
      </w:r>
      <w:r>
        <w:rPr>
          <w:rFonts w:ascii="Arial" w:hAnsi="Arial" w:cs="Arial"/>
          <w:bCs/>
        </w:rPr>
        <w:t xml:space="preserve">mindful of the heightened macroeconomic and </w:t>
      </w:r>
      <w:r w:rsidR="00EF21C6">
        <w:rPr>
          <w:rFonts w:ascii="Arial" w:hAnsi="Arial" w:cs="Arial"/>
          <w:bCs/>
        </w:rPr>
        <w:t>geo</w:t>
      </w:r>
      <w:r>
        <w:rPr>
          <w:rFonts w:ascii="Arial" w:hAnsi="Arial" w:cs="Arial"/>
          <w:bCs/>
        </w:rPr>
        <w:t xml:space="preserve">political uncertainty </w:t>
      </w:r>
      <w:r w:rsidRPr="000E7996">
        <w:rPr>
          <w:rFonts w:ascii="Arial" w:hAnsi="Arial" w:cs="Arial"/>
          <w:bCs/>
        </w:rPr>
        <w:t>that has emerged since the start of the year</w:t>
      </w:r>
      <w:r>
        <w:rPr>
          <w:rFonts w:ascii="Arial" w:hAnsi="Arial" w:cs="Arial"/>
          <w:bCs/>
        </w:rPr>
        <w:t>.</w:t>
      </w:r>
      <w:r w:rsidR="002D735D" w:rsidRPr="00EB4495">
        <w:rPr>
          <w:rFonts w:ascii="Arial" w:hAnsi="Arial" w:cs="Arial"/>
        </w:rPr>
        <w:t xml:space="preserve"> </w:t>
      </w:r>
    </w:p>
    <w:p w14:paraId="75AEAD63" w14:textId="77777777" w:rsidR="00676659" w:rsidRDefault="00676659" w:rsidP="009F55E6">
      <w:pPr>
        <w:jc w:val="left"/>
        <w:rPr>
          <w:rFonts w:ascii="Arial" w:hAnsi="Arial" w:cs="Arial"/>
        </w:rPr>
      </w:pPr>
    </w:p>
    <w:p w14:paraId="1AA7155E" w14:textId="593B636E" w:rsidR="009F55E6" w:rsidRPr="002E6573" w:rsidRDefault="00676659" w:rsidP="009F55E6">
      <w:pPr>
        <w:jc w:val="left"/>
        <w:rPr>
          <w:rFonts w:ascii="Arial" w:hAnsi="Arial" w:cs="Arial"/>
          <w:bCs/>
        </w:rPr>
      </w:pPr>
      <w:r>
        <w:rPr>
          <w:rFonts w:ascii="Arial" w:hAnsi="Arial" w:cs="Arial"/>
          <w:bCs/>
        </w:rPr>
        <w:t xml:space="preserve">Looking ahead to this year, </w:t>
      </w:r>
      <w:r w:rsidR="00220BF2">
        <w:rPr>
          <w:rFonts w:ascii="Arial" w:hAnsi="Arial" w:cs="Arial"/>
          <w:bCs/>
        </w:rPr>
        <w:t>our priority remains top line growth, and strong and consistent execution.</w:t>
      </w:r>
      <w:r w:rsidR="00220BF2" w:rsidRPr="00EB4495" w:rsidDel="009F55E6">
        <w:rPr>
          <w:rFonts w:ascii="Arial" w:hAnsi="Arial" w:cs="Arial"/>
        </w:rPr>
        <w:t xml:space="preserve"> </w:t>
      </w:r>
      <w:r w:rsidR="00220BF2">
        <w:rPr>
          <w:rFonts w:ascii="Arial" w:hAnsi="Arial" w:cs="Arial"/>
          <w:bCs/>
        </w:rPr>
        <w:t>W</w:t>
      </w:r>
      <w:r w:rsidR="002D735D">
        <w:rPr>
          <w:rFonts w:ascii="Arial" w:hAnsi="Arial" w:cs="Arial"/>
          <w:bCs/>
        </w:rPr>
        <w:t xml:space="preserve">e </w:t>
      </w:r>
      <w:r w:rsidR="00367AA7">
        <w:rPr>
          <w:rFonts w:ascii="Arial" w:hAnsi="Arial" w:cs="Arial"/>
          <w:bCs/>
        </w:rPr>
        <w:t xml:space="preserve">are </w:t>
      </w:r>
      <w:r w:rsidR="002D735D">
        <w:rPr>
          <w:rFonts w:ascii="Arial" w:hAnsi="Arial" w:cs="Arial"/>
          <w:bCs/>
        </w:rPr>
        <w:t>target</w:t>
      </w:r>
      <w:r w:rsidR="00367AA7">
        <w:rPr>
          <w:rFonts w:ascii="Arial" w:hAnsi="Arial" w:cs="Arial"/>
          <w:bCs/>
        </w:rPr>
        <w:t>ing further</w:t>
      </w:r>
      <w:r w:rsidR="002D735D">
        <w:rPr>
          <w:rFonts w:ascii="Arial" w:hAnsi="Arial" w:cs="Arial"/>
          <w:bCs/>
        </w:rPr>
        <w:t xml:space="preserve"> market share </w:t>
      </w:r>
      <w:r w:rsidR="00980969">
        <w:rPr>
          <w:rFonts w:ascii="Arial" w:hAnsi="Arial" w:cs="Arial"/>
          <w:bCs/>
        </w:rPr>
        <w:t xml:space="preserve">gains </w:t>
      </w:r>
      <w:r w:rsidR="002D735D">
        <w:rPr>
          <w:rFonts w:ascii="Arial" w:hAnsi="Arial" w:cs="Arial"/>
          <w:bCs/>
        </w:rPr>
        <w:t>in our markets</w:t>
      </w:r>
      <w:r w:rsidR="002A5984">
        <w:rPr>
          <w:rFonts w:ascii="Arial" w:hAnsi="Arial" w:cs="Arial"/>
          <w:bCs/>
        </w:rPr>
        <w:t>, and</w:t>
      </w:r>
      <w:r w:rsidR="009F55E6" w:rsidRPr="00EB4495">
        <w:rPr>
          <w:rFonts w:ascii="Arial" w:hAnsi="Arial" w:cs="Arial"/>
        </w:rPr>
        <w:t xml:space="preserve"> </w:t>
      </w:r>
      <w:r w:rsidR="009F55E6">
        <w:rPr>
          <w:rFonts w:ascii="Arial" w:hAnsi="Arial" w:cs="Arial"/>
        </w:rPr>
        <w:t xml:space="preserve">are </w:t>
      </w:r>
      <w:r w:rsidR="009F55E6" w:rsidRPr="00EB4495">
        <w:rPr>
          <w:rFonts w:ascii="Arial" w:hAnsi="Arial" w:cs="Arial"/>
        </w:rPr>
        <w:t xml:space="preserve">accelerating our investments for growth </w:t>
      </w:r>
      <w:r w:rsidR="002A5984">
        <w:rPr>
          <w:rFonts w:ascii="Arial" w:hAnsi="Arial" w:cs="Arial"/>
        </w:rPr>
        <w:lastRenderedPageBreak/>
        <w:t xml:space="preserve">– </w:t>
      </w:r>
      <w:r w:rsidR="009F55E6" w:rsidRPr="00EB4495">
        <w:rPr>
          <w:rFonts w:ascii="Arial" w:hAnsi="Arial" w:cs="Arial"/>
        </w:rPr>
        <w:t xml:space="preserve">through the launch </w:t>
      </w:r>
      <w:r w:rsidR="009F55E6" w:rsidRPr="002E6573">
        <w:rPr>
          <w:rFonts w:ascii="Arial" w:hAnsi="Arial" w:cs="Arial"/>
        </w:rPr>
        <w:t xml:space="preserve">of our scalable e-commerce marketplace, the expansion of Screwfix in the UK and France, new store openings in Poland, and our plans to increase </w:t>
      </w:r>
      <w:r w:rsidR="00B876B8" w:rsidRPr="002E6573">
        <w:rPr>
          <w:rFonts w:ascii="Arial" w:hAnsi="Arial" w:cs="Arial"/>
        </w:rPr>
        <w:t xml:space="preserve">trade </w:t>
      </w:r>
      <w:r w:rsidR="009F55E6" w:rsidRPr="002E6573">
        <w:rPr>
          <w:rFonts w:ascii="Arial" w:hAnsi="Arial" w:cs="Arial"/>
        </w:rPr>
        <w:t xml:space="preserve">customer penetration. </w:t>
      </w:r>
      <w:r w:rsidR="00303E19" w:rsidRPr="002E6573">
        <w:rPr>
          <w:rFonts w:ascii="Arial" w:hAnsi="Arial" w:cs="Arial"/>
        </w:rPr>
        <w:t>We e</w:t>
      </w:r>
      <w:r w:rsidR="009F55E6" w:rsidRPr="002E6573">
        <w:rPr>
          <w:rFonts w:ascii="Arial" w:hAnsi="Arial" w:cs="Arial"/>
          <w:bCs/>
        </w:rPr>
        <w:t xml:space="preserve">xpect </w:t>
      </w:r>
      <w:r w:rsidR="0007689A" w:rsidRPr="002E6573">
        <w:rPr>
          <w:rFonts w:ascii="Arial" w:hAnsi="Arial" w:cs="Arial"/>
          <w:bCs/>
        </w:rPr>
        <w:t>P&amp;L</w:t>
      </w:r>
      <w:r w:rsidR="009F55E6" w:rsidRPr="002E6573">
        <w:rPr>
          <w:rFonts w:ascii="Arial" w:hAnsi="Arial" w:cs="Arial"/>
          <w:bCs/>
        </w:rPr>
        <w:t xml:space="preserve"> invest</w:t>
      </w:r>
      <w:r w:rsidR="0007689A" w:rsidRPr="002E6573">
        <w:rPr>
          <w:rFonts w:ascii="Arial" w:hAnsi="Arial" w:cs="Arial"/>
          <w:bCs/>
        </w:rPr>
        <w:t>ments of</w:t>
      </w:r>
      <w:r w:rsidR="009F55E6" w:rsidRPr="002E6573">
        <w:rPr>
          <w:rFonts w:ascii="Arial" w:hAnsi="Arial" w:cs="Arial"/>
          <w:bCs/>
        </w:rPr>
        <w:t xml:space="preserve"> c.</w:t>
      </w:r>
      <w:r w:rsidR="009F55E6" w:rsidRPr="003F41A1">
        <w:rPr>
          <w:rFonts w:ascii="Arial" w:hAnsi="Arial" w:cs="Arial"/>
          <w:bCs/>
        </w:rPr>
        <w:t>£</w:t>
      </w:r>
      <w:r w:rsidR="00197B30">
        <w:rPr>
          <w:rFonts w:ascii="Arial" w:hAnsi="Arial" w:cs="Arial"/>
          <w:bCs/>
        </w:rPr>
        <w:t>2</w:t>
      </w:r>
      <w:r w:rsidR="009F55E6" w:rsidRPr="003F41A1">
        <w:rPr>
          <w:rFonts w:ascii="Arial" w:hAnsi="Arial" w:cs="Arial"/>
          <w:bCs/>
        </w:rPr>
        <w:t>5m</w:t>
      </w:r>
      <w:r w:rsidR="009F55E6" w:rsidRPr="002E6573">
        <w:rPr>
          <w:rFonts w:ascii="Arial" w:hAnsi="Arial" w:cs="Arial"/>
          <w:bCs/>
        </w:rPr>
        <w:t xml:space="preserve"> in relation to our new businesses</w:t>
      </w:r>
      <w:r w:rsidR="0007689A" w:rsidRPr="002E6573">
        <w:rPr>
          <w:rFonts w:ascii="Arial" w:hAnsi="Arial" w:cs="Arial"/>
          <w:bCs/>
        </w:rPr>
        <w:t xml:space="preserve"> in FY 22/23</w:t>
      </w:r>
      <w:r w:rsidR="009F55E6" w:rsidRPr="002E6573">
        <w:rPr>
          <w:rFonts w:ascii="Arial" w:hAnsi="Arial" w:cs="Arial"/>
          <w:bCs/>
        </w:rPr>
        <w:t xml:space="preserve">, </w:t>
      </w:r>
      <w:r w:rsidR="009154FE" w:rsidRPr="002E6573">
        <w:rPr>
          <w:rFonts w:ascii="Arial" w:hAnsi="Arial" w:cs="Arial"/>
          <w:bCs/>
        </w:rPr>
        <w:t xml:space="preserve">including </w:t>
      </w:r>
      <w:r w:rsidR="009F55E6" w:rsidRPr="002E6573">
        <w:rPr>
          <w:rFonts w:ascii="Arial" w:hAnsi="Arial" w:cs="Arial"/>
          <w:bCs/>
        </w:rPr>
        <w:t xml:space="preserve">Screwfix </w:t>
      </w:r>
      <w:r w:rsidR="009154FE" w:rsidRPr="002E6573">
        <w:rPr>
          <w:rFonts w:ascii="Arial" w:hAnsi="Arial" w:cs="Arial"/>
          <w:bCs/>
        </w:rPr>
        <w:t xml:space="preserve">France and </w:t>
      </w:r>
      <w:r w:rsidR="00F76A4E" w:rsidRPr="002E6573">
        <w:rPr>
          <w:rFonts w:ascii="Arial" w:hAnsi="Arial" w:cs="Arial"/>
          <w:bCs/>
        </w:rPr>
        <w:t xml:space="preserve">B&amp;Q’s </w:t>
      </w:r>
      <w:r w:rsidR="0007689A" w:rsidRPr="002E6573">
        <w:rPr>
          <w:rFonts w:ascii="Arial" w:hAnsi="Arial" w:cs="Arial"/>
          <w:bCs/>
        </w:rPr>
        <w:t xml:space="preserve">e-commerce </w:t>
      </w:r>
      <w:r w:rsidR="009154FE" w:rsidRPr="002E6573">
        <w:rPr>
          <w:rFonts w:ascii="Arial" w:hAnsi="Arial" w:cs="Arial"/>
          <w:bCs/>
        </w:rPr>
        <w:t>marketplace</w:t>
      </w:r>
      <w:r w:rsidR="009F55E6" w:rsidRPr="002E6573">
        <w:rPr>
          <w:rFonts w:ascii="Arial" w:hAnsi="Arial" w:cs="Arial"/>
          <w:bCs/>
        </w:rPr>
        <w:t xml:space="preserve">. New store openings, largely in </w:t>
      </w:r>
      <w:r w:rsidR="00371F5A" w:rsidRPr="002E6573">
        <w:rPr>
          <w:rFonts w:ascii="Arial" w:hAnsi="Arial" w:cs="Arial"/>
          <w:bCs/>
        </w:rPr>
        <w:t xml:space="preserve">Screwfix </w:t>
      </w:r>
      <w:r w:rsidR="009F55E6" w:rsidRPr="002E6573">
        <w:rPr>
          <w:rFonts w:ascii="Arial" w:hAnsi="Arial" w:cs="Arial"/>
          <w:bCs/>
        </w:rPr>
        <w:t>and Poland, are expected to contribute c.+</w:t>
      </w:r>
      <w:r w:rsidR="009F55E6" w:rsidRPr="003F41A1">
        <w:rPr>
          <w:rFonts w:ascii="Arial" w:hAnsi="Arial" w:cs="Arial"/>
          <w:bCs/>
        </w:rPr>
        <w:t>1.5%</w:t>
      </w:r>
      <w:r w:rsidR="009F55E6" w:rsidRPr="002E6573">
        <w:rPr>
          <w:rFonts w:ascii="Arial" w:hAnsi="Arial" w:cs="Arial"/>
          <w:bCs/>
        </w:rPr>
        <w:t xml:space="preserve"> to total sales growth.</w:t>
      </w:r>
    </w:p>
    <w:p w14:paraId="0448CF9E" w14:textId="75E22138" w:rsidR="009F55E6" w:rsidRPr="002E6573" w:rsidRDefault="009F55E6" w:rsidP="009F55E6">
      <w:pPr>
        <w:jc w:val="left"/>
        <w:rPr>
          <w:rFonts w:ascii="Arial" w:hAnsi="Arial" w:cs="Arial"/>
          <w:bCs/>
        </w:rPr>
      </w:pPr>
    </w:p>
    <w:p w14:paraId="3CBE2A94" w14:textId="50472689" w:rsidR="0014114F" w:rsidRDefault="002A5984" w:rsidP="009F55E6">
      <w:pPr>
        <w:jc w:val="left"/>
        <w:rPr>
          <w:rFonts w:ascii="Arial" w:hAnsi="Arial" w:cs="Arial"/>
          <w:bCs/>
        </w:rPr>
      </w:pPr>
      <w:r w:rsidRPr="002E6573">
        <w:rPr>
          <w:rFonts w:ascii="Arial" w:hAnsi="Arial" w:cs="Arial"/>
          <w:bCs/>
        </w:rPr>
        <w:t>W</w:t>
      </w:r>
      <w:r w:rsidR="002D735D" w:rsidRPr="002E6573">
        <w:rPr>
          <w:rFonts w:ascii="Arial" w:hAnsi="Arial" w:cs="Arial"/>
          <w:bCs/>
        </w:rPr>
        <w:t>e are committed to continu</w:t>
      </w:r>
      <w:r w:rsidR="00C84D88" w:rsidRPr="002E6573">
        <w:rPr>
          <w:rFonts w:ascii="Arial" w:hAnsi="Arial" w:cs="Arial"/>
          <w:bCs/>
        </w:rPr>
        <w:t>e</w:t>
      </w:r>
      <w:r w:rsidR="002D735D">
        <w:rPr>
          <w:rFonts w:ascii="Arial" w:hAnsi="Arial" w:cs="Arial"/>
          <w:bCs/>
        </w:rPr>
        <w:t xml:space="preserve"> manag</w:t>
      </w:r>
      <w:r w:rsidR="00C84D88">
        <w:rPr>
          <w:rFonts w:ascii="Arial" w:hAnsi="Arial" w:cs="Arial"/>
          <w:bCs/>
        </w:rPr>
        <w:t>ing</w:t>
      </w:r>
      <w:r w:rsidR="002D735D">
        <w:rPr>
          <w:rFonts w:ascii="Arial" w:hAnsi="Arial" w:cs="Arial"/>
          <w:bCs/>
        </w:rPr>
        <w:t xml:space="preserve"> our gross margin effectively</w:t>
      </w:r>
      <w:r w:rsidR="00220BF2">
        <w:rPr>
          <w:rFonts w:ascii="Arial" w:hAnsi="Arial" w:cs="Arial"/>
        </w:rPr>
        <w:t xml:space="preserve"> in an inflationary environment</w:t>
      </w:r>
      <w:r w:rsidR="002D735D">
        <w:rPr>
          <w:rFonts w:ascii="Arial" w:hAnsi="Arial" w:cs="Arial"/>
          <w:bCs/>
        </w:rPr>
        <w:t xml:space="preserve">, as we did </w:t>
      </w:r>
      <w:r w:rsidR="005111B2">
        <w:rPr>
          <w:rFonts w:ascii="Arial" w:hAnsi="Arial" w:cs="Arial"/>
          <w:bCs/>
        </w:rPr>
        <w:t xml:space="preserve">successfully </w:t>
      </w:r>
      <w:r w:rsidR="002D735D">
        <w:rPr>
          <w:rFonts w:ascii="Arial" w:hAnsi="Arial" w:cs="Arial"/>
          <w:bCs/>
        </w:rPr>
        <w:t xml:space="preserve">in FY 21/22. Furthermore, we </w:t>
      </w:r>
      <w:r w:rsidR="00367AA7">
        <w:rPr>
          <w:rFonts w:ascii="Arial" w:hAnsi="Arial" w:cs="Arial"/>
          <w:bCs/>
        </w:rPr>
        <w:t xml:space="preserve">will </w:t>
      </w:r>
      <w:r w:rsidR="002D735D">
        <w:rPr>
          <w:rFonts w:ascii="Arial" w:hAnsi="Arial" w:cs="Arial"/>
          <w:bCs/>
        </w:rPr>
        <w:t xml:space="preserve">remain </w:t>
      </w:r>
      <w:r w:rsidR="00220BF2">
        <w:rPr>
          <w:rFonts w:ascii="Arial" w:hAnsi="Arial" w:cs="Arial"/>
          <w:bCs/>
        </w:rPr>
        <w:t xml:space="preserve">active and responsive </w:t>
      </w:r>
      <w:r w:rsidR="002D735D">
        <w:rPr>
          <w:rFonts w:ascii="Arial" w:hAnsi="Arial" w:cs="Arial"/>
          <w:bCs/>
        </w:rPr>
        <w:t xml:space="preserve">in our approach to managing our operating cost base. </w:t>
      </w:r>
      <w:r w:rsidR="009F55E6">
        <w:rPr>
          <w:rFonts w:ascii="Arial" w:hAnsi="Arial" w:cs="Arial"/>
          <w:bCs/>
        </w:rPr>
        <w:t xml:space="preserve">In addition to benefiting from ongoing cost reduction initiatives, our retail banners </w:t>
      </w:r>
      <w:r w:rsidR="000E7996">
        <w:rPr>
          <w:rFonts w:ascii="Arial" w:hAnsi="Arial" w:cs="Arial"/>
          <w:bCs/>
        </w:rPr>
        <w:t xml:space="preserve">can rapidly </w:t>
      </w:r>
      <w:r w:rsidR="009F55E6">
        <w:rPr>
          <w:rFonts w:ascii="Arial" w:hAnsi="Arial" w:cs="Arial"/>
          <w:bCs/>
        </w:rPr>
        <w:t>flex their cost base in the face of changing demand, as evidenced during the COVID pandemic.</w:t>
      </w:r>
      <w:r w:rsidR="002D735D">
        <w:rPr>
          <w:rFonts w:ascii="Arial" w:hAnsi="Arial" w:cs="Arial"/>
          <w:bCs/>
        </w:rPr>
        <w:t xml:space="preserve"> </w:t>
      </w:r>
    </w:p>
    <w:p w14:paraId="5D0F1127" w14:textId="77777777" w:rsidR="0014114F" w:rsidRDefault="0014114F" w:rsidP="002D735D">
      <w:pPr>
        <w:jc w:val="left"/>
        <w:rPr>
          <w:rFonts w:ascii="Arial" w:hAnsi="Arial" w:cs="Arial"/>
          <w:bCs/>
        </w:rPr>
      </w:pPr>
    </w:p>
    <w:p w14:paraId="764AAD5D" w14:textId="08B6C862" w:rsidR="00BF7C59" w:rsidRPr="00EB4495" w:rsidRDefault="002D735D" w:rsidP="00BF7C59">
      <w:pPr>
        <w:jc w:val="left"/>
        <w:rPr>
          <w:rFonts w:ascii="Arial" w:hAnsi="Arial" w:cs="Arial"/>
        </w:rPr>
      </w:pPr>
      <w:r>
        <w:rPr>
          <w:rFonts w:ascii="Arial" w:hAnsi="Arial" w:cs="Arial"/>
          <w:bCs/>
        </w:rPr>
        <w:t>As a result</w:t>
      </w:r>
      <w:r w:rsidR="0014114F">
        <w:rPr>
          <w:rFonts w:ascii="Arial" w:hAnsi="Arial" w:cs="Arial"/>
          <w:bCs/>
        </w:rPr>
        <w:t xml:space="preserve"> of the above</w:t>
      </w:r>
      <w:r>
        <w:rPr>
          <w:rFonts w:ascii="Arial" w:hAnsi="Arial" w:cs="Arial"/>
          <w:bCs/>
        </w:rPr>
        <w:t>, we are</w:t>
      </w:r>
      <w:r w:rsidR="00676659">
        <w:rPr>
          <w:rFonts w:ascii="Arial" w:hAnsi="Arial" w:cs="Arial"/>
          <w:bCs/>
        </w:rPr>
        <w:t xml:space="preserve"> comfortable </w:t>
      </w:r>
      <w:r w:rsidRPr="003C17A8">
        <w:rPr>
          <w:rFonts w:ascii="Arial" w:hAnsi="Arial" w:cs="Arial"/>
          <w:bCs/>
        </w:rPr>
        <w:t xml:space="preserve">with the </w:t>
      </w:r>
      <w:r w:rsidR="00BF7C59">
        <w:rPr>
          <w:rFonts w:ascii="Arial" w:hAnsi="Arial" w:cs="Arial"/>
          <w:bCs/>
        </w:rPr>
        <w:t xml:space="preserve">current </w:t>
      </w:r>
      <w:r w:rsidRPr="003C17A8">
        <w:rPr>
          <w:rFonts w:ascii="Arial" w:hAnsi="Arial" w:cs="Arial"/>
          <w:bCs/>
        </w:rPr>
        <w:t>consensus of sell-side analyst estimates</w:t>
      </w:r>
      <w:r w:rsidR="000E7996">
        <w:rPr>
          <w:rFonts w:ascii="Arial" w:hAnsi="Arial" w:cs="Arial"/>
          <w:bCs/>
        </w:rPr>
        <w:t xml:space="preserve"> </w:t>
      </w:r>
      <w:r w:rsidR="00676659">
        <w:rPr>
          <w:rFonts w:ascii="Arial" w:hAnsi="Arial" w:cs="Arial"/>
          <w:bCs/>
        </w:rPr>
        <w:t>for FY 22/23 adjusted pre-tax profit</w:t>
      </w:r>
      <w:r w:rsidR="004737A1" w:rsidRPr="00EB4495">
        <w:rPr>
          <w:rFonts w:ascii="Arial" w:hAnsi="Arial" w:cs="Arial"/>
          <w:bCs/>
          <w:vertAlign w:val="superscript"/>
        </w:rPr>
        <w:t>(</w:t>
      </w:r>
      <w:r w:rsidR="004737A1">
        <w:rPr>
          <w:rFonts w:ascii="Arial" w:hAnsi="Arial" w:cs="Arial"/>
          <w:bCs/>
          <w:vertAlign w:val="superscript"/>
        </w:rPr>
        <w:t>7</w:t>
      </w:r>
      <w:r w:rsidR="004737A1" w:rsidRPr="00EB4495">
        <w:rPr>
          <w:rFonts w:ascii="Arial" w:hAnsi="Arial" w:cs="Arial"/>
          <w:bCs/>
          <w:vertAlign w:val="superscript"/>
        </w:rPr>
        <w:t>)</w:t>
      </w:r>
      <w:r w:rsidR="00676659">
        <w:rPr>
          <w:rFonts w:ascii="Arial" w:hAnsi="Arial" w:cs="Arial"/>
          <w:bCs/>
        </w:rPr>
        <w:t>.</w:t>
      </w:r>
      <w:r w:rsidR="00BF7C59">
        <w:rPr>
          <w:rFonts w:ascii="Arial" w:hAnsi="Arial" w:cs="Arial"/>
          <w:bCs/>
        </w:rPr>
        <w:t xml:space="preserve"> </w:t>
      </w:r>
      <w:r w:rsidR="00BF7C59" w:rsidRPr="00EB4495">
        <w:rPr>
          <w:rFonts w:ascii="Arial" w:hAnsi="Arial" w:cs="Arial"/>
        </w:rPr>
        <w:t>Additional financial guidance for FY 22/23 is provided in Section 4.</w:t>
      </w:r>
    </w:p>
    <w:p w14:paraId="3BD0C607" w14:textId="77777777" w:rsidR="002D735D" w:rsidRPr="00EB4495" w:rsidRDefault="002D735D" w:rsidP="002D735D">
      <w:pPr>
        <w:jc w:val="left"/>
        <w:rPr>
          <w:rFonts w:ascii="Arial" w:hAnsi="Arial" w:cs="Arial"/>
        </w:rPr>
      </w:pPr>
    </w:p>
    <w:p w14:paraId="5349D5BB" w14:textId="53CC73DD" w:rsidR="002D735D" w:rsidRPr="00EB4495" w:rsidRDefault="002A5984" w:rsidP="002D735D">
      <w:pPr>
        <w:jc w:val="left"/>
        <w:rPr>
          <w:rFonts w:ascii="Arial" w:hAnsi="Arial" w:cs="Arial"/>
          <w:highlight w:val="yellow"/>
        </w:rPr>
      </w:pPr>
      <w:r>
        <w:rPr>
          <w:rFonts w:ascii="Arial" w:hAnsi="Arial" w:cs="Arial"/>
        </w:rPr>
        <w:t>T</w:t>
      </w:r>
      <w:r w:rsidR="002D735D" w:rsidRPr="00EB4495">
        <w:rPr>
          <w:rFonts w:ascii="Arial" w:hAnsi="Arial" w:cs="Arial"/>
        </w:rPr>
        <w:t>he COVID crisis has established longer-term trends that are supportive for our industry</w:t>
      </w:r>
      <w:r w:rsidR="00902364">
        <w:rPr>
          <w:rFonts w:ascii="Arial" w:hAnsi="Arial" w:cs="Arial"/>
        </w:rPr>
        <w:t xml:space="preserve"> – </w:t>
      </w:r>
      <w:r w:rsidR="002D735D" w:rsidRPr="00EB4495">
        <w:rPr>
          <w:rFonts w:ascii="Arial" w:hAnsi="Arial" w:cs="Arial"/>
        </w:rPr>
        <w:t xml:space="preserve">including the renewed importance of the home, more working from home, and the development of a new generation of </w:t>
      </w:r>
      <w:r w:rsidR="00265E72">
        <w:rPr>
          <w:rFonts w:ascii="Arial" w:hAnsi="Arial" w:cs="Arial"/>
        </w:rPr>
        <w:t>‘</w:t>
      </w:r>
      <w:r w:rsidR="002D735D" w:rsidRPr="00EB4495">
        <w:rPr>
          <w:rFonts w:ascii="Arial" w:hAnsi="Arial" w:cs="Arial"/>
        </w:rPr>
        <w:t>DIY’ers</w:t>
      </w:r>
      <w:r w:rsidR="00265E72">
        <w:rPr>
          <w:rFonts w:ascii="Arial" w:hAnsi="Arial" w:cs="Arial"/>
        </w:rPr>
        <w:t>’</w:t>
      </w:r>
      <w:r w:rsidR="002D735D" w:rsidRPr="00EB4495">
        <w:rPr>
          <w:rFonts w:ascii="Arial" w:hAnsi="Arial" w:cs="Arial"/>
        </w:rPr>
        <w:t>. We expect these broad trends to endure. With our strategic progress</w:t>
      </w:r>
      <w:r w:rsidR="00902364">
        <w:rPr>
          <w:rFonts w:ascii="Arial" w:hAnsi="Arial" w:cs="Arial"/>
        </w:rPr>
        <w:t xml:space="preserve"> and accelerated investments for growth</w:t>
      </w:r>
      <w:r w:rsidR="002D735D" w:rsidRPr="00EB4495">
        <w:rPr>
          <w:rFonts w:ascii="Arial" w:hAnsi="Arial" w:cs="Arial"/>
        </w:rPr>
        <w:t>, we are well positioned to capitalise on these positive, long-term market trends and are confident of continued outperformance of our markets.</w:t>
      </w:r>
    </w:p>
    <w:p w14:paraId="529942F2" w14:textId="77777777" w:rsidR="002D735D" w:rsidRPr="00EB4495" w:rsidRDefault="002D735D" w:rsidP="002D735D">
      <w:pPr>
        <w:jc w:val="left"/>
        <w:rPr>
          <w:rFonts w:ascii="Arial" w:hAnsi="Arial" w:cs="Arial"/>
          <w:highlight w:val="yellow"/>
        </w:rPr>
      </w:pPr>
    </w:p>
    <w:bookmarkEnd w:id="24"/>
    <w:p w14:paraId="1B3EF567" w14:textId="77777777" w:rsidR="00572682" w:rsidRPr="00EB4495" w:rsidRDefault="00572682" w:rsidP="006411EB">
      <w:pPr>
        <w:jc w:val="left"/>
        <w:rPr>
          <w:rFonts w:ascii="Arial" w:hAnsi="Arial" w:cs="Arial"/>
        </w:rPr>
      </w:pPr>
    </w:p>
    <w:p w14:paraId="09A46046" w14:textId="77777777" w:rsidR="00285440" w:rsidRPr="005A7E5B" w:rsidRDefault="00285440" w:rsidP="00285440">
      <w:pPr>
        <w:jc w:val="left"/>
        <w:rPr>
          <w:rFonts w:ascii="Arial" w:hAnsi="Arial" w:cs="Arial"/>
          <w:b/>
          <w:bCs/>
          <w:sz w:val="18"/>
          <w:szCs w:val="18"/>
        </w:rPr>
      </w:pPr>
      <w:r w:rsidRPr="005A7E5B">
        <w:rPr>
          <w:rFonts w:ascii="Arial" w:hAnsi="Arial" w:cs="Arial"/>
          <w:b/>
          <w:bCs/>
          <w:sz w:val="18"/>
          <w:szCs w:val="18"/>
        </w:rPr>
        <w:t>Footnotes</w:t>
      </w:r>
    </w:p>
    <w:p w14:paraId="020E152E" w14:textId="77777777" w:rsidR="00285440" w:rsidRPr="00902364" w:rsidRDefault="00285440" w:rsidP="00285440">
      <w:pPr>
        <w:jc w:val="left"/>
        <w:rPr>
          <w:rFonts w:ascii="Arial" w:hAnsi="Arial" w:cs="Arial"/>
          <w:bCs/>
          <w:sz w:val="18"/>
          <w:szCs w:val="18"/>
        </w:rPr>
      </w:pPr>
      <w:r w:rsidRPr="00902364">
        <w:rPr>
          <w:rFonts w:ascii="Arial" w:hAnsi="Arial" w:cs="Arial"/>
          <w:bCs/>
          <w:sz w:val="18"/>
          <w:szCs w:val="18"/>
          <w:vertAlign w:val="superscript"/>
        </w:rPr>
        <w:t>(1)</w:t>
      </w:r>
      <w:r w:rsidRPr="00902364">
        <w:rPr>
          <w:rFonts w:ascii="Arial" w:hAnsi="Arial" w:cs="Arial"/>
          <w:bCs/>
          <w:sz w:val="18"/>
          <w:szCs w:val="18"/>
        </w:rPr>
        <w:t xml:space="preserve"> Kingfisher’s subsidiary in Romania has historically prepared its financial statements to 31 December. In FY 21/22, Romania migrated to Kingfisher’s financial reporting calendar (year ended 31 January 2022). Its retail loss presented therefore includes one additional month of results (January 2022) in order to facilitate the alignment to Kingfisher’s financial reporting calendar. Reported and constant currency variances for Romania’s retail loss are for January 2021 to January 2022 (compared against January to December 2020).</w:t>
      </w:r>
    </w:p>
    <w:p w14:paraId="714F3E94" w14:textId="77777777" w:rsidR="00285440" w:rsidRPr="00902364" w:rsidRDefault="00285440" w:rsidP="00285440">
      <w:pPr>
        <w:jc w:val="left"/>
        <w:rPr>
          <w:rFonts w:ascii="Arial" w:hAnsi="Arial" w:cs="Arial"/>
          <w:bCs/>
          <w:sz w:val="18"/>
          <w:szCs w:val="18"/>
        </w:rPr>
      </w:pPr>
      <w:r w:rsidRPr="00902364">
        <w:rPr>
          <w:rFonts w:ascii="Arial" w:hAnsi="Arial" w:cs="Arial"/>
          <w:bCs/>
          <w:sz w:val="18"/>
          <w:szCs w:val="18"/>
          <w:vertAlign w:val="superscript"/>
        </w:rPr>
        <w:t>(2)</w:t>
      </w:r>
      <w:r w:rsidRPr="00902364">
        <w:rPr>
          <w:rFonts w:ascii="Arial" w:hAnsi="Arial" w:cs="Arial"/>
          <w:bCs/>
          <w:sz w:val="18"/>
          <w:szCs w:val="18"/>
        </w:rPr>
        <w:t xml:space="preserve"> Kingfisher completed the sale of Castorama Russia on 30 September 2020.</w:t>
      </w:r>
    </w:p>
    <w:p w14:paraId="0820AECE" w14:textId="69FFD8A0" w:rsidR="00285440" w:rsidRPr="00902364" w:rsidRDefault="00285440" w:rsidP="00285440">
      <w:pPr>
        <w:jc w:val="left"/>
        <w:rPr>
          <w:rFonts w:ascii="Arial" w:hAnsi="Arial" w:cs="Arial"/>
          <w:bCs/>
          <w:sz w:val="18"/>
          <w:szCs w:val="18"/>
        </w:rPr>
      </w:pPr>
      <w:r w:rsidRPr="00902364">
        <w:rPr>
          <w:rFonts w:ascii="Arial" w:hAnsi="Arial" w:cs="Arial"/>
          <w:bCs/>
          <w:sz w:val="18"/>
          <w:szCs w:val="18"/>
          <w:vertAlign w:val="superscript"/>
        </w:rPr>
        <w:t>(3)</w:t>
      </w:r>
      <w:r w:rsidRPr="00902364">
        <w:rPr>
          <w:rFonts w:ascii="Arial" w:hAnsi="Arial" w:cs="Arial"/>
          <w:bCs/>
          <w:sz w:val="18"/>
          <w:szCs w:val="18"/>
        </w:rPr>
        <w:t xml:space="preserve"> Further to footnote 1 above, Romania’s quarterly, 1-year</w:t>
      </w:r>
      <w:r w:rsidR="001E50BC">
        <w:rPr>
          <w:rFonts w:ascii="Arial" w:hAnsi="Arial" w:cs="Arial"/>
          <w:bCs/>
          <w:sz w:val="18"/>
          <w:szCs w:val="18"/>
        </w:rPr>
        <w:t xml:space="preserve"> and </w:t>
      </w:r>
      <w:r w:rsidRPr="00902364">
        <w:rPr>
          <w:rFonts w:ascii="Arial" w:hAnsi="Arial" w:cs="Arial"/>
          <w:bCs/>
          <w:sz w:val="18"/>
          <w:szCs w:val="18"/>
        </w:rPr>
        <w:t>2-year LFL sales growth compares equivalent periods in the current year and prior years. Romania’s LFL sales growth in the month of January 2021 was 22.2%.</w:t>
      </w:r>
    </w:p>
    <w:p w14:paraId="68DEC2C4" w14:textId="0C86D31D" w:rsidR="00285440" w:rsidRPr="00902364" w:rsidRDefault="00285440" w:rsidP="00285440">
      <w:pPr>
        <w:jc w:val="left"/>
        <w:rPr>
          <w:rFonts w:ascii="Arial" w:hAnsi="Arial" w:cs="Arial"/>
          <w:bCs/>
          <w:sz w:val="18"/>
          <w:szCs w:val="18"/>
        </w:rPr>
      </w:pPr>
      <w:r w:rsidRPr="00902364">
        <w:rPr>
          <w:rFonts w:ascii="Arial" w:hAnsi="Arial" w:cs="Arial"/>
          <w:bCs/>
          <w:sz w:val="18"/>
          <w:szCs w:val="18"/>
          <w:vertAlign w:val="superscript"/>
        </w:rPr>
        <w:t>(4)</w:t>
      </w:r>
      <w:r w:rsidRPr="00902364">
        <w:rPr>
          <w:rFonts w:ascii="Arial" w:hAnsi="Arial" w:cs="Arial"/>
          <w:bCs/>
          <w:sz w:val="18"/>
          <w:szCs w:val="18"/>
        </w:rPr>
        <w:t xml:space="preserve"> Group LFL includes e-commerce sales, and excludes Koçtaş (Kingfisher’s 50% JV in Turkey). Other International and Group LFL on a 2-year basis exclude Russia.</w:t>
      </w:r>
    </w:p>
    <w:p w14:paraId="44E2C04E" w14:textId="2B5DADC4" w:rsidR="00285440" w:rsidRPr="00902364" w:rsidRDefault="00285440" w:rsidP="00285440">
      <w:pPr>
        <w:jc w:val="left"/>
        <w:rPr>
          <w:rFonts w:ascii="Arial" w:hAnsi="Arial" w:cs="Arial"/>
          <w:bCs/>
          <w:sz w:val="18"/>
          <w:szCs w:val="18"/>
        </w:rPr>
      </w:pPr>
      <w:r w:rsidRPr="00902364">
        <w:rPr>
          <w:rFonts w:ascii="Arial" w:hAnsi="Arial" w:cs="Arial"/>
          <w:bCs/>
          <w:sz w:val="18"/>
          <w:szCs w:val="18"/>
          <w:vertAlign w:val="superscript"/>
        </w:rPr>
        <w:t>(5)</w:t>
      </w:r>
      <w:r w:rsidRPr="00902364">
        <w:rPr>
          <w:rFonts w:ascii="Arial" w:hAnsi="Arial" w:cs="Arial"/>
          <w:bCs/>
          <w:sz w:val="18"/>
          <w:szCs w:val="18"/>
        </w:rPr>
        <w:t xml:space="preserve"> E-commerce sales are total sales derived from online transactions, including </w:t>
      </w:r>
      <w:r w:rsidR="000E1790">
        <w:rPr>
          <w:rFonts w:ascii="Arial" w:hAnsi="Arial" w:cs="Arial"/>
          <w:bCs/>
          <w:sz w:val="18"/>
          <w:szCs w:val="18"/>
        </w:rPr>
        <w:t>C&amp;C</w:t>
      </w:r>
      <w:r w:rsidRPr="00902364">
        <w:rPr>
          <w:rFonts w:ascii="Arial" w:hAnsi="Arial" w:cs="Arial"/>
          <w:bCs/>
          <w:sz w:val="18"/>
          <w:szCs w:val="18"/>
        </w:rPr>
        <w:t>. This includes sales transacted on any device, however not sales through a call centre. E-commerce sales change is in constant currency and covers the total Group, excluding Russia.</w:t>
      </w:r>
    </w:p>
    <w:p w14:paraId="37CFA773" w14:textId="2B772477" w:rsidR="002A5984" w:rsidRPr="00F33A20" w:rsidRDefault="00285440" w:rsidP="00525A29">
      <w:pPr>
        <w:jc w:val="left"/>
        <w:rPr>
          <w:rFonts w:ascii="Arial" w:hAnsi="Arial" w:cs="Arial"/>
          <w:bCs/>
          <w:sz w:val="18"/>
          <w:szCs w:val="18"/>
        </w:rPr>
      </w:pPr>
      <w:r w:rsidRPr="00D53A1F">
        <w:rPr>
          <w:rFonts w:ascii="Arial" w:hAnsi="Arial" w:cs="Arial"/>
          <w:bCs/>
          <w:sz w:val="18"/>
          <w:szCs w:val="18"/>
          <w:vertAlign w:val="superscript"/>
        </w:rPr>
        <w:t>(6)</w:t>
      </w:r>
      <w:r w:rsidRPr="00D53A1F">
        <w:rPr>
          <w:rFonts w:ascii="Arial" w:hAnsi="Arial" w:cs="Arial"/>
          <w:bCs/>
          <w:sz w:val="18"/>
          <w:szCs w:val="18"/>
        </w:rPr>
        <w:t xml:space="preserve"> ‘Q1 22/23 LFL sales (to 19 March 2022)’ and ‘Q1 22/23 (to date)’ represent the period from 30 January 2022 to 19 March 2022 (compared against the equivalent period in the prior year, from 31 January 2021 to 20 March 2021). The corresponding 2-year LFL represents the period from 30 January 2022 to 19 March 2022 compared against the equivalent period in FY 20/21 (</w:t>
      </w:r>
      <w:r w:rsidR="008B5720" w:rsidRPr="00D53A1F">
        <w:rPr>
          <w:rFonts w:ascii="Arial" w:hAnsi="Arial" w:cs="Arial"/>
          <w:bCs/>
          <w:sz w:val="18"/>
          <w:szCs w:val="18"/>
        </w:rPr>
        <w:t>i.e.,</w:t>
      </w:r>
      <w:r w:rsidRPr="00D53A1F">
        <w:rPr>
          <w:rFonts w:ascii="Arial" w:hAnsi="Arial" w:cs="Arial"/>
          <w:bCs/>
          <w:sz w:val="18"/>
          <w:szCs w:val="18"/>
        </w:rPr>
        <w:t xml:space="preserve"> from 2 February 2020 to 21 March 2020). The figures are </w:t>
      </w:r>
      <w:r w:rsidRPr="00F33A20">
        <w:rPr>
          <w:rFonts w:ascii="Arial" w:hAnsi="Arial" w:cs="Arial"/>
          <w:bCs/>
          <w:sz w:val="18"/>
          <w:szCs w:val="18"/>
        </w:rPr>
        <w:t>provisional and exclude certain non-cash accounting adjustments relating to revenue recognition.</w:t>
      </w:r>
    </w:p>
    <w:p w14:paraId="025481BC" w14:textId="103BE3FD" w:rsidR="005960F9" w:rsidRPr="00EB4495" w:rsidRDefault="002A5984" w:rsidP="00525A29">
      <w:pPr>
        <w:jc w:val="left"/>
        <w:rPr>
          <w:rFonts w:ascii="Arial" w:hAnsi="Arial" w:cs="Arial"/>
          <w:sz w:val="18"/>
          <w:szCs w:val="18"/>
        </w:rPr>
      </w:pPr>
      <w:r w:rsidRPr="00F33A20">
        <w:rPr>
          <w:rFonts w:ascii="Arial" w:hAnsi="Arial" w:cs="Arial"/>
          <w:bCs/>
          <w:sz w:val="18"/>
          <w:szCs w:val="18"/>
          <w:vertAlign w:val="superscript"/>
        </w:rPr>
        <w:t>(7)</w:t>
      </w:r>
      <w:r w:rsidRPr="00F33A20">
        <w:rPr>
          <w:rFonts w:ascii="Arial" w:hAnsi="Arial" w:cs="Arial"/>
          <w:bCs/>
          <w:sz w:val="18"/>
          <w:szCs w:val="18"/>
        </w:rPr>
        <w:t xml:space="preserve"> </w:t>
      </w:r>
      <w:r w:rsidR="004737A1" w:rsidRPr="003F41A1">
        <w:rPr>
          <w:rFonts w:ascii="Arial" w:hAnsi="Arial" w:cs="Arial"/>
          <w:sz w:val="18"/>
          <w:szCs w:val="18"/>
        </w:rPr>
        <w:t>Guidance assumes current exchange rates</w:t>
      </w:r>
      <w:r w:rsidR="004737A1" w:rsidRPr="00F33A20">
        <w:rPr>
          <w:rFonts w:ascii="Arial" w:hAnsi="Arial" w:cs="Arial"/>
          <w:bCs/>
          <w:sz w:val="18"/>
          <w:szCs w:val="18"/>
        </w:rPr>
        <w:t xml:space="preserve">. </w:t>
      </w:r>
      <w:r w:rsidRPr="00F33A20">
        <w:rPr>
          <w:rFonts w:ascii="Arial" w:hAnsi="Arial" w:cs="Arial"/>
          <w:bCs/>
          <w:sz w:val="18"/>
          <w:szCs w:val="18"/>
        </w:rPr>
        <w:t xml:space="preserve">According to Company-compiled consensus estimates as of </w:t>
      </w:r>
      <w:r w:rsidR="00265E72" w:rsidRPr="003F41A1">
        <w:rPr>
          <w:rFonts w:ascii="Arial" w:hAnsi="Arial" w:cs="Arial"/>
          <w:bCs/>
          <w:sz w:val="18"/>
          <w:szCs w:val="18"/>
        </w:rPr>
        <w:t>1</w:t>
      </w:r>
      <w:r w:rsidR="00F33A20" w:rsidRPr="003F41A1">
        <w:rPr>
          <w:rFonts w:ascii="Arial" w:hAnsi="Arial" w:cs="Arial"/>
          <w:bCs/>
          <w:sz w:val="18"/>
          <w:szCs w:val="18"/>
        </w:rPr>
        <w:t>5</w:t>
      </w:r>
      <w:r w:rsidR="00265E72" w:rsidRPr="003F41A1">
        <w:rPr>
          <w:rFonts w:ascii="Arial" w:hAnsi="Arial" w:cs="Arial"/>
          <w:bCs/>
          <w:sz w:val="18"/>
          <w:szCs w:val="18"/>
        </w:rPr>
        <w:t xml:space="preserve"> March </w:t>
      </w:r>
      <w:r w:rsidRPr="003F41A1">
        <w:rPr>
          <w:rFonts w:ascii="Arial" w:hAnsi="Arial" w:cs="Arial"/>
          <w:bCs/>
          <w:sz w:val="18"/>
          <w:szCs w:val="18"/>
        </w:rPr>
        <w:t>202</w:t>
      </w:r>
      <w:r w:rsidR="00265E72" w:rsidRPr="003F41A1">
        <w:rPr>
          <w:rFonts w:ascii="Arial" w:hAnsi="Arial" w:cs="Arial"/>
          <w:bCs/>
          <w:sz w:val="18"/>
          <w:szCs w:val="18"/>
        </w:rPr>
        <w:t>2</w:t>
      </w:r>
      <w:r w:rsidRPr="00F33A20">
        <w:rPr>
          <w:rFonts w:ascii="Arial" w:hAnsi="Arial" w:cs="Arial"/>
          <w:bCs/>
          <w:sz w:val="18"/>
          <w:szCs w:val="18"/>
        </w:rPr>
        <w:t xml:space="preserve"> (as published on </w:t>
      </w:r>
      <w:hyperlink r:id="rId14" w:history="1">
        <w:r w:rsidRPr="00F33A20">
          <w:rPr>
            <w:rStyle w:val="Hyperlink"/>
            <w:rFonts w:ascii="Arial" w:hAnsi="Arial" w:cs="Arial"/>
            <w:bCs/>
            <w:sz w:val="18"/>
            <w:szCs w:val="18"/>
          </w:rPr>
          <w:t>www.kingfisher.com</w:t>
        </w:r>
      </w:hyperlink>
      <w:r w:rsidRPr="00F33A20">
        <w:rPr>
          <w:rFonts w:ascii="Arial" w:hAnsi="Arial" w:cs="Arial"/>
          <w:bCs/>
          <w:sz w:val="18"/>
          <w:szCs w:val="18"/>
        </w:rPr>
        <w:t xml:space="preserve">), the </w:t>
      </w:r>
      <w:r w:rsidR="0097617F" w:rsidRPr="00F33A20">
        <w:rPr>
          <w:rFonts w:ascii="Arial" w:hAnsi="Arial" w:cs="Arial"/>
          <w:bCs/>
          <w:sz w:val="18"/>
          <w:szCs w:val="18"/>
        </w:rPr>
        <w:t xml:space="preserve">current </w:t>
      </w:r>
      <w:r w:rsidRPr="00F33A20">
        <w:rPr>
          <w:rFonts w:ascii="Arial" w:hAnsi="Arial" w:cs="Arial"/>
          <w:bCs/>
          <w:sz w:val="18"/>
          <w:szCs w:val="18"/>
        </w:rPr>
        <w:t xml:space="preserve">consensus of sell-side analyst expectations for FY 22/23 adjusted profit before tax is </w:t>
      </w:r>
      <w:r w:rsidRPr="003F41A1">
        <w:rPr>
          <w:rFonts w:ascii="Arial" w:hAnsi="Arial" w:cs="Arial"/>
          <w:bCs/>
          <w:sz w:val="18"/>
          <w:szCs w:val="18"/>
        </w:rPr>
        <w:t>£7</w:t>
      </w:r>
      <w:r w:rsidR="00D83253" w:rsidRPr="003F41A1">
        <w:rPr>
          <w:rFonts w:ascii="Arial" w:hAnsi="Arial" w:cs="Arial"/>
          <w:bCs/>
          <w:sz w:val="18"/>
          <w:szCs w:val="18"/>
        </w:rPr>
        <w:t>69</w:t>
      </w:r>
      <w:r w:rsidRPr="003F41A1">
        <w:rPr>
          <w:rFonts w:ascii="Arial" w:hAnsi="Arial" w:cs="Arial"/>
          <w:bCs/>
          <w:sz w:val="18"/>
          <w:szCs w:val="18"/>
        </w:rPr>
        <w:t>m</w:t>
      </w:r>
      <w:r w:rsidRPr="00F33A20">
        <w:rPr>
          <w:rFonts w:ascii="Arial" w:hAnsi="Arial" w:cs="Arial"/>
          <w:bCs/>
          <w:sz w:val="18"/>
          <w:szCs w:val="18"/>
        </w:rPr>
        <w:t>.</w:t>
      </w:r>
      <w:r w:rsidR="005960F9" w:rsidRPr="00EB4495">
        <w:rPr>
          <w:rFonts w:ascii="Arial" w:hAnsi="Arial" w:cs="Arial"/>
          <w:sz w:val="18"/>
          <w:szCs w:val="18"/>
        </w:rPr>
        <w:br w:type="page"/>
      </w:r>
    </w:p>
    <w:p w14:paraId="2DD4E249" w14:textId="77777777" w:rsidR="007D1EB1" w:rsidRPr="00EB4495" w:rsidRDefault="007D1EB1" w:rsidP="007D1EB1">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b/>
          <w:bCs/>
          <w:color w:val="FFFFFF" w:themeColor="background1"/>
        </w:rPr>
      </w:pPr>
      <w:r w:rsidRPr="00EB4495">
        <w:rPr>
          <w:rFonts w:ascii="Arial" w:hAnsi="Arial" w:cs="Arial"/>
          <w:b/>
          <w:bCs/>
          <w:color w:val="FFFFFF" w:themeColor="background1"/>
        </w:rPr>
        <w:lastRenderedPageBreak/>
        <w:t>Section 2: Group update (including ‘Powered by Kingfisher’ strategic plan)</w:t>
      </w:r>
    </w:p>
    <w:p w14:paraId="64C67AFB" w14:textId="2B2C04FD" w:rsidR="005A06EB" w:rsidRPr="00EB4495" w:rsidRDefault="005A06EB" w:rsidP="007D1EB1">
      <w:pPr>
        <w:jc w:val="left"/>
        <w:rPr>
          <w:rFonts w:ascii="Arial" w:hAnsi="Arial" w:cs="Arial"/>
        </w:rPr>
      </w:pPr>
    </w:p>
    <w:p w14:paraId="4F603889" w14:textId="77777777" w:rsidR="00084627" w:rsidRPr="00EB4495" w:rsidRDefault="00084627" w:rsidP="00084627">
      <w:pPr>
        <w:jc w:val="left"/>
        <w:rPr>
          <w:rFonts w:ascii="Arial" w:hAnsi="Arial" w:cs="Arial"/>
        </w:rPr>
      </w:pPr>
      <w:r w:rsidRPr="00EB4495">
        <w:rPr>
          <w:rFonts w:ascii="Arial" w:hAnsi="Arial" w:cs="Arial"/>
        </w:rPr>
        <w:t xml:space="preserve">In June 2020, we announced our strategic plan – </w:t>
      </w:r>
      <w:r w:rsidRPr="00EB4495">
        <w:rPr>
          <w:rFonts w:ascii="Arial" w:hAnsi="Arial" w:cs="Arial"/>
          <w:b/>
          <w:bCs/>
        </w:rPr>
        <w:t>‘Powered by Kingfisher’</w:t>
      </w:r>
      <w:r w:rsidRPr="00EB4495">
        <w:rPr>
          <w:rFonts w:ascii="Arial" w:hAnsi="Arial" w:cs="Arial"/>
        </w:rPr>
        <w:t xml:space="preserve">. This plan aims to maximise the benefits of combining our </w:t>
      </w:r>
      <w:r w:rsidRPr="00EB4495">
        <w:rPr>
          <w:rFonts w:ascii="Arial" w:hAnsi="Arial" w:cs="Arial"/>
          <w:b/>
        </w:rPr>
        <w:t>distinct retail banners</w:t>
      </w:r>
      <w:r w:rsidRPr="00EB4495">
        <w:rPr>
          <w:rFonts w:ascii="Arial" w:hAnsi="Arial" w:cs="Arial"/>
          <w:bCs/>
        </w:rPr>
        <w:t xml:space="preserve"> (which serve a range of different customer needs) with the </w:t>
      </w:r>
      <w:r w:rsidRPr="00EB4495">
        <w:rPr>
          <w:rFonts w:ascii="Arial" w:hAnsi="Arial" w:cs="Arial"/>
          <w:b/>
        </w:rPr>
        <w:t>scale, strength and expertise of the Kingfisher Group</w:t>
      </w:r>
      <w:r w:rsidRPr="00EB4495">
        <w:rPr>
          <w:rFonts w:ascii="Arial" w:hAnsi="Arial" w:cs="Arial"/>
        </w:rPr>
        <w:t>, so we can address the significant growth opportunities we see in the home improvement market. To serve our customers effectively, we need to be more focused on digital and on customer services, provide more choice and make the most of our strong store assets, to give customers a quick and convenient experience.</w:t>
      </w:r>
    </w:p>
    <w:p w14:paraId="3965CF1D" w14:textId="77777777" w:rsidR="00084627" w:rsidRPr="00EB4495" w:rsidRDefault="00084627" w:rsidP="00084627">
      <w:pPr>
        <w:jc w:val="left"/>
        <w:rPr>
          <w:rFonts w:ascii="Arial" w:hAnsi="Arial" w:cs="Arial"/>
          <w:b/>
          <w:bCs/>
        </w:rPr>
      </w:pPr>
    </w:p>
    <w:p w14:paraId="11C7623B" w14:textId="77777777" w:rsidR="00084627" w:rsidRPr="00EB4495" w:rsidRDefault="00084627" w:rsidP="00084627">
      <w:pPr>
        <w:rPr>
          <w:rFonts w:ascii="Arial" w:hAnsi="Arial" w:cs="Arial"/>
          <w:b/>
          <w:bCs/>
          <w:u w:val="single"/>
        </w:rPr>
      </w:pPr>
      <w:r w:rsidRPr="00EB4495">
        <w:rPr>
          <w:rFonts w:ascii="Arial" w:hAnsi="Arial" w:cs="Arial"/>
          <w:b/>
          <w:bCs/>
          <w:u w:val="single"/>
        </w:rPr>
        <w:t>Overview</w:t>
      </w:r>
    </w:p>
    <w:p w14:paraId="29102AFB" w14:textId="57E6F32A" w:rsidR="00084627" w:rsidRPr="00EB4495" w:rsidRDefault="00084627" w:rsidP="00084627">
      <w:pPr>
        <w:jc w:val="left"/>
        <w:rPr>
          <w:rFonts w:ascii="Arial" w:hAnsi="Arial" w:cs="Arial"/>
        </w:rPr>
      </w:pPr>
      <w:r w:rsidRPr="00EB4495">
        <w:rPr>
          <w:rFonts w:ascii="Arial" w:hAnsi="Arial" w:cs="Arial"/>
        </w:rPr>
        <w:t xml:space="preserve">This section explains how we are managing the industry-wide challenges around product availability, supply chain and cost inflation. It also provides an update on the delivery of our ‘Powered by Kingfisher’ strategy, as well as industry growth drivers and our financial and capital allocation priorities. </w:t>
      </w:r>
      <w:r w:rsidR="00B534DB">
        <w:rPr>
          <w:rFonts w:ascii="Arial" w:hAnsi="Arial" w:cs="Arial"/>
        </w:rPr>
        <w:t>An update is also provided on our response to the crisis in Ukraine.</w:t>
      </w:r>
    </w:p>
    <w:p w14:paraId="6C4DA5D7" w14:textId="77777777" w:rsidR="00084627" w:rsidRPr="00EB4495" w:rsidRDefault="00084627" w:rsidP="00084627">
      <w:pPr>
        <w:jc w:val="left"/>
        <w:rPr>
          <w:rFonts w:ascii="Arial" w:hAnsi="Arial" w:cs="Arial"/>
        </w:rPr>
      </w:pPr>
    </w:p>
    <w:p w14:paraId="79E00DF5" w14:textId="77777777" w:rsidR="00084627" w:rsidRPr="00EB4495" w:rsidRDefault="00084627" w:rsidP="00084627">
      <w:pPr>
        <w:jc w:val="left"/>
        <w:rPr>
          <w:rFonts w:ascii="Arial" w:hAnsi="Arial" w:cs="Arial"/>
        </w:rPr>
      </w:pPr>
      <w:r w:rsidRPr="00EB4495">
        <w:rPr>
          <w:rFonts w:ascii="Arial" w:hAnsi="Arial" w:cs="Arial"/>
        </w:rPr>
        <w:t>The update is organised into the following key topics:</w:t>
      </w:r>
    </w:p>
    <w:p w14:paraId="23845CBA" w14:textId="77777777" w:rsidR="00084627" w:rsidRPr="00EB4495" w:rsidRDefault="00084627" w:rsidP="00084627">
      <w:pPr>
        <w:jc w:val="left"/>
        <w:rPr>
          <w:rFonts w:ascii="Arial" w:hAnsi="Arial" w:cs="Arial"/>
        </w:rPr>
      </w:pPr>
    </w:p>
    <w:p w14:paraId="15CB968F" w14:textId="7EE7FF09" w:rsidR="00B534DB" w:rsidRDefault="00B534DB" w:rsidP="00084627">
      <w:pPr>
        <w:numPr>
          <w:ilvl w:val="0"/>
          <w:numId w:val="19"/>
        </w:numPr>
        <w:jc w:val="left"/>
        <w:rPr>
          <w:rFonts w:ascii="Arial" w:hAnsi="Arial" w:cs="Arial"/>
        </w:rPr>
      </w:pPr>
      <w:r>
        <w:rPr>
          <w:rFonts w:ascii="Arial" w:hAnsi="Arial" w:cs="Arial"/>
        </w:rPr>
        <w:t>Update on the Ukraine crisis</w:t>
      </w:r>
    </w:p>
    <w:p w14:paraId="27E614A1" w14:textId="548F3AB2" w:rsidR="00084627" w:rsidRPr="00EB4495" w:rsidRDefault="00084627" w:rsidP="00084627">
      <w:pPr>
        <w:numPr>
          <w:ilvl w:val="0"/>
          <w:numId w:val="19"/>
        </w:numPr>
        <w:jc w:val="left"/>
        <w:rPr>
          <w:rFonts w:ascii="Arial" w:hAnsi="Arial" w:cs="Arial"/>
        </w:rPr>
      </w:pPr>
      <w:r w:rsidRPr="00EB4495">
        <w:rPr>
          <w:rFonts w:ascii="Arial" w:hAnsi="Arial" w:cs="Arial"/>
        </w:rPr>
        <w:t>Effective management of product availability, supply chain and inflation pressures</w:t>
      </w:r>
    </w:p>
    <w:p w14:paraId="40B21BC9" w14:textId="4B20D51B" w:rsidR="00084627" w:rsidRPr="00EB4495" w:rsidRDefault="00084627" w:rsidP="00084627">
      <w:pPr>
        <w:numPr>
          <w:ilvl w:val="0"/>
          <w:numId w:val="19"/>
        </w:numPr>
        <w:jc w:val="left"/>
        <w:rPr>
          <w:rFonts w:ascii="Arial" w:hAnsi="Arial" w:cs="Arial"/>
        </w:rPr>
      </w:pPr>
      <w:r w:rsidRPr="00EB4495">
        <w:rPr>
          <w:rFonts w:ascii="Arial" w:hAnsi="Arial" w:cs="Arial"/>
        </w:rPr>
        <w:t xml:space="preserve">France – </w:t>
      </w:r>
      <w:r w:rsidR="00893FBB">
        <w:rPr>
          <w:rFonts w:ascii="Arial" w:hAnsi="Arial" w:cs="Arial"/>
        </w:rPr>
        <w:t>final phase of</w:t>
      </w:r>
      <w:r w:rsidR="00E10826">
        <w:rPr>
          <w:rFonts w:ascii="Arial" w:hAnsi="Arial" w:cs="Arial"/>
        </w:rPr>
        <w:t xml:space="preserve"> </w:t>
      </w:r>
      <w:r w:rsidRPr="00EB4495">
        <w:rPr>
          <w:rFonts w:ascii="Arial" w:hAnsi="Arial" w:cs="Arial"/>
        </w:rPr>
        <w:t>‘fixes’</w:t>
      </w:r>
    </w:p>
    <w:p w14:paraId="0BE0C9CF" w14:textId="77777777" w:rsidR="00084627" w:rsidRPr="00EB4495" w:rsidRDefault="00084627" w:rsidP="00084627">
      <w:pPr>
        <w:numPr>
          <w:ilvl w:val="0"/>
          <w:numId w:val="19"/>
        </w:numPr>
        <w:jc w:val="left"/>
        <w:rPr>
          <w:rFonts w:ascii="Arial" w:hAnsi="Arial" w:cs="Arial"/>
        </w:rPr>
      </w:pPr>
      <w:r w:rsidRPr="00EB4495">
        <w:rPr>
          <w:rFonts w:ascii="Arial" w:hAnsi="Arial" w:cs="Arial"/>
        </w:rPr>
        <w:t>Delivering against ‘Powered by Kingfisher’ strategic priorities ahead of schedule</w:t>
      </w:r>
    </w:p>
    <w:p w14:paraId="49AAD13B" w14:textId="77777777" w:rsidR="00084627" w:rsidRPr="00EB4495" w:rsidRDefault="00084627" w:rsidP="00084627">
      <w:pPr>
        <w:pStyle w:val="ListParagraph"/>
        <w:numPr>
          <w:ilvl w:val="0"/>
          <w:numId w:val="19"/>
        </w:numPr>
        <w:rPr>
          <w:rFonts w:ascii="Arial" w:hAnsi="Arial" w:cs="Arial"/>
        </w:rPr>
      </w:pPr>
      <w:r w:rsidRPr="00EB4495">
        <w:rPr>
          <w:rFonts w:ascii="Arial" w:hAnsi="Arial" w:cs="Arial"/>
        </w:rPr>
        <w:t>Industry trends offer us opportunities</w:t>
      </w:r>
    </w:p>
    <w:p w14:paraId="3929A5C4" w14:textId="77777777" w:rsidR="00084627" w:rsidRPr="00EB4495" w:rsidRDefault="00084627" w:rsidP="00084627">
      <w:pPr>
        <w:numPr>
          <w:ilvl w:val="0"/>
          <w:numId w:val="19"/>
        </w:numPr>
        <w:jc w:val="left"/>
        <w:rPr>
          <w:rFonts w:ascii="Arial" w:hAnsi="Arial" w:cs="Arial"/>
        </w:rPr>
      </w:pPr>
      <w:r w:rsidRPr="00EB4495">
        <w:rPr>
          <w:rFonts w:ascii="Arial" w:hAnsi="Arial" w:cs="Arial"/>
        </w:rPr>
        <w:t>Clear financial priorities and capital allocation framework</w:t>
      </w:r>
    </w:p>
    <w:p w14:paraId="0DC9282C" w14:textId="50AC7610" w:rsidR="00084627" w:rsidRDefault="00084627" w:rsidP="00084627">
      <w:pPr>
        <w:jc w:val="left"/>
        <w:rPr>
          <w:rFonts w:ascii="Arial" w:hAnsi="Arial" w:cs="Arial"/>
          <w:b/>
          <w:bCs/>
        </w:rPr>
      </w:pPr>
      <w:bookmarkStart w:id="25" w:name="_Hlk80618612"/>
    </w:p>
    <w:p w14:paraId="73D6B1B4" w14:textId="7FF59437" w:rsidR="00B534DB" w:rsidRPr="00EB4495" w:rsidRDefault="00B534DB" w:rsidP="00B534DB">
      <w:pPr>
        <w:pStyle w:val="ListParagraph"/>
        <w:numPr>
          <w:ilvl w:val="0"/>
          <w:numId w:val="17"/>
        </w:numPr>
        <w:pBdr>
          <w:top w:val="single" w:sz="4" w:space="1" w:color="auto"/>
          <w:left w:val="single" w:sz="4" w:space="4" w:color="auto"/>
          <w:bottom w:val="single" w:sz="4" w:space="1" w:color="auto"/>
          <w:right w:val="single" w:sz="4" w:space="4" w:color="auto"/>
        </w:pBdr>
        <w:contextualSpacing/>
        <w:jc w:val="left"/>
        <w:rPr>
          <w:rFonts w:ascii="Arial" w:hAnsi="Arial" w:cs="Arial"/>
          <w:b/>
          <w:bCs/>
        </w:rPr>
      </w:pPr>
      <w:r>
        <w:rPr>
          <w:rFonts w:ascii="Arial" w:hAnsi="Arial" w:cs="Arial"/>
          <w:b/>
          <w:bCs/>
        </w:rPr>
        <w:t>Update on the Ukraine crisis</w:t>
      </w:r>
    </w:p>
    <w:p w14:paraId="033A2A3E" w14:textId="35DFAA6E" w:rsidR="00B534DB" w:rsidRDefault="00B534DB" w:rsidP="00084627">
      <w:pPr>
        <w:jc w:val="left"/>
        <w:rPr>
          <w:rFonts w:ascii="Arial" w:hAnsi="Arial" w:cs="Arial"/>
          <w:b/>
          <w:bCs/>
        </w:rPr>
      </w:pPr>
    </w:p>
    <w:p w14:paraId="04DAD44B" w14:textId="6BCB95B2" w:rsidR="00B534DB" w:rsidRPr="002234DE" w:rsidRDefault="00B534DB" w:rsidP="00B534DB">
      <w:pPr>
        <w:jc w:val="left"/>
        <w:rPr>
          <w:rFonts w:ascii="Arial" w:hAnsi="Arial" w:cs="Arial"/>
        </w:rPr>
      </w:pPr>
      <w:r w:rsidRPr="002234DE">
        <w:rPr>
          <w:rFonts w:ascii="Arial" w:hAnsi="Arial" w:cs="Arial"/>
        </w:rPr>
        <w:t xml:space="preserve">Everyone at Kingfisher is shocked and deeply concerned by the events that have unfolded in Ukraine over the last month. Our thoughts are with the people in Ukraine and in Eastern Europe impacted by the conflict. Since the start of the crisis, we immediately offered our aid for Ukrainian refugees, with all retail banners across the Group working extensively with charities such as the </w:t>
      </w:r>
      <w:r w:rsidR="00D44E21">
        <w:rPr>
          <w:rFonts w:ascii="Arial" w:hAnsi="Arial" w:cs="Arial"/>
        </w:rPr>
        <w:t xml:space="preserve">International </w:t>
      </w:r>
      <w:r w:rsidRPr="002234DE">
        <w:rPr>
          <w:rFonts w:ascii="Arial" w:hAnsi="Arial" w:cs="Arial"/>
        </w:rPr>
        <w:t xml:space="preserve">Red Cross </w:t>
      </w:r>
      <w:r w:rsidR="000B6DC0">
        <w:rPr>
          <w:rFonts w:ascii="Arial" w:hAnsi="Arial" w:cs="Arial"/>
        </w:rPr>
        <w:t xml:space="preserve">and UNHCR, the UN refugee agency, </w:t>
      </w:r>
      <w:r w:rsidRPr="002234DE">
        <w:rPr>
          <w:rFonts w:ascii="Arial" w:hAnsi="Arial" w:cs="Arial"/>
        </w:rPr>
        <w:t xml:space="preserve">who are supporting relief efforts. Brico Dépôt Romania is fundraising and donating essential items, while Castorama Poland has been fundraising and </w:t>
      </w:r>
      <w:r w:rsidR="007B174A">
        <w:rPr>
          <w:rFonts w:ascii="Arial" w:hAnsi="Arial" w:cs="Arial"/>
        </w:rPr>
        <w:t xml:space="preserve">supporting </w:t>
      </w:r>
      <w:r w:rsidRPr="002234DE">
        <w:rPr>
          <w:rFonts w:ascii="Arial" w:hAnsi="Arial" w:cs="Arial"/>
        </w:rPr>
        <w:t xml:space="preserve">colleagues from local stores to </w:t>
      </w:r>
      <w:r w:rsidR="00EC53EE">
        <w:rPr>
          <w:rFonts w:ascii="Arial" w:hAnsi="Arial" w:cs="Arial"/>
        </w:rPr>
        <w:t xml:space="preserve">volunteer in </w:t>
      </w:r>
      <w:r w:rsidRPr="002234DE">
        <w:rPr>
          <w:rFonts w:ascii="Arial" w:hAnsi="Arial" w:cs="Arial"/>
        </w:rPr>
        <w:t>help</w:t>
      </w:r>
      <w:r w:rsidR="00EC53EE">
        <w:rPr>
          <w:rFonts w:ascii="Arial" w:hAnsi="Arial" w:cs="Arial"/>
        </w:rPr>
        <w:t>ing</w:t>
      </w:r>
      <w:r w:rsidRPr="002234DE">
        <w:rPr>
          <w:rFonts w:ascii="Arial" w:hAnsi="Arial" w:cs="Arial"/>
        </w:rPr>
        <w:t xml:space="preserve"> refugees at the border. Kingfisher has also made donations on behalf of the Group, and we are matching further donations from colleagues. We are doing everything we can to support the victims, as part of an international effort, and we stand ready to help further. </w:t>
      </w:r>
    </w:p>
    <w:p w14:paraId="5A0EECB4" w14:textId="77777777" w:rsidR="00B534DB" w:rsidRPr="002234DE" w:rsidRDefault="00B534DB" w:rsidP="00B534DB">
      <w:pPr>
        <w:jc w:val="left"/>
        <w:rPr>
          <w:rFonts w:ascii="Arial" w:hAnsi="Arial" w:cs="Arial"/>
        </w:rPr>
      </w:pPr>
    </w:p>
    <w:p w14:paraId="50F0FADD" w14:textId="7FA03A7E" w:rsidR="00890EED" w:rsidRDefault="00B534DB" w:rsidP="00B534DB">
      <w:pPr>
        <w:jc w:val="left"/>
        <w:rPr>
          <w:rFonts w:ascii="Arial" w:hAnsi="Arial" w:cs="Arial"/>
        </w:rPr>
      </w:pPr>
      <w:r w:rsidRPr="002234DE">
        <w:rPr>
          <w:rFonts w:ascii="Arial" w:hAnsi="Arial" w:cs="Arial"/>
        </w:rPr>
        <w:t>With regards to business impact</w:t>
      </w:r>
      <w:r w:rsidR="00582D45">
        <w:rPr>
          <w:rFonts w:ascii="Arial" w:hAnsi="Arial" w:cs="Arial"/>
        </w:rPr>
        <w:t>,</w:t>
      </w:r>
      <w:r w:rsidRPr="002234DE">
        <w:rPr>
          <w:rFonts w:ascii="Arial" w:hAnsi="Arial" w:cs="Arial"/>
        </w:rPr>
        <w:t xml:space="preserve"> </w:t>
      </w:r>
      <w:r w:rsidR="00513E68">
        <w:rPr>
          <w:rFonts w:ascii="Arial" w:hAnsi="Arial" w:cs="Arial"/>
        </w:rPr>
        <w:t xml:space="preserve">we have no </w:t>
      </w:r>
      <w:r w:rsidRPr="002234DE">
        <w:rPr>
          <w:rFonts w:ascii="Arial" w:hAnsi="Arial" w:cs="Arial"/>
        </w:rPr>
        <w:t xml:space="preserve">direct exposure. In September 2020 Kingfisher completed the sale of Castorama Russia to Maxidom, a Russian home improvement company. We have no more operations in the country, </w:t>
      </w:r>
      <w:r w:rsidR="00890EED" w:rsidRPr="00890EED">
        <w:rPr>
          <w:rFonts w:ascii="Arial" w:hAnsi="Arial" w:cs="Arial"/>
        </w:rPr>
        <w:t>nor do we provide sourcing to Maxidom</w:t>
      </w:r>
      <w:r w:rsidR="00890EED">
        <w:rPr>
          <w:rFonts w:ascii="Arial" w:hAnsi="Arial" w:cs="Arial"/>
        </w:rPr>
        <w:t>.</w:t>
      </w:r>
      <w:r w:rsidR="00890EED" w:rsidRPr="00890EED">
        <w:rPr>
          <w:rFonts w:ascii="Arial" w:hAnsi="Arial" w:cs="Arial"/>
        </w:rPr>
        <w:t xml:space="preserve"> We have not seen disruption to our supply chain to date.</w:t>
      </w:r>
      <w:r w:rsidR="00890EED">
        <w:rPr>
          <w:rFonts w:ascii="Arial" w:hAnsi="Arial" w:cs="Arial"/>
        </w:rPr>
        <w:t xml:space="preserve"> </w:t>
      </w:r>
    </w:p>
    <w:p w14:paraId="62A3B0B9" w14:textId="77777777" w:rsidR="00890EED" w:rsidRDefault="00890EED" w:rsidP="00B534DB">
      <w:pPr>
        <w:jc w:val="left"/>
        <w:rPr>
          <w:rFonts w:ascii="Arial" w:hAnsi="Arial" w:cs="Arial"/>
        </w:rPr>
      </w:pPr>
    </w:p>
    <w:p w14:paraId="099B9CB8" w14:textId="4050F58C" w:rsidR="00B534DB" w:rsidRPr="002234DE" w:rsidRDefault="00B534DB" w:rsidP="00B534DB">
      <w:pPr>
        <w:jc w:val="left"/>
        <w:rPr>
          <w:rFonts w:ascii="Arial" w:hAnsi="Arial" w:cs="Arial"/>
        </w:rPr>
      </w:pPr>
      <w:r w:rsidRPr="002234DE">
        <w:rPr>
          <w:rFonts w:ascii="Arial" w:hAnsi="Arial" w:cs="Arial"/>
        </w:rPr>
        <w:t xml:space="preserve">On 1 March, we took the decision to stop selling the limited number of products directly sourced from Russian and Belarusian suppliers across the Group, and those products have been removed from our shelves. With regards to indirect supply, we are engaging with our suppliers to ensure materials </w:t>
      </w:r>
      <w:r w:rsidR="00890EED">
        <w:rPr>
          <w:rFonts w:ascii="Arial" w:hAnsi="Arial" w:cs="Arial"/>
        </w:rPr>
        <w:t xml:space="preserve">or components </w:t>
      </w:r>
      <w:r w:rsidRPr="002234DE">
        <w:rPr>
          <w:rFonts w:ascii="Arial" w:hAnsi="Arial" w:cs="Arial"/>
        </w:rPr>
        <w:t>are no longer sourced from Russia or Belarus.</w:t>
      </w:r>
    </w:p>
    <w:p w14:paraId="5486E678" w14:textId="77777777" w:rsidR="00B534DB" w:rsidRPr="00EB4495" w:rsidRDefault="00B534DB" w:rsidP="00084627">
      <w:pPr>
        <w:jc w:val="left"/>
        <w:rPr>
          <w:rFonts w:ascii="Arial" w:hAnsi="Arial" w:cs="Arial"/>
          <w:b/>
          <w:bCs/>
        </w:rPr>
      </w:pPr>
    </w:p>
    <w:p w14:paraId="7916DCE6" w14:textId="77777777" w:rsidR="00084627" w:rsidRPr="00EB4495" w:rsidRDefault="00084627" w:rsidP="00084627">
      <w:pPr>
        <w:pStyle w:val="ListParagraph"/>
        <w:numPr>
          <w:ilvl w:val="0"/>
          <w:numId w:val="17"/>
        </w:numPr>
        <w:pBdr>
          <w:top w:val="single" w:sz="4" w:space="1" w:color="auto"/>
          <w:left w:val="single" w:sz="4" w:space="4" w:color="auto"/>
          <w:bottom w:val="single" w:sz="4" w:space="1" w:color="auto"/>
          <w:right w:val="single" w:sz="4" w:space="4" w:color="auto"/>
        </w:pBdr>
        <w:contextualSpacing/>
        <w:jc w:val="left"/>
        <w:rPr>
          <w:rFonts w:ascii="Arial" w:hAnsi="Arial" w:cs="Arial"/>
          <w:b/>
          <w:bCs/>
        </w:rPr>
      </w:pPr>
      <w:r w:rsidRPr="00EB4495">
        <w:rPr>
          <w:rFonts w:ascii="Arial" w:hAnsi="Arial" w:cs="Arial"/>
          <w:b/>
          <w:bCs/>
        </w:rPr>
        <w:t>Effective management of product availability, supply chain and inflation pressures</w:t>
      </w:r>
    </w:p>
    <w:p w14:paraId="7D25573E" w14:textId="77777777" w:rsidR="00084627" w:rsidRPr="00EB4495" w:rsidRDefault="00084627" w:rsidP="00084627">
      <w:pPr>
        <w:jc w:val="left"/>
        <w:rPr>
          <w:rFonts w:ascii="Arial" w:hAnsi="Arial" w:cs="Arial"/>
          <w:highlight w:val="red"/>
        </w:rPr>
      </w:pPr>
    </w:p>
    <w:p w14:paraId="1C90D0C0" w14:textId="4C189CD3" w:rsidR="00084627" w:rsidRPr="00EB4495" w:rsidRDefault="003C4BE1" w:rsidP="00084627">
      <w:pPr>
        <w:jc w:val="left"/>
        <w:rPr>
          <w:rFonts w:ascii="Arial" w:hAnsi="Arial" w:cs="Arial"/>
        </w:rPr>
      </w:pPr>
      <w:r>
        <w:rPr>
          <w:rFonts w:ascii="Arial" w:hAnsi="Arial" w:cs="Arial"/>
        </w:rPr>
        <w:t>A</w:t>
      </w:r>
      <w:r w:rsidR="003638BC">
        <w:rPr>
          <w:rFonts w:ascii="Arial" w:hAnsi="Arial" w:cs="Arial"/>
        </w:rPr>
        <w:t xml:space="preserve">s highlighted since 2020, </w:t>
      </w:r>
      <w:r>
        <w:rPr>
          <w:rFonts w:ascii="Arial" w:hAnsi="Arial" w:cs="Arial"/>
        </w:rPr>
        <w:t xml:space="preserve">and in common with </w:t>
      </w:r>
      <w:r w:rsidR="00084627" w:rsidRPr="00EB4495">
        <w:rPr>
          <w:rFonts w:ascii="Arial" w:hAnsi="Arial" w:cs="Arial"/>
        </w:rPr>
        <w:t xml:space="preserve">other </w:t>
      </w:r>
      <w:r>
        <w:rPr>
          <w:rFonts w:ascii="Arial" w:hAnsi="Arial" w:cs="Arial"/>
        </w:rPr>
        <w:t>companies</w:t>
      </w:r>
      <w:r w:rsidR="00084627" w:rsidRPr="00EB4495">
        <w:rPr>
          <w:rFonts w:ascii="Arial" w:hAnsi="Arial" w:cs="Arial"/>
        </w:rPr>
        <w:t xml:space="preserve">, we </w:t>
      </w:r>
      <w:r>
        <w:rPr>
          <w:rFonts w:ascii="Arial" w:hAnsi="Arial" w:cs="Arial"/>
        </w:rPr>
        <w:t xml:space="preserve">have been faced with </w:t>
      </w:r>
      <w:r w:rsidR="00084627" w:rsidRPr="00EB4495">
        <w:rPr>
          <w:rFonts w:ascii="Arial" w:hAnsi="Arial" w:cs="Arial"/>
        </w:rPr>
        <w:t>pressures on product supply and availability, shipping and logistics</w:t>
      </w:r>
      <w:r w:rsidR="00635E14">
        <w:rPr>
          <w:rFonts w:ascii="Arial" w:hAnsi="Arial" w:cs="Arial"/>
        </w:rPr>
        <w:t xml:space="preserve">, </w:t>
      </w:r>
      <w:r w:rsidR="00084627" w:rsidRPr="00EB4495">
        <w:rPr>
          <w:rFonts w:ascii="Arial" w:hAnsi="Arial" w:cs="Arial"/>
        </w:rPr>
        <w:t>and</w:t>
      </w:r>
      <w:r w:rsidR="00830F0E">
        <w:rPr>
          <w:rFonts w:ascii="Arial" w:hAnsi="Arial" w:cs="Arial"/>
        </w:rPr>
        <w:t xml:space="preserve"> increases in</w:t>
      </w:r>
      <w:r w:rsidR="00084627" w:rsidRPr="00EB4495">
        <w:rPr>
          <w:rFonts w:ascii="Arial" w:hAnsi="Arial" w:cs="Arial"/>
        </w:rPr>
        <w:t xml:space="preserve"> cost price inflation (‘CPI’). To date we have managed these challenges effectively, with our </w:t>
      </w:r>
      <w:r w:rsidR="00A87C55">
        <w:rPr>
          <w:rFonts w:ascii="Arial" w:hAnsi="Arial" w:cs="Arial"/>
        </w:rPr>
        <w:t xml:space="preserve">agile </w:t>
      </w:r>
      <w:r w:rsidR="00084627" w:rsidRPr="00EB4495">
        <w:rPr>
          <w:rFonts w:ascii="Arial" w:hAnsi="Arial" w:cs="Arial"/>
        </w:rPr>
        <w:t>retail banners</w:t>
      </w:r>
      <w:r w:rsidR="009F5F23">
        <w:rPr>
          <w:rFonts w:ascii="Arial" w:hAnsi="Arial" w:cs="Arial"/>
        </w:rPr>
        <w:t xml:space="preserve"> </w:t>
      </w:r>
      <w:r w:rsidR="00084627" w:rsidRPr="00EB4495">
        <w:rPr>
          <w:rFonts w:ascii="Arial" w:hAnsi="Arial" w:cs="Arial"/>
        </w:rPr>
        <w:t xml:space="preserve">clearly benefitting from the Group’s scale and expertise. </w:t>
      </w:r>
    </w:p>
    <w:p w14:paraId="5F675A82" w14:textId="77777777" w:rsidR="00A87A70" w:rsidRPr="00EB4495" w:rsidRDefault="00A87A70" w:rsidP="00084627">
      <w:pPr>
        <w:jc w:val="left"/>
        <w:rPr>
          <w:rFonts w:ascii="Arial" w:hAnsi="Arial" w:cs="Arial"/>
        </w:rPr>
      </w:pPr>
    </w:p>
    <w:p w14:paraId="27F84C66" w14:textId="77777777" w:rsidR="00084627" w:rsidRPr="00EB4495" w:rsidRDefault="00084627" w:rsidP="00084627">
      <w:pPr>
        <w:jc w:val="left"/>
        <w:rPr>
          <w:rFonts w:ascii="Arial" w:hAnsi="Arial" w:cs="Arial"/>
          <w:b/>
          <w:bCs/>
          <w:u w:val="single"/>
        </w:rPr>
      </w:pPr>
      <w:r w:rsidRPr="00EB4495">
        <w:rPr>
          <w:rFonts w:ascii="Arial" w:hAnsi="Arial" w:cs="Arial"/>
          <w:b/>
          <w:bCs/>
          <w:u w:val="single"/>
        </w:rPr>
        <w:t>Supply, availability and logistics</w:t>
      </w:r>
    </w:p>
    <w:p w14:paraId="668D81DB" w14:textId="6745386C" w:rsidR="00B44175" w:rsidRPr="00EB4495" w:rsidRDefault="00B44175" w:rsidP="00B44175">
      <w:pPr>
        <w:jc w:val="left"/>
        <w:rPr>
          <w:rFonts w:ascii="Arial" w:hAnsi="Arial" w:cs="Arial"/>
        </w:rPr>
      </w:pPr>
      <w:r w:rsidRPr="00EB4495">
        <w:rPr>
          <w:rFonts w:ascii="Arial" w:hAnsi="Arial" w:cs="Arial"/>
        </w:rPr>
        <w:t xml:space="preserve">We are pleased that, to date, we have been able to manage our supply and logistics needs effectively, which is testament to the strength and expertise of our supply, sourcing and logistics teams. We have achieved this by working closely with suppliers and logistics providers, improving our forecasting, and placing orders significantly ahead of peak trading periods and important global events, such as the </w:t>
      </w:r>
      <w:r w:rsidRPr="00EB4495">
        <w:rPr>
          <w:rFonts w:ascii="Arial" w:hAnsi="Arial" w:cs="Arial"/>
        </w:rPr>
        <w:lastRenderedPageBreak/>
        <w:t xml:space="preserve">Chinese New Year (which was earlier than usual this year, </w:t>
      </w:r>
      <w:r>
        <w:rPr>
          <w:rFonts w:ascii="Arial" w:hAnsi="Arial" w:cs="Arial"/>
        </w:rPr>
        <w:t xml:space="preserve">at the end of </w:t>
      </w:r>
      <w:r w:rsidRPr="00EB4495">
        <w:rPr>
          <w:rFonts w:ascii="Arial" w:hAnsi="Arial" w:cs="Arial"/>
        </w:rPr>
        <w:t xml:space="preserve">January 2022). We have also benefited from our careful management of shipping container costs and availability, and our successful navigation through shortages of heavy goods vehicles (HGV) drivers. </w:t>
      </w:r>
    </w:p>
    <w:p w14:paraId="365FAF8E" w14:textId="77777777" w:rsidR="00B44175" w:rsidRDefault="00B44175" w:rsidP="00084627">
      <w:pPr>
        <w:jc w:val="left"/>
        <w:rPr>
          <w:rFonts w:ascii="Arial" w:hAnsi="Arial" w:cs="Arial"/>
        </w:rPr>
      </w:pPr>
    </w:p>
    <w:p w14:paraId="7B97B97F" w14:textId="0D19EB2C" w:rsidR="00084627" w:rsidRPr="00EB4495" w:rsidRDefault="00084627" w:rsidP="00084627">
      <w:pPr>
        <w:jc w:val="left"/>
        <w:rPr>
          <w:rFonts w:ascii="Arial" w:hAnsi="Arial" w:cs="Arial"/>
        </w:rPr>
      </w:pPr>
      <w:r w:rsidRPr="00EB4495">
        <w:rPr>
          <w:rFonts w:ascii="Arial" w:hAnsi="Arial" w:cs="Arial"/>
        </w:rPr>
        <w:t>The key product availability risks have been driven by polarised demand within some of our categories, in particular building materials and outdoor ranges. This has made it challenging for suppliers to keep up with high order levels, while managing extended lead times for their raw materials. More positively, the impact of COVID-related closures and worker absences on their production capacities has been relatively limited in FY 21/22.</w:t>
      </w:r>
    </w:p>
    <w:p w14:paraId="06B4322E" w14:textId="0D1AA410" w:rsidR="00084627" w:rsidRDefault="00084627" w:rsidP="00084627">
      <w:pPr>
        <w:jc w:val="left"/>
        <w:rPr>
          <w:rFonts w:ascii="Arial" w:hAnsi="Arial" w:cs="Arial"/>
        </w:rPr>
      </w:pPr>
    </w:p>
    <w:p w14:paraId="2C26191A" w14:textId="7C3AB716" w:rsidR="002B38EB" w:rsidRDefault="002B38EB" w:rsidP="002B38EB">
      <w:pPr>
        <w:jc w:val="left"/>
        <w:rPr>
          <w:rFonts w:ascii="Arial" w:hAnsi="Arial" w:cs="Arial"/>
        </w:rPr>
      </w:pPr>
      <w:r>
        <w:rPr>
          <w:rFonts w:ascii="Arial" w:hAnsi="Arial" w:cs="Arial"/>
        </w:rPr>
        <w:t>W</w:t>
      </w:r>
      <w:r w:rsidRPr="00EB4495">
        <w:rPr>
          <w:rFonts w:ascii="Arial" w:hAnsi="Arial" w:cs="Arial"/>
        </w:rPr>
        <w:t xml:space="preserve">e have focused </w:t>
      </w:r>
      <w:r>
        <w:rPr>
          <w:rFonts w:ascii="Arial" w:hAnsi="Arial" w:cs="Arial"/>
        </w:rPr>
        <w:t xml:space="preserve">with our suppliers </w:t>
      </w:r>
      <w:r w:rsidRPr="00EB4495">
        <w:rPr>
          <w:rFonts w:ascii="Arial" w:hAnsi="Arial" w:cs="Arial"/>
        </w:rPr>
        <w:t xml:space="preserve">on protecting our ‘best seller’ ranges. These have seen improved availability during FY 21/22. Overall </w:t>
      </w:r>
      <w:r w:rsidRPr="00EB4495">
        <w:rPr>
          <w:rFonts w:ascii="Arial" w:hAnsi="Arial" w:cs="Arial"/>
          <w:color w:val="000000" w:themeColor="text1"/>
        </w:rPr>
        <w:t xml:space="preserve">product availability is still below </w:t>
      </w:r>
      <w:r>
        <w:rPr>
          <w:rFonts w:ascii="Arial" w:hAnsi="Arial" w:cs="Arial"/>
          <w:color w:val="000000" w:themeColor="text1"/>
        </w:rPr>
        <w:t>‘</w:t>
      </w:r>
      <w:r w:rsidRPr="00EB4495">
        <w:rPr>
          <w:rFonts w:ascii="Arial" w:hAnsi="Arial" w:cs="Arial"/>
          <w:color w:val="000000" w:themeColor="text1"/>
        </w:rPr>
        <w:t>normal</w:t>
      </w:r>
      <w:r>
        <w:rPr>
          <w:rFonts w:ascii="Arial" w:hAnsi="Arial" w:cs="Arial"/>
          <w:color w:val="000000" w:themeColor="text1"/>
        </w:rPr>
        <w:t>’</w:t>
      </w:r>
      <w:r w:rsidRPr="00EB4495">
        <w:rPr>
          <w:rFonts w:ascii="Arial" w:hAnsi="Arial" w:cs="Arial"/>
        </w:rPr>
        <w:t xml:space="preserve">, but </w:t>
      </w:r>
      <w:r>
        <w:rPr>
          <w:rFonts w:ascii="Arial" w:hAnsi="Arial" w:cs="Arial"/>
        </w:rPr>
        <w:t xml:space="preserve">we have built up </w:t>
      </w:r>
      <w:r w:rsidRPr="00EB4495">
        <w:rPr>
          <w:rFonts w:ascii="Arial" w:hAnsi="Arial" w:cs="Arial"/>
        </w:rPr>
        <w:t>inventory levels in</w:t>
      </w:r>
      <w:r>
        <w:rPr>
          <w:rFonts w:ascii="Arial" w:hAnsi="Arial" w:cs="Arial"/>
        </w:rPr>
        <w:t xml:space="preserve"> all</w:t>
      </w:r>
      <w:r w:rsidRPr="00EB4495">
        <w:rPr>
          <w:rFonts w:ascii="Arial" w:hAnsi="Arial" w:cs="Arial"/>
        </w:rPr>
        <w:t xml:space="preserve"> key categories </w:t>
      </w:r>
      <w:r>
        <w:rPr>
          <w:rFonts w:ascii="Arial" w:hAnsi="Arial" w:cs="Arial"/>
        </w:rPr>
        <w:t xml:space="preserve">to </w:t>
      </w:r>
      <w:r w:rsidRPr="00EB4495">
        <w:rPr>
          <w:rFonts w:ascii="Arial" w:hAnsi="Arial" w:cs="Arial"/>
        </w:rPr>
        <w:t xml:space="preserve">put us in a </w:t>
      </w:r>
      <w:r w:rsidR="006514B7">
        <w:rPr>
          <w:rFonts w:ascii="Arial" w:hAnsi="Arial" w:cs="Arial"/>
        </w:rPr>
        <w:t xml:space="preserve">good </w:t>
      </w:r>
      <w:r w:rsidRPr="00EB4495">
        <w:rPr>
          <w:rFonts w:ascii="Arial" w:hAnsi="Arial" w:cs="Arial"/>
        </w:rPr>
        <w:t>position ahead of peak trading periods in H1 22/23.</w:t>
      </w:r>
    </w:p>
    <w:p w14:paraId="447C0148" w14:textId="77777777" w:rsidR="002B38EB" w:rsidRPr="00EB4495" w:rsidRDefault="002B38EB" w:rsidP="00084627">
      <w:pPr>
        <w:jc w:val="left"/>
        <w:rPr>
          <w:rFonts w:ascii="Arial" w:hAnsi="Arial" w:cs="Arial"/>
        </w:rPr>
      </w:pPr>
    </w:p>
    <w:p w14:paraId="35AC3BC9" w14:textId="303FA1A3" w:rsidR="00E10826" w:rsidRPr="00DE0B44" w:rsidRDefault="00B44175" w:rsidP="00DE0B44">
      <w:pPr>
        <w:jc w:val="left"/>
        <w:rPr>
          <w:rFonts w:ascii="Arial" w:hAnsi="Arial" w:cs="Arial"/>
        </w:rPr>
      </w:pPr>
      <w:r>
        <w:rPr>
          <w:rFonts w:ascii="Arial" w:hAnsi="Arial" w:cs="Arial"/>
        </w:rPr>
        <w:t>H</w:t>
      </w:r>
      <w:r w:rsidR="00084627" w:rsidRPr="00EB4495">
        <w:rPr>
          <w:rFonts w:ascii="Arial" w:hAnsi="Arial" w:cs="Arial"/>
        </w:rPr>
        <w:t>igh demand</w:t>
      </w:r>
      <w:r w:rsidR="005B23BB">
        <w:rPr>
          <w:rFonts w:ascii="Arial" w:hAnsi="Arial" w:cs="Arial"/>
        </w:rPr>
        <w:t>,</w:t>
      </w:r>
      <w:r w:rsidR="00084627" w:rsidRPr="00EB4495">
        <w:rPr>
          <w:rFonts w:ascii="Arial" w:hAnsi="Arial" w:cs="Arial"/>
        </w:rPr>
        <w:t xml:space="preserve"> port congestion </w:t>
      </w:r>
      <w:r w:rsidR="005B23BB">
        <w:rPr>
          <w:rFonts w:ascii="Arial" w:hAnsi="Arial" w:cs="Arial"/>
        </w:rPr>
        <w:t xml:space="preserve">and network disruptions </w:t>
      </w:r>
      <w:r>
        <w:rPr>
          <w:rFonts w:ascii="Arial" w:hAnsi="Arial" w:cs="Arial"/>
        </w:rPr>
        <w:t xml:space="preserve">have </w:t>
      </w:r>
      <w:r w:rsidR="00084627" w:rsidRPr="00EB4495">
        <w:rPr>
          <w:rFonts w:ascii="Arial" w:hAnsi="Arial" w:cs="Arial"/>
        </w:rPr>
        <w:t>place</w:t>
      </w:r>
      <w:r>
        <w:rPr>
          <w:rFonts w:ascii="Arial" w:hAnsi="Arial" w:cs="Arial"/>
        </w:rPr>
        <w:t>d</w:t>
      </w:r>
      <w:r w:rsidR="00084627" w:rsidRPr="00EB4495">
        <w:rPr>
          <w:rFonts w:ascii="Arial" w:hAnsi="Arial" w:cs="Arial"/>
        </w:rPr>
        <w:t xml:space="preserve"> </w:t>
      </w:r>
      <w:r>
        <w:rPr>
          <w:rFonts w:ascii="Arial" w:hAnsi="Arial" w:cs="Arial"/>
        </w:rPr>
        <w:t xml:space="preserve">a </w:t>
      </w:r>
      <w:r w:rsidR="00084627" w:rsidRPr="00EB4495">
        <w:rPr>
          <w:rFonts w:ascii="Arial" w:hAnsi="Arial" w:cs="Arial"/>
        </w:rPr>
        <w:t xml:space="preserve">considerable strain, industry-wide, on </w:t>
      </w:r>
      <w:r w:rsidR="005B23BB">
        <w:rPr>
          <w:rFonts w:ascii="Arial" w:hAnsi="Arial" w:cs="Arial"/>
        </w:rPr>
        <w:t>global supply chains</w:t>
      </w:r>
      <w:r w:rsidR="00084627" w:rsidRPr="00EB4495">
        <w:rPr>
          <w:rFonts w:ascii="Arial" w:hAnsi="Arial" w:cs="Arial"/>
        </w:rPr>
        <w:t xml:space="preserve">. In particular, the cost and availability of shipping containers remains a constant challenge. While we are no longer at peak levels, we expect these pressures to continue throughout 2022. </w:t>
      </w:r>
    </w:p>
    <w:p w14:paraId="4AC9868D" w14:textId="77777777" w:rsidR="00DE0B44" w:rsidRPr="00EB4495" w:rsidRDefault="00DE0B44" w:rsidP="00084627">
      <w:pPr>
        <w:jc w:val="left"/>
        <w:rPr>
          <w:rFonts w:ascii="Arial" w:hAnsi="Arial" w:cs="Arial"/>
        </w:rPr>
      </w:pPr>
    </w:p>
    <w:p w14:paraId="13E8F879" w14:textId="32A9EB56" w:rsidR="00F22BFF" w:rsidRDefault="00084627" w:rsidP="00C764C1">
      <w:pPr>
        <w:jc w:val="left"/>
        <w:rPr>
          <w:rFonts w:ascii="Arial" w:hAnsi="Arial" w:cs="Arial"/>
        </w:rPr>
      </w:pPr>
      <w:r w:rsidRPr="00EB4495">
        <w:rPr>
          <w:rFonts w:ascii="Arial" w:hAnsi="Arial" w:cs="Arial"/>
        </w:rPr>
        <w:t xml:space="preserve">For further details please refer to </w:t>
      </w:r>
      <w:r w:rsidRPr="00EB4495">
        <w:rPr>
          <w:rFonts w:ascii="Arial" w:hAnsi="Arial" w:cs="Arial"/>
          <w:i/>
          <w:iCs/>
        </w:rPr>
        <w:t>‘Source and buy better, reduce costs and same-store inventory’</w:t>
      </w:r>
      <w:r w:rsidRPr="00EB4495">
        <w:rPr>
          <w:rFonts w:ascii="Arial" w:hAnsi="Arial" w:cs="Arial"/>
        </w:rPr>
        <w:t>.</w:t>
      </w:r>
    </w:p>
    <w:p w14:paraId="5E31ECB2" w14:textId="77777777" w:rsidR="00B534DB" w:rsidRDefault="00B534DB" w:rsidP="00C764C1">
      <w:pPr>
        <w:jc w:val="left"/>
        <w:rPr>
          <w:rFonts w:ascii="Arial" w:hAnsi="Arial" w:cs="Arial"/>
        </w:rPr>
      </w:pPr>
    </w:p>
    <w:p w14:paraId="0414317B" w14:textId="77777777" w:rsidR="00084627" w:rsidRPr="00EB4495" w:rsidRDefault="00084627" w:rsidP="00084627">
      <w:pPr>
        <w:jc w:val="left"/>
        <w:rPr>
          <w:rFonts w:ascii="Arial" w:hAnsi="Arial" w:cs="Arial"/>
        </w:rPr>
      </w:pPr>
      <w:r w:rsidRPr="00EB4495">
        <w:rPr>
          <w:rFonts w:ascii="Arial" w:hAnsi="Arial" w:cs="Arial"/>
          <w:b/>
          <w:bCs/>
          <w:u w:val="single"/>
        </w:rPr>
        <w:t>Inflation</w:t>
      </w:r>
    </w:p>
    <w:p w14:paraId="15BAFBD3" w14:textId="0028839D" w:rsidR="00084627" w:rsidRPr="00EB4495" w:rsidRDefault="00084627" w:rsidP="00084627">
      <w:pPr>
        <w:jc w:val="left"/>
        <w:rPr>
          <w:rFonts w:ascii="Arial" w:hAnsi="Arial" w:cs="Arial"/>
        </w:rPr>
      </w:pPr>
      <w:r w:rsidRPr="00EB4495">
        <w:rPr>
          <w:rFonts w:ascii="Arial" w:hAnsi="Arial" w:cs="Arial"/>
        </w:rPr>
        <w:t xml:space="preserve">In line with the industry, we are seeing higher than normal CPI, caused by rising prices for some raw materials, </w:t>
      </w:r>
      <w:r w:rsidR="00BF7C59">
        <w:rPr>
          <w:rFonts w:ascii="Arial" w:hAnsi="Arial" w:cs="Arial"/>
        </w:rPr>
        <w:t xml:space="preserve">energy, </w:t>
      </w:r>
      <w:r w:rsidRPr="00EB4495">
        <w:rPr>
          <w:rFonts w:ascii="Arial" w:hAnsi="Arial" w:cs="Arial"/>
        </w:rPr>
        <w:t xml:space="preserve">wage increases and </w:t>
      </w:r>
      <w:r w:rsidR="00E77C41" w:rsidRPr="00EF1839">
        <w:rPr>
          <w:rFonts w:ascii="Arial" w:hAnsi="Arial" w:cs="Arial"/>
        </w:rPr>
        <w:t>h</w:t>
      </w:r>
      <w:r w:rsidR="00E77C41" w:rsidRPr="00DE0B44">
        <w:rPr>
          <w:rFonts w:ascii="Arial" w:hAnsi="Arial" w:cs="Arial"/>
        </w:rPr>
        <w:t>igher</w:t>
      </w:r>
      <w:r w:rsidR="00E77C41">
        <w:rPr>
          <w:rFonts w:ascii="Arial" w:hAnsi="Arial" w:cs="Arial"/>
          <w:b/>
        </w:rPr>
        <w:t xml:space="preserve"> </w:t>
      </w:r>
      <w:r w:rsidRPr="00EB4495">
        <w:rPr>
          <w:rFonts w:ascii="Arial" w:hAnsi="Arial" w:cs="Arial"/>
        </w:rPr>
        <w:t xml:space="preserve">freight costs (as discussed above). </w:t>
      </w:r>
    </w:p>
    <w:p w14:paraId="415B93B6" w14:textId="77777777" w:rsidR="00084627" w:rsidRPr="00EB4495" w:rsidRDefault="00084627" w:rsidP="00084627">
      <w:pPr>
        <w:jc w:val="left"/>
        <w:rPr>
          <w:rFonts w:ascii="Arial" w:hAnsi="Arial" w:cs="Arial"/>
        </w:rPr>
      </w:pPr>
    </w:p>
    <w:p w14:paraId="713E8096" w14:textId="6CDFF230" w:rsidR="00084627" w:rsidRPr="00EB4495" w:rsidRDefault="00084627" w:rsidP="00084627">
      <w:pPr>
        <w:jc w:val="left"/>
        <w:rPr>
          <w:rFonts w:ascii="Arial" w:hAnsi="Arial" w:cs="Arial"/>
        </w:rPr>
      </w:pPr>
      <w:r w:rsidRPr="00EB4495">
        <w:rPr>
          <w:rFonts w:ascii="Arial" w:hAnsi="Arial" w:cs="Arial"/>
        </w:rPr>
        <w:t>In H1 21/22, the net impact of these inflationary pressures was limited, largely due to our timely engagement with our suppliers and partners, and the time lag between ordering products and their subsequent sale. As expected, CPI had a greater impact on us in H2 21/22, as we sold more higher-cost inventory. Our scale means we benefit from relatively favourable supplier prices and terms</w:t>
      </w:r>
      <w:r w:rsidR="002A6DDE">
        <w:rPr>
          <w:rFonts w:ascii="Arial" w:hAnsi="Arial" w:cs="Arial"/>
        </w:rPr>
        <w:t xml:space="preserve"> and</w:t>
      </w:r>
      <w:r w:rsidRPr="00EB4495">
        <w:rPr>
          <w:rFonts w:ascii="Arial" w:hAnsi="Arial" w:cs="Arial"/>
        </w:rPr>
        <w:t xml:space="preserve"> better shipping container availability</w:t>
      </w:r>
      <w:r w:rsidR="002A6DDE">
        <w:rPr>
          <w:rFonts w:ascii="Arial" w:hAnsi="Arial" w:cs="Arial"/>
        </w:rPr>
        <w:t xml:space="preserve">. </w:t>
      </w:r>
      <w:r w:rsidR="00E77C41">
        <w:rPr>
          <w:rFonts w:ascii="Arial" w:hAnsi="Arial" w:cs="Arial"/>
        </w:rPr>
        <w:t xml:space="preserve">Customers also </w:t>
      </w:r>
      <w:r w:rsidR="002A6DDE">
        <w:rPr>
          <w:rFonts w:ascii="Arial" w:hAnsi="Arial" w:cs="Arial"/>
        </w:rPr>
        <w:t>have</w:t>
      </w:r>
      <w:r w:rsidRPr="00EB4495">
        <w:rPr>
          <w:rFonts w:ascii="Arial" w:hAnsi="Arial" w:cs="Arial"/>
        </w:rPr>
        <w:t xml:space="preserve"> access to lower-price products via our own exclusive brand (OEB) ranges (representing 45% of Group sales). We are committed to remaining competitive on price across all our retail banners. </w:t>
      </w:r>
    </w:p>
    <w:p w14:paraId="05D7E1AC" w14:textId="77777777" w:rsidR="00084627" w:rsidRPr="00EB4495" w:rsidRDefault="00084627" w:rsidP="00084627">
      <w:pPr>
        <w:jc w:val="left"/>
        <w:rPr>
          <w:rFonts w:ascii="Arial" w:hAnsi="Arial" w:cs="Arial"/>
        </w:rPr>
      </w:pPr>
    </w:p>
    <w:p w14:paraId="45F93B9B" w14:textId="619D5A1B" w:rsidR="00084627" w:rsidRPr="00EB4495" w:rsidRDefault="00084627" w:rsidP="00084627">
      <w:pPr>
        <w:jc w:val="left"/>
        <w:rPr>
          <w:rFonts w:ascii="Arial" w:hAnsi="Arial" w:cs="Arial"/>
        </w:rPr>
      </w:pPr>
      <w:r w:rsidRPr="00EB4495">
        <w:rPr>
          <w:rFonts w:ascii="Arial" w:hAnsi="Arial" w:cs="Arial"/>
        </w:rPr>
        <w:t xml:space="preserve">While </w:t>
      </w:r>
      <w:r w:rsidR="00351BF2">
        <w:rPr>
          <w:rFonts w:ascii="Arial" w:hAnsi="Arial" w:cs="Arial"/>
        </w:rPr>
        <w:t>some</w:t>
      </w:r>
      <w:r w:rsidR="00351BF2" w:rsidRPr="00EB4495">
        <w:rPr>
          <w:rFonts w:ascii="Arial" w:hAnsi="Arial" w:cs="Arial"/>
        </w:rPr>
        <w:t xml:space="preserve"> </w:t>
      </w:r>
      <w:r w:rsidRPr="00EB4495">
        <w:rPr>
          <w:rFonts w:ascii="Arial" w:hAnsi="Arial" w:cs="Arial"/>
        </w:rPr>
        <w:t xml:space="preserve">raw material prices are below their recent peaks, we expect inflationary pressures to persist in 2022 and we </w:t>
      </w:r>
      <w:r w:rsidR="00643D87">
        <w:rPr>
          <w:rFonts w:ascii="Arial" w:hAnsi="Arial" w:cs="Arial"/>
        </w:rPr>
        <w:t>expect to</w:t>
      </w:r>
      <w:r w:rsidRPr="00EB4495">
        <w:rPr>
          <w:rFonts w:ascii="Arial" w:hAnsi="Arial" w:cs="Arial"/>
        </w:rPr>
        <w:t xml:space="preserve"> continue to manage them effectivel</w:t>
      </w:r>
      <w:r w:rsidR="00643D87">
        <w:rPr>
          <w:rFonts w:ascii="Arial" w:hAnsi="Arial" w:cs="Arial"/>
        </w:rPr>
        <w:t>y</w:t>
      </w:r>
      <w:r w:rsidRPr="00EB4495">
        <w:rPr>
          <w:rFonts w:ascii="Arial" w:hAnsi="Arial" w:cs="Arial"/>
        </w:rPr>
        <w:t xml:space="preserve">. </w:t>
      </w:r>
      <w:r w:rsidR="00483379" w:rsidRPr="008924DB">
        <w:rPr>
          <w:rFonts w:ascii="Arial" w:hAnsi="Arial" w:cs="Arial"/>
        </w:rPr>
        <w:t>Favourable movements in our YoY foreign exchange hedging positions will offset some of the increases</w:t>
      </w:r>
      <w:r w:rsidRPr="008924DB">
        <w:rPr>
          <w:rFonts w:ascii="Arial" w:hAnsi="Arial" w:cs="Arial"/>
        </w:rPr>
        <w:t xml:space="preserve">. Around </w:t>
      </w:r>
      <w:r w:rsidR="008924DB" w:rsidRPr="00C764C1">
        <w:rPr>
          <w:rFonts w:ascii="Arial" w:hAnsi="Arial" w:cs="Arial"/>
        </w:rPr>
        <w:t>20</w:t>
      </w:r>
      <w:r w:rsidRPr="00C764C1">
        <w:rPr>
          <w:rFonts w:ascii="Arial" w:hAnsi="Arial" w:cs="Arial"/>
        </w:rPr>
        <w:t>%</w:t>
      </w:r>
      <w:r w:rsidRPr="008924DB">
        <w:rPr>
          <w:rFonts w:ascii="Arial" w:hAnsi="Arial" w:cs="Arial"/>
        </w:rPr>
        <w:t xml:space="preserve"> of our cost of goods sold (COGS) is directly sourced in USD, and we maintain hedging</w:t>
      </w:r>
      <w:r w:rsidRPr="00EB4495">
        <w:rPr>
          <w:rFonts w:ascii="Arial" w:hAnsi="Arial" w:cs="Arial"/>
        </w:rPr>
        <w:t xml:space="preserve"> contracts</w:t>
      </w:r>
      <w:r w:rsidR="000F6848">
        <w:rPr>
          <w:rFonts w:ascii="Arial" w:hAnsi="Arial" w:cs="Arial"/>
        </w:rPr>
        <w:t xml:space="preserve"> for periods up to 18 months</w:t>
      </w:r>
      <w:r w:rsidRPr="00EB4495">
        <w:rPr>
          <w:rFonts w:ascii="Arial" w:hAnsi="Arial" w:cs="Arial"/>
        </w:rPr>
        <w:t xml:space="preserve">, with over 90% of our </w:t>
      </w:r>
      <w:r w:rsidR="000F6848">
        <w:rPr>
          <w:rFonts w:ascii="Arial" w:hAnsi="Arial" w:cs="Arial"/>
        </w:rPr>
        <w:t xml:space="preserve">forecast </w:t>
      </w:r>
      <w:r w:rsidRPr="00EB4495">
        <w:rPr>
          <w:rFonts w:ascii="Arial" w:hAnsi="Arial" w:cs="Arial"/>
        </w:rPr>
        <w:t>USD exposure in FY 22/23 already locked in.</w:t>
      </w:r>
    </w:p>
    <w:bookmarkEnd w:id="25"/>
    <w:p w14:paraId="05708506" w14:textId="77777777" w:rsidR="00084627" w:rsidRPr="00EB4495" w:rsidRDefault="00084627" w:rsidP="00084627">
      <w:pPr>
        <w:jc w:val="left"/>
        <w:rPr>
          <w:rFonts w:ascii="Arial" w:hAnsi="Arial" w:cs="Arial"/>
        </w:rPr>
      </w:pPr>
    </w:p>
    <w:p w14:paraId="48ABF73E" w14:textId="77777777" w:rsidR="00084627" w:rsidRPr="00EB4495" w:rsidRDefault="00084627" w:rsidP="00084627">
      <w:pPr>
        <w:jc w:val="left"/>
        <w:rPr>
          <w:rFonts w:ascii="Arial" w:hAnsi="Arial" w:cs="Arial"/>
        </w:rPr>
      </w:pPr>
      <w:r w:rsidRPr="00EB4495">
        <w:rPr>
          <w:rFonts w:ascii="Arial" w:hAnsi="Arial" w:cs="Arial"/>
          <w:b/>
          <w:bCs/>
          <w:u w:val="single"/>
        </w:rPr>
        <w:t>Colleagues</w:t>
      </w:r>
    </w:p>
    <w:p w14:paraId="0838EAFB" w14:textId="263021E5" w:rsidR="00084627" w:rsidRPr="00EB4495" w:rsidRDefault="00084627" w:rsidP="00084627">
      <w:pPr>
        <w:jc w:val="left"/>
        <w:rPr>
          <w:rFonts w:ascii="Arial" w:hAnsi="Arial" w:cs="Arial"/>
        </w:rPr>
      </w:pPr>
      <w:r w:rsidRPr="00EB4495">
        <w:rPr>
          <w:rFonts w:ascii="Arial" w:hAnsi="Arial" w:cs="Arial"/>
        </w:rPr>
        <w:t>We are thankful that, to date, we have not experienced any significant recruitment or retention issues or colleague absence, due to COVID. Our colleagues have been flexible and</w:t>
      </w:r>
      <w:r w:rsidR="007B0789">
        <w:rPr>
          <w:rFonts w:ascii="Arial" w:hAnsi="Arial" w:cs="Arial"/>
        </w:rPr>
        <w:t>,</w:t>
      </w:r>
      <w:r w:rsidRPr="00EB4495">
        <w:rPr>
          <w:rFonts w:ascii="Arial" w:hAnsi="Arial" w:cs="Arial"/>
        </w:rPr>
        <w:t xml:space="preserve"> </w:t>
      </w:r>
      <w:bookmarkStart w:id="26" w:name="_Hlk80627049"/>
      <w:r w:rsidR="002A6DDE">
        <w:rPr>
          <w:rFonts w:ascii="Arial" w:hAnsi="Arial" w:cs="Arial"/>
        </w:rPr>
        <w:t>where needed</w:t>
      </w:r>
      <w:r w:rsidR="00375E83">
        <w:rPr>
          <w:rFonts w:ascii="Arial" w:hAnsi="Arial" w:cs="Arial"/>
        </w:rPr>
        <w:t>,</w:t>
      </w:r>
      <w:r w:rsidR="002A6DDE">
        <w:rPr>
          <w:rFonts w:ascii="Arial" w:hAnsi="Arial" w:cs="Arial"/>
        </w:rPr>
        <w:t xml:space="preserve"> </w:t>
      </w:r>
      <w:r w:rsidRPr="00EB4495">
        <w:rPr>
          <w:rFonts w:ascii="Arial" w:hAnsi="Arial" w:cs="Arial"/>
        </w:rPr>
        <w:t>have temporarily assisted</w:t>
      </w:r>
      <w:bookmarkEnd w:id="26"/>
      <w:r w:rsidRPr="00EB4495">
        <w:rPr>
          <w:rFonts w:ascii="Arial" w:hAnsi="Arial" w:cs="Arial"/>
        </w:rPr>
        <w:t xml:space="preserve"> neighbouring stores where they can. For more details on the welfare of our colleagues, please refer to </w:t>
      </w:r>
      <w:r w:rsidRPr="00EB4495">
        <w:rPr>
          <w:rFonts w:ascii="Arial" w:hAnsi="Arial" w:cs="Arial"/>
          <w:i/>
          <w:iCs/>
        </w:rPr>
        <w:t>‘Lead the industry in Responsible Business practices’</w:t>
      </w:r>
      <w:r w:rsidRPr="00EB4495">
        <w:rPr>
          <w:rFonts w:ascii="Arial" w:hAnsi="Arial" w:cs="Arial"/>
        </w:rPr>
        <w:t xml:space="preserve"> below.</w:t>
      </w:r>
    </w:p>
    <w:p w14:paraId="0A9B506A" w14:textId="73D648F7" w:rsidR="00084627" w:rsidRPr="00EB4495" w:rsidRDefault="00084627" w:rsidP="00084627">
      <w:pPr>
        <w:jc w:val="left"/>
        <w:rPr>
          <w:rFonts w:ascii="Arial" w:hAnsi="Arial" w:cs="Arial"/>
        </w:rPr>
      </w:pPr>
    </w:p>
    <w:p w14:paraId="0E237AD2" w14:textId="75C56447" w:rsidR="00084627" w:rsidRPr="00EB4495" w:rsidRDefault="00084627" w:rsidP="00084627">
      <w:pPr>
        <w:pStyle w:val="ListParagraph"/>
        <w:numPr>
          <w:ilvl w:val="0"/>
          <w:numId w:val="17"/>
        </w:numPr>
        <w:pBdr>
          <w:top w:val="single" w:sz="4" w:space="1" w:color="auto"/>
          <w:left w:val="single" w:sz="4" w:space="4" w:color="auto"/>
          <w:bottom w:val="single" w:sz="4" w:space="1" w:color="auto"/>
          <w:right w:val="single" w:sz="4" w:space="4" w:color="auto"/>
        </w:pBdr>
        <w:contextualSpacing/>
        <w:jc w:val="left"/>
        <w:rPr>
          <w:rFonts w:ascii="Arial" w:hAnsi="Arial" w:cs="Arial"/>
          <w:b/>
          <w:bCs/>
        </w:rPr>
      </w:pPr>
      <w:bookmarkStart w:id="27" w:name="_Hlk80621180"/>
      <w:bookmarkStart w:id="28" w:name="_Hlk80621007"/>
      <w:r w:rsidRPr="00EB4495">
        <w:rPr>
          <w:rFonts w:ascii="Arial" w:hAnsi="Arial" w:cs="Arial"/>
          <w:b/>
          <w:bCs/>
        </w:rPr>
        <w:t xml:space="preserve">France – </w:t>
      </w:r>
      <w:r w:rsidR="00D85C6B">
        <w:rPr>
          <w:rFonts w:ascii="Arial" w:hAnsi="Arial" w:cs="Arial"/>
          <w:b/>
          <w:bCs/>
        </w:rPr>
        <w:t>final phase of ‘fixes’</w:t>
      </w:r>
    </w:p>
    <w:p w14:paraId="022B8C9B" w14:textId="77777777" w:rsidR="00084627" w:rsidRPr="00EB4495" w:rsidRDefault="00084627" w:rsidP="00084627">
      <w:pPr>
        <w:jc w:val="left"/>
        <w:rPr>
          <w:rFonts w:ascii="Arial" w:hAnsi="Arial" w:cs="Arial"/>
          <w:highlight w:val="red"/>
        </w:rPr>
      </w:pPr>
    </w:p>
    <w:bookmarkEnd w:id="27"/>
    <w:p w14:paraId="5BBDC044" w14:textId="26E143CE" w:rsidR="00084627" w:rsidRPr="00EB4495" w:rsidRDefault="00084627" w:rsidP="00084627">
      <w:pPr>
        <w:jc w:val="left"/>
        <w:rPr>
          <w:rFonts w:ascii="Arial" w:hAnsi="Arial" w:cs="Arial"/>
        </w:rPr>
      </w:pPr>
      <w:r w:rsidRPr="00EB4495">
        <w:rPr>
          <w:rFonts w:ascii="Arial" w:hAnsi="Arial" w:cs="Arial"/>
        </w:rPr>
        <w:t xml:space="preserve">The Group’s strategic progress over the last two years has benefited from some of the </w:t>
      </w:r>
      <w:r w:rsidR="006F37EC">
        <w:rPr>
          <w:rFonts w:ascii="Arial" w:hAnsi="Arial" w:cs="Arial"/>
        </w:rPr>
        <w:t>capabilities</w:t>
      </w:r>
      <w:r w:rsidR="006F37EC" w:rsidRPr="00EB4495">
        <w:rPr>
          <w:rFonts w:ascii="Arial" w:hAnsi="Arial" w:cs="Arial"/>
        </w:rPr>
        <w:t xml:space="preserve"> </w:t>
      </w:r>
      <w:r w:rsidR="00E77C41">
        <w:rPr>
          <w:rFonts w:ascii="Arial" w:hAnsi="Arial" w:cs="Arial"/>
        </w:rPr>
        <w:t xml:space="preserve">that were </w:t>
      </w:r>
      <w:r w:rsidRPr="00EB4495">
        <w:rPr>
          <w:rFonts w:ascii="Arial" w:hAnsi="Arial" w:cs="Arial"/>
        </w:rPr>
        <w:t xml:space="preserve">developed in </w:t>
      </w:r>
      <w:r w:rsidR="006F37EC">
        <w:rPr>
          <w:rFonts w:ascii="Arial" w:hAnsi="Arial" w:cs="Arial"/>
        </w:rPr>
        <w:t>the period before that</w:t>
      </w:r>
      <w:r w:rsidRPr="00EB4495">
        <w:rPr>
          <w:rFonts w:ascii="Arial" w:hAnsi="Arial" w:cs="Arial"/>
        </w:rPr>
        <w:t xml:space="preserve">. These include Group sourcing and buying, developing our own exclusive brands and our investment in a common SAP platform. However, we were also faced with many unresolved issues from previous years. </w:t>
      </w:r>
    </w:p>
    <w:p w14:paraId="1985E61F" w14:textId="77777777" w:rsidR="00084627" w:rsidRPr="00EB4495" w:rsidRDefault="00084627" w:rsidP="00084627">
      <w:pPr>
        <w:jc w:val="left"/>
        <w:rPr>
          <w:rFonts w:ascii="Arial" w:hAnsi="Arial" w:cs="Arial"/>
        </w:rPr>
      </w:pPr>
    </w:p>
    <w:p w14:paraId="091D3335" w14:textId="41AE3462" w:rsidR="00B81578" w:rsidRDefault="00084627" w:rsidP="00583530">
      <w:pPr>
        <w:jc w:val="left"/>
        <w:rPr>
          <w:rFonts w:ascii="Arial" w:hAnsi="Arial" w:cs="Arial"/>
        </w:rPr>
      </w:pPr>
      <w:r w:rsidRPr="00EB4495">
        <w:rPr>
          <w:rFonts w:ascii="Arial" w:hAnsi="Arial" w:cs="Arial"/>
        </w:rPr>
        <w:t>As part of our ‘Powered by Kingfisher’ plan, we set out our ‘</w:t>
      </w:r>
      <w:r w:rsidR="00F22BFF">
        <w:rPr>
          <w:rFonts w:ascii="Arial" w:hAnsi="Arial" w:cs="Arial"/>
        </w:rPr>
        <w:t>f</w:t>
      </w:r>
      <w:r w:rsidRPr="00EB4495">
        <w:rPr>
          <w:rFonts w:ascii="Arial" w:hAnsi="Arial" w:cs="Arial"/>
        </w:rPr>
        <w:t xml:space="preserve">ocus and </w:t>
      </w:r>
      <w:r w:rsidR="00F22BFF">
        <w:rPr>
          <w:rFonts w:ascii="Arial" w:hAnsi="Arial" w:cs="Arial"/>
        </w:rPr>
        <w:t>f</w:t>
      </w:r>
      <w:r w:rsidRPr="00EB4495">
        <w:rPr>
          <w:rFonts w:ascii="Arial" w:hAnsi="Arial" w:cs="Arial"/>
        </w:rPr>
        <w:t>ix’ priorities to address these issues. We made rapid progress in FY 21/22, completing all the ‘fixes’ in the UK and Poland in the first half, and we are on track to complete ‘fixes’ in France</w:t>
      </w:r>
      <w:r w:rsidR="00FA3689">
        <w:rPr>
          <w:rFonts w:ascii="Arial" w:hAnsi="Arial" w:cs="Arial"/>
        </w:rPr>
        <w:t xml:space="preserve"> this year</w:t>
      </w:r>
      <w:r w:rsidRPr="00EB4495">
        <w:rPr>
          <w:rFonts w:ascii="Arial" w:hAnsi="Arial" w:cs="Arial"/>
        </w:rPr>
        <w:t>.</w:t>
      </w:r>
      <w:r w:rsidR="00B81578">
        <w:rPr>
          <w:rFonts w:ascii="Arial" w:hAnsi="Arial" w:cs="Arial"/>
        </w:rPr>
        <w:br w:type="page"/>
      </w:r>
    </w:p>
    <w:p w14:paraId="4CBC0F5E" w14:textId="77777777" w:rsidR="00084627" w:rsidRPr="00EB4495" w:rsidRDefault="00084627" w:rsidP="00084627">
      <w:pPr>
        <w:jc w:val="left"/>
        <w:rPr>
          <w:rFonts w:ascii="Arial" w:hAnsi="Arial" w:cs="Arial"/>
        </w:rPr>
      </w:pPr>
      <w:r w:rsidRPr="00EB4495">
        <w:rPr>
          <w:rFonts w:ascii="Arial" w:hAnsi="Arial" w:cs="Arial"/>
        </w:rPr>
        <w:lastRenderedPageBreak/>
        <w:t>These actions have significantly improved our trading, both in store and online. They also allowed us to respond to the pandemic quickly and flexibly, while supporting the roll-out of our new strategy.</w:t>
      </w:r>
    </w:p>
    <w:p w14:paraId="65A65D37" w14:textId="77777777" w:rsidR="00084627" w:rsidRPr="00EB4495" w:rsidRDefault="00084627" w:rsidP="00084627">
      <w:pPr>
        <w:jc w:val="left"/>
        <w:rPr>
          <w:rFonts w:ascii="Arial" w:hAnsi="Arial" w:cs="Arial"/>
        </w:rPr>
      </w:pPr>
    </w:p>
    <w:p w14:paraId="3A52FF8A" w14:textId="77777777" w:rsidR="00084627" w:rsidRPr="00EB4495" w:rsidRDefault="00084627" w:rsidP="00084627">
      <w:pPr>
        <w:jc w:val="left"/>
        <w:rPr>
          <w:rFonts w:ascii="Arial" w:hAnsi="Arial" w:cs="Arial"/>
        </w:rPr>
      </w:pPr>
      <w:r w:rsidRPr="00EB4495">
        <w:rPr>
          <w:rFonts w:ascii="Arial" w:hAnsi="Arial" w:cs="Arial"/>
        </w:rPr>
        <w:t xml:space="preserve">In the H1 21/22 results announcement, we included a detailed description of our progress and the ‘fixes’ we have completed since we launched the ‘Powered by Kingfisher’ strategy. This background has not been repeated here and can be found on pages 9 to 11 of Part 1 of the H1 21/22 results announcement. </w:t>
      </w:r>
    </w:p>
    <w:p w14:paraId="1D2234F1" w14:textId="77777777" w:rsidR="00084627" w:rsidRPr="00EB4495" w:rsidRDefault="00084627" w:rsidP="00084627">
      <w:pPr>
        <w:jc w:val="left"/>
        <w:rPr>
          <w:rFonts w:ascii="Arial" w:hAnsi="Arial" w:cs="Arial"/>
        </w:rPr>
      </w:pPr>
    </w:p>
    <w:p w14:paraId="4455B2EE" w14:textId="77777777" w:rsidR="00084627" w:rsidRPr="00EB4495" w:rsidRDefault="00084627" w:rsidP="00084627">
      <w:pPr>
        <w:jc w:val="left"/>
        <w:rPr>
          <w:rFonts w:ascii="Arial" w:hAnsi="Arial" w:cs="Arial"/>
          <w:b/>
          <w:bCs/>
          <w:u w:val="single"/>
        </w:rPr>
      </w:pPr>
      <w:r w:rsidRPr="00EB4495">
        <w:rPr>
          <w:rFonts w:ascii="Arial" w:hAnsi="Arial" w:cs="Arial"/>
          <w:b/>
          <w:bCs/>
          <w:u w:val="single"/>
        </w:rPr>
        <w:t>Set out below is our progress with the France ‘fixes’ since the H1 21/22 results, and the further work required:</w:t>
      </w:r>
    </w:p>
    <w:p w14:paraId="26BE22D6" w14:textId="77777777"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We progressed the roll-out of Brico Dépôt’s updated SAP platform without disruption, and expect to complete it before the end of FY 22/23. </w:t>
      </w:r>
    </w:p>
    <w:p w14:paraId="674B456E" w14:textId="4F9D5FA2" w:rsidR="00084627" w:rsidRPr="00B80767"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We continued the fundamental reorganisation of our logistics </w:t>
      </w:r>
      <w:r w:rsidR="00FD1E04">
        <w:rPr>
          <w:rFonts w:ascii="Arial" w:hAnsi="Arial" w:cs="Arial"/>
          <w:bCs/>
        </w:rPr>
        <w:t xml:space="preserve">operations </w:t>
      </w:r>
      <w:r w:rsidRPr="00EB4495">
        <w:rPr>
          <w:rFonts w:ascii="Arial" w:hAnsi="Arial" w:cs="Arial"/>
          <w:bCs/>
        </w:rPr>
        <w:t>in France, with the aim of creating a</w:t>
      </w:r>
      <w:r w:rsidR="00FD1E04">
        <w:rPr>
          <w:rFonts w:ascii="Arial" w:hAnsi="Arial" w:cs="Arial"/>
          <w:bCs/>
        </w:rPr>
        <w:t>n</w:t>
      </w:r>
      <w:r w:rsidRPr="00EB4495">
        <w:rPr>
          <w:rFonts w:ascii="Arial" w:hAnsi="Arial" w:cs="Arial"/>
          <w:bCs/>
        </w:rPr>
        <w:t xml:space="preserve"> optimised network for Castorama and Brico Dépôt. Work is ongoing to optimise distribution centre space and transform </w:t>
      </w:r>
      <w:r w:rsidRPr="00EB4495">
        <w:rPr>
          <w:rFonts w:ascii="Arial" w:hAnsi="Arial" w:cs="Arial"/>
          <w:bCs/>
          <w:i/>
          <w:iCs/>
        </w:rPr>
        <w:t>cross</w:t>
      </w:r>
      <w:r w:rsidRPr="00B80767">
        <w:rPr>
          <w:rFonts w:ascii="Arial" w:hAnsi="Arial" w:cs="Arial"/>
          <w:bCs/>
          <w:i/>
          <w:iCs/>
        </w:rPr>
        <w:t>-dock</w:t>
      </w:r>
      <w:r w:rsidRPr="00B80767">
        <w:rPr>
          <w:rFonts w:ascii="Arial" w:hAnsi="Arial" w:cs="Arial"/>
          <w:bCs/>
        </w:rPr>
        <w:t xml:space="preserve"> sites, with significant progress in H2 21/22. We </w:t>
      </w:r>
      <w:r w:rsidR="00EE053B" w:rsidRPr="00B80767">
        <w:rPr>
          <w:rFonts w:ascii="Arial" w:hAnsi="Arial" w:cs="Arial"/>
          <w:bCs/>
        </w:rPr>
        <w:t xml:space="preserve">have now </w:t>
      </w:r>
      <w:r w:rsidRPr="00B80767">
        <w:rPr>
          <w:rFonts w:ascii="Arial" w:hAnsi="Arial" w:cs="Arial"/>
          <w:bCs/>
        </w:rPr>
        <w:t xml:space="preserve">reduced distribution centre space by </w:t>
      </w:r>
      <w:r w:rsidRPr="00B80767">
        <w:rPr>
          <w:rFonts w:ascii="Arial" w:hAnsi="Arial" w:cs="Arial"/>
        </w:rPr>
        <w:t>c.</w:t>
      </w:r>
      <w:r w:rsidR="00EE053B" w:rsidRPr="003F41A1">
        <w:rPr>
          <w:rFonts w:ascii="Arial" w:hAnsi="Arial" w:cs="Arial"/>
        </w:rPr>
        <w:t>19</w:t>
      </w:r>
      <w:r w:rsidRPr="003F41A1">
        <w:rPr>
          <w:rFonts w:ascii="Arial" w:hAnsi="Arial" w:cs="Arial"/>
        </w:rPr>
        <w:t>%</w:t>
      </w:r>
      <w:r w:rsidR="00EE053B" w:rsidRPr="00B80767">
        <w:rPr>
          <w:rFonts w:ascii="Arial" w:hAnsi="Arial" w:cs="Arial"/>
        </w:rPr>
        <w:t xml:space="preserve"> </w:t>
      </w:r>
      <w:r w:rsidRPr="00B80767">
        <w:rPr>
          <w:rFonts w:ascii="Arial" w:hAnsi="Arial" w:cs="Arial"/>
          <w:bCs/>
        </w:rPr>
        <w:t>over the last 18 months</w:t>
      </w:r>
      <w:r w:rsidR="00EE053B" w:rsidRPr="00B80767">
        <w:rPr>
          <w:rFonts w:ascii="Arial" w:hAnsi="Arial" w:cs="Arial"/>
          <w:bCs/>
        </w:rPr>
        <w:t>.</w:t>
      </w:r>
      <w:r w:rsidRPr="00B80767">
        <w:rPr>
          <w:rFonts w:ascii="Arial" w:hAnsi="Arial" w:cs="Arial"/>
          <w:bCs/>
        </w:rPr>
        <w:t xml:space="preserve"> We expect to complete this programme in H2 22/23.</w:t>
      </w:r>
    </w:p>
    <w:p w14:paraId="4DB3770F" w14:textId="4D78C299" w:rsidR="00084627" w:rsidRPr="00EB4495" w:rsidRDefault="00084627" w:rsidP="00084627">
      <w:pPr>
        <w:pStyle w:val="ListParagraph"/>
        <w:numPr>
          <w:ilvl w:val="1"/>
          <w:numId w:val="2"/>
        </w:numPr>
        <w:ind w:left="709"/>
        <w:jc w:val="left"/>
        <w:rPr>
          <w:rFonts w:ascii="Arial" w:hAnsi="Arial" w:cs="Arial"/>
          <w:bCs/>
          <w:i/>
          <w:iCs/>
        </w:rPr>
      </w:pPr>
      <w:r w:rsidRPr="00EB4495">
        <w:rPr>
          <w:rFonts w:ascii="Arial" w:hAnsi="Arial" w:cs="Arial"/>
          <w:bCs/>
          <w:i/>
          <w:iCs/>
        </w:rPr>
        <w:t>Note</w:t>
      </w:r>
      <w:r w:rsidR="00FA15AA">
        <w:rPr>
          <w:rFonts w:ascii="Arial" w:hAnsi="Arial" w:cs="Arial"/>
          <w:bCs/>
          <w:i/>
          <w:iCs/>
        </w:rPr>
        <w:t>:</w:t>
      </w:r>
      <w:r w:rsidRPr="00EB4495">
        <w:rPr>
          <w:rFonts w:ascii="Arial" w:hAnsi="Arial" w:cs="Arial"/>
          <w:bCs/>
          <w:i/>
          <w:iCs/>
        </w:rPr>
        <w:t xml:space="preserve"> cross-docking is a practice in logistics of moving product from a manufacturer through a cross-dock facility to stores, with little or no storage in between.</w:t>
      </w:r>
    </w:p>
    <w:p w14:paraId="78EB5C14" w14:textId="00959DBB"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This programme will significantly reduce the travel distance required to service our stores, leading to shorter lead-times, better customer service, lower </w:t>
      </w:r>
      <w:r w:rsidR="00590787" w:rsidRPr="00EB4495">
        <w:rPr>
          <w:rFonts w:ascii="Arial" w:hAnsi="Arial" w:cs="Arial"/>
          <w:bCs/>
        </w:rPr>
        <w:t>inventory,</w:t>
      </w:r>
      <w:r w:rsidRPr="00EB4495">
        <w:rPr>
          <w:rFonts w:ascii="Arial" w:hAnsi="Arial" w:cs="Arial"/>
          <w:bCs/>
        </w:rPr>
        <w:t xml:space="preserve"> and a reduction of greenhouse gas emissions. This has already started </w:t>
      </w:r>
      <w:r w:rsidRPr="006245D5">
        <w:rPr>
          <w:rFonts w:ascii="Arial" w:hAnsi="Arial" w:cs="Arial"/>
          <w:bCs/>
        </w:rPr>
        <w:t xml:space="preserve">contributing to inventory efficiencies in France, </w:t>
      </w:r>
      <w:bookmarkStart w:id="29" w:name="_Hlk97019380"/>
      <w:r w:rsidRPr="006245D5">
        <w:rPr>
          <w:rFonts w:ascii="Arial" w:hAnsi="Arial" w:cs="Arial"/>
          <w:bCs/>
        </w:rPr>
        <w:t xml:space="preserve">having achieved a reduction in </w:t>
      </w:r>
      <w:r w:rsidR="006245D5" w:rsidRPr="006245D5">
        <w:rPr>
          <w:rFonts w:ascii="Arial" w:hAnsi="Arial" w:cs="Arial"/>
          <w:bCs/>
        </w:rPr>
        <w:t xml:space="preserve">net </w:t>
      </w:r>
      <w:r w:rsidRPr="006245D5">
        <w:rPr>
          <w:rFonts w:ascii="Arial" w:hAnsi="Arial" w:cs="Arial"/>
          <w:bCs/>
        </w:rPr>
        <w:t xml:space="preserve">stock days of </w:t>
      </w:r>
      <w:r w:rsidR="006245D5" w:rsidRPr="00F854C7">
        <w:rPr>
          <w:rFonts w:ascii="Arial" w:hAnsi="Arial" w:cs="Arial"/>
          <w:bCs/>
        </w:rPr>
        <w:t>9</w:t>
      </w:r>
      <w:r w:rsidRPr="00F854C7">
        <w:rPr>
          <w:rFonts w:ascii="Arial" w:hAnsi="Arial" w:cs="Arial"/>
          <w:bCs/>
        </w:rPr>
        <w:t>%</w:t>
      </w:r>
      <w:r w:rsidR="005F5CDF">
        <w:rPr>
          <w:rFonts w:ascii="Arial" w:hAnsi="Arial" w:cs="Arial"/>
          <w:bCs/>
        </w:rPr>
        <w:t xml:space="preserve"> (13 days)</w:t>
      </w:r>
      <w:r w:rsidRPr="006245D5">
        <w:rPr>
          <w:rFonts w:ascii="Arial" w:hAnsi="Arial" w:cs="Arial"/>
          <w:bCs/>
        </w:rPr>
        <w:t xml:space="preserve"> in FY 21/</w:t>
      </w:r>
      <w:r w:rsidRPr="00EB4495">
        <w:rPr>
          <w:rFonts w:ascii="Arial" w:hAnsi="Arial" w:cs="Arial"/>
          <w:bCs/>
        </w:rPr>
        <w:t>22</w:t>
      </w:r>
      <w:r w:rsidR="00903469">
        <w:rPr>
          <w:rFonts w:ascii="Arial" w:hAnsi="Arial" w:cs="Arial"/>
          <w:bCs/>
        </w:rPr>
        <w:t xml:space="preserve"> vs </w:t>
      </w:r>
      <w:r w:rsidR="002A7F69">
        <w:rPr>
          <w:rFonts w:ascii="Arial" w:hAnsi="Arial" w:cs="Arial"/>
          <w:bCs/>
        </w:rPr>
        <w:t xml:space="preserve">FY </w:t>
      </w:r>
      <w:r w:rsidR="00903469">
        <w:rPr>
          <w:rFonts w:ascii="Arial" w:hAnsi="Arial" w:cs="Arial"/>
          <w:bCs/>
        </w:rPr>
        <w:t>19/20.</w:t>
      </w:r>
      <w:bookmarkEnd w:id="29"/>
    </w:p>
    <w:p w14:paraId="78385F1A" w14:textId="546F85B3" w:rsidR="00084627" w:rsidRPr="00383115" w:rsidRDefault="00084627" w:rsidP="00084627">
      <w:pPr>
        <w:pStyle w:val="ListParagraph"/>
        <w:numPr>
          <w:ilvl w:val="0"/>
          <w:numId w:val="25"/>
        </w:numPr>
        <w:ind w:left="360"/>
        <w:jc w:val="left"/>
        <w:rPr>
          <w:rFonts w:ascii="Arial" w:hAnsi="Arial" w:cs="Arial"/>
          <w:bCs/>
        </w:rPr>
      </w:pPr>
      <w:bookmarkStart w:id="30" w:name="_Hlk80625915"/>
      <w:r w:rsidRPr="00EB4495">
        <w:rPr>
          <w:rFonts w:ascii="Arial" w:hAnsi="Arial" w:cs="Arial"/>
          <w:bCs/>
        </w:rPr>
        <w:t xml:space="preserve">We are making good progress with extending and improving Castorama’s ranges, by introducing more local and </w:t>
      </w:r>
      <w:r w:rsidRPr="006D67FF">
        <w:rPr>
          <w:rFonts w:ascii="Arial" w:hAnsi="Arial" w:cs="Arial"/>
          <w:bCs/>
        </w:rPr>
        <w:t>international brands, in particular higher price-point products, and by launching new OEBs. We added more than</w:t>
      </w:r>
      <w:r w:rsidR="009D0B05" w:rsidRPr="006D67FF">
        <w:rPr>
          <w:rFonts w:ascii="Arial" w:hAnsi="Arial" w:cs="Arial"/>
        </w:rPr>
        <w:t xml:space="preserve">, </w:t>
      </w:r>
      <w:r w:rsidR="009D0B05" w:rsidRPr="006957EC">
        <w:rPr>
          <w:rFonts w:ascii="Arial" w:hAnsi="Arial" w:cs="Arial"/>
        </w:rPr>
        <w:t>1,300</w:t>
      </w:r>
      <w:r w:rsidRPr="006D67FF">
        <w:rPr>
          <w:rFonts w:ascii="Arial" w:hAnsi="Arial" w:cs="Arial"/>
        </w:rPr>
        <w:t xml:space="preserve"> SKUs* over the last six months, bringing the total added over the last two years to more than </w:t>
      </w:r>
      <w:r w:rsidR="009D0B05" w:rsidRPr="006957EC">
        <w:rPr>
          <w:rFonts w:ascii="Arial" w:hAnsi="Arial" w:cs="Arial"/>
        </w:rPr>
        <w:t>7</w:t>
      </w:r>
      <w:r w:rsidRPr="006957EC">
        <w:rPr>
          <w:rFonts w:ascii="Arial" w:hAnsi="Arial" w:cs="Arial"/>
        </w:rPr>
        <w:t>,</w:t>
      </w:r>
      <w:r w:rsidR="009D0B05" w:rsidRPr="006957EC">
        <w:rPr>
          <w:rFonts w:ascii="Arial" w:hAnsi="Arial" w:cs="Arial"/>
        </w:rPr>
        <w:t>300</w:t>
      </w:r>
      <w:r w:rsidRPr="006D67FF">
        <w:rPr>
          <w:rFonts w:ascii="Arial" w:hAnsi="Arial" w:cs="Arial"/>
        </w:rPr>
        <w:t>. We expect</w:t>
      </w:r>
      <w:r w:rsidRPr="00EB4495">
        <w:rPr>
          <w:rFonts w:ascii="Arial" w:hAnsi="Arial" w:cs="Arial"/>
        </w:rPr>
        <w:t xml:space="preserve"> to complete our work on Castorama’s store range in six months’ time.</w:t>
      </w:r>
    </w:p>
    <w:p w14:paraId="25A561C2" w14:textId="4DBB91F4"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Brico Dépôt, one of our industry’s leading discounter banners, is also moving forward with its range </w:t>
      </w:r>
      <w:r w:rsidR="00163482">
        <w:rPr>
          <w:rFonts w:ascii="Arial" w:hAnsi="Arial" w:cs="Arial"/>
          <w:bCs/>
        </w:rPr>
        <w:t>optimisation</w:t>
      </w:r>
      <w:r w:rsidRPr="00EB4495">
        <w:rPr>
          <w:rFonts w:ascii="Arial" w:hAnsi="Arial" w:cs="Arial"/>
          <w:bCs/>
        </w:rPr>
        <w:t xml:space="preserve"> to increase its differentiation from Castorama and other general DIY peers. This is being done by improving the banner’s already price-leading proposition, reducing some non-core ranges and introducing discount OEB brands </w:t>
      </w:r>
      <w:r w:rsidR="00E6098B">
        <w:rPr>
          <w:rFonts w:ascii="Arial" w:hAnsi="Arial" w:cs="Arial"/>
          <w:bCs/>
        </w:rPr>
        <w:t xml:space="preserve">(such as the Evalux paint discount brand) </w:t>
      </w:r>
      <w:r w:rsidRPr="00EB4495">
        <w:rPr>
          <w:rFonts w:ascii="Arial" w:hAnsi="Arial" w:cs="Arial"/>
          <w:bCs/>
        </w:rPr>
        <w:t xml:space="preserve">and more local trade brands. </w:t>
      </w:r>
      <w:r w:rsidR="00560521">
        <w:rPr>
          <w:rFonts w:ascii="Arial" w:hAnsi="Arial" w:cs="Arial"/>
          <w:bCs/>
        </w:rPr>
        <w:t xml:space="preserve">Optimising </w:t>
      </w:r>
      <w:r w:rsidRPr="00EB4495">
        <w:rPr>
          <w:rFonts w:ascii="Arial" w:hAnsi="Arial" w:cs="Arial"/>
          <w:bCs/>
        </w:rPr>
        <w:t>SKUs will give us more volume and pricing power for key products, reinforcing Brico Dépôt’s ‘discounter DNA’.</w:t>
      </w:r>
    </w:p>
    <w:bookmarkEnd w:id="30"/>
    <w:p w14:paraId="54A405F3" w14:textId="4CC4466A"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Our price positioning is very competitive, with both banners in France improving their price index since February 2021. </w:t>
      </w:r>
      <w:r w:rsidR="00CE27D1">
        <w:rPr>
          <w:rFonts w:ascii="Arial" w:hAnsi="Arial" w:cs="Arial"/>
          <w:bCs/>
        </w:rPr>
        <w:t>While w</w:t>
      </w:r>
      <w:r w:rsidRPr="00EB4495">
        <w:rPr>
          <w:rFonts w:ascii="Arial" w:hAnsi="Arial" w:cs="Arial"/>
          <w:bCs/>
        </w:rPr>
        <w:t>e do not anticipate requiring any further significant investment in price in the year ahead</w:t>
      </w:r>
      <w:r w:rsidR="00CE27D1">
        <w:rPr>
          <w:rFonts w:ascii="Arial" w:hAnsi="Arial" w:cs="Arial"/>
          <w:bCs/>
        </w:rPr>
        <w:t>, the DNA of a discounter like Brico</w:t>
      </w:r>
      <w:r w:rsidR="008E3920">
        <w:rPr>
          <w:rFonts w:ascii="Arial" w:hAnsi="Arial" w:cs="Arial"/>
          <w:bCs/>
        </w:rPr>
        <w:t xml:space="preserve"> </w:t>
      </w:r>
      <w:r w:rsidR="00055E45" w:rsidRPr="00EB4495">
        <w:rPr>
          <w:rFonts w:ascii="Arial" w:hAnsi="Arial" w:cs="Arial"/>
          <w:bCs/>
        </w:rPr>
        <w:t>Dépôt</w:t>
      </w:r>
      <w:r w:rsidR="00055E45" w:rsidDel="00055E45">
        <w:rPr>
          <w:rFonts w:ascii="Arial" w:hAnsi="Arial" w:cs="Arial"/>
          <w:bCs/>
        </w:rPr>
        <w:t xml:space="preserve"> </w:t>
      </w:r>
      <w:r w:rsidR="00CE27D1">
        <w:rPr>
          <w:rFonts w:ascii="Arial" w:hAnsi="Arial" w:cs="Arial"/>
          <w:bCs/>
        </w:rPr>
        <w:t xml:space="preserve">is </w:t>
      </w:r>
      <w:r w:rsidR="004D3CE2">
        <w:rPr>
          <w:rFonts w:ascii="Arial" w:hAnsi="Arial" w:cs="Arial"/>
          <w:bCs/>
        </w:rPr>
        <w:t xml:space="preserve">to </w:t>
      </w:r>
      <w:r w:rsidR="00AC5565">
        <w:rPr>
          <w:rFonts w:ascii="Arial" w:hAnsi="Arial" w:cs="Arial"/>
          <w:bCs/>
        </w:rPr>
        <w:t xml:space="preserve">continuously </w:t>
      </w:r>
      <w:r w:rsidR="00CE27D1">
        <w:rPr>
          <w:rFonts w:ascii="Arial" w:hAnsi="Arial" w:cs="Arial"/>
          <w:bCs/>
        </w:rPr>
        <w:t>reduce its cost to sales ratio, improve its sales density, and reinvest part of this efficiency into price positioning.</w:t>
      </w:r>
    </w:p>
    <w:p w14:paraId="33851724" w14:textId="05E3BB8C"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We made key additional hires in France, including in supply chain, digital</w:t>
      </w:r>
      <w:r w:rsidR="00F260E5">
        <w:rPr>
          <w:rFonts w:ascii="Arial" w:hAnsi="Arial" w:cs="Arial"/>
          <w:bCs/>
        </w:rPr>
        <w:t xml:space="preserve"> and </w:t>
      </w:r>
      <w:r w:rsidRPr="00EB4495">
        <w:rPr>
          <w:rFonts w:ascii="Arial" w:hAnsi="Arial" w:cs="Arial"/>
          <w:bCs/>
        </w:rPr>
        <w:t xml:space="preserve">technology. </w:t>
      </w:r>
    </w:p>
    <w:p w14:paraId="13D58E15" w14:textId="77777777"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Following his success in leading Brico Dépôt’s growth in France, Pascal Gil will become the new CEO of Castorama Poland from 4 April 2022. Laurent Vittoz has moved from leading our Group Sourcing team to replace Pascal as the Managing Director of Brico Dépôt France from 15 March, reporting to the CEO of France, Alain Rabec. </w:t>
      </w:r>
    </w:p>
    <w:p w14:paraId="02B8727B" w14:textId="77777777" w:rsidR="00084627" w:rsidRPr="00EB4495" w:rsidRDefault="00084627" w:rsidP="00084627">
      <w:pPr>
        <w:jc w:val="left"/>
        <w:rPr>
          <w:rFonts w:ascii="Arial" w:hAnsi="Arial" w:cs="Arial"/>
        </w:rPr>
      </w:pPr>
    </w:p>
    <w:bookmarkEnd w:id="28"/>
    <w:p w14:paraId="790C8AA8" w14:textId="6BF8459E" w:rsidR="00084627" w:rsidRDefault="00084627" w:rsidP="00084627">
      <w:pPr>
        <w:jc w:val="left"/>
        <w:rPr>
          <w:rFonts w:ascii="Arial" w:hAnsi="Arial" w:cs="Arial"/>
        </w:rPr>
      </w:pPr>
      <w:r w:rsidRPr="00EB4495">
        <w:rPr>
          <w:rFonts w:ascii="Arial" w:hAnsi="Arial" w:cs="Arial"/>
        </w:rPr>
        <w:t>The actions described above have contributed significantly to the improved performance in France, with FY 21/22 LFL sales up 9.3%, and up 14.8% on a 2-year basis. France’s retail profit margin improved 70 basis points to 4.9% (FY 20/21: 4.2%), with its retail profit increasing more than 20%.</w:t>
      </w:r>
    </w:p>
    <w:p w14:paraId="71305527" w14:textId="77777777" w:rsidR="00084627" w:rsidRPr="00EB4495" w:rsidRDefault="00084627" w:rsidP="00084627">
      <w:pPr>
        <w:jc w:val="left"/>
        <w:rPr>
          <w:rFonts w:ascii="Arial" w:hAnsi="Arial" w:cs="Arial"/>
        </w:rPr>
      </w:pPr>
    </w:p>
    <w:p w14:paraId="57BE0692" w14:textId="37992C6D" w:rsidR="00687B68" w:rsidRDefault="00084627" w:rsidP="00595D37">
      <w:pPr>
        <w:jc w:val="left"/>
        <w:rPr>
          <w:rFonts w:ascii="Arial" w:eastAsia="Times New Roman" w:hAnsi="Arial" w:cs="Arial"/>
        </w:rPr>
      </w:pPr>
      <w:r w:rsidRPr="00EB4495">
        <w:rPr>
          <w:rFonts w:ascii="Arial" w:hAnsi="Arial" w:cs="Arial"/>
        </w:rPr>
        <w:t xml:space="preserve">Since we implemented the first ‘fixes’ in FY 20/21, </w:t>
      </w:r>
      <w:r w:rsidRPr="00EB4495">
        <w:rPr>
          <w:rFonts w:ascii="Arial" w:eastAsia="Times New Roman" w:hAnsi="Arial" w:cs="Arial"/>
        </w:rPr>
        <w:t>customers have reacted positively to our renewed focus on customer propositions. As a result,</w:t>
      </w:r>
      <w:r w:rsidRPr="00EB4495">
        <w:rPr>
          <w:rFonts w:ascii="Arial" w:hAnsi="Arial" w:cs="Arial"/>
        </w:rPr>
        <w:t xml:space="preserve"> the Net Promoter Scores</w:t>
      </w:r>
      <w:r w:rsidRPr="00EB4495">
        <w:rPr>
          <w:rFonts w:ascii="Arial" w:eastAsia="Times New Roman" w:hAnsi="Arial" w:cs="Arial"/>
        </w:rPr>
        <w:t xml:space="preserve"> (NPS) have improved in both French banners</w:t>
      </w:r>
      <w:r w:rsidR="004E3E0F">
        <w:rPr>
          <w:rFonts w:ascii="Arial" w:eastAsia="Times New Roman" w:hAnsi="Arial" w:cs="Arial"/>
        </w:rPr>
        <w:t xml:space="preserve">. </w:t>
      </w:r>
      <w:r w:rsidR="00F260E5">
        <w:rPr>
          <w:rFonts w:ascii="Arial" w:eastAsia="Times New Roman" w:hAnsi="Arial" w:cs="Arial"/>
        </w:rPr>
        <w:t>The store NPS for b</w:t>
      </w:r>
      <w:r w:rsidR="00F260E5" w:rsidRPr="00595D37">
        <w:rPr>
          <w:rFonts w:ascii="Arial" w:eastAsia="Times New Roman" w:hAnsi="Arial" w:cs="Arial"/>
        </w:rPr>
        <w:t xml:space="preserve">oth Castorama and Brico Dépôt France </w:t>
      </w:r>
      <w:r w:rsidR="00F260E5">
        <w:rPr>
          <w:rFonts w:ascii="Arial" w:eastAsia="Times New Roman" w:hAnsi="Arial" w:cs="Arial"/>
        </w:rPr>
        <w:t xml:space="preserve">has </w:t>
      </w:r>
      <w:r w:rsidR="00F260E5" w:rsidRPr="00595D37">
        <w:rPr>
          <w:rFonts w:ascii="Arial" w:eastAsia="Times New Roman" w:hAnsi="Arial" w:cs="Arial"/>
        </w:rPr>
        <w:t xml:space="preserve">improved over the past two years, with a total increase </w:t>
      </w:r>
      <w:r w:rsidR="00F260E5">
        <w:rPr>
          <w:rFonts w:ascii="Arial" w:eastAsia="Times New Roman" w:hAnsi="Arial" w:cs="Arial"/>
        </w:rPr>
        <w:t>of +9 and +8 points respectively.</w:t>
      </w:r>
      <w:r w:rsidR="00F260E5" w:rsidRPr="00595D37">
        <w:rPr>
          <w:rFonts w:ascii="Arial" w:eastAsia="Times New Roman" w:hAnsi="Arial" w:cs="Arial"/>
        </w:rPr>
        <w:t xml:space="preserve"> Significant progress </w:t>
      </w:r>
      <w:r w:rsidR="00F260E5">
        <w:rPr>
          <w:rFonts w:ascii="Arial" w:eastAsia="Times New Roman" w:hAnsi="Arial" w:cs="Arial"/>
        </w:rPr>
        <w:t xml:space="preserve">has </w:t>
      </w:r>
      <w:r w:rsidR="00F260E5" w:rsidRPr="00595D37">
        <w:rPr>
          <w:rFonts w:ascii="Arial" w:eastAsia="Times New Roman" w:hAnsi="Arial" w:cs="Arial"/>
        </w:rPr>
        <w:t xml:space="preserve">also </w:t>
      </w:r>
      <w:r w:rsidR="00F260E5">
        <w:rPr>
          <w:rFonts w:ascii="Arial" w:eastAsia="Times New Roman" w:hAnsi="Arial" w:cs="Arial"/>
        </w:rPr>
        <w:t xml:space="preserve">been made </w:t>
      </w:r>
      <w:r w:rsidR="00F260E5" w:rsidRPr="00595D37">
        <w:rPr>
          <w:rFonts w:ascii="Arial" w:eastAsia="Times New Roman" w:hAnsi="Arial" w:cs="Arial"/>
        </w:rPr>
        <w:t xml:space="preserve">online, with </w:t>
      </w:r>
      <w:r w:rsidR="00F260E5">
        <w:rPr>
          <w:rFonts w:ascii="Arial" w:eastAsia="Times New Roman" w:hAnsi="Arial" w:cs="Arial"/>
        </w:rPr>
        <w:t>c</w:t>
      </w:r>
      <w:r w:rsidR="00F260E5" w:rsidRPr="00595D37">
        <w:rPr>
          <w:rFonts w:ascii="Arial" w:eastAsia="Times New Roman" w:hAnsi="Arial" w:cs="Arial"/>
        </w:rPr>
        <w:t>astorama.</w:t>
      </w:r>
      <w:r w:rsidR="00F260E5">
        <w:rPr>
          <w:rFonts w:ascii="Arial" w:eastAsia="Times New Roman" w:hAnsi="Arial" w:cs="Arial"/>
        </w:rPr>
        <w:t>f</w:t>
      </w:r>
      <w:r w:rsidR="00F260E5" w:rsidRPr="00595D37">
        <w:rPr>
          <w:rFonts w:ascii="Arial" w:eastAsia="Times New Roman" w:hAnsi="Arial" w:cs="Arial"/>
        </w:rPr>
        <w:t xml:space="preserve">r showing a </w:t>
      </w:r>
      <w:proofErr w:type="gramStart"/>
      <w:r w:rsidR="00F260E5">
        <w:rPr>
          <w:rFonts w:ascii="Arial" w:eastAsia="Times New Roman" w:hAnsi="Arial" w:cs="Arial"/>
        </w:rPr>
        <w:t>+6 point</w:t>
      </w:r>
      <w:proofErr w:type="gramEnd"/>
      <w:r w:rsidR="00F260E5">
        <w:rPr>
          <w:rFonts w:ascii="Arial" w:eastAsia="Times New Roman" w:hAnsi="Arial" w:cs="Arial"/>
        </w:rPr>
        <w:t xml:space="preserve"> increase versus FY 19/20</w:t>
      </w:r>
      <w:r w:rsidR="00F260E5" w:rsidRPr="00595D37">
        <w:rPr>
          <w:rFonts w:ascii="Arial" w:eastAsia="Times New Roman" w:hAnsi="Arial" w:cs="Arial"/>
        </w:rPr>
        <w:t xml:space="preserve">, and </w:t>
      </w:r>
      <w:r w:rsidR="00F260E5">
        <w:rPr>
          <w:rFonts w:ascii="Arial" w:eastAsia="Times New Roman" w:hAnsi="Arial" w:cs="Arial"/>
        </w:rPr>
        <w:t>b</w:t>
      </w:r>
      <w:r w:rsidR="00F260E5" w:rsidRPr="00595D37">
        <w:rPr>
          <w:rFonts w:ascii="Arial" w:eastAsia="Times New Roman" w:hAnsi="Arial" w:cs="Arial"/>
        </w:rPr>
        <w:t>rico</w:t>
      </w:r>
      <w:r w:rsidR="00F260E5">
        <w:rPr>
          <w:rFonts w:ascii="Arial" w:eastAsia="Times New Roman" w:hAnsi="Arial" w:cs="Arial"/>
        </w:rPr>
        <w:t>d</w:t>
      </w:r>
      <w:r w:rsidR="00F260E5" w:rsidRPr="00595D37">
        <w:rPr>
          <w:rFonts w:ascii="Arial" w:eastAsia="Times New Roman" w:hAnsi="Arial" w:cs="Arial"/>
        </w:rPr>
        <w:t>epot.</w:t>
      </w:r>
      <w:r w:rsidR="00F260E5">
        <w:rPr>
          <w:rFonts w:ascii="Arial" w:eastAsia="Times New Roman" w:hAnsi="Arial" w:cs="Arial"/>
        </w:rPr>
        <w:t>f</w:t>
      </w:r>
      <w:r w:rsidR="00F260E5" w:rsidRPr="00595D37">
        <w:rPr>
          <w:rFonts w:ascii="Arial" w:eastAsia="Times New Roman" w:hAnsi="Arial" w:cs="Arial"/>
        </w:rPr>
        <w:t xml:space="preserve">r </w:t>
      </w:r>
      <w:r w:rsidR="00F260E5">
        <w:rPr>
          <w:rFonts w:ascii="Arial" w:eastAsia="Times New Roman" w:hAnsi="Arial" w:cs="Arial"/>
        </w:rPr>
        <w:t xml:space="preserve">showing a </w:t>
      </w:r>
      <w:r w:rsidR="00F260E5" w:rsidRPr="00595D37">
        <w:rPr>
          <w:rFonts w:ascii="Arial" w:eastAsia="Times New Roman" w:hAnsi="Arial" w:cs="Arial"/>
        </w:rPr>
        <w:t>+</w:t>
      </w:r>
      <w:r w:rsidR="00AB51F7">
        <w:rPr>
          <w:rFonts w:ascii="Arial" w:eastAsia="Times New Roman" w:hAnsi="Arial" w:cs="Arial"/>
        </w:rPr>
        <w:t>5</w:t>
      </w:r>
      <w:r w:rsidR="00F260E5" w:rsidRPr="00595D37">
        <w:rPr>
          <w:rFonts w:ascii="Arial" w:eastAsia="Times New Roman" w:hAnsi="Arial" w:cs="Arial"/>
        </w:rPr>
        <w:t xml:space="preserve"> </w:t>
      </w:r>
      <w:r w:rsidR="00F260E5">
        <w:rPr>
          <w:rFonts w:ascii="Arial" w:eastAsia="Times New Roman" w:hAnsi="Arial" w:cs="Arial"/>
        </w:rPr>
        <w:t>point improvement.</w:t>
      </w:r>
    </w:p>
    <w:p w14:paraId="31978D90" w14:textId="77777777" w:rsidR="00687B68" w:rsidRDefault="00687B68" w:rsidP="00595D37">
      <w:pPr>
        <w:jc w:val="left"/>
        <w:rPr>
          <w:rFonts w:ascii="Arial" w:eastAsia="Times New Roman" w:hAnsi="Arial" w:cs="Arial"/>
        </w:rPr>
      </w:pPr>
    </w:p>
    <w:p w14:paraId="663FAF54" w14:textId="0DD5D544" w:rsidR="00084627" w:rsidRPr="00EB4495" w:rsidRDefault="00084627" w:rsidP="00595D37">
      <w:pPr>
        <w:jc w:val="left"/>
        <w:rPr>
          <w:rFonts w:ascii="Arial" w:hAnsi="Arial" w:cs="Arial"/>
        </w:rPr>
      </w:pPr>
      <w:r w:rsidRPr="00EB4495">
        <w:rPr>
          <w:rFonts w:ascii="Arial" w:eastAsia="Times New Roman" w:hAnsi="Arial" w:cs="Arial"/>
        </w:rPr>
        <w:t>W</w:t>
      </w:r>
      <w:r w:rsidRPr="00EB4495">
        <w:rPr>
          <w:rFonts w:ascii="Arial" w:hAnsi="Arial" w:cs="Arial"/>
          <w:bCs/>
        </w:rPr>
        <w:t>e are also seeing improvements in our competitive position,</w:t>
      </w:r>
      <w:r w:rsidRPr="00EB4495">
        <w:rPr>
          <w:rFonts w:ascii="Arial" w:eastAsia="Times New Roman" w:hAnsi="Arial" w:cs="Arial"/>
        </w:rPr>
        <w:t xml:space="preserve"> following years of underperformance</w:t>
      </w:r>
      <w:r w:rsidRPr="00EB4495">
        <w:rPr>
          <w:rFonts w:ascii="Arial" w:hAnsi="Arial" w:cs="Arial"/>
          <w:bCs/>
        </w:rPr>
        <w:t xml:space="preserve">. </w:t>
      </w:r>
      <w:r w:rsidRPr="00EB4495">
        <w:rPr>
          <w:rFonts w:ascii="Arial" w:hAnsi="Arial" w:cs="Arial"/>
        </w:rPr>
        <w:t xml:space="preserve">Based on </w:t>
      </w:r>
      <w:r w:rsidRPr="00EB4495">
        <w:rPr>
          <w:rFonts w:ascii="Arial" w:hAnsi="Arial" w:cs="Arial"/>
          <w:i/>
          <w:iCs/>
        </w:rPr>
        <w:t>Banque de France</w:t>
      </w:r>
      <w:r w:rsidRPr="00EB4495">
        <w:rPr>
          <w:rFonts w:ascii="Arial" w:hAnsi="Arial" w:cs="Arial"/>
        </w:rPr>
        <w:t xml:space="preserve">* data, </w:t>
      </w:r>
      <w:r w:rsidRPr="00EB4495">
        <w:rPr>
          <w:rFonts w:ascii="Arial" w:hAnsi="Arial" w:cs="Arial"/>
          <w:bCs/>
        </w:rPr>
        <w:t xml:space="preserve">France’s </w:t>
      </w:r>
      <w:r w:rsidRPr="00EB4495">
        <w:rPr>
          <w:rFonts w:ascii="Arial" w:hAnsi="Arial" w:cs="Arial"/>
        </w:rPr>
        <w:t xml:space="preserve">H2 21/22 LFL sales </w:t>
      </w:r>
      <w:r w:rsidR="00687B68">
        <w:rPr>
          <w:rFonts w:ascii="Arial" w:hAnsi="Arial" w:cs="Arial"/>
        </w:rPr>
        <w:t xml:space="preserve">grew </w:t>
      </w:r>
      <w:r w:rsidR="007016D7">
        <w:rPr>
          <w:rFonts w:ascii="Arial" w:hAnsi="Arial" w:cs="Arial"/>
        </w:rPr>
        <w:t xml:space="preserve">one percentage point </w:t>
      </w:r>
      <w:r w:rsidRPr="00EB4495">
        <w:rPr>
          <w:rFonts w:ascii="Arial" w:hAnsi="Arial" w:cs="Arial"/>
        </w:rPr>
        <w:t>ahead of the market</w:t>
      </w:r>
      <w:r w:rsidR="007016D7">
        <w:rPr>
          <w:rFonts w:ascii="Arial" w:hAnsi="Arial" w:cs="Arial"/>
        </w:rPr>
        <w:t xml:space="preserve"> YoY</w:t>
      </w:r>
      <w:r w:rsidRPr="00EB4495">
        <w:rPr>
          <w:rFonts w:ascii="Arial" w:hAnsi="Arial" w:cs="Arial"/>
          <w:bCs/>
        </w:rPr>
        <w:t>.</w:t>
      </w:r>
      <w:r w:rsidRPr="00EB4495">
        <w:rPr>
          <w:rFonts w:ascii="Arial" w:hAnsi="Arial" w:cs="Arial"/>
        </w:rPr>
        <w:t xml:space="preserve"> Our priority is to continue </w:t>
      </w:r>
      <w:r w:rsidR="00687B68">
        <w:rPr>
          <w:rFonts w:ascii="Arial" w:hAnsi="Arial" w:cs="Arial"/>
        </w:rPr>
        <w:t xml:space="preserve">taking </w:t>
      </w:r>
      <w:r w:rsidRPr="00EB4495">
        <w:rPr>
          <w:rFonts w:ascii="Arial" w:hAnsi="Arial" w:cs="Arial"/>
        </w:rPr>
        <w:t>market share.</w:t>
      </w:r>
    </w:p>
    <w:p w14:paraId="1DB0A36A" w14:textId="77777777" w:rsidR="001E5A0E" w:rsidRPr="00EB4495" w:rsidRDefault="001E5A0E" w:rsidP="00084627">
      <w:pPr>
        <w:jc w:val="left"/>
        <w:rPr>
          <w:rFonts w:ascii="Arial" w:hAnsi="Arial" w:cs="Arial"/>
        </w:rPr>
      </w:pPr>
    </w:p>
    <w:p w14:paraId="19C0ADFD" w14:textId="2F4490B7" w:rsidR="00084627" w:rsidRPr="00EB4495" w:rsidRDefault="00084627" w:rsidP="00084627">
      <w:pPr>
        <w:pStyle w:val="ListParagraph"/>
        <w:numPr>
          <w:ilvl w:val="0"/>
          <w:numId w:val="17"/>
        </w:numPr>
        <w:pBdr>
          <w:top w:val="single" w:sz="4" w:space="1" w:color="auto"/>
          <w:left w:val="single" w:sz="4" w:space="4" w:color="auto"/>
          <w:bottom w:val="single" w:sz="4" w:space="1" w:color="auto"/>
          <w:right w:val="single" w:sz="4" w:space="4" w:color="auto"/>
        </w:pBdr>
        <w:contextualSpacing/>
        <w:jc w:val="left"/>
        <w:rPr>
          <w:rFonts w:ascii="Arial" w:hAnsi="Arial" w:cs="Arial"/>
          <w:b/>
          <w:bCs/>
        </w:rPr>
      </w:pPr>
      <w:bookmarkStart w:id="31" w:name="_Hlk80620271"/>
      <w:bookmarkStart w:id="32" w:name="_Hlk80620065"/>
      <w:r w:rsidRPr="00EB4495">
        <w:rPr>
          <w:rFonts w:ascii="Arial" w:hAnsi="Arial" w:cs="Arial"/>
          <w:b/>
          <w:bCs/>
        </w:rPr>
        <w:lastRenderedPageBreak/>
        <w:t>Deliver</w:t>
      </w:r>
      <w:r w:rsidR="001A134E" w:rsidRPr="00EB4495">
        <w:rPr>
          <w:rFonts w:ascii="Arial" w:hAnsi="Arial" w:cs="Arial"/>
          <w:b/>
          <w:bCs/>
        </w:rPr>
        <w:t>ing</w:t>
      </w:r>
      <w:r w:rsidRPr="00EB4495">
        <w:rPr>
          <w:rFonts w:ascii="Arial" w:hAnsi="Arial" w:cs="Arial"/>
          <w:b/>
          <w:bCs/>
        </w:rPr>
        <w:t xml:space="preserve"> against ‘Powered by Kingfisher’ strategic priorities ahead of schedule </w:t>
      </w:r>
    </w:p>
    <w:bookmarkEnd w:id="31"/>
    <w:p w14:paraId="0FDF812E" w14:textId="77777777" w:rsidR="00084627" w:rsidRPr="00EB4495" w:rsidRDefault="00084627" w:rsidP="00084627">
      <w:pPr>
        <w:jc w:val="left"/>
        <w:rPr>
          <w:rFonts w:ascii="Arial" w:hAnsi="Arial" w:cs="Arial"/>
        </w:rPr>
      </w:pPr>
    </w:p>
    <w:bookmarkEnd w:id="32"/>
    <w:p w14:paraId="0C6B7304" w14:textId="77777777" w:rsidR="00084627" w:rsidRPr="00EB4495" w:rsidRDefault="00084627" w:rsidP="00084627">
      <w:pPr>
        <w:jc w:val="left"/>
        <w:rPr>
          <w:rFonts w:ascii="Arial" w:hAnsi="Arial" w:cs="Arial"/>
          <w:bCs/>
        </w:rPr>
      </w:pPr>
      <w:r w:rsidRPr="00EB4495">
        <w:rPr>
          <w:rFonts w:ascii="Arial" w:hAnsi="Arial" w:cs="Arial"/>
          <w:bCs/>
        </w:rPr>
        <w:t xml:space="preserve">Under our strategic plan, ‘Powered by Kingfisher’, </w:t>
      </w:r>
      <w:r w:rsidRPr="00EB4495">
        <w:rPr>
          <w:rFonts w:ascii="Arial" w:hAnsi="Arial" w:cs="Arial"/>
        </w:rPr>
        <w:t xml:space="preserve">we aim to maximise the benefits of our </w:t>
      </w:r>
      <w:r w:rsidRPr="00EB4495">
        <w:rPr>
          <w:rFonts w:ascii="Arial" w:hAnsi="Arial" w:cs="Arial"/>
          <w:bCs/>
        </w:rPr>
        <w:t>distinct retail banners with the combined scale, strength and expertise of the Kingfisher Group</w:t>
      </w:r>
      <w:r w:rsidRPr="00EB4495">
        <w:rPr>
          <w:rFonts w:ascii="Arial" w:hAnsi="Arial" w:cs="Arial"/>
        </w:rPr>
        <w:t>, thereby</w:t>
      </w:r>
      <w:r w:rsidRPr="00EB4495">
        <w:rPr>
          <w:rFonts w:ascii="Arial" w:hAnsi="Arial" w:cs="Arial"/>
          <w:bCs/>
        </w:rPr>
        <w:t xml:space="preserve"> addressing the significant growth opportunities that exist within the home improvement market. </w:t>
      </w:r>
    </w:p>
    <w:p w14:paraId="112827DD" w14:textId="77777777" w:rsidR="00084627" w:rsidRPr="00EB4495" w:rsidRDefault="00084627" w:rsidP="00084627">
      <w:pPr>
        <w:jc w:val="left"/>
        <w:rPr>
          <w:rFonts w:ascii="Arial" w:hAnsi="Arial" w:cs="Arial"/>
          <w:bCs/>
        </w:rPr>
      </w:pPr>
    </w:p>
    <w:p w14:paraId="4C8E00BB" w14:textId="77777777" w:rsidR="00084627" w:rsidRPr="00EB4495" w:rsidRDefault="00084627" w:rsidP="00084627">
      <w:pPr>
        <w:pStyle w:val="ListParagraph"/>
        <w:ind w:left="0"/>
        <w:jc w:val="left"/>
        <w:rPr>
          <w:rFonts w:ascii="Arial" w:hAnsi="Arial" w:cs="Arial"/>
        </w:rPr>
      </w:pPr>
      <w:r w:rsidRPr="00EB4495">
        <w:rPr>
          <w:rFonts w:ascii="Arial" w:hAnsi="Arial" w:cs="Arial"/>
        </w:rPr>
        <w:t xml:space="preserve">Our retail banners occupy number one or two positions in all our key home improvement markets. Some are predominantly trade focused (Screwfix, TradePoint), while others address more general DIY needs (B&amp;Q, Castorama France, Castorama Poland, Brico Dépôt Romania, Koçtaş), and Brico Dépôt France and Brico Dépôt Iberia are discounters. This differentiation is a major strength for us, especially in a more volatile and uncertain world. </w:t>
      </w:r>
    </w:p>
    <w:p w14:paraId="7EBEEFA7" w14:textId="77777777" w:rsidR="00084627" w:rsidRPr="00EB4495" w:rsidRDefault="00084627" w:rsidP="00084627">
      <w:pPr>
        <w:jc w:val="left"/>
        <w:rPr>
          <w:rFonts w:ascii="Arial" w:hAnsi="Arial" w:cs="Arial"/>
          <w:bCs/>
        </w:rPr>
      </w:pPr>
    </w:p>
    <w:p w14:paraId="7DFCE52E" w14:textId="77777777" w:rsidR="00084627" w:rsidRPr="00EB4495" w:rsidRDefault="00084627" w:rsidP="00084627">
      <w:pPr>
        <w:jc w:val="left"/>
        <w:rPr>
          <w:rFonts w:ascii="Arial" w:hAnsi="Arial" w:cs="Arial"/>
        </w:rPr>
      </w:pPr>
      <w:r w:rsidRPr="00EB4495">
        <w:rPr>
          <w:rFonts w:ascii="Arial" w:hAnsi="Arial" w:cs="Arial"/>
        </w:rPr>
        <w:t xml:space="preserve">Kingfisher’s scale and resources are an important source of growth and competitive advantage for our banners. They benefit from Group-wide OEB product development, sourcing and buying scale, leading technologies, customer and market data insight and analysis, shared services and best practices, and cost and inventory management support. </w:t>
      </w:r>
    </w:p>
    <w:p w14:paraId="69F11E4E" w14:textId="77777777" w:rsidR="00084627" w:rsidRPr="00EB4495" w:rsidRDefault="00084627" w:rsidP="00084627">
      <w:pPr>
        <w:jc w:val="left"/>
        <w:rPr>
          <w:rFonts w:ascii="Arial" w:hAnsi="Arial" w:cs="Arial"/>
        </w:rPr>
      </w:pPr>
    </w:p>
    <w:p w14:paraId="62247545" w14:textId="77777777" w:rsidR="00084627" w:rsidRPr="00EB4495" w:rsidRDefault="00084627" w:rsidP="00084627">
      <w:pPr>
        <w:jc w:val="left"/>
        <w:rPr>
          <w:rFonts w:ascii="Arial" w:hAnsi="Arial" w:cs="Arial"/>
        </w:rPr>
      </w:pPr>
      <w:r w:rsidRPr="00EB4495">
        <w:rPr>
          <w:rFonts w:ascii="Arial" w:hAnsi="Arial" w:cs="Arial"/>
        </w:rPr>
        <w:t>We are pleased with our strong financial performance this year, which builds on our performance in the prior year and demonstrates solid delivery since we launched the new strategy. Our strategic progress to date has resulted in strong new customer growth and retention, particularly online, which is contributing to market share gains in our key markets. Having made strong progress with our strategic objectives this year, putting us ahead of schedule, we can now accelerate our investments for growth in many areas of the business.</w:t>
      </w:r>
    </w:p>
    <w:p w14:paraId="2BB3B73A" w14:textId="77777777" w:rsidR="00084627" w:rsidRPr="00EB4495" w:rsidRDefault="00084627" w:rsidP="00084627">
      <w:pPr>
        <w:jc w:val="left"/>
        <w:rPr>
          <w:rFonts w:ascii="Arial" w:hAnsi="Arial" w:cs="Arial"/>
        </w:rPr>
      </w:pPr>
    </w:p>
    <w:p w14:paraId="2888F9C6" w14:textId="77777777" w:rsidR="00084627" w:rsidRPr="00EB4495" w:rsidRDefault="00084627" w:rsidP="00084627">
      <w:pPr>
        <w:jc w:val="left"/>
        <w:rPr>
          <w:rFonts w:ascii="Arial" w:hAnsi="Arial" w:cs="Arial"/>
        </w:rPr>
      </w:pPr>
      <w:bookmarkStart w:id="33" w:name="_Hlk80620100"/>
      <w:bookmarkStart w:id="34" w:name="_Hlk80620086"/>
      <w:r w:rsidRPr="00EB4495">
        <w:rPr>
          <w:rFonts w:ascii="Arial" w:hAnsi="Arial" w:cs="Arial"/>
        </w:rPr>
        <w:t xml:space="preserve">The following sub-section covers the progress made this year against our key strategic focus areas: </w:t>
      </w:r>
    </w:p>
    <w:bookmarkEnd w:id="33"/>
    <w:p w14:paraId="29E2E245" w14:textId="77777777" w:rsidR="00084627" w:rsidRPr="00EB4495" w:rsidRDefault="00084627" w:rsidP="00084627">
      <w:pPr>
        <w:jc w:val="left"/>
        <w:rPr>
          <w:rFonts w:ascii="Arial" w:hAnsi="Arial" w:cs="Arial"/>
        </w:rPr>
      </w:pPr>
    </w:p>
    <w:p w14:paraId="000F3388" w14:textId="77777777" w:rsidR="00084627" w:rsidRPr="00EB4495" w:rsidRDefault="00084627" w:rsidP="00084627">
      <w:pPr>
        <w:numPr>
          <w:ilvl w:val="0"/>
          <w:numId w:val="20"/>
        </w:numPr>
        <w:tabs>
          <w:tab w:val="clear" w:pos="2140"/>
          <w:tab w:val="num" w:pos="1843"/>
        </w:tabs>
        <w:ind w:left="357" w:hanging="357"/>
        <w:jc w:val="left"/>
        <w:rPr>
          <w:rFonts w:ascii="Arial" w:hAnsi="Arial" w:cs="Arial"/>
          <w:b/>
        </w:rPr>
      </w:pPr>
      <w:r w:rsidRPr="00EB4495">
        <w:rPr>
          <w:rFonts w:ascii="Arial" w:hAnsi="Arial" w:cs="Arial"/>
          <w:b/>
        </w:rPr>
        <w:t>Grow e-commerce sales</w:t>
      </w:r>
    </w:p>
    <w:p w14:paraId="6238A04D" w14:textId="77777777" w:rsidR="00084627" w:rsidRPr="00EB4495" w:rsidRDefault="00084627" w:rsidP="00084627">
      <w:pPr>
        <w:numPr>
          <w:ilvl w:val="0"/>
          <w:numId w:val="20"/>
        </w:numPr>
        <w:tabs>
          <w:tab w:val="clear" w:pos="2140"/>
          <w:tab w:val="num" w:pos="1843"/>
        </w:tabs>
        <w:ind w:left="357" w:hanging="357"/>
        <w:jc w:val="left"/>
        <w:rPr>
          <w:rFonts w:ascii="Arial" w:hAnsi="Arial" w:cs="Arial"/>
          <w:b/>
        </w:rPr>
      </w:pPr>
      <w:r w:rsidRPr="00EB4495">
        <w:rPr>
          <w:rFonts w:ascii="Arial" w:hAnsi="Arial" w:cs="Arial"/>
          <w:b/>
        </w:rPr>
        <w:t>Differentiate and grow through own exclusive brands (OEB)</w:t>
      </w:r>
    </w:p>
    <w:p w14:paraId="316A9725" w14:textId="77777777" w:rsidR="00084627" w:rsidRPr="00EB4495" w:rsidRDefault="00084627" w:rsidP="00084627">
      <w:pPr>
        <w:numPr>
          <w:ilvl w:val="0"/>
          <w:numId w:val="20"/>
        </w:numPr>
        <w:tabs>
          <w:tab w:val="clear" w:pos="2140"/>
          <w:tab w:val="num" w:pos="1843"/>
        </w:tabs>
        <w:ind w:left="357" w:hanging="357"/>
        <w:jc w:val="left"/>
        <w:rPr>
          <w:rFonts w:ascii="Arial" w:hAnsi="Arial" w:cs="Arial"/>
          <w:b/>
        </w:rPr>
      </w:pPr>
      <w:r w:rsidRPr="00EB4495">
        <w:rPr>
          <w:rFonts w:ascii="Arial" w:hAnsi="Arial" w:cs="Arial"/>
          <w:b/>
        </w:rPr>
        <w:t>Build a mobile-first and service orientated customer experience</w:t>
      </w:r>
    </w:p>
    <w:p w14:paraId="61354081" w14:textId="77777777" w:rsidR="00084627" w:rsidRPr="00EB4495" w:rsidRDefault="00084627" w:rsidP="00084627">
      <w:pPr>
        <w:numPr>
          <w:ilvl w:val="0"/>
          <w:numId w:val="20"/>
        </w:numPr>
        <w:tabs>
          <w:tab w:val="clear" w:pos="2140"/>
          <w:tab w:val="num" w:pos="1843"/>
        </w:tabs>
        <w:ind w:left="357" w:hanging="357"/>
        <w:jc w:val="left"/>
        <w:rPr>
          <w:rFonts w:ascii="Arial" w:hAnsi="Arial" w:cs="Arial"/>
          <w:b/>
        </w:rPr>
      </w:pPr>
      <w:r w:rsidRPr="00EB4495">
        <w:rPr>
          <w:rFonts w:ascii="Arial" w:hAnsi="Arial" w:cs="Arial"/>
          <w:b/>
        </w:rPr>
        <w:t>Test compact store concepts and adapt our store footprint</w:t>
      </w:r>
    </w:p>
    <w:p w14:paraId="52F87B70" w14:textId="5F634A33" w:rsidR="00084627" w:rsidRPr="00EB4495" w:rsidRDefault="00084627" w:rsidP="00084627">
      <w:pPr>
        <w:numPr>
          <w:ilvl w:val="0"/>
          <w:numId w:val="20"/>
        </w:numPr>
        <w:tabs>
          <w:tab w:val="clear" w:pos="2140"/>
          <w:tab w:val="num" w:pos="1843"/>
        </w:tabs>
        <w:ind w:left="357" w:hanging="357"/>
        <w:jc w:val="left"/>
        <w:rPr>
          <w:rFonts w:ascii="Arial" w:hAnsi="Arial" w:cs="Arial"/>
          <w:b/>
        </w:rPr>
      </w:pPr>
      <w:r w:rsidRPr="00EB4495">
        <w:rPr>
          <w:rFonts w:ascii="Arial" w:hAnsi="Arial" w:cs="Arial"/>
          <w:b/>
        </w:rPr>
        <w:t xml:space="preserve">Expand engagement with </w:t>
      </w:r>
      <w:r w:rsidR="00B876B8">
        <w:rPr>
          <w:rFonts w:ascii="Arial" w:hAnsi="Arial" w:cs="Arial"/>
          <w:b/>
        </w:rPr>
        <w:t xml:space="preserve">trade </w:t>
      </w:r>
      <w:r w:rsidRPr="00EB4495">
        <w:rPr>
          <w:rFonts w:ascii="Arial" w:hAnsi="Arial" w:cs="Arial"/>
          <w:b/>
        </w:rPr>
        <w:t>customers</w:t>
      </w:r>
    </w:p>
    <w:p w14:paraId="21A46B14" w14:textId="77777777" w:rsidR="00084627" w:rsidRPr="00EB4495" w:rsidRDefault="00084627" w:rsidP="00084627">
      <w:pPr>
        <w:numPr>
          <w:ilvl w:val="0"/>
          <w:numId w:val="20"/>
        </w:numPr>
        <w:tabs>
          <w:tab w:val="clear" w:pos="2140"/>
          <w:tab w:val="num" w:pos="1843"/>
        </w:tabs>
        <w:ind w:left="357" w:hanging="357"/>
        <w:jc w:val="left"/>
        <w:rPr>
          <w:rFonts w:ascii="Arial" w:hAnsi="Arial" w:cs="Arial"/>
          <w:b/>
        </w:rPr>
      </w:pPr>
      <w:r w:rsidRPr="00EB4495">
        <w:rPr>
          <w:rFonts w:ascii="Arial" w:hAnsi="Arial" w:cs="Arial"/>
          <w:b/>
        </w:rPr>
        <w:t>Source and buy better, reduce costs and same-store inventory</w:t>
      </w:r>
    </w:p>
    <w:p w14:paraId="3BACAD9E" w14:textId="77777777" w:rsidR="00084627" w:rsidRPr="00EB4495" w:rsidRDefault="00084627" w:rsidP="00084627">
      <w:pPr>
        <w:numPr>
          <w:ilvl w:val="0"/>
          <w:numId w:val="20"/>
        </w:numPr>
        <w:tabs>
          <w:tab w:val="clear" w:pos="2140"/>
          <w:tab w:val="num" w:pos="1843"/>
        </w:tabs>
        <w:ind w:left="357" w:hanging="357"/>
        <w:jc w:val="left"/>
        <w:rPr>
          <w:rFonts w:ascii="Arial" w:hAnsi="Arial" w:cs="Arial"/>
          <w:b/>
        </w:rPr>
      </w:pPr>
      <w:r w:rsidRPr="00EB4495">
        <w:rPr>
          <w:rFonts w:ascii="Arial" w:hAnsi="Arial" w:cs="Arial"/>
          <w:b/>
        </w:rPr>
        <w:t>Lead the industry in Responsible Business practices</w:t>
      </w:r>
      <w:bookmarkEnd w:id="34"/>
    </w:p>
    <w:p w14:paraId="74B4FA3D" w14:textId="77777777" w:rsidR="001E5A0E" w:rsidRPr="00EB4495" w:rsidRDefault="001E5A0E" w:rsidP="001E5A0E">
      <w:pPr>
        <w:jc w:val="left"/>
        <w:rPr>
          <w:rFonts w:ascii="Arial" w:hAnsi="Arial" w:cs="Arial"/>
          <w:b/>
          <w:u w:val="single"/>
        </w:rPr>
      </w:pPr>
      <w:bookmarkStart w:id="35" w:name="_Hlk80620298"/>
    </w:p>
    <w:p w14:paraId="49002061" w14:textId="151C2B47" w:rsidR="00084627" w:rsidRPr="00EB4495" w:rsidRDefault="00084627" w:rsidP="00084627">
      <w:pPr>
        <w:numPr>
          <w:ilvl w:val="0"/>
          <w:numId w:val="23"/>
        </w:numPr>
        <w:jc w:val="left"/>
        <w:rPr>
          <w:rFonts w:ascii="Arial" w:hAnsi="Arial" w:cs="Arial"/>
          <w:b/>
          <w:u w:val="single"/>
        </w:rPr>
      </w:pPr>
      <w:r w:rsidRPr="00EB4495">
        <w:rPr>
          <w:rFonts w:ascii="Arial" w:hAnsi="Arial" w:cs="Arial"/>
          <w:b/>
          <w:u w:val="single"/>
        </w:rPr>
        <w:t xml:space="preserve">Grow e-commerce sales </w:t>
      </w:r>
    </w:p>
    <w:p w14:paraId="24E70FBE" w14:textId="77777777" w:rsidR="00084627" w:rsidRPr="00EB4495" w:rsidRDefault="00084627" w:rsidP="00084627">
      <w:pPr>
        <w:jc w:val="left"/>
        <w:rPr>
          <w:rFonts w:ascii="Arial" w:hAnsi="Arial" w:cs="Arial"/>
          <w:i/>
          <w:iCs/>
        </w:rPr>
      </w:pPr>
      <w:bookmarkStart w:id="36" w:name="_Hlk80620761"/>
      <w:bookmarkEnd w:id="35"/>
      <w:r w:rsidRPr="00EB4495">
        <w:rPr>
          <w:rFonts w:ascii="Arial" w:hAnsi="Arial" w:cs="Arial"/>
          <w:i/>
          <w:iCs/>
        </w:rPr>
        <w:t>We are committed to growing our e-commerce sales by offering speed, convenience and choice to our customers.</w:t>
      </w:r>
    </w:p>
    <w:p w14:paraId="4F53B215" w14:textId="77777777" w:rsidR="00084627" w:rsidRPr="00EB4495" w:rsidRDefault="00084627" w:rsidP="00084627">
      <w:pPr>
        <w:jc w:val="left"/>
        <w:rPr>
          <w:rFonts w:ascii="Arial" w:hAnsi="Arial" w:cs="Arial"/>
        </w:rPr>
      </w:pPr>
    </w:p>
    <w:p w14:paraId="58E3A319" w14:textId="77777777" w:rsidR="00084627" w:rsidRPr="00EB4495" w:rsidRDefault="00084627" w:rsidP="00084627">
      <w:pPr>
        <w:jc w:val="left"/>
        <w:rPr>
          <w:rFonts w:ascii="Arial" w:hAnsi="Arial" w:cs="Arial"/>
        </w:rPr>
      </w:pPr>
      <w:r w:rsidRPr="00EB4495">
        <w:rPr>
          <w:rFonts w:ascii="Arial" w:hAnsi="Arial" w:cs="Arial"/>
        </w:rPr>
        <w:t>During the pandemic, we have seen rapid change in consumers’ shopping habits and preferences. We have been equally quick to adapt to these changes, accelerating our planned e-commerce initiatives to offer our customers</w:t>
      </w:r>
      <w:r w:rsidRPr="00EB4495" w:rsidDel="005B39BF">
        <w:rPr>
          <w:rFonts w:ascii="Arial" w:hAnsi="Arial" w:cs="Arial"/>
        </w:rPr>
        <w:t xml:space="preserve"> </w:t>
      </w:r>
      <w:r w:rsidRPr="00EB4495">
        <w:rPr>
          <w:rFonts w:ascii="Arial" w:hAnsi="Arial" w:cs="Arial"/>
        </w:rPr>
        <w:t xml:space="preserve">more convenience, broader product choice and faster fulfilment of orders, powered by our store assets. </w:t>
      </w:r>
    </w:p>
    <w:p w14:paraId="2FF4DD42" w14:textId="77777777" w:rsidR="00084627" w:rsidRPr="00EB4495" w:rsidRDefault="00084627" w:rsidP="00084627">
      <w:pPr>
        <w:jc w:val="left"/>
        <w:rPr>
          <w:rFonts w:ascii="Arial" w:hAnsi="Arial" w:cs="Arial"/>
        </w:rPr>
      </w:pPr>
    </w:p>
    <w:p w14:paraId="5FD90B62" w14:textId="6676BDE0" w:rsidR="00084627" w:rsidRPr="00EB4495" w:rsidRDefault="00084627" w:rsidP="00084627">
      <w:pPr>
        <w:jc w:val="left"/>
        <w:rPr>
          <w:rFonts w:ascii="Arial" w:hAnsi="Arial" w:cs="Arial"/>
        </w:rPr>
      </w:pPr>
      <w:r w:rsidRPr="00EB4495">
        <w:rPr>
          <w:rFonts w:ascii="Arial" w:hAnsi="Arial" w:cs="Arial"/>
        </w:rPr>
        <w:t xml:space="preserve">E-commerce sales in constant currency were up 5.3%, and up 171% on a 2-year basis (excluding Screwfix: up 22.0% YoY, and up 192% on a 2-year basis). Our e-commerce sales grew to £2.4bn in FY 21/22, and we maintained a high e-commerce sales </w:t>
      </w:r>
      <w:r w:rsidRPr="00865B3C">
        <w:rPr>
          <w:rFonts w:ascii="Arial" w:hAnsi="Arial" w:cs="Arial"/>
        </w:rPr>
        <w:t xml:space="preserve">penetration of </w:t>
      </w:r>
      <w:r w:rsidR="00FC4849" w:rsidRPr="00865B3C">
        <w:rPr>
          <w:rFonts w:ascii="Arial" w:hAnsi="Arial" w:cs="Arial"/>
        </w:rPr>
        <w:t>18</w:t>
      </w:r>
      <w:r w:rsidRPr="00865B3C">
        <w:rPr>
          <w:rFonts w:ascii="Arial" w:hAnsi="Arial" w:cs="Arial"/>
        </w:rPr>
        <w:t xml:space="preserve">% (FY 20/21: 18%; FY 19/20: 8%). Excluding Screwfix, e-commerce sales penetration </w:t>
      </w:r>
      <w:r w:rsidR="00FC4849" w:rsidRPr="00865B3C">
        <w:rPr>
          <w:rFonts w:ascii="Arial" w:hAnsi="Arial" w:cs="Arial"/>
        </w:rPr>
        <w:t xml:space="preserve">remained at </w:t>
      </w:r>
      <w:r w:rsidRPr="00865B3C">
        <w:rPr>
          <w:rFonts w:ascii="Arial" w:hAnsi="Arial" w:cs="Arial"/>
        </w:rPr>
        <w:t>7% (FY 20/21: 7%; FY 19/20: 3%).</w:t>
      </w:r>
      <w:r w:rsidR="00DF1310" w:rsidRPr="00865B3C">
        <w:rPr>
          <w:rFonts w:ascii="Arial" w:hAnsi="Arial" w:cs="Arial"/>
        </w:rPr>
        <w:t xml:space="preserve"> </w:t>
      </w:r>
      <w:r w:rsidR="00DF1310" w:rsidRPr="006957EC">
        <w:rPr>
          <w:rFonts w:ascii="Arial" w:hAnsi="Arial" w:cs="Arial"/>
        </w:rPr>
        <w:t>A newly published KPI</w:t>
      </w:r>
      <w:r w:rsidR="00CA31B6" w:rsidRPr="006957EC">
        <w:rPr>
          <w:rFonts w:ascii="Arial" w:hAnsi="Arial" w:cs="Arial"/>
        </w:rPr>
        <w:t xml:space="preserve"> of ours, </w:t>
      </w:r>
      <w:proofErr w:type="gramStart"/>
      <w:r w:rsidR="00CA31B6" w:rsidRPr="006957EC">
        <w:rPr>
          <w:rFonts w:ascii="Arial" w:hAnsi="Arial" w:cs="Arial"/>
        </w:rPr>
        <w:t>digitally-enabled</w:t>
      </w:r>
      <w:proofErr w:type="gramEnd"/>
      <w:r w:rsidR="00CA31B6" w:rsidRPr="006957EC">
        <w:rPr>
          <w:rFonts w:ascii="Arial" w:hAnsi="Arial" w:cs="Arial"/>
        </w:rPr>
        <w:t xml:space="preserve"> sales</w:t>
      </w:r>
      <w:r w:rsidR="00C2354C" w:rsidRPr="006957EC">
        <w:rPr>
          <w:rFonts w:ascii="Arial" w:hAnsi="Arial" w:cs="Arial"/>
        </w:rPr>
        <w:t>*</w:t>
      </w:r>
      <w:r w:rsidR="00CB4A4D" w:rsidRPr="006957EC">
        <w:rPr>
          <w:rFonts w:ascii="Arial" w:hAnsi="Arial" w:cs="Arial"/>
        </w:rPr>
        <w:t xml:space="preserve"> at </w:t>
      </w:r>
      <w:r w:rsidR="0067785B" w:rsidRPr="006957EC">
        <w:rPr>
          <w:rFonts w:ascii="Arial" w:hAnsi="Arial" w:cs="Arial"/>
        </w:rPr>
        <w:t>c.</w:t>
      </w:r>
      <w:r w:rsidR="00CB4A4D" w:rsidRPr="006957EC">
        <w:rPr>
          <w:rFonts w:ascii="Arial" w:hAnsi="Arial" w:cs="Arial"/>
        </w:rPr>
        <w:t>2</w:t>
      </w:r>
      <w:r w:rsidR="00F1523A" w:rsidRPr="006957EC">
        <w:rPr>
          <w:rFonts w:ascii="Arial" w:hAnsi="Arial" w:cs="Arial"/>
        </w:rPr>
        <w:t>6</w:t>
      </w:r>
      <w:r w:rsidR="00CB4A4D" w:rsidRPr="006957EC">
        <w:rPr>
          <w:rFonts w:ascii="Arial" w:hAnsi="Arial" w:cs="Arial"/>
        </w:rPr>
        <w:t>%</w:t>
      </w:r>
      <w:r w:rsidR="00CA31B6" w:rsidRPr="006957EC">
        <w:rPr>
          <w:rFonts w:ascii="Arial" w:hAnsi="Arial" w:cs="Arial"/>
        </w:rPr>
        <w:t xml:space="preserve">, highlights that more than a quarter of Group sales is </w:t>
      </w:r>
      <w:r w:rsidR="00CB4A4D" w:rsidRPr="006957EC">
        <w:rPr>
          <w:rFonts w:ascii="Arial" w:hAnsi="Arial" w:cs="Arial"/>
        </w:rPr>
        <w:t xml:space="preserve">from e-commerce channels </w:t>
      </w:r>
      <w:r w:rsidR="0067785B" w:rsidRPr="006957EC">
        <w:rPr>
          <w:rFonts w:ascii="Arial" w:hAnsi="Arial" w:cs="Arial"/>
        </w:rPr>
        <w:t>and</w:t>
      </w:r>
      <w:r w:rsidR="00CB4A4D" w:rsidRPr="006957EC">
        <w:rPr>
          <w:rFonts w:ascii="Arial" w:hAnsi="Arial" w:cs="Arial"/>
        </w:rPr>
        <w:t xml:space="preserve"> online orders in store</w:t>
      </w:r>
      <w:r w:rsidR="0067785B" w:rsidRPr="006957EC">
        <w:rPr>
          <w:rFonts w:ascii="Arial" w:hAnsi="Arial" w:cs="Arial"/>
        </w:rPr>
        <w:t xml:space="preserve">, delivered </w:t>
      </w:r>
      <w:r w:rsidR="00560521" w:rsidRPr="006957EC">
        <w:rPr>
          <w:rFonts w:ascii="Arial" w:hAnsi="Arial" w:cs="Arial"/>
        </w:rPr>
        <w:t xml:space="preserve">through </w:t>
      </w:r>
      <w:r w:rsidR="000E1790">
        <w:rPr>
          <w:rFonts w:ascii="Arial" w:hAnsi="Arial" w:cs="Arial"/>
        </w:rPr>
        <w:t>C&amp;C</w:t>
      </w:r>
      <w:r w:rsidR="00B04E08" w:rsidRPr="006957EC">
        <w:rPr>
          <w:rFonts w:ascii="Arial" w:hAnsi="Arial" w:cs="Arial"/>
        </w:rPr>
        <w:t xml:space="preserve"> </w:t>
      </w:r>
      <w:r w:rsidR="00560521" w:rsidRPr="006957EC">
        <w:rPr>
          <w:rFonts w:ascii="Arial" w:hAnsi="Arial" w:cs="Arial"/>
        </w:rPr>
        <w:t xml:space="preserve">or </w:t>
      </w:r>
      <w:r w:rsidR="0067785B" w:rsidRPr="006957EC">
        <w:rPr>
          <w:rFonts w:ascii="Arial" w:hAnsi="Arial" w:cs="Arial"/>
        </w:rPr>
        <w:t>to customer homes</w:t>
      </w:r>
      <w:r w:rsidR="00CB4A4D" w:rsidRPr="006957EC">
        <w:rPr>
          <w:rFonts w:ascii="Arial" w:hAnsi="Arial" w:cs="Arial"/>
        </w:rPr>
        <w:t>.</w:t>
      </w:r>
      <w:r w:rsidR="00BF0756" w:rsidRPr="006957EC">
        <w:rPr>
          <w:rFonts w:ascii="Arial" w:hAnsi="Arial" w:cs="Arial"/>
        </w:rPr>
        <w:t xml:space="preserve"> This is </w:t>
      </w:r>
      <w:r w:rsidR="00F1523A" w:rsidRPr="006957EC">
        <w:rPr>
          <w:rFonts w:ascii="Arial" w:hAnsi="Arial" w:cs="Arial"/>
        </w:rPr>
        <w:t xml:space="preserve">flat </w:t>
      </w:r>
      <w:r w:rsidR="00BF0756" w:rsidRPr="006957EC">
        <w:rPr>
          <w:rFonts w:ascii="Arial" w:hAnsi="Arial" w:cs="Arial"/>
        </w:rPr>
        <w:t>YoY</w:t>
      </w:r>
      <w:r w:rsidR="00D275F3" w:rsidRPr="006957EC">
        <w:rPr>
          <w:rFonts w:ascii="Arial" w:hAnsi="Arial" w:cs="Arial"/>
        </w:rPr>
        <w:t xml:space="preserve"> and up </w:t>
      </w:r>
      <w:r w:rsidR="00865B3C" w:rsidRPr="006957EC">
        <w:rPr>
          <w:rFonts w:ascii="Arial" w:hAnsi="Arial" w:cs="Arial"/>
        </w:rPr>
        <w:t>significantly from</w:t>
      </w:r>
      <w:r w:rsidR="00D275F3" w:rsidRPr="006957EC">
        <w:rPr>
          <w:rFonts w:ascii="Arial" w:hAnsi="Arial" w:cs="Arial"/>
        </w:rPr>
        <w:t xml:space="preserve"> FY 19/20</w:t>
      </w:r>
      <w:r w:rsidR="00BF0756" w:rsidRPr="006957EC">
        <w:rPr>
          <w:rFonts w:ascii="Arial" w:hAnsi="Arial" w:cs="Arial"/>
        </w:rPr>
        <w:t xml:space="preserve">, </w:t>
      </w:r>
      <w:r w:rsidR="00D275F3" w:rsidRPr="006957EC">
        <w:rPr>
          <w:rFonts w:ascii="Arial" w:hAnsi="Arial" w:cs="Arial"/>
        </w:rPr>
        <w:t xml:space="preserve">and </w:t>
      </w:r>
      <w:r w:rsidR="00BF0756" w:rsidRPr="006957EC">
        <w:rPr>
          <w:rFonts w:ascii="Arial" w:hAnsi="Arial" w:cs="Arial"/>
        </w:rPr>
        <w:t>we expect the penetration to grow over time.</w:t>
      </w:r>
      <w:r w:rsidR="005B1E52">
        <w:rPr>
          <w:rFonts w:ascii="Arial" w:hAnsi="Arial" w:cs="Arial"/>
        </w:rPr>
        <w:t xml:space="preserve"> </w:t>
      </w:r>
    </w:p>
    <w:p w14:paraId="2496A9B6" w14:textId="77777777" w:rsidR="00084627" w:rsidRPr="00EB4495" w:rsidRDefault="00084627" w:rsidP="00084627">
      <w:pPr>
        <w:jc w:val="left"/>
        <w:rPr>
          <w:rFonts w:ascii="Arial" w:hAnsi="Arial" w:cs="Arial"/>
        </w:rPr>
      </w:pPr>
    </w:p>
    <w:p w14:paraId="42F96F4D" w14:textId="745F1BDB" w:rsidR="00084627" w:rsidRPr="00EB4495" w:rsidRDefault="00084627" w:rsidP="00084627">
      <w:pPr>
        <w:jc w:val="left"/>
        <w:rPr>
          <w:rFonts w:ascii="Arial" w:hAnsi="Arial" w:cs="Arial"/>
        </w:rPr>
      </w:pPr>
      <w:r w:rsidRPr="00EB4495">
        <w:rPr>
          <w:rFonts w:ascii="Arial" w:hAnsi="Arial" w:cs="Arial"/>
        </w:rPr>
        <w:t>Sales from our most popular online fulfilment channel, click &amp; collect, were down 2.4% YoY and grew by 217% on a 2-year basis. This was a strong performance considering the sharp rise in e-commerce sales following the onset of the pandemic in 2020. The preference for C&amp;C has held up even as trading restrictions have lifted, accounting for 87% of Group e-commerce orders (FY 20/21: 90%) and 73% of Group e-commerce sales (FY 20/21: 7</w:t>
      </w:r>
      <w:r w:rsidR="0035530D">
        <w:rPr>
          <w:rFonts w:ascii="Arial" w:hAnsi="Arial" w:cs="Arial"/>
        </w:rPr>
        <w:t>8</w:t>
      </w:r>
      <w:r w:rsidRPr="00EB4495">
        <w:rPr>
          <w:rFonts w:ascii="Arial" w:hAnsi="Arial" w:cs="Arial"/>
        </w:rPr>
        <w:t xml:space="preserve">%). To offer customers more ways to collect their orders, we </w:t>
      </w:r>
      <w:r w:rsidR="00C5643A">
        <w:rPr>
          <w:rFonts w:ascii="Arial" w:hAnsi="Arial" w:cs="Arial"/>
        </w:rPr>
        <w:t xml:space="preserve">commenced the </w:t>
      </w:r>
      <w:r w:rsidRPr="00EB4495">
        <w:rPr>
          <w:rFonts w:ascii="Arial" w:hAnsi="Arial" w:cs="Arial"/>
        </w:rPr>
        <w:t>roll</w:t>
      </w:r>
      <w:r w:rsidR="00C5643A">
        <w:rPr>
          <w:rFonts w:ascii="Arial" w:hAnsi="Arial" w:cs="Arial"/>
        </w:rPr>
        <w:t>-</w:t>
      </w:r>
      <w:r w:rsidRPr="00EB4495">
        <w:rPr>
          <w:rFonts w:ascii="Arial" w:hAnsi="Arial" w:cs="Arial"/>
        </w:rPr>
        <w:t xml:space="preserve">out </w:t>
      </w:r>
      <w:r w:rsidR="00C5643A">
        <w:rPr>
          <w:rFonts w:ascii="Arial" w:hAnsi="Arial" w:cs="Arial"/>
        </w:rPr>
        <w:t xml:space="preserve">of </w:t>
      </w:r>
      <w:r w:rsidRPr="00EB4495">
        <w:rPr>
          <w:rFonts w:ascii="Arial" w:hAnsi="Arial" w:cs="Arial"/>
        </w:rPr>
        <w:t xml:space="preserve">C&amp;C lockers to Castorama Poland stores in FY 21/22 and began testing C&amp;C lockers at some B&amp;Q stores. In addition, we have built car park collection capabilities in France, as well </w:t>
      </w:r>
      <w:r w:rsidRPr="00EB4495">
        <w:rPr>
          <w:rFonts w:ascii="Arial" w:hAnsi="Arial" w:cs="Arial"/>
        </w:rPr>
        <w:lastRenderedPageBreak/>
        <w:t>as contactless ‘Drive-thru’ collections in both France and Poland, for all our medium and large stores. Our step-up in new store rollouts is also increasing C&amp;C options for customers, in particular through our compact store formats, which allow us to expand into city centres.</w:t>
      </w:r>
    </w:p>
    <w:p w14:paraId="762FC20C" w14:textId="77777777" w:rsidR="00084627" w:rsidRPr="00EB4495" w:rsidRDefault="00084627" w:rsidP="00084627">
      <w:pPr>
        <w:jc w:val="left"/>
        <w:rPr>
          <w:rFonts w:ascii="Arial" w:hAnsi="Arial" w:cs="Arial"/>
        </w:rPr>
      </w:pPr>
    </w:p>
    <w:p w14:paraId="213447D6" w14:textId="590FA944" w:rsidR="00084627" w:rsidRPr="00EB4495" w:rsidRDefault="00084627" w:rsidP="00084627">
      <w:pPr>
        <w:jc w:val="left"/>
        <w:rPr>
          <w:rFonts w:ascii="Arial" w:hAnsi="Arial" w:cs="Arial"/>
        </w:rPr>
      </w:pPr>
      <w:r w:rsidRPr="00EB4495">
        <w:rPr>
          <w:rFonts w:ascii="Arial" w:hAnsi="Arial" w:cs="Arial"/>
        </w:rPr>
        <w:t xml:space="preserve">Moving to store-based picking and fulfilment has been critical to efficiently meeting significant online volumes. In FY 21/22, 91% of the Group’s </w:t>
      </w:r>
      <w:r w:rsidR="00635E14">
        <w:rPr>
          <w:rFonts w:ascii="Arial" w:hAnsi="Arial" w:cs="Arial"/>
        </w:rPr>
        <w:t xml:space="preserve">e-commerce </w:t>
      </w:r>
      <w:r w:rsidRPr="00EB4495">
        <w:rPr>
          <w:rFonts w:ascii="Arial" w:hAnsi="Arial" w:cs="Arial"/>
        </w:rPr>
        <w:t>orders were picked in store (excluding Screwfix: 89%). We are also leveraging our stores to improve the speed and cost of home deliveries. At present, 5</w:t>
      </w:r>
      <w:r w:rsidR="00B970CA">
        <w:rPr>
          <w:rFonts w:ascii="Arial" w:hAnsi="Arial" w:cs="Arial"/>
        </w:rPr>
        <w:t>4</w:t>
      </w:r>
      <w:r w:rsidRPr="00EB4495">
        <w:rPr>
          <w:rFonts w:ascii="Arial" w:hAnsi="Arial" w:cs="Arial"/>
        </w:rPr>
        <w:t xml:space="preserve"> B&amp;Q stores are being used as ‘digital hubs’ for fulfilling home deliveries, serving nearly 100% of UK postcodes. We have introduced a similar model at Castorama France and Castorama Poland. We are </w:t>
      </w:r>
      <w:r w:rsidR="00945B49">
        <w:rPr>
          <w:rFonts w:ascii="Arial" w:hAnsi="Arial" w:cs="Arial"/>
        </w:rPr>
        <w:t xml:space="preserve">also </w:t>
      </w:r>
      <w:r w:rsidRPr="00EB4495">
        <w:rPr>
          <w:rFonts w:ascii="Arial" w:hAnsi="Arial" w:cs="Arial"/>
        </w:rPr>
        <w:t>currently reorganising our distribution and fulfilment capacity in the UK, with</w:t>
      </w:r>
      <w:r w:rsidR="00097F66">
        <w:rPr>
          <w:rFonts w:ascii="Arial" w:hAnsi="Arial" w:cs="Arial"/>
        </w:rPr>
        <w:t xml:space="preserve"> one new site opened at Screwfix</w:t>
      </w:r>
      <w:r w:rsidR="00BE72DA">
        <w:rPr>
          <w:rFonts w:ascii="Arial" w:hAnsi="Arial" w:cs="Arial"/>
        </w:rPr>
        <w:t xml:space="preserve"> in December 2021</w:t>
      </w:r>
      <w:r w:rsidR="00097F66">
        <w:rPr>
          <w:rFonts w:ascii="Arial" w:hAnsi="Arial" w:cs="Arial"/>
        </w:rPr>
        <w:t xml:space="preserve">, and </w:t>
      </w:r>
      <w:r w:rsidR="00097F66" w:rsidRPr="00BE72DA">
        <w:rPr>
          <w:rFonts w:ascii="Arial" w:hAnsi="Arial" w:cs="Arial"/>
        </w:rPr>
        <w:t>two</w:t>
      </w:r>
      <w:r w:rsidRPr="00BE72DA">
        <w:rPr>
          <w:rFonts w:ascii="Arial" w:hAnsi="Arial" w:cs="Arial"/>
        </w:rPr>
        <w:t xml:space="preserve"> </w:t>
      </w:r>
      <w:r w:rsidRPr="00DE0B44">
        <w:rPr>
          <w:rFonts w:ascii="Arial" w:hAnsi="Arial" w:cs="Arial"/>
        </w:rPr>
        <w:t xml:space="preserve">new </w:t>
      </w:r>
      <w:r w:rsidR="00097F66" w:rsidRPr="00DE0B44">
        <w:rPr>
          <w:rFonts w:ascii="Arial" w:hAnsi="Arial" w:cs="Arial"/>
        </w:rPr>
        <w:t xml:space="preserve">B&amp;Q </w:t>
      </w:r>
      <w:r w:rsidRPr="00DE0B44">
        <w:rPr>
          <w:rFonts w:ascii="Arial" w:hAnsi="Arial" w:cs="Arial"/>
        </w:rPr>
        <w:t>sites opening in FY 22/23</w:t>
      </w:r>
      <w:r w:rsidRPr="00BE72DA">
        <w:rPr>
          <w:rFonts w:ascii="Arial" w:hAnsi="Arial" w:cs="Arial"/>
        </w:rPr>
        <w:t>.</w:t>
      </w:r>
      <w:r w:rsidRPr="00EB4495">
        <w:rPr>
          <w:rFonts w:ascii="Arial" w:hAnsi="Arial" w:cs="Arial"/>
        </w:rPr>
        <w:t xml:space="preserve"> This will enable us to restock stores more quickly, offer a wider product range for home deliveries, and make home deliveries more quickly.</w:t>
      </w:r>
    </w:p>
    <w:p w14:paraId="6DB4B1C9" w14:textId="77777777" w:rsidR="00084627" w:rsidRPr="00EB4495" w:rsidRDefault="00084627" w:rsidP="00084627">
      <w:pPr>
        <w:jc w:val="left"/>
        <w:rPr>
          <w:rFonts w:ascii="Arial" w:hAnsi="Arial" w:cs="Arial"/>
        </w:rPr>
      </w:pPr>
    </w:p>
    <w:p w14:paraId="48154C14" w14:textId="48DD7742" w:rsidR="00084627" w:rsidRPr="00EB4495" w:rsidRDefault="00084627" w:rsidP="00084627">
      <w:pPr>
        <w:jc w:val="left"/>
        <w:rPr>
          <w:rFonts w:ascii="Arial" w:hAnsi="Arial" w:cs="Arial"/>
        </w:rPr>
      </w:pPr>
      <w:r w:rsidRPr="00EB4495">
        <w:rPr>
          <w:rFonts w:ascii="Arial" w:hAnsi="Arial" w:cs="Arial"/>
        </w:rPr>
        <w:t xml:space="preserve">We believe </w:t>
      </w:r>
      <w:r w:rsidR="00B274BD">
        <w:rPr>
          <w:rFonts w:ascii="Arial" w:hAnsi="Arial" w:cs="Arial"/>
        </w:rPr>
        <w:t>faster</w:t>
      </w:r>
      <w:r w:rsidR="00B274BD" w:rsidRPr="00EB4495">
        <w:rPr>
          <w:rFonts w:ascii="Arial" w:hAnsi="Arial" w:cs="Arial"/>
        </w:rPr>
        <w:t xml:space="preserve"> </w:t>
      </w:r>
      <w:r w:rsidRPr="00EB4495">
        <w:rPr>
          <w:rFonts w:ascii="Arial" w:hAnsi="Arial" w:cs="Arial"/>
        </w:rPr>
        <w:t xml:space="preserve">fulfilment </w:t>
      </w:r>
      <w:r w:rsidR="00B274BD">
        <w:rPr>
          <w:rFonts w:ascii="Arial" w:hAnsi="Arial" w:cs="Arial"/>
        </w:rPr>
        <w:t xml:space="preserve">is </w:t>
      </w:r>
      <w:r w:rsidRPr="00EB4495">
        <w:rPr>
          <w:rFonts w:ascii="Arial" w:hAnsi="Arial" w:cs="Arial"/>
        </w:rPr>
        <w:t xml:space="preserve">a key competitive advantage for our banners, in particular over online ‘pure-play’ peers, so we have increased our focus on next-day and same-day home delivery. In August 2021, Screwfix launched Screwfix ‘Sprint’, offering delivery direct to home or site within one hour. </w:t>
      </w:r>
      <w:r w:rsidR="00CD7D0E">
        <w:rPr>
          <w:rFonts w:ascii="Arial" w:hAnsi="Arial" w:cs="Arial"/>
        </w:rPr>
        <w:t>‘</w:t>
      </w:r>
      <w:r w:rsidRPr="00EB4495">
        <w:rPr>
          <w:rFonts w:ascii="Arial" w:hAnsi="Arial" w:cs="Arial"/>
        </w:rPr>
        <w:t>Sprint</w:t>
      </w:r>
      <w:r w:rsidR="00CD7D0E">
        <w:rPr>
          <w:rFonts w:ascii="Arial" w:hAnsi="Arial" w:cs="Arial"/>
        </w:rPr>
        <w:t>’</w:t>
      </w:r>
      <w:r w:rsidRPr="00EB4495">
        <w:rPr>
          <w:rFonts w:ascii="Arial" w:hAnsi="Arial" w:cs="Arial"/>
        </w:rPr>
        <w:t xml:space="preserve"> currently covers </w:t>
      </w:r>
      <w:r w:rsidR="00CD7D0E">
        <w:rPr>
          <w:rFonts w:ascii="Arial" w:hAnsi="Arial" w:cs="Arial"/>
        </w:rPr>
        <w:t xml:space="preserve">over one third </w:t>
      </w:r>
      <w:r w:rsidRPr="00EB4495">
        <w:rPr>
          <w:rFonts w:ascii="Arial" w:hAnsi="Arial" w:cs="Arial"/>
        </w:rPr>
        <w:t xml:space="preserve">of UK postcodes, with further rollout planned in FY 22/23. So far, the average delivery time is around 45 </w:t>
      </w:r>
      <w:r w:rsidR="003E10F7" w:rsidRPr="00EB4495">
        <w:rPr>
          <w:rFonts w:ascii="Arial" w:hAnsi="Arial" w:cs="Arial"/>
        </w:rPr>
        <w:t>minutes,</w:t>
      </w:r>
      <w:r w:rsidRPr="00EB4495">
        <w:rPr>
          <w:rFonts w:ascii="Arial" w:hAnsi="Arial" w:cs="Arial"/>
        </w:rPr>
        <w:t xml:space="preserve"> and our quickest delivery is just </w:t>
      </w:r>
      <w:r w:rsidR="001573AC">
        <w:rPr>
          <w:rFonts w:ascii="Arial" w:hAnsi="Arial" w:cs="Arial"/>
        </w:rPr>
        <w:t>eight</w:t>
      </w:r>
      <w:r w:rsidR="001573AC" w:rsidRPr="00EB4495">
        <w:rPr>
          <w:rFonts w:ascii="Arial" w:hAnsi="Arial" w:cs="Arial"/>
        </w:rPr>
        <w:t xml:space="preserve"> </w:t>
      </w:r>
      <w:r w:rsidRPr="00EB4495">
        <w:rPr>
          <w:rFonts w:ascii="Arial" w:hAnsi="Arial" w:cs="Arial"/>
        </w:rPr>
        <w:t xml:space="preserve">minutes. Feedback from customers, especially our most loyal trade customers, has been very positive, and we believe this will help us to continue growing our market share. </w:t>
      </w:r>
      <w:r w:rsidR="00B274BD">
        <w:rPr>
          <w:rFonts w:ascii="Arial" w:hAnsi="Arial" w:cs="Arial"/>
        </w:rPr>
        <w:t xml:space="preserve">‘Sprint’ </w:t>
      </w:r>
      <w:r w:rsidRPr="00EB4495">
        <w:rPr>
          <w:rFonts w:ascii="Arial" w:hAnsi="Arial" w:cs="Arial"/>
        </w:rPr>
        <w:t xml:space="preserve">reinforces Screwfix’s focus on speed and convenience for customers, alongside its industry-leading one-minute C&amp;C proposition. We are sharing lessons from the roll-out with other retail banners that are testing same-day delivery, including B&amp;Q. </w:t>
      </w:r>
    </w:p>
    <w:p w14:paraId="74147002" w14:textId="77777777" w:rsidR="00084627" w:rsidRPr="00EB4495" w:rsidRDefault="00084627" w:rsidP="00084627">
      <w:pPr>
        <w:jc w:val="left"/>
        <w:rPr>
          <w:rFonts w:ascii="Arial" w:hAnsi="Arial" w:cs="Arial"/>
        </w:rPr>
      </w:pPr>
    </w:p>
    <w:p w14:paraId="4F19E746" w14:textId="55145ABF" w:rsidR="00084627" w:rsidRPr="00EB4495" w:rsidRDefault="00084627" w:rsidP="00084627">
      <w:pPr>
        <w:jc w:val="left"/>
        <w:rPr>
          <w:rFonts w:ascii="Arial" w:hAnsi="Arial" w:cs="Arial"/>
        </w:rPr>
      </w:pPr>
      <w:r w:rsidRPr="00EB4495">
        <w:rPr>
          <w:rFonts w:ascii="Arial" w:hAnsi="Arial" w:cs="Arial"/>
        </w:rPr>
        <w:t xml:space="preserve">We have added significant talent in 2021 in the key areas of digital, technology and data, further reinforcing our e-commerce capability and development plans. This is allowing us to better understand our customers and help them all the way through their home improvement journeys, from research and inspiration to installation and after-care. We are accelerating investment in customer data, as an integral part of our plan to identify and retain our most loyal customers and sell more to them. Data science and analytics also present many new opportunities to maximise customer retention and spend, including improving inventory availability and personalisation. Over the last two years, we have seen a </w:t>
      </w:r>
      <w:r w:rsidR="00CC5817">
        <w:rPr>
          <w:rFonts w:ascii="Arial" w:hAnsi="Arial" w:cs="Arial"/>
        </w:rPr>
        <w:t xml:space="preserve">significant increase </w:t>
      </w:r>
      <w:r w:rsidRPr="00EB4495">
        <w:rPr>
          <w:rFonts w:ascii="Arial" w:hAnsi="Arial" w:cs="Arial"/>
        </w:rPr>
        <w:t>in new and identifiable customers across our banners. In addition, these new customers continue to shop with us, with strong retention rates.</w:t>
      </w:r>
    </w:p>
    <w:p w14:paraId="75E2CD03" w14:textId="77777777" w:rsidR="009B3237" w:rsidRPr="00EB4495" w:rsidRDefault="009B3237" w:rsidP="00084627">
      <w:pPr>
        <w:jc w:val="left"/>
        <w:rPr>
          <w:rFonts w:ascii="Arial" w:hAnsi="Arial" w:cs="Arial"/>
        </w:rPr>
      </w:pPr>
    </w:p>
    <w:p w14:paraId="2FCA4DA9" w14:textId="518EA02F" w:rsidR="00084627" w:rsidRPr="00EB4495" w:rsidRDefault="00084627" w:rsidP="00084627">
      <w:pPr>
        <w:jc w:val="left"/>
        <w:rPr>
          <w:rFonts w:ascii="Arial" w:hAnsi="Arial" w:cs="Arial"/>
        </w:rPr>
      </w:pPr>
      <w:r w:rsidRPr="00EB4495">
        <w:rPr>
          <w:rFonts w:ascii="Arial" w:hAnsi="Arial" w:cs="Arial"/>
        </w:rPr>
        <w:t>Finally, we believe we can add significant value for customers by offering them more product choice. Using scalable technology built by Kingfisher alongside Mira</w:t>
      </w:r>
      <w:r w:rsidR="00C34EDF">
        <w:rPr>
          <w:rFonts w:ascii="Arial" w:hAnsi="Arial" w:cs="Arial"/>
        </w:rPr>
        <w:t>kl</w:t>
      </w:r>
      <w:r w:rsidRPr="00EB4495">
        <w:rPr>
          <w:rFonts w:ascii="Arial" w:hAnsi="Arial" w:cs="Arial"/>
        </w:rPr>
        <w:t xml:space="preserve">, the </w:t>
      </w:r>
      <w:r w:rsidRPr="00574CBF">
        <w:rPr>
          <w:rFonts w:ascii="Arial" w:hAnsi="Arial" w:cs="Arial"/>
        </w:rPr>
        <w:t xml:space="preserve">leading marketplace platform provider, we launched our first e-commerce marketplace on B&amp;Q’s www.diy.com on </w:t>
      </w:r>
      <w:r w:rsidR="00574CBF" w:rsidRPr="00574CBF">
        <w:rPr>
          <w:rFonts w:ascii="Arial" w:hAnsi="Arial" w:cs="Arial"/>
        </w:rPr>
        <w:t xml:space="preserve">10 </w:t>
      </w:r>
      <w:r w:rsidRPr="00574CBF">
        <w:rPr>
          <w:rFonts w:ascii="Arial" w:hAnsi="Arial" w:cs="Arial"/>
        </w:rPr>
        <w:t>March 2022. Initially, selected third-party sellers are offering new products in four home improvement categories – wallpaper, lighting, power tools and small domestic appliances, the latter being</w:t>
      </w:r>
      <w:r w:rsidRPr="00AA180F">
        <w:rPr>
          <w:rFonts w:ascii="Arial" w:hAnsi="Arial" w:cs="Arial"/>
        </w:rPr>
        <w:t xml:space="preserve"> a new category for B&amp;Q. </w:t>
      </w:r>
      <w:r w:rsidR="004460B3" w:rsidRPr="00C764C1">
        <w:rPr>
          <w:rFonts w:ascii="Arial" w:hAnsi="Arial" w:cs="Arial"/>
        </w:rPr>
        <w:t xml:space="preserve">For this </w:t>
      </w:r>
      <w:r w:rsidR="008D01A6" w:rsidRPr="00C764C1">
        <w:rPr>
          <w:rFonts w:ascii="Arial" w:hAnsi="Arial" w:cs="Arial"/>
        </w:rPr>
        <w:t>first stage, a</w:t>
      </w:r>
      <w:r w:rsidRPr="00C764C1">
        <w:rPr>
          <w:rFonts w:ascii="Arial" w:hAnsi="Arial" w:cs="Arial"/>
        </w:rPr>
        <w:t>n additional</w:t>
      </w:r>
      <w:r w:rsidRPr="00AA180F">
        <w:rPr>
          <w:rFonts w:ascii="Arial" w:hAnsi="Arial" w:cs="Arial"/>
        </w:rPr>
        <w:t xml:space="preserve"> 100,000 home improvement SKUs will be available </w:t>
      </w:r>
      <w:r w:rsidRPr="00C764C1">
        <w:rPr>
          <w:rFonts w:ascii="Arial" w:hAnsi="Arial" w:cs="Arial"/>
        </w:rPr>
        <w:t>within the next six months</w:t>
      </w:r>
      <w:r w:rsidRPr="00AA180F">
        <w:rPr>
          <w:rFonts w:ascii="Arial" w:hAnsi="Arial" w:cs="Arial"/>
        </w:rPr>
        <w:t xml:space="preserve"> on th</w:t>
      </w:r>
      <w:r w:rsidR="00AA180F">
        <w:rPr>
          <w:rFonts w:ascii="Arial" w:hAnsi="Arial" w:cs="Arial"/>
        </w:rPr>
        <w:t>e</w:t>
      </w:r>
      <w:r w:rsidRPr="00AA180F">
        <w:rPr>
          <w:rFonts w:ascii="Arial" w:hAnsi="Arial" w:cs="Arial"/>
        </w:rPr>
        <w:t xml:space="preserve"> marketplace</w:t>
      </w:r>
      <w:r w:rsidRPr="00EB4495">
        <w:rPr>
          <w:rFonts w:ascii="Arial" w:hAnsi="Arial" w:cs="Arial"/>
        </w:rPr>
        <w:t xml:space="preserve">, expanding B&amp;Q’s current offer of c.40,000 products. </w:t>
      </w:r>
      <w:r w:rsidR="003E69C6">
        <w:rPr>
          <w:rFonts w:ascii="Arial" w:hAnsi="Arial" w:cs="Arial"/>
        </w:rPr>
        <w:t>Further rapid expansion of the number of SKUs is anticipated after that.</w:t>
      </w:r>
    </w:p>
    <w:p w14:paraId="7F120F14" w14:textId="77777777" w:rsidR="00084627" w:rsidRPr="00EB4495" w:rsidRDefault="00084627" w:rsidP="00084627">
      <w:pPr>
        <w:jc w:val="left"/>
        <w:rPr>
          <w:rFonts w:ascii="Arial" w:hAnsi="Arial" w:cs="Arial"/>
        </w:rPr>
      </w:pPr>
    </w:p>
    <w:p w14:paraId="434B09DD" w14:textId="2DD9385C" w:rsidR="006D51EA" w:rsidRDefault="00084627" w:rsidP="002234DE">
      <w:pPr>
        <w:jc w:val="left"/>
        <w:rPr>
          <w:rFonts w:ascii="Arial" w:hAnsi="Arial" w:cs="Arial"/>
        </w:rPr>
      </w:pPr>
      <w:r w:rsidRPr="00EB4495">
        <w:rPr>
          <w:rFonts w:ascii="Arial" w:hAnsi="Arial" w:cs="Arial"/>
        </w:rPr>
        <w:t xml:space="preserve">Kingfisher is very well placed to benefit from the growing trend of shopping on e-commerce marketplaces. Our retail banners have top one or two market positions; they already have significant online traffic; they are trusted by millions of customers and have strong brands; they are able to </w:t>
      </w:r>
      <w:r w:rsidR="00C2503A">
        <w:rPr>
          <w:rFonts w:ascii="Arial" w:hAnsi="Arial" w:cs="Arial"/>
        </w:rPr>
        <w:t xml:space="preserve">leverage </w:t>
      </w:r>
      <w:r w:rsidRPr="00EB4495">
        <w:rPr>
          <w:rFonts w:ascii="Arial" w:hAnsi="Arial" w:cs="Arial"/>
        </w:rPr>
        <w:t>their store</w:t>
      </w:r>
      <w:r w:rsidR="00C2503A">
        <w:rPr>
          <w:rFonts w:ascii="Arial" w:hAnsi="Arial" w:cs="Arial"/>
        </w:rPr>
        <w:t xml:space="preserve"> assets</w:t>
      </w:r>
      <w:r w:rsidRPr="00EB4495">
        <w:rPr>
          <w:rFonts w:ascii="Arial" w:hAnsi="Arial" w:cs="Arial"/>
        </w:rPr>
        <w:t xml:space="preserve"> to offer more delivery, pick-up and return options for customers; and they have long-standing and trusted relationships with a growing global supplier base. </w:t>
      </w:r>
      <w:r w:rsidR="008214BD">
        <w:rPr>
          <w:rFonts w:ascii="Arial" w:hAnsi="Arial" w:cs="Arial"/>
        </w:rPr>
        <w:t>For example, a</w:t>
      </w:r>
      <w:r w:rsidR="00C2503A">
        <w:rPr>
          <w:rFonts w:ascii="Arial" w:hAnsi="Arial" w:cs="Arial"/>
        </w:rPr>
        <w:t xml:space="preserve">ccording to </w:t>
      </w:r>
      <w:r w:rsidR="00C2503A" w:rsidRPr="00C764C1">
        <w:rPr>
          <w:rFonts w:ascii="Arial" w:hAnsi="Arial" w:cs="Arial"/>
          <w:i/>
          <w:iCs/>
        </w:rPr>
        <w:t>Similarweb</w:t>
      </w:r>
      <w:r w:rsidR="008214BD">
        <w:rPr>
          <w:rFonts w:ascii="Arial" w:hAnsi="Arial" w:cs="Arial"/>
        </w:rPr>
        <w:t xml:space="preserve"> data</w:t>
      </w:r>
      <w:r w:rsidR="00C2503A">
        <w:rPr>
          <w:rFonts w:ascii="Arial" w:hAnsi="Arial" w:cs="Arial"/>
        </w:rPr>
        <w:t xml:space="preserve">, </w:t>
      </w:r>
      <w:r w:rsidRPr="00EB4495">
        <w:rPr>
          <w:rFonts w:ascii="Arial" w:hAnsi="Arial" w:cs="Arial"/>
        </w:rPr>
        <w:t xml:space="preserve">in 2021 B&amp;Q saw </w:t>
      </w:r>
      <w:r w:rsidR="00C2503A">
        <w:rPr>
          <w:rFonts w:ascii="Arial" w:hAnsi="Arial" w:cs="Arial"/>
        </w:rPr>
        <w:t>over</w:t>
      </w:r>
      <w:r w:rsidRPr="00EB4495">
        <w:rPr>
          <w:rFonts w:ascii="Arial" w:hAnsi="Arial" w:cs="Arial"/>
        </w:rPr>
        <w:t xml:space="preserve"> 3</w:t>
      </w:r>
      <w:r w:rsidR="00C2503A">
        <w:rPr>
          <w:rFonts w:ascii="Arial" w:hAnsi="Arial" w:cs="Arial"/>
        </w:rPr>
        <w:t>0</w:t>
      </w:r>
      <w:r w:rsidRPr="00EB4495">
        <w:rPr>
          <w:rFonts w:ascii="Arial" w:hAnsi="Arial" w:cs="Arial"/>
        </w:rPr>
        <w:t xml:space="preserve">0m visits to its website, ranking it </w:t>
      </w:r>
      <w:r w:rsidR="00C2503A">
        <w:rPr>
          <w:rFonts w:ascii="Arial" w:hAnsi="Arial" w:cs="Arial"/>
        </w:rPr>
        <w:t>13</w:t>
      </w:r>
      <w:r w:rsidR="00C2503A" w:rsidRPr="00C764C1">
        <w:rPr>
          <w:rFonts w:ascii="Arial" w:hAnsi="Arial" w:cs="Arial"/>
          <w:vertAlign w:val="superscript"/>
        </w:rPr>
        <w:t>th</w:t>
      </w:r>
      <w:r w:rsidR="00C2503A">
        <w:rPr>
          <w:rFonts w:ascii="Arial" w:hAnsi="Arial" w:cs="Arial"/>
        </w:rPr>
        <w:t xml:space="preserve"> </w:t>
      </w:r>
      <w:r w:rsidRPr="00EB4495">
        <w:rPr>
          <w:rFonts w:ascii="Arial" w:hAnsi="Arial" w:cs="Arial"/>
        </w:rPr>
        <w:t xml:space="preserve">out of all UK retail websites including pure-plays such as Amazon and eBay. The strong positions of our banners will result in a relatively low customer acquisition cost, which will help to make the platform highly profitable over time. We will also benefit from the platform’s scalable technology, allowing us to deploy it into our other markets relatively quickly and at a lower cost. We look forward to providing further detail on our e-commerce marketplace progress and ambitions at our ‘teach-in’ for analysts and investors on 5 July 2022 </w:t>
      </w:r>
      <w:r w:rsidRPr="00EB4495">
        <w:rPr>
          <w:rFonts w:ascii="Arial" w:hAnsi="Arial" w:cs="Arial"/>
          <w:i/>
          <w:iCs/>
        </w:rPr>
        <w:t>(see page 3 for further details)</w:t>
      </w:r>
      <w:r w:rsidRPr="00EB4495">
        <w:rPr>
          <w:rFonts w:ascii="Arial" w:hAnsi="Arial" w:cs="Arial"/>
        </w:rPr>
        <w:t>.</w:t>
      </w:r>
      <w:r w:rsidR="006D51EA">
        <w:rPr>
          <w:rFonts w:ascii="Arial" w:hAnsi="Arial" w:cs="Arial"/>
        </w:rPr>
        <w:br w:type="page"/>
      </w:r>
    </w:p>
    <w:p w14:paraId="57C0EC10" w14:textId="77777777" w:rsidR="00084627" w:rsidRPr="00EB4495" w:rsidRDefault="00084627" w:rsidP="00084627">
      <w:pPr>
        <w:numPr>
          <w:ilvl w:val="0"/>
          <w:numId w:val="23"/>
        </w:numPr>
        <w:ind w:left="357" w:hanging="357"/>
        <w:jc w:val="left"/>
        <w:rPr>
          <w:rFonts w:ascii="Arial" w:hAnsi="Arial" w:cs="Arial"/>
          <w:b/>
          <w:u w:val="single"/>
        </w:rPr>
      </w:pPr>
      <w:r w:rsidRPr="00EB4495">
        <w:rPr>
          <w:rFonts w:ascii="Arial" w:hAnsi="Arial" w:cs="Arial"/>
          <w:b/>
          <w:u w:val="single"/>
        </w:rPr>
        <w:lastRenderedPageBreak/>
        <w:t>Differentiate and grow through own exclusive brands (OEB)</w:t>
      </w:r>
    </w:p>
    <w:p w14:paraId="1F2CFE6D" w14:textId="77777777" w:rsidR="00084627" w:rsidRPr="00EB4495" w:rsidRDefault="00084627" w:rsidP="00084627">
      <w:pPr>
        <w:jc w:val="left"/>
        <w:rPr>
          <w:rFonts w:ascii="Arial" w:hAnsi="Arial" w:cs="Arial"/>
          <w:i/>
          <w:iCs/>
        </w:rPr>
      </w:pPr>
      <w:r w:rsidRPr="00EB4495">
        <w:rPr>
          <w:rFonts w:ascii="Arial" w:hAnsi="Arial" w:cs="Arial"/>
          <w:i/>
          <w:iCs/>
        </w:rPr>
        <w:t>We believe that our OEB product development is a significant source of value for our retail banners and their customers. OEB provides a strong point of differentiation for our retail banners in terms of design, functionality, sustainability and value for money, as well as carrying a higher gross margin (on average) than branded products. We aim to grow our OEB sales further, as we bring even more innovation to our ranges and differentiation to our banners.</w:t>
      </w:r>
    </w:p>
    <w:p w14:paraId="1C29628F" w14:textId="77777777" w:rsidR="00084627" w:rsidRPr="00EB4495" w:rsidRDefault="00084627" w:rsidP="00084627">
      <w:pPr>
        <w:jc w:val="left"/>
        <w:rPr>
          <w:rFonts w:ascii="Arial" w:hAnsi="Arial" w:cs="Arial"/>
        </w:rPr>
      </w:pPr>
    </w:p>
    <w:p w14:paraId="3F72442A" w14:textId="1AB2D40A" w:rsidR="000F7064" w:rsidRPr="00452C7C" w:rsidRDefault="00084627" w:rsidP="000F7064">
      <w:pPr>
        <w:jc w:val="left"/>
        <w:rPr>
          <w:rFonts w:ascii="Arial" w:hAnsi="Arial" w:cs="Arial"/>
        </w:rPr>
      </w:pPr>
      <w:r w:rsidRPr="00EB4495">
        <w:rPr>
          <w:rFonts w:ascii="Arial" w:hAnsi="Arial" w:cs="Arial"/>
        </w:rPr>
        <w:t xml:space="preserve">The performance of our OEB ranges in FY 21/22 was strong, with LFL sales up 10.0%, and up </w:t>
      </w:r>
      <w:r w:rsidR="00486915">
        <w:rPr>
          <w:rFonts w:ascii="Arial" w:hAnsi="Arial" w:cs="Arial"/>
        </w:rPr>
        <w:t>19</w:t>
      </w:r>
      <w:r w:rsidRPr="00EB4495">
        <w:rPr>
          <w:rFonts w:ascii="Arial" w:hAnsi="Arial" w:cs="Arial"/>
        </w:rPr>
        <w:t>.0% on a 2-year basis</w:t>
      </w:r>
      <w:r w:rsidR="00B274BD">
        <w:rPr>
          <w:rFonts w:ascii="Arial" w:hAnsi="Arial" w:cs="Arial"/>
        </w:rPr>
        <w:t>, slightly outperforming non-OEB ranges</w:t>
      </w:r>
      <w:r w:rsidRPr="00EB4495">
        <w:rPr>
          <w:rFonts w:ascii="Arial" w:hAnsi="Arial" w:cs="Arial"/>
        </w:rPr>
        <w:t xml:space="preserve">. Total OEB sales were £5.9bn, representing 45% of Group sales (FY 20/21: 45%). This is particularly impressive when considering our retail banners’ renewed focus on offering more choice to customers, including through a wider range of local and international branded products. </w:t>
      </w:r>
      <w:r w:rsidR="000F7064">
        <w:rPr>
          <w:rFonts w:ascii="Arial" w:hAnsi="Arial" w:cs="Arial"/>
        </w:rPr>
        <w:t>Kingfisher’s top five OEB brands</w:t>
      </w:r>
      <w:r w:rsidR="000F7064" w:rsidRPr="00452C7C">
        <w:rPr>
          <w:rFonts w:ascii="Arial" w:hAnsi="Arial" w:cs="Arial"/>
        </w:rPr>
        <w:t xml:space="preserve">, based on their breadth of differentiated ranges, innovation, and growth potential, are </w:t>
      </w:r>
      <w:r w:rsidR="000F7064" w:rsidRPr="003F41A1">
        <w:rPr>
          <w:rFonts w:ascii="Arial" w:hAnsi="Arial" w:cs="Arial"/>
          <w:i/>
          <w:iCs/>
        </w:rPr>
        <w:t>GoodHome</w:t>
      </w:r>
      <w:r w:rsidR="000F7064" w:rsidRPr="00452C7C">
        <w:rPr>
          <w:rFonts w:ascii="Arial" w:hAnsi="Arial" w:cs="Arial"/>
        </w:rPr>
        <w:t xml:space="preserve">, </w:t>
      </w:r>
      <w:r w:rsidR="000F7064" w:rsidRPr="003F41A1">
        <w:rPr>
          <w:rFonts w:ascii="Arial" w:hAnsi="Arial" w:cs="Arial"/>
          <w:i/>
          <w:iCs/>
        </w:rPr>
        <w:t>Verve</w:t>
      </w:r>
      <w:r w:rsidR="000F7064" w:rsidRPr="00452C7C">
        <w:rPr>
          <w:rFonts w:ascii="Arial" w:hAnsi="Arial" w:cs="Arial"/>
        </w:rPr>
        <w:t xml:space="preserve">, </w:t>
      </w:r>
      <w:r w:rsidR="000F7064" w:rsidRPr="003F41A1">
        <w:rPr>
          <w:rFonts w:ascii="Arial" w:hAnsi="Arial" w:cs="Arial"/>
          <w:i/>
          <w:iCs/>
        </w:rPr>
        <w:t>Erbauer</w:t>
      </w:r>
      <w:r w:rsidR="000F7064" w:rsidRPr="00452C7C">
        <w:rPr>
          <w:rFonts w:ascii="Arial" w:hAnsi="Arial" w:cs="Arial"/>
        </w:rPr>
        <w:t xml:space="preserve">, </w:t>
      </w:r>
      <w:r w:rsidR="000F7064" w:rsidRPr="003F41A1">
        <w:rPr>
          <w:rFonts w:ascii="Arial" w:hAnsi="Arial" w:cs="Arial"/>
          <w:i/>
          <w:iCs/>
        </w:rPr>
        <w:t>Magnusson</w:t>
      </w:r>
      <w:r w:rsidR="000F7064" w:rsidRPr="00452C7C">
        <w:rPr>
          <w:rFonts w:ascii="Arial" w:hAnsi="Arial" w:cs="Arial"/>
        </w:rPr>
        <w:t xml:space="preserve"> and </w:t>
      </w:r>
      <w:r w:rsidR="000F7064" w:rsidRPr="003F41A1">
        <w:rPr>
          <w:rFonts w:ascii="Arial" w:hAnsi="Arial" w:cs="Arial"/>
          <w:i/>
          <w:iCs/>
        </w:rPr>
        <w:t>LAP</w:t>
      </w:r>
      <w:r w:rsidR="000F7064" w:rsidRPr="00452C7C">
        <w:rPr>
          <w:rFonts w:ascii="Arial" w:hAnsi="Arial" w:cs="Arial"/>
        </w:rPr>
        <w:t xml:space="preserve">. These five OEB brands contribute 18% of total Group sales (FY 20/21: </w:t>
      </w:r>
      <w:r w:rsidR="00354029" w:rsidRPr="003F41A1">
        <w:rPr>
          <w:rFonts w:ascii="Arial" w:hAnsi="Arial" w:cs="Arial"/>
        </w:rPr>
        <w:t>16</w:t>
      </w:r>
      <w:r w:rsidR="000F7064" w:rsidRPr="003F41A1">
        <w:rPr>
          <w:rFonts w:ascii="Arial" w:hAnsi="Arial" w:cs="Arial"/>
        </w:rPr>
        <w:t>%</w:t>
      </w:r>
      <w:r w:rsidR="00452C7C" w:rsidRPr="00452C7C">
        <w:rPr>
          <w:rFonts w:ascii="Arial" w:hAnsi="Arial" w:cs="Arial"/>
        </w:rPr>
        <w:t>; FY 19/20: 12%</w:t>
      </w:r>
      <w:r w:rsidR="000F7064" w:rsidRPr="00452C7C">
        <w:rPr>
          <w:rFonts w:ascii="Arial" w:hAnsi="Arial" w:cs="Arial"/>
        </w:rPr>
        <w:t>).</w:t>
      </w:r>
    </w:p>
    <w:p w14:paraId="4F55355D" w14:textId="77777777" w:rsidR="00084627" w:rsidRPr="00EB4495" w:rsidRDefault="00084627" w:rsidP="00084627">
      <w:pPr>
        <w:jc w:val="left"/>
        <w:rPr>
          <w:rFonts w:ascii="Arial" w:hAnsi="Arial" w:cs="Arial"/>
        </w:rPr>
      </w:pPr>
    </w:p>
    <w:p w14:paraId="1B975452" w14:textId="005AC73D" w:rsidR="000624B5" w:rsidRDefault="00084627" w:rsidP="006957EC">
      <w:pPr>
        <w:jc w:val="left"/>
        <w:rPr>
          <w:rFonts w:ascii="Arial" w:hAnsi="Arial" w:cs="Arial"/>
        </w:rPr>
      </w:pPr>
      <w:bookmarkStart w:id="37" w:name="_Hlk65689300"/>
      <w:r w:rsidRPr="00EB4495">
        <w:rPr>
          <w:rFonts w:ascii="Arial" w:hAnsi="Arial" w:cs="Arial"/>
        </w:rPr>
        <w:t xml:space="preserve">During the year we introduced </w:t>
      </w:r>
      <w:r w:rsidR="009901F0">
        <w:rPr>
          <w:rFonts w:ascii="Arial" w:hAnsi="Arial" w:cs="Arial"/>
        </w:rPr>
        <w:t>several</w:t>
      </w:r>
      <w:r w:rsidRPr="00EB4495">
        <w:rPr>
          <w:rFonts w:ascii="Arial" w:hAnsi="Arial" w:cs="Arial"/>
        </w:rPr>
        <w:t xml:space="preserve"> new OEB ranges across our markets</w:t>
      </w:r>
      <w:r w:rsidR="009901F0">
        <w:rPr>
          <w:rFonts w:ascii="Arial" w:hAnsi="Arial" w:cs="Arial"/>
        </w:rPr>
        <w:t>. W</w:t>
      </w:r>
      <w:r w:rsidRPr="00EB4495">
        <w:rPr>
          <w:rFonts w:ascii="Arial" w:hAnsi="Arial" w:cs="Arial"/>
        </w:rPr>
        <w:t>e have a strong pipeline of innovative products to launch over the next two years</w:t>
      </w:r>
      <w:r w:rsidR="009901F0">
        <w:rPr>
          <w:rFonts w:ascii="Arial" w:hAnsi="Arial" w:cs="Arial"/>
        </w:rPr>
        <w:t xml:space="preserve">, with a portfolio </w:t>
      </w:r>
      <w:r w:rsidRPr="00EB4495">
        <w:rPr>
          <w:rFonts w:ascii="Arial" w:hAnsi="Arial" w:cs="Arial"/>
        </w:rPr>
        <w:t xml:space="preserve">of 32 new and </w:t>
      </w:r>
      <w:r w:rsidRPr="00C764C1">
        <w:rPr>
          <w:rFonts w:ascii="Arial" w:hAnsi="Arial" w:cs="Arial"/>
        </w:rPr>
        <w:t>redeveloped OEB brands</w:t>
      </w:r>
      <w:r w:rsidR="00661D69">
        <w:rPr>
          <w:rFonts w:ascii="Arial" w:hAnsi="Arial" w:cs="Arial"/>
        </w:rPr>
        <w:t xml:space="preserve">. </w:t>
      </w:r>
      <w:r w:rsidR="0019356E">
        <w:rPr>
          <w:rFonts w:ascii="Arial" w:hAnsi="Arial" w:cs="Arial"/>
        </w:rPr>
        <w:t>This new portfolio reflects our focus on leveraging our OEB capabilities to provide differentiated and specialised products for our general home improvement, trade and discounter banners.</w:t>
      </w:r>
      <w:r w:rsidR="0019356E" w:rsidRPr="00C764C1">
        <w:rPr>
          <w:rFonts w:ascii="Arial" w:hAnsi="Arial" w:cs="Arial"/>
        </w:rPr>
        <w:t xml:space="preserve"> </w:t>
      </w:r>
      <w:r w:rsidR="0019356E">
        <w:rPr>
          <w:rFonts w:ascii="Arial" w:hAnsi="Arial" w:cs="Arial"/>
        </w:rPr>
        <w:t>During the year we launched 1</w:t>
      </w:r>
      <w:r w:rsidR="00683F29">
        <w:rPr>
          <w:rFonts w:ascii="Arial" w:hAnsi="Arial" w:cs="Arial"/>
        </w:rPr>
        <w:t>6</w:t>
      </w:r>
      <w:r w:rsidR="0019356E">
        <w:rPr>
          <w:rFonts w:ascii="Arial" w:hAnsi="Arial" w:cs="Arial"/>
        </w:rPr>
        <w:t xml:space="preserve"> of these new and redeveloped OEB brands, </w:t>
      </w:r>
      <w:r w:rsidRPr="00C764C1">
        <w:rPr>
          <w:rFonts w:ascii="Arial" w:hAnsi="Arial" w:cs="Arial"/>
        </w:rPr>
        <w:t xml:space="preserve">including </w:t>
      </w:r>
      <w:r w:rsidRPr="003F41A1">
        <w:rPr>
          <w:rFonts w:ascii="Arial" w:hAnsi="Arial" w:cs="Arial"/>
          <w:i/>
          <w:iCs/>
        </w:rPr>
        <w:t>Evalux</w:t>
      </w:r>
      <w:r w:rsidRPr="00C764C1">
        <w:rPr>
          <w:rFonts w:ascii="Arial" w:hAnsi="Arial" w:cs="Arial"/>
        </w:rPr>
        <w:t xml:space="preserve">, a specialist paint range at discount prices sold only at Brico Dépôt France. Some of our OEB ranges, such as </w:t>
      </w:r>
      <w:r w:rsidRPr="003F41A1">
        <w:rPr>
          <w:rFonts w:ascii="Arial" w:hAnsi="Arial" w:cs="Arial"/>
          <w:i/>
          <w:iCs/>
        </w:rPr>
        <w:t>Magnusson</w:t>
      </w:r>
      <w:r w:rsidRPr="00C764C1">
        <w:rPr>
          <w:rFonts w:ascii="Arial" w:hAnsi="Arial" w:cs="Arial"/>
        </w:rPr>
        <w:t xml:space="preserve"> </w:t>
      </w:r>
      <w:r w:rsidR="00351BF2">
        <w:rPr>
          <w:rFonts w:ascii="Arial" w:hAnsi="Arial" w:cs="Arial"/>
        </w:rPr>
        <w:t xml:space="preserve">hand tools, </w:t>
      </w:r>
      <w:r w:rsidR="00351BF2" w:rsidRPr="00987932">
        <w:rPr>
          <w:rFonts w:ascii="Arial" w:hAnsi="Arial" w:cs="Arial"/>
          <w:i/>
          <w:iCs/>
        </w:rPr>
        <w:t>Erbauer</w:t>
      </w:r>
      <w:r w:rsidR="00351BF2">
        <w:rPr>
          <w:rFonts w:ascii="Arial" w:hAnsi="Arial" w:cs="Arial"/>
        </w:rPr>
        <w:t xml:space="preserve"> power tools </w:t>
      </w:r>
      <w:r w:rsidRPr="00C764C1">
        <w:rPr>
          <w:rFonts w:ascii="Arial" w:hAnsi="Arial" w:cs="Arial"/>
        </w:rPr>
        <w:t xml:space="preserve">and </w:t>
      </w:r>
      <w:r w:rsidRPr="003F41A1">
        <w:rPr>
          <w:rFonts w:ascii="Arial" w:hAnsi="Arial" w:cs="Arial"/>
          <w:i/>
          <w:iCs/>
        </w:rPr>
        <w:t>Titan</w:t>
      </w:r>
      <w:r w:rsidR="00351BF2" w:rsidRPr="00987932">
        <w:rPr>
          <w:rFonts w:ascii="Arial" w:hAnsi="Arial" w:cs="Arial"/>
        </w:rPr>
        <w:t xml:space="preserve"> pressure washers</w:t>
      </w:r>
      <w:r w:rsidRPr="00C764C1">
        <w:rPr>
          <w:rFonts w:ascii="Arial" w:hAnsi="Arial" w:cs="Arial"/>
        </w:rPr>
        <w:t xml:space="preserve">, are </w:t>
      </w:r>
      <w:r w:rsidR="00C764C1" w:rsidRPr="00C764C1">
        <w:rPr>
          <w:rFonts w:ascii="Arial" w:hAnsi="Arial" w:cs="Arial"/>
        </w:rPr>
        <w:t xml:space="preserve">significantly </w:t>
      </w:r>
      <w:r w:rsidRPr="00C764C1">
        <w:rPr>
          <w:rFonts w:ascii="Arial" w:hAnsi="Arial" w:cs="Arial"/>
        </w:rPr>
        <w:t>outperforming sales volumes of major branded competitors, which is a testament to the quality of the Group’s in-house product design and engineering.</w:t>
      </w:r>
    </w:p>
    <w:p w14:paraId="2FC144C9" w14:textId="77777777" w:rsidR="00B534DB" w:rsidRDefault="00B534DB" w:rsidP="006957EC">
      <w:pPr>
        <w:jc w:val="left"/>
        <w:rPr>
          <w:rFonts w:ascii="Arial" w:hAnsi="Arial" w:cs="Arial"/>
        </w:rPr>
      </w:pPr>
    </w:p>
    <w:p w14:paraId="4DB87B29" w14:textId="14DA3F6D" w:rsidR="00084627" w:rsidRPr="00EB4495" w:rsidRDefault="00084627" w:rsidP="00084627">
      <w:pPr>
        <w:jc w:val="left"/>
        <w:rPr>
          <w:rFonts w:ascii="Arial" w:hAnsi="Arial" w:cs="Arial"/>
        </w:rPr>
      </w:pPr>
      <w:r w:rsidRPr="00EB4495">
        <w:rPr>
          <w:rFonts w:ascii="Arial" w:hAnsi="Arial" w:cs="Arial"/>
        </w:rPr>
        <w:t xml:space="preserve">In H1 21/22, we completed the </w:t>
      </w:r>
      <w:r w:rsidR="0003608B">
        <w:rPr>
          <w:rFonts w:ascii="Arial" w:hAnsi="Arial" w:cs="Arial"/>
        </w:rPr>
        <w:t xml:space="preserve">final </w:t>
      </w:r>
      <w:r w:rsidRPr="00EB4495">
        <w:rPr>
          <w:rFonts w:ascii="Arial" w:hAnsi="Arial" w:cs="Arial"/>
        </w:rPr>
        <w:t xml:space="preserve">roll-out of our new OEB kitchen range, which is now available in all </w:t>
      </w:r>
      <w:r w:rsidR="008A1AF9">
        <w:rPr>
          <w:rFonts w:ascii="Arial" w:hAnsi="Arial" w:cs="Arial"/>
        </w:rPr>
        <w:t xml:space="preserve">key markets </w:t>
      </w:r>
      <w:r w:rsidRPr="00EB4495">
        <w:rPr>
          <w:rFonts w:ascii="Arial" w:hAnsi="Arial" w:cs="Arial"/>
        </w:rPr>
        <w:t xml:space="preserve">and is our largest Group-wide range launch to date. The new kitchen range has received exceptionally strong customer feedback on design, innovation and value for money. In a short space of time, kitchens </w:t>
      </w:r>
      <w:proofErr w:type="gramStart"/>
      <w:r w:rsidRPr="00EB4495">
        <w:rPr>
          <w:rFonts w:ascii="Arial" w:hAnsi="Arial" w:cs="Arial"/>
        </w:rPr>
        <w:t>has</w:t>
      </w:r>
      <w:proofErr w:type="gramEnd"/>
      <w:r w:rsidRPr="00EB4495">
        <w:rPr>
          <w:rFonts w:ascii="Arial" w:hAnsi="Arial" w:cs="Arial"/>
        </w:rPr>
        <w:t xml:space="preserve"> become one of our top-performing categories for the Group and a large contributor to our banners’ growing market share. The kitchens </w:t>
      </w:r>
      <w:r w:rsidR="0066394A">
        <w:rPr>
          <w:rFonts w:ascii="Arial" w:hAnsi="Arial" w:cs="Arial"/>
        </w:rPr>
        <w:t xml:space="preserve">category </w:t>
      </w:r>
      <w:r w:rsidRPr="00EB4495">
        <w:rPr>
          <w:rFonts w:ascii="Arial" w:hAnsi="Arial" w:cs="Arial"/>
        </w:rPr>
        <w:t>achieved double-digit LFL growth for the Group in FY 21/22, despite some periods of COVID-</w:t>
      </w:r>
      <w:r w:rsidRPr="00C06937">
        <w:rPr>
          <w:rFonts w:ascii="Arial" w:hAnsi="Arial" w:cs="Arial"/>
        </w:rPr>
        <w:t xml:space="preserve">related restrictions in-store. We expect current strong demand to support H1 22/23 LFL sales, with </w:t>
      </w:r>
      <w:bookmarkStart w:id="38" w:name="_Hlk96770198"/>
      <w:r w:rsidRPr="00C06937">
        <w:rPr>
          <w:rFonts w:ascii="Arial" w:hAnsi="Arial" w:cs="Arial"/>
        </w:rPr>
        <w:t xml:space="preserve">the </w:t>
      </w:r>
      <w:r w:rsidR="00AA180F" w:rsidRPr="00C06937">
        <w:rPr>
          <w:rFonts w:ascii="Arial" w:hAnsi="Arial" w:cs="Arial"/>
        </w:rPr>
        <w:t xml:space="preserve">current showroom </w:t>
      </w:r>
      <w:r w:rsidRPr="00C06937">
        <w:rPr>
          <w:rFonts w:ascii="Arial" w:hAnsi="Arial" w:cs="Arial"/>
        </w:rPr>
        <w:t>order book for B&amp;Q</w:t>
      </w:r>
      <w:r w:rsidR="00C06937" w:rsidRPr="00C06937">
        <w:rPr>
          <w:rFonts w:ascii="Arial" w:hAnsi="Arial" w:cs="Arial"/>
        </w:rPr>
        <w:t xml:space="preserve"> and</w:t>
      </w:r>
      <w:r w:rsidRPr="00C06937">
        <w:rPr>
          <w:rFonts w:ascii="Arial" w:hAnsi="Arial" w:cs="Arial"/>
        </w:rPr>
        <w:t xml:space="preserve"> Castorama France </w:t>
      </w:r>
      <w:r w:rsidR="00C06937" w:rsidRPr="00987932">
        <w:rPr>
          <w:rFonts w:ascii="Arial" w:hAnsi="Arial" w:cs="Arial"/>
        </w:rPr>
        <w:t>72</w:t>
      </w:r>
      <w:r w:rsidRPr="00987932">
        <w:rPr>
          <w:rFonts w:ascii="Arial" w:hAnsi="Arial" w:cs="Arial"/>
        </w:rPr>
        <w:t>%</w:t>
      </w:r>
      <w:r w:rsidRPr="00C06937">
        <w:rPr>
          <w:rFonts w:ascii="Arial" w:hAnsi="Arial" w:cs="Arial"/>
        </w:rPr>
        <w:t xml:space="preserve"> </w:t>
      </w:r>
      <w:r w:rsidR="003736FE" w:rsidRPr="00C06937">
        <w:rPr>
          <w:rFonts w:ascii="Arial" w:hAnsi="Arial" w:cs="Arial"/>
        </w:rPr>
        <w:t xml:space="preserve">higher </w:t>
      </w:r>
      <w:r w:rsidRPr="00C06937">
        <w:rPr>
          <w:rFonts w:ascii="Arial" w:hAnsi="Arial" w:cs="Arial"/>
        </w:rPr>
        <w:t xml:space="preserve">versus the same point last year (up </w:t>
      </w:r>
      <w:r w:rsidR="00C06937" w:rsidRPr="00987932">
        <w:rPr>
          <w:rFonts w:ascii="Arial" w:hAnsi="Arial" w:cs="Arial"/>
        </w:rPr>
        <w:t>79</w:t>
      </w:r>
      <w:r w:rsidRPr="00987932">
        <w:rPr>
          <w:rFonts w:ascii="Arial" w:hAnsi="Arial" w:cs="Arial"/>
        </w:rPr>
        <w:t>%</w:t>
      </w:r>
      <w:r w:rsidRPr="00C06937">
        <w:rPr>
          <w:rFonts w:ascii="Arial" w:hAnsi="Arial" w:cs="Arial"/>
        </w:rPr>
        <w:t xml:space="preserve"> on a 2-year basis).</w:t>
      </w:r>
      <w:bookmarkEnd w:id="38"/>
    </w:p>
    <w:p w14:paraId="3959A977" w14:textId="77777777" w:rsidR="00084627" w:rsidRPr="00EB4495" w:rsidRDefault="00084627" w:rsidP="00084627">
      <w:pPr>
        <w:jc w:val="left"/>
        <w:rPr>
          <w:rFonts w:ascii="Arial" w:hAnsi="Arial" w:cs="Arial"/>
        </w:rPr>
      </w:pPr>
    </w:p>
    <w:p w14:paraId="3FC6FE57" w14:textId="6A0C3F87" w:rsidR="00084627" w:rsidRPr="00EB4495" w:rsidRDefault="00084627" w:rsidP="00084627">
      <w:pPr>
        <w:jc w:val="left"/>
        <w:rPr>
          <w:rFonts w:ascii="Arial" w:hAnsi="Arial" w:cs="Arial"/>
        </w:rPr>
      </w:pPr>
      <w:r w:rsidRPr="00EB4495">
        <w:rPr>
          <w:rFonts w:ascii="Arial" w:hAnsi="Arial" w:cs="Arial"/>
        </w:rPr>
        <w:t xml:space="preserve">We continue to simplify how we develop OEB, including improved engineering and prioritising reviews of our key ranges, which will enable us to bring new products to market more quickly. In addition, we are exploring ways to increase efficiencies and lower the cost of product development even further. As our franchising partnerships expand, we can generate further synergies by supplying franchise stores with our OEB products (see </w:t>
      </w:r>
      <w:r w:rsidRPr="00EB4495">
        <w:rPr>
          <w:rFonts w:ascii="Arial" w:hAnsi="Arial" w:cs="Arial"/>
          <w:i/>
          <w:iCs/>
        </w:rPr>
        <w:t>‘Test compact store concepts and adapt our store footprint’</w:t>
      </w:r>
      <w:r w:rsidRPr="00EB4495">
        <w:rPr>
          <w:rFonts w:ascii="Arial" w:hAnsi="Arial" w:cs="Arial"/>
        </w:rPr>
        <w:t xml:space="preserve"> further below</w:t>
      </w:r>
      <w:r w:rsidR="007F2E5C">
        <w:rPr>
          <w:rFonts w:ascii="Arial" w:hAnsi="Arial" w:cs="Arial"/>
        </w:rPr>
        <w:t>)</w:t>
      </w:r>
      <w:r w:rsidRPr="00EB4495">
        <w:rPr>
          <w:rFonts w:ascii="Arial" w:hAnsi="Arial" w:cs="Arial"/>
        </w:rPr>
        <w:t>.</w:t>
      </w:r>
    </w:p>
    <w:p w14:paraId="50182DB7" w14:textId="77777777" w:rsidR="00084627" w:rsidRPr="00EB4495" w:rsidRDefault="00084627" w:rsidP="00084627">
      <w:pPr>
        <w:jc w:val="left"/>
        <w:rPr>
          <w:rFonts w:ascii="Arial" w:hAnsi="Arial" w:cs="Arial"/>
        </w:rPr>
      </w:pPr>
    </w:p>
    <w:p w14:paraId="4A9EA4B7" w14:textId="011EA819" w:rsidR="00084627" w:rsidRPr="00EB4495" w:rsidRDefault="00084627" w:rsidP="00084627">
      <w:pPr>
        <w:jc w:val="left"/>
        <w:rPr>
          <w:rFonts w:ascii="Arial" w:hAnsi="Arial" w:cs="Arial"/>
        </w:rPr>
      </w:pPr>
      <w:r w:rsidRPr="00EB4495">
        <w:rPr>
          <w:rFonts w:ascii="Arial" w:hAnsi="Arial" w:cs="Arial"/>
        </w:rPr>
        <w:t xml:space="preserve">OEB also gives us a platform to accelerate our Responsible Business goals, with sustainability being a key part of new product development and refreshes. </w:t>
      </w:r>
      <w:r w:rsidR="0003608B">
        <w:rPr>
          <w:rFonts w:ascii="Arial" w:hAnsi="Arial" w:cs="Arial"/>
          <w:bCs/>
        </w:rPr>
        <w:t>In FY 21/22, 55</w:t>
      </w:r>
      <w:r w:rsidR="0003608B" w:rsidRPr="00047CAA">
        <w:rPr>
          <w:rFonts w:ascii="Arial" w:hAnsi="Arial" w:cs="Arial"/>
          <w:bCs/>
        </w:rPr>
        <w:t xml:space="preserve">% of OEB product sales </w:t>
      </w:r>
      <w:r w:rsidR="0003608B">
        <w:rPr>
          <w:rFonts w:ascii="Arial" w:hAnsi="Arial" w:cs="Arial"/>
          <w:bCs/>
        </w:rPr>
        <w:t xml:space="preserve">were </w:t>
      </w:r>
      <w:r w:rsidR="0003608B" w:rsidRPr="00047CAA">
        <w:rPr>
          <w:rFonts w:ascii="Arial" w:hAnsi="Arial" w:cs="Arial"/>
          <w:bCs/>
        </w:rPr>
        <w:t xml:space="preserve">from </w:t>
      </w:r>
      <w:r w:rsidR="0003608B">
        <w:rPr>
          <w:rFonts w:ascii="Arial" w:hAnsi="Arial" w:cs="Arial"/>
          <w:bCs/>
        </w:rPr>
        <w:t>s</w:t>
      </w:r>
      <w:r w:rsidR="0003608B" w:rsidRPr="00047CAA">
        <w:rPr>
          <w:rFonts w:ascii="Arial" w:hAnsi="Arial" w:cs="Arial"/>
          <w:bCs/>
        </w:rPr>
        <w:t xml:space="preserve">ustainable </w:t>
      </w:r>
      <w:r w:rsidR="0003608B">
        <w:rPr>
          <w:rFonts w:ascii="Arial" w:hAnsi="Arial" w:cs="Arial"/>
          <w:bCs/>
        </w:rPr>
        <w:t>h</w:t>
      </w:r>
      <w:r w:rsidR="0003608B" w:rsidRPr="00047CAA">
        <w:rPr>
          <w:rFonts w:ascii="Arial" w:hAnsi="Arial" w:cs="Arial"/>
          <w:bCs/>
        </w:rPr>
        <w:t xml:space="preserve">ome </w:t>
      </w:r>
      <w:r w:rsidR="0003608B">
        <w:rPr>
          <w:rFonts w:ascii="Arial" w:hAnsi="Arial" w:cs="Arial"/>
          <w:bCs/>
        </w:rPr>
        <w:t>p</w:t>
      </w:r>
      <w:r w:rsidR="0003608B" w:rsidRPr="00047CAA">
        <w:rPr>
          <w:rFonts w:ascii="Arial" w:hAnsi="Arial" w:cs="Arial"/>
          <w:bCs/>
        </w:rPr>
        <w:t>roducts</w:t>
      </w:r>
      <w:r w:rsidR="0003608B">
        <w:rPr>
          <w:rFonts w:ascii="Arial" w:hAnsi="Arial" w:cs="Arial"/>
        </w:rPr>
        <w:t xml:space="preserve">. </w:t>
      </w:r>
      <w:r w:rsidR="0003608B" w:rsidRPr="005069CE">
        <w:rPr>
          <w:rFonts w:ascii="Arial" w:hAnsi="Arial" w:cs="Arial"/>
          <w:bCs/>
        </w:rPr>
        <w:t>These are products that help our customers live more sustainab</w:t>
      </w:r>
      <w:r w:rsidR="0003608B">
        <w:rPr>
          <w:rFonts w:ascii="Arial" w:hAnsi="Arial" w:cs="Arial"/>
          <w:bCs/>
        </w:rPr>
        <w:t>ly</w:t>
      </w:r>
      <w:r w:rsidR="0003608B" w:rsidRPr="005069CE">
        <w:rPr>
          <w:rFonts w:ascii="Arial" w:hAnsi="Arial" w:cs="Arial"/>
          <w:bCs/>
        </w:rPr>
        <w:t xml:space="preserve"> </w:t>
      </w:r>
      <w:r w:rsidR="0003608B">
        <w:rPr>
          <w:rFonts w:ascii="Arial" w:hAnsi="Arial" w:cs="Arial"/>
          <w:bCs/>
        </w:rPr>
        <w:t xml:space="preserve">(e.g., </w:t>
      </w:r>
      <w:r w:rsidR="0003608B" w:rsidRPr="005069CE">
        <w:rPr>
          <w:rFonts w:ascii="Arial" w:hAnsi="Arial" w:cs="Arial"/>
          <w:bCs/>
        </w:rPr>
        <w:t>water</w:t>
      </w:r>
      <w:r w:rsidR="0003608B">
        <w:rPr>
          <w:rFonts w:ascii="Arial" w:hAnsi="Arial" w:cs="Arial"/>
          <w:bCs/>
        </w:rPr>
        <w:t>-</w:t>
      </w:r>
      <w:r w:rsidR="0003608B" w:rsidRPr="005069CE">
        <w:rPr>
          <w:rFonts w:ascii="Arial" w:hAnsi="Arial" w:cs="Arial"/>
          <w:bCs/>
        </w:rPr>
        <w:t>saving taps or loft insulation</w:t>
      </w:r>
      <w:r w:rsidR="0003608B">
        <w:rPr>
          <w:rFonts w:ascii="Arial" w:hAnsi="Arial" w:cs="Arial"/>
          <w:bCs/>
        </w:rPr>
        <w:t>)</w:t>
      </w:r>
      <w:r w:rsidR="0003608B" w:rsidRPr="005069CE">
        <w:rPr>
          <w:rFonts w:ascii="Arial" w:hAnsi="Arial" w:cs="Arial"/>
          <w:bCs/>
        </w:rPr>
        <w:t xml:space="preserve"> </w:t>
      </w:r>
      <w:r w:rsidR="0003608B">
        <w:rPr>
          <w:rFonts w:ascii="Arial" w:hAnsi="Arial" w:cs="Arial"/>
          <w:bCs/>
        </w:rPr>
        <w:t xml:space="preserve">and products </w:t>
      </w:r>
      <w:r w:rsidR="0003608B" w:rsidRPr="005069CE">
        <w:rPr>
          <w:rFonts w:ascii="Arial" w:hAnsi="Arial" w:cs="Arial"/>
          <w:bCs/>
        </w:rPr>
        <w:t xml:space="preserve">that are sustainable because of their </w:t>
      </w:r>
      <w:r w:rsidR="0003608B">
        <w:rPr>
          <w:rFonts w:ascii="Arial" w:hAnsi="Arial" w:cs="Arial"/>
          <w:bCs/>
        </w:rPr>
        <w:t xml:space="preserve">input </w:t>
      </w:r>
      <w:r w:rsidR="0003608B" w:rsidRPr="005069CE">
        <w:rPr>
          <w:rFonts w:ascii="Arial" w:hAnsi="Arial" w:cs="Arial"/>
          <w:bCs/>
        </w:rPr>
        <w:t xml:space="preserve">materials or how they are manufactured </w:t>
      </w:r>
      <w:r w:rsidR="0003608B">
        <w:rPr>
          <w:rFonts w:ascii="Arial" w:hAnsi="Arial" w:cs="Arial"/>
          <w:bCs/>
        </w:rPr>
        <w:t xml:space="preserve">(e.g., </w:t>
      </w:r>
      <w:r w:rsidR="0003608B" w:rsidRPr="005069CE">
        <w:rPr>
          <w:rFonts w:ascii="Arial" w:hAnsi="Arial" w:cs="Arial"/>
          <w:bCs/>
        </w:rPr>
        <w:t xml:space="preserve">FSC timber, </w:t>
      </w:r>
      <w:r w:rsidR="0003608B">
        <w:rPr>
          <w:rFonts w:ascii="Arial" w:hAnsi="Arial" w:cs="Arial"/>
          <w:bCs/>
        </w:rPr>
        <w:t>p</w:t>
      </w:r>
      <w:r w:rsidR="0003608B" w:rsidRPr="005069CE">
        <w:rPr>
          <w:rFonts w:ascii="Arial" w:hAnsi="Arial" w:cs="Arial"/>
          <w:bCs/>
        </w:rPr>
        <w:t>eat</w:t>
      </w:r>
      <w:r w:rsidR="0003608B">
        <w:rPr>
          <w:rFonts w:ascii="Arial" w:hAnsi="Arial" w:cs="Arial"/>
          <w:bCs/>
        </w:rPr>
        <w:t>-</w:t>
      </w:r>
      <w:r w:rsidR="0003608B" w:rsidRPr="005069CE">
        <w:rPr>
          <w:rFonts w:ascii="Arial" w:hAnsi="Arial" w:cs="Arial"/>
          <w:bCs/>
        </w:rPr>
        <w:t>free compost</w:t>
      </w:r>
      <w:r w:rsidR="0003608B">
        <w:rPr>
          <w:rFonts w:ascii="Arial" w:hAnsi="Arial" w:cs="Arial"/>
          <w:bCs/>
        </w:rPr>
        <w:t>,</w:t>
      </w:r>
      <w:r w:rsidR="0003608B" w:rsidRPr="005069CE">
        <w:rPr>
          <w:rFonts w:ascii="Arial" w:hAnsi="Arial" w:cs="Arial"/>
          <w:bCs/>
        </w:rPr>
        <w:t xml:space="preserve"> or recycled plastic</w:t>
      </w:r>
      <w:r w:rsidR="0003608B">
        <w:rPr>
          <w:rFonts w:ascii="Arial" w:hAnsi="Arial" w:cs="Arial"/>
          <w:bCs/>
        </w:rPr>
        <w:t>)</w:t>
      </w:r>
      <w:r w:rsidR="0003608B" w:rsidRPr="005069CE">
        <w:rPr>
          <w:rFonts w:ascii="Arial" w:hAnsi="Arial" w:cs="Arial"/>
          <w:bCs/>
        </w:rPr>
        <w:t>.</w:t>
      </w:r>
      <w:r w:rsidR="0003608B">
        <w:rPr>
          <w:rFonts w:ascii="Arial" w:hAnsi="Arial" w:cs="Arial"/>
          <w:bCs/>
        </w:rPr>
        <w:t xml:space="preserve"> </w:t>
      </w:r>
      <w:r w:rsidR="0003608B" w:rsidRPr="00EB4495">
        <w:rPr>
          <w:rFonts w:ascii="Arial" w:hAnsi="Arial" w:cs="Arial"/>
        </w:rPr>
        <w:t xml:space="preserve">Please also refer to </w:t>
      </w:r>
      <w:r w:rsidR="0003608B" w:rsidRPr="00EB4495">
        <w:rPr>
          <w:rFonts w:ascii="Arial" w:hAnsi="Arial" w:cs="Arial"/>
          <w:i/>
          <w:iCs/>
        </w:rPr>
        <w:t>‘Lead the industry in Responsible Business practices’</w:t>
      </w:r>
      <w:r w:rsidR="0003608B" w:rsidRPr="00EB4495">
        <w:rPr>
          <w:rFonts w:ascii="Arial" w:hAnsi="Arial" w:cs="Arial"/>
        </w:rPr>
        <w:t xml:space="preserve"> below for more details on how we are using OEB to drive </w:t>
      </w:r>
      <w:r w:rsidR="0003608B">
        <w:rPr>
          <w:rFonts w:ascii="Arial" w:hAnsi="Arial" w:cs="Arial"/>
        </w:rPr>
        <w:t xml:space="preserve">further </w:t>
      </w:r>
      <w:r w:rsidR="0003608B" w:rsidRPr="00EB4495">
        <w:rPr>
          <w:rFonts w:ascii="Arial" w:hAnsi="Arial" w:cs="Arial"/>
        </w:rPr>
        <w:t>sustainable home product growth, including more energy and water-efficient products.</w:t>
      </w:r>
      <w:r w:rsidR="0003608B">
        <w:rPr>
          <w:rFonts w:ascii="Arial" w:hAnsi="Arial" w:cs="Arial"/>
        </w:rPr>
        <w:t xml:space="preserve"> </w:t>
      </w:r>
      <w:r w:rsidRPr="00EB4495">
        <w:rPr>
          <w:rFonts w:ascii="Arial" w:hAnsi="Arial" w:cs="Arial"/>
        </w:rPr>
        <w:t xml:space="preserve">We are </w:t>
      </w:r>
      <w:r w:rsidR="0003608B">
        <w:rPr>
          <w:rFonts w:ascii="Arial" w:hAnsi="Arial" w:cs="Arial"/>
        </w:rPr>
        <w:t xml:space="preserve">also </w:t>
      </w:r>
      <w:r w:rsidRPr="00EB4495">
        <w:rPr>
          <w:rFonts w:ascii="Arial" w:hAnsi="Arial" w:cs="Arial"/>
        </w:rPr>
        <w:t xml:space="preserve">looking at ways for our OEB products to play a bigger role in the ‘circular economy’. For example, in February 2022 Screwfix launched ‘Refurb by Screwfix’, offering customers fully guaranteed and </w:t>
      </w:r>
      <w:r w:rsidR="00F40756">
        <w:rPr>
          <w:rFonts w:ascii="Arial" w:hAnsi="Arial" w:cs="Arial"/>
        </w:rPr>
        <w:t xml:space="preserve">reconditioned </w:t>
      </w:r>
      <w:r w:rsidRPr="00EB4495">
        <w:rPr>
          <w:rFonts w:ascii="Arial" w:hAnsi="Arial" w:cs="Arial"/>
        </w:rPr>
        <w:t xml:space="preserve">OEB products. Castorama France is piloting a similar programme in partnership with </w:t>
      </w:r>
      <w:r w:rsidRPr="003F41A1">
        <w:rPr>
          <w:rFonts w:ascii="Arial" w:hAnsi="Arial" w:cs="Arial"/>
          <w:i/>
          <w:iCs/>
        </w:rPr>
        <w:t>Back Market</w:t>
      </w:r>
      <w:r w:rsidRPr="00EB4495">
        <w:rPr>
          <w:rFonts w:ascii="Arial" w:hAnsi="Arial" w:cs="Arial"/>
        </w:rPr>
        <w:t xml:space="preserve">, a leading online marketplace for refurbished products. </w:t>
      </w:r>
    </w:p>
    <w:p w14:paraId="4321D526" w14:textId="77777777" w:rsidR="00084627" w:rsidRPr="00EB4495" w:rsidRDefault="00084627" w:rsidP="00084627">
      <w:pPr>
        <w:jc w:val="left"/>
        <w:rPr>
          <w:rFonts w:ascii="Arial" w:hAnsi="Arial" w:cs="Arial"/>
        </w:rPr>
      </w:pPr>
    </w:p>
    <w:p w14:paraId="6A3E8C84" w14:textId="2152F156" w:rsidR="00D87E98" w:rsidRDefault="00084627" w:rsidP="00987932">
      <w:pPr>
        <w:jc w:val="left"/>
      </w:pPr>
      <w:r w:rsidRPr="004364F2">
        <w:rPr>
          <w:rFonts w:ascii="Arial" w:hAnsi="Arial" w:cs="Arial"/>
        </w:rPr>
        <w:t xml:space="preserve">Our OEB ranges are designed to sit alongside local and international brands, offering customers differentiation and value for money and catering to the full scope of their home improvement needs. </w:t>
      </w:r>
      <w:proofErr w:type="gramStart"/>
      <w:r w:rsidR="009B5BB5">
        <w:rPr>
          <w:rFonts w:ascii="Arial" w:hAnsi="Arial" w:cs="Arial"/>
        </w:rPr>
        <w:t>Looking forward, o</w:t>
      </w:r>
      <w:r w:rsidRPr="004364F2">
        <w:rPr>
          <w:rFonts w:ascii="Arial" w:hAnsi="Arial" w:cs="Arial"/>
        </w:rPr>
        <w:t>ur plan</w:t>
      </w:r>
      <w:proofErr w:type="gramEnd"/>
      <w:r w:rsidRPr="004364F2">
        <w:rPr>
          <w:rFonts w:ascii="Arial" w:hAnsi="Arial" w:cs="Arial"/>
        </w:rPr>
        <w:t xml:space="preserve"> is to continue </w:t>
      </w:r>
      <w:r w:rsidR="00A930FF" w:rsidRPr="00A930FF">
        <w:rPr>
          <w:rFonts w:ascii="Arial" w:hAnsi="Arial" w:cs="Arial"/>
        </w:rPr>
        <w:t>deliver</w:t>
      </w:r>
      <w:r w:rsidR="00A930FF">
        <w:rPr>
          <w:rFonts w:ascii="Arial" w:hAnsi="Arial" w:cs="Arial"/>
        </w:rPr>
        <w:t>ing</w:t>
      </w:r>
      <w:r w:rsidR="00A930FF" w:rsidRPr="00A930FF">
        <w:rPr>
          <w:rFonts w:ascii="Arial" w:hAnsi="Arial" w:cs="Arial"/>
        </w:rPr>
        <w:t xml:space="preserve"> solutions for </w:t>
      </w:r>
      <w:r w:rsidR="00A930FF">
        <w:rPr>
          <w:rFonts w:ascii="Arial" w:hAnsi="Arial" w:cs="Arial"/>
        </w:rPr>
        <w:t xml:space="preserve">our </w:t>
      </w:r>
      <w:r w:rsidR="00A930FF" w:rsidRPr="00A930FF">
        <w:rPr>
          <w:rFonts w:ascii="Arial" w:hAnsi="Arial" w:cs="Arial"/>
        </w:rPr>
        <w:t xml:space="preserve">customers </w:t>
      </w:r>
      <w:r w:rsidR="00A930FF">
        <w:rPr>
          <w:rFonts w:ascii="Arial" w:hAnsi="Arial" w:cs="Arial"/>
        </w:rPr>
        <w:t xml:space="preserve">to help </w:t>
      </w:r>
      <w:r w:rsidR="00A930FF" w:rsidRPr="00A930FF">
        <w:rPr>
          <w:rFonts w:ascii="Arial" w:hAnsi="Arial" w:cs="Arial"/>
        </w:rPr>
        <w:t>simplify their home improvement project</w:t>
      </w:r>
      <w:r w:rsidR="00A930FF">
        <w:rPr>
          <w:rFonts w:ascii="Arial" w:hAnsi="Arial" w:cs="Arial"/>
        </w:rPr>
        <w:t>s,</w:t>
      </w:r>
      <w:r w:rsidR="00A930FF" w:rsidRPr="00A930FF">
        <w:rPr>
          <w:rFonts w:ascii="Arial" w:hAnsi="Arial" w:cs="Arial"/>
        </w:rPr>
        <w:t xml:space="preserve"> </w:t>
      </w:r>
      <w:r w:rsidRPr="004364F2">
        <w:rPr>
          <w:rFonts w:ascii="Arial" w:hAnsi="Arial" w:cs="Arial"/>
        </w:rPr>
        <w:t xml:space="preserve">extend our ranges to offer more choice, and to continue designing OEB specifically to cater for general home improvement, trade or discounter banners. This </w:t>
      </w:r>
      <w:r w:rsidR="0066394A">
        <w:rPr>
          <w:rFonts w:ascii="Arial" w:hAnsi="Arial" w:cs="Arial"/>
        </w:rPr>
        <w:t xml:space="preserve">is expected to </w:t>
      </w:r>
      <w:r w:rsidRPr="004364F2">
        <w:rPr>
          <w:rFonts w:ascii="Arial" w:hAnsi="Arial" w:cs="Arial"/>
        </w:rPr>
        <w:t>support continued profitable sales growth over the longer term.</w:t>
      </w:r>
      <w:r w:rsidR="00D87E98">
        <w:br w:type="page"/>
      </w:r>
    </w:p>
    <w:p w14:paraId="7E6AF135" w14:textId="77777777" w:rsidR="00084627" w:rsidRPr="00EB4495" w:rsidRDefault="00084627" w:rsidP="00084627">
      <w:pPr>
        <w:numPr>
          <w:ilvl w:val="0"/>
          <w:numId w:val="23"/>
        </w:numPr>
        <w:ind w:left="357" w:hanging="357"/>
        <w:jc w:val="left"/>
        <w:rPr>
          <w:rFonts w:ascii="Arial" w:hAnsi="Arial" w:cs="Arial"/>
          <w:b/>
          <w:u w:val="single"/>
        </w:rPr>
      </w:pPr>
      <w:bookmarkStart w:id="39" w:name="_Hlk80620351"/>
      <w:bookmarkEnd w:id="37"/>
      <w:bookmarkEnd w:id="36"/>
      <w:r w:rsidRPr="00EB4495">
        <w:rPr>
          <w:rFonts w:ascii="Arial" w:hAnsi="Arial" w:cs="Arial"/>
          <w:b/>
          <w:u w:val="single"/>
        </w:rPr>
        <w:lastRenderedPageBreak/>
        <w:t>Build a mobile-first and service orientated customer experience</w:t>
      </w:r>
      <w:r w:rsidRPr="00EB4495" w:rsidDel="00281F88">
        <w:rPr>
          <w:rFonts w:ascii="Arial" w:hAnsi="Arial" w:cs="Arial"/>
          <w:b/>
          <w:u w:val="single"/>
        </w:rPr>
        <w:t xml:space="preserve"> </w:t>
      </w:r>
    </w:p>
    <w:p w14:paraId="67B47D2E" w14:textId="77777777" w:rsidR="00084627" w:rsidRPr="00EB4495" w:rsidRDefault="00084627" w:rsidP="00084627">
      <w:pPr>
        <w:jc w:val="left"/>
        <w:rPr>
          <w:rFonts w:ascii="Arial" w:hAnsi="Arial" w:cs="Arial"/>
          <w:i/>
          <w:iCs/>
        </w:rPr>
      </w:pPr>
      <w:r w:rsidRPr="00EB4495">
        <w:rPr>
          <w:rFonts w:ascii="Arial" w:hAnsi="Arial" w:cs="Arial"/>
          <w:i/>
          <w:iCs/>
        </w:rPr>
        <w:t>Our customers are using mobile more than ever, from research and inspiration, all the way through to purchase, delivery, building and installation. We believe that mobile will remain the most important way for customers to interact with us. We intend to make it easier for them to shop with us, by being mobile-first, data-led and focused on service. We also aim to provide customers with a more compelling and complete range of services, including visualisation tools and installation services.</w:t>
      </w:r>
    </w:p>
    <w:p w14:paraId="12334287" w14:textId="77777777" w:rsidR="00084627" w:rsidRPr="00EB4495" w:rsidRDefault="00084627" w:rsidP="00084627">
      <w:pPr>
        <w:jc w:val="left"/>
        <w:rPr>
          <w:rFonts w:ascii="Arial" w:hAnsi="Arial" w:cs="Arial"/>
        </w:rPr>
      </w:pPr>
    </w:p>
    <w:p w14:paraId="538BEF56" w14:textId="11E9C63C" w:rsidR="00084627" w:rsidRPr="00EB4495" w:rsidRDefault="00084627" w:rsidP="00084627">
      <w:pPr>
        <w:jc w:val="left"/>
        <w:rPr>
          <w:rFonts w:ascii="Arial" w:hAnsi="Arial" w:cs="Arial"/>
        </w:rPr>
      </w:pPr>
      <w:r w:rsidRPr="00EB4495">
        <w:rPr>
          <w:rFonts w:ascii="Arial" w:hAnsi="Arial" w:cs="Arial"/>
        </w:rPr>
        <w:t xml:space="preserve">Mobile is our largest and fastest growing channel, with sales up by 11.2% in FY 21/22, and by 301% on a 2-year basis, </w:t>
      </w:r>
      <w:r w:rsidR="00810855">
        <w:rPr>
          <w:rFonts w:ascii="Arial" w:hAnsi="Arial" w:cs="Arial"/>
        </w:rPr>
        <w:t>now</w:t>
      </w:r>
      <w:r w:rsidR="00496DF6">
        <w:rPr>
          <w:rFonts w:ascii="Arial" w:hAnsi="Arial" w:cs="Arial"/>
        </w:rPr>
        <w:t xml:space="preserve"> </w:t>
      </w:r>
      <w:r w:rsidRPr="00EB4495">
        <w:rPr>
          <w:rFonts w:ascii="Arial" w:hAnsi="Arial" w:cs="Arial"/>
        </w:rPr>
        <w:t xml:space="preserve">accounting for 54% of our total e-commerce sales (FY 20/21: </w:t>
      </w:r>
      <w:r w:rsidR="001E2E8B">
        <w:rPr>
          <w:rFonts w:ascii="Arial" w:hAnsi="Arial" w:cs="Arial"/>
        </w:rPr>
        <w:t>51</w:t>
      </w:r>
      <w:r w:rsidRPr="00EB4495">
        <w:rPr>
          <w:rFonts w:ascii="Arial" w:hAnsi="Arial" w:cs="Arial"/>
        </w:rPr>
        <w:t xml:space="preserve">%). </w:t>
      </w:r>
    </w:p>
    <w:p w14:paraId="3A699C38" w14:textId="77777777" w:rsidR="00084627" w:rsidRPr="00EB4495" w:rsidRDefault="00084627" w:rsidP="00084627">
      <w:pPr>
        <w:jc w:val="left"/>
        <w:rPr>
          <w:rFonts w:ascii="Arial" w:hAnsi="Arial" w:cs="Arial"/>
        </w:rPr>
      </w:pPr>
    </w:p>
    <w:p w14:paraId="009AF25B" w14:textId="408110FF" w:rsidR="00084627" w:rsidRPr="00EB4495" w:rsidRDefault="00084627" w:rsidP="00084627">
      <w:pPr>
        <w:jc w:val="left"/>
        <w:rPr>
          <w:rFonts w:ascii="Arial" w:hAnsi="Arial" w:cs="Arial"/>
        </w:rPr>
      </w:pPr>
      <w:r w:rsidRPr="00EB4495">
        <w:rPr>
          <w:rFonts w:ascii="Arial" w:hAnsi="Arial" w:cs="Arial"/>
        </w:rPr>
        <w:t xml:space="preserve">Across our banners, we are making good progress with optimising the mobile user experience through Group-driven technology and capabilities, which is resulting in faster page loading, enhanced ‘search, shop and pay’ features, and new mobile tools and apps. In FY 21/22, we launched a new Castorama France app, improved the performance of our B&amp;Q app and upgraded the Screwfix app. The </w:t>
      </w:r>
      <w:r w:rsidR="00404C6E">
        <w:rPr>
          <w:rFonts w:ascii="Arial" w:hAnsi="Arial" w:cs="Arial"/>
        </w:rPr>
        <w:t xml:space="preserve">new </w:t>
      </w:r>
      <w:r w:rsidRPr="00EB4495">
        <w:rPr>
          <w:rFonts w:ascii="Arial" w:hAnsi="Arial" w:cs="Arial"/>
        </w:rPr>
        <w:t xml:space="preserve">Screwfix app has </w:t>
      </w:r>
      <w:r w:rsidR="002A7414">
        <w:rPr>
          <w:rFonts w:ascii="Arial" w:hAnsi="Arial" w:cs="Arial"/>
        </w:rPr>
        <w:t xml:space="preserve">around 2m </w:t>
      </w:r>
      <w:r w:rsidRPr="00EB4495">
        <w:rPr>
          <w:rFonts w:ascii="Arial" w:hAnsi="Arial" w:cs="Arial"/>
        </w:rPr>
        <w:t xml:space="preserve">downloads since its launch in </w:t>
      </w:r>
      <w:r w:rsidR="00D534B7">
        <w:rPr>
          <w:rFonts w:ascii="Arial" w:hAnsi="Arial" w:cs="Arial"/>
        </w:rPr>
        <w:t xml:space="preserve">February </w:t>
      </w:r>
      <w:r w:rsidRPr="00EB4495">
        <w:rPr>
          <w:rFonts w:ascii="Arial" w:hAnsi="Arial" w:cs="Arial"/>
        </w:rPr>
        <w:t xml:space="preserve">2021, with strong feedback from its trade customers. Alongside better search capability, the new Screwfix app uses geolocation to speed up in-store pickups, enables targeted customer offers, and </w:t>
      </w:r>
      <w:r w:rsidR="00D534B7">
        <w:rPr>
          <w:rFonts w:ascii="Arial" w:hAnsi="Arial" w:cs="Arial"/>
        </w:rPr>
        <w:t xml:space="preserve">includes </w:t>
      </w:r>
      <w:r w:rsidRPr="00EB4495">
        <w:rPr>
          <w:rFonts w:ascii="Arial" w:hAnsi="Arial" w:cs="Arial"/>
        </w:rPr>
        <w:t xml:space="preserve">Screwfix’s one-hour delivery proposition, Sprint. </w:t>
      </w:r>
    </w:p>
    <w:p w14:paraId="535030A6" w14:textId="77777777" w:rsidR="00084627" w:rsidRPr="00EB4495" w:rsidRDefault="00084627" w:rsidP="00084627">
      <w:pPr>
        <w:jc w:val="left"/>
        <w:rPr>
          <w:rFonts w:ascii="Arial" w:hAnsi="Arial" w:cs="Arial"/>
        </w:rPr>
      </w:pPr>
    </w:p>
    <w:p w14:paraId="466734DC" w14:textId="5066A065" w:rsidR="00084627" w:rsidRPr="00EB4495" w:rsidRDefault="00084627" w:rsidP="00084627">
      <w:pPr>
        <w:jc w:val="left"/>
        <w:rPr>
          <w:rFonts w:ascii="Arial" w:hAnsi="Arial" w:cs="Arial"/>
        </w:rPr>
      </w:pPr>
      <w:r w:rsidRPr="00EB4495">
        <w:rPr>
          <w:rFonts w:ascii="Arial" w:hAnsi="Arial" w:cs="Arial"/>
        </w:rPr>
        <w:t>Our app customers are visiting our brands more often, converting better and are more loyal than our desktop website customers. Our ambition for mobile apps is to build app-first or app-only features, investigate the opportunity for</w:t>
      </w:r>
      <w:r w:rsidR="003C2DCE">
        <w:rPr>
          <w:rFonts w:ascii="Arial" w:hAnsi="Arial" w:cs="Arial"/>
        </w:rPr>
        <w:t xml:space="preserve"> more</w:t>
      </w:r>
      <w:r w:rsidRPr="00EB4495">
        <w:rPr>
          <w:rFonts w:ascii="Arial" w:hAnsi="Arial" w:cs="Arial"/>
        </w:rPr>
        <w:t xml:space="preserve"> </w:t>
      </w:r>
      <w:r w:rsidR="00B876B8">
        <w:rPr>
          <w:rFonts w:ascii="Arial" w:hAnsi="Arial" w:cs="Arial"/>
        </w:rPr>
        <w:t xml:space="preserve">trade-focused </w:t>
      </w:r>
      <w:r w:rsidRPr="00EB4495">
        <w:rPr>
          <w:rFonts w:ascii="Arial" w:hAnsi="Arial" w:cs="Arial"/>
        </w:rPr>
        <w:t xml:space="preserve">apps, and to evolve our apps to effectively become ‘digital loyalty cards’, enabling better data collection and high customer retention. </w:t>
      </w:r>
    </w:p>
    <w:p w14:paraId="0063B816" w14:textId="77777777" w:rsidR="00084627" w:rsidRPr="00EB4495" w:rsidRDefault="00084627" w:rsidP="00084627">
      <w:pPr>
        <w:jc w:val="left"/>
        <w:rPr>
          <w:rFonts w:ascii="Arial" w:hAnsi="Arial" w:cs="Arial"/>
        </w:rPr>
      </w:pPr>
    </w:p>
    <w:p w14:paraId="0C99E782" w14:textId="6F3459DC" w:rsidR="00084627" w:rsidRPr="00EB4495" w:rsidRDefault="00084627" w:rsidP="00084627">
      <w:pPr>
        <w:jc w:val="left"/>
        <w:rPr>
          <w:rFonts w:ascii="Arial" w:hAnsi="Arial" w:cs="Arial"/>
        </w:rPr>
      </w:pPr>
      <w:r w:rsidRPr="00EB4495">
        <w:rPr>
          <w:rFonts w:ascii="Arial" w:hAnsi="Arial" w:cs="Arial"/>
        </w:rPr>
        <w:t xml:space="preserve">Following successful trials, Brico Dépôt Iberia rolled out mobile ‘Scan &amp; Go’ technology for customers </w:t>
      </w:r>
      <w:r w:rsidR="00B4397E">
        <w:rPr>
          <w:rFonts w:ascii="Arial" w:hAnsi="Arial" w:cs="Arial"/>
        </w:rPr>
        <w:t xml:space="preserve">from </w:t>
      </w:r>
      <w:r w:rsidR="00A66D1F">
        <w:rPr>
          <w:rFonts w:ascii="Arial" w:hAnsi="Arial" w:cs="Arial"/>
        </w:rPr>
        <w:t>late 2020</w:t>
      </w:r>
      <w:r w:rsidRPr="00EB4495">
        <w:rPr>
          <w:rFonts w:ascii="Arial" w:hAnsi="Arial" w:cs="Arial"/>
        </w:rPr>
        <w:t>, enabling a speedier self-service store checkout process. B&amp;Q is also trialling this service, with the next step being to integrate it into the B&amp;Q mobile app, which will allow the technology to be used in all stores. Similar trials will take place at Castorama France.</w:t>
      </w:r>
    </w:p>
    <w:p w14:paraId="07530C98" w14:textId="77777777" w:rsidR="00084627" w:rsidRPr="00EB4495" w:rsidRDefault="00084627" w:rsidP="00084627">
      <w:pPr>
        <w:jc w:val="left"/>
        <w:rPr>
          <w:rFonts w:ascii="Arial" w:hAnsi="Arial" w:cs="Arial"/>
        </w:rPr>
      </w:pPr>
    </w:p>
    <w:p w14:paraId="1816E513" w14:textId="4668488E" w:rsidR="00084627" w:rsidRPr="00EB4495" w:rsidRDefault="00084627" w:rsidP="00084627">
      <w:pPr>
        <w:jc w:val="left"/>
        <w:rPr>
          <w:rFonts w:ascii="Arial" w:hAnsi="Arial" w:cs="Arial"/>
        </w:rPr>
      </w:pPr>
      <w:r w:rsidRPr="00EB4495">
        <w:rPr>
          <w:rFonts w:ascii="Arial" w:hAnsi="Arial" w:cs="Arial"/>
        </w:rPr>
        <w:t xml:space="preserve">We are continuing to modernise the in-store experience and rolled out self-checkout terminals to 110 B&amp;Q stores in FY 21/22. </w:t>
      </w:r>
      <w:bookmarkStart w:id="40" w:name="_Hlk98334486"/>
      <w:r w:rsidR="00BA3CE0">
        <w:rPr>
          <w:rFonts w:ascii="Arial" w:hAnsi="Arial" w:cs="Arial"/>
        </w:rPr>
        <w:t xml:space="preserve">Up to </w:t>
      </w:r>
      <w:r w:rsidRPr="00EB4495">
        <w:rPr>
          <w:rFonts w:ascii="Arial" w:hAnsi="Arial" w:cs="Arial"/>
        </w:rPr>
        <w:t>half of in-store transactions in these stores are going through self-checkout terminals, resulting in meaningful efficiency gains.</w:t>
      </w:r>
      <w:bookmarkEnd w:id="40"/>
      <w:r w:rsidRPr="00EB4495">
        <w:rPr>
          <w:rFonts w:ascii="Arial" w:hAnsi="Arial" w:cs="Arial"/>
        </w:rPr>
        <w:t xml:space="preserve"> </w:t>
      </w:r>
      <w:bookmarkStart w:id="41" w:name="_Hlk97483136"/>
      <w:r w:rsidRPr="00EB4495">
        <w:rPr>
          <w:rFonts w:ascii="Arial" w:hAnsi="Arial" w:cs="Arial"/>
        </w:rPr>
        <w:t xml:space="preserve">We are also in the early stages of implementing self-checkout terminals in </w:t>
      </w:r>
      <w:r w:rsidR="00F416CC">
        <w:rPr>
          <w:rFonts w:ascii="Arial" w:hAnsi="Arial" w:cs="Arial"/>
        </w:rPr>
        <w:t>France and Poland</w:t>
      </w:r>
      <w:r w:rsidRPr="00EB4495">
        <w:rPr>
          <w:rFonts w:ascii="Arial" w:hAnsi="Arial" w:cs="Arial"/>
        </w:rPr>
        <w:t>.</w:t>
      </w:r>
      <w:bookmarkEnd w:id="41"/>
      <w:r w:rsidRPr="00EB4495">
        <w:rPr>
          <w:rFonts w:ascii="Arial" w:hAnsi="Arial" w:cs="Arial"/>
        </w:rPr>
        <w:t xml:space="preserve"> </w:t>
      </w:r>
    </w:p>
    <w:p w14:paraId="415EC786" w14:textId="77777777" w:rsidR="00084627" w:rsidRPr="00EB4495" w:rsidRDefault="00084627" w:rsidP="00084627">
      <w:pPr>
        <w:jc w:val="left"/>
        <w:rPr>
          <w:rFonts w:ascii="Arial" w:hAnsi="Arial" w:cs="Arial"/>
        </w:rPr>
      </w:pPr>
    </w:p>
    <w:p w14:paraId="6C192669" w14:textId="7D32B013" w:rsidR="00084627" w:rsidRPr="00EB4495" w:rsidRDefault="00084627" w:rsidP="00084627">
      <w:pPr>
        <w:pStyle w:val="ListParagraph"/>
        <w:ind w:left="0"/>
        <w:jc w:val="left"/>
        <w:rPr>
          <w:rFonts w:ascii="Arial" w:hAnsi="Arial" w:cs="Arial"/>
        </w:rPr>
      </w:pPr>
      <w:r w:rsidRPr="00EB4495">
        <w:rPr>
          <w:rFonts w:ascii="Arial" w:hAnsi="Arial" w:cs="Arial"/>
        </w:rPr>
        <w:t xml:space="preserve">We aim to make home improvement easier from start to finish. To help our customers pre-purchase, we have made more in-store activities available virtually. For example, in Iberia we have made the expertise of our colleagues available online through 1-2-1 video calls, enabling informed discussions and products demonstrations. In H2 21/22, B&amp;Q launched an online paint mixing service, </w:t>
      </w:r>
      <w:r w:rsidR="00327BF4">
        <w:rPr>
          <w:rFonts w:ascii="Arial" w:hAnsi="Arial" w:cs="Arial"/>
        </w:rPr>
        <w:t xml:space="preserve">enabling </w:t>
      </w:r>
      <w:r w:rsidRPr="00EB4495">
        <w:rPr>
          <w:rFonts w:ascii="Arial" w:hAnsi="Arial" w:cs="Arial"/>
        </w:rPr>
        <w:t xml:space="preserve">customers </w:t>
      </w:r>
      <w:r w:rsidR="00327BF4">
        <w:rPr>
          <w:rFonts w:ascii="Arial" w:hAnsi="Arial" w:cs="Arial"/>
        </w:rPr>
        <w:t xml:space="preserve">to choose and buy from over </w:t>
      </w:r>
      <w:r w:rsidRPr="00EB4495">
        <w:rPr>
          <w:rFonts w:ascii="Arial" w:hAnsi="Arial" w:cs="Arial"/>
        </w:rPr>
        <w:t xml:space="preserve">2,000 colours. Following the successful introduction of our Group-developed 3D design tool for kitchens and bathrooms, we extended the technology to enable customers to create 3D designs of storage furniture online. This helps to inspire customers and make it easier for them to choose the right combination from </w:t>
      </w:r>
      <w:r w:rsidR="00794B67">
        <w:rPr>
          <w:rFonts w:ascii="Arial" w:hAnsi="Arial" w:cs="Arial"/>
        </w:rPr>
        <w:t xml:space="preserve">hundreds of </w:t>
      </w:r>
      <w:r w:rsidRPr="00EB4495">
        <w:rPr>
          <w:rFonts w:ascii="Arial" w:hAnsi="Arial" w:cs="Arial"/>
        </w:rPr>
        <w:t xml:space="preserve">products in our </w:t>
      </w:r>
      <w:r w:rsidRPr="003F41A1">
        <w:rPr>
          <w:rFonts w:ascii="Arial" w:hAnsi="Arial" w:cs="Arial"/>
          <w:i/>
          <w:iCs/>
        </w:rPr>
        <w:t>Atomia</w:t>
      </w:r>
      <w:r w:rsidRPr="00EB4495">
        <w:rPr>
          <w:rFonts w:ascii="Arial" w:hAnsi="Arial" w:cs="Arial"/>
        </w:rPr>
        <w:t xml:space="preserve"> range.</w:t>
      </w:r>
      <w:r w:rsidR="00646BF6">
        <w:rPr>
          <w:rFonts w:ascii="Arial" w:hAnsi="Arial" w:cs="Arial"/>
        </w:rPr>
        <w:t xml:space="preserve"> </w:t>
      </w:r>
      <w:r w:rsidRPr="00EB4495">
        <w:rPr>
          <w:rFonts w:ascii="Arial" w:hAnsi="Arial" w:cs="Arial"/>
        </w:rPr>
        <w:t xml:space="preserve">In France, we are the first home improvement retailer to offer fully online key cutting via our </w:t>
      </w:r>
      <w:r w:rsidRPr="00EB4495">
        <w:rPr>
          <w:rFonts w:ascii="Arial" w:hAnsi="Arial" w:cs="Arial"/>
          <w:i/>
        </w:rPr>
        <w:t>‘Castocles’</w:t>
      </w:r>
      <w:r w:rsidRPr="00EB4495">
        <w:rPr>
          <w:rFonts w:ascii="Arial" w:hAnsi="Arial" w:cs="Arial"/>
        </w:rPr>
        <w:t xml:space="preserve"> service, in partnership with </w:t>
      </w:r>
      <w:proofErr w:type="spellStart"/>
      <w:r w:rsidRPr="00E21F59">
        <w:rPr>
          <w:rFonts w:ascii="Arial" w:hAnsi="Arial" w:cs="Arial"/>
          <w:i/>
          <w:iCs/>
        </w:rPr>
        <w:t>Securkeys</w:t>
      </w:r>
      <w:proofErr w:type="spellEnd"/>
      <w:r w:rsidRPr="00EB4495">
        <w:rPr>
          <w:rFonts w:ascii="Arial" w:hAnsi="Arial" w:cs="Arial"/>
        </w:rPr>
        <w:t>.</w:t>
      </w:r>
      <w:r w:rsidR="00F416CC">
        <w:rPr>
          <w:rFonts w:ascii="Arial" w:hAnsi="Arial" w:cs="Arial"/>
        </w:rPr>
        <w:t xml:space="preserve"> These tools will contribute to our growing penetration of </w:t>
      </w:r>
      <w:proofErr w:type="gramStart"/>
      <w:r w:rsidR="00F416CC">
        <w:rPr>
          <w:rFonts w:ascii="Arial" w:hAnsi="Arial" w:cs="Arial"/>
        </w:rPr>
        <w:t>digitally-enabled</w:t>
      </w:r>
      <w:proofErr w:type="gramEnd"/>
      <w:r w:rsidR="00F416CC">
        <w:rPr>
          <w:rFonts w:ascii="Arial" w:hAnsi="Arial" w:cs="Arial"/>
        </w:rPr>
        <w:t xml:space="preserve"> sales.</w:t>
      </w:r>
    </w:p>
    <w:p w14:paraId="1BE375F8" w14:textId="77777777" w:rsidR="00084627" w:rsidRPr="00EB4495" w:rsidRDefault="00084627" w:rsidP="00084627">
      <w:pPr>
        <w:pStyle w:val="ListParagraph"/>
        <w:ind w:left="0"/>
        <w:jc w:val="left"/>
        <w:rPr>
          <w:rFonts w:ascii="Arial" w:hAnsi="Arial" w:cs="Arial"/>
        </w:rPr>
      </w:pPr>
    </w:p>
    <w:p w14:paraId="00316D42" w14:textId="300A3D05" w:rsidR="00084627" w:rsidRPr="00EB4495" w:rsidRDefault="00084627" w:rsidP="00084627">
      <w:pPr>
        <w:pStyle w:val="ListParagraph"/>
        <w:ind w:left="0"/>
        <w:jc w:val="left"/>
        <w:rPr>
          <w:rFonts w:ascii="Arial" w:hAnsi="Arial" w:cs="Arial"/>
        </w:rPr>
      </w:pPr>
      <w:r w:rsidRPr="00EB4495">
        <w:rPr>
          <w:rFonts w:ascii="Arial" w:hAnsi="Arial" w:cs="Arial"/>
        </w:rPr>
        <w:t xml:space="preserve">In Poland, in-store consumer finance sales are now led by Castorama colleagues, for a more seamless experience. In France, energy efficiency renovations have become even easier and more popular, with Castorama launching dedicated finance products linked to the French government’s </w:t>
      </w:r>
      <w:r w:rsidRPr="00EB4495">
        <w:rPr>
          <w:rFonts w:ascii="Arial" w:hAnsi="Arial" w:cs="Arial"/>
          <w:bCs/>
          <w:i/>
          <w:iCs/>
        </w:rPr>
        <w:t>MaPrimeRénov</w:t>
      </w:r>
      <w:r w:rsidRPr="00EB4495">
        <w:rPr>
          <w:rFonts w:ascii="Arial" w:hAnsi="Arial" w:cs="Arial"/>
        </w:rPr>
        <w:t xml:space="preserve"> grant programme. Online purchases have also been made more affordable for customers by giving them the option to spread payment over several months, via PayPal in the UK and France. We have also made DIY projects easier to complete through immediate tool and equipment hire in </w:t>
      </w:r>
      <w:r w:rsidR="00041B80">
        <w:rPr>
          <w:rFonts w:ascii="Arial" w:hAnsi="Arial" w:cs="Arial"/>
        </w:rPr>
        <w:t xml:space="preserve">70 </w:t>
      </w:r>
      <w:r w:rsidRPr="00EB4495">
        <w:rPr>
          <w:rFonts w:ascii="Arial" w:hAnsi="Arial" w:cs="Arial"/>
        </w:rPr>
        <w:t>stores across B&amp;Q (</w:t>
      </w:r>
      <w:r w:rsidR="001B4788" w:rsidRPr="00EB4495">
        <w:rPr>
          <w:rFonts w:ascii="Arial" w:hAnsi="Arial" w:cs="Arial"/>
        </w:rPr>
        <w:t>3</w:t>
      </w:r>
      <w:r w:rsidR="0089703C">
        <w:rPr>
          <w:rFonts w:ascii="Arial" w:hAnsi="Arial" w:cs="Arial"/>
        </w:rPr>
        <w:t>1</w:t>
      </w:r>
      <w:r w:rsidRPr="00EB4495">
        <w:rPr>
          <w:rFonts w:ascii="Arial" w:hAnsi="Arial" w:cs="Arial"/>
        </w:rPr>
        <w:t xml:space="preserve">) and Castorama France (39), through partnerships with Speedy Hire and LOXAM, respectively. </w:t>
      </w:r>
    </w:p>
    <w:p w14:paraId="03393F5E" w14:textId="77777777" w:rsidR="00084627" w:rsidRPr="00EB4495" w:rsidRDefault="00084627" w:rsidP="00084627">
      <w:pPr>
        <w:pStyle w:val="ListParagraph"/>
        <w:ind w:left="0"/>
        <w:jc w:val="left"/>
        <w:rPr>
          <w:rFonts w:ascii="Arial" w:hAnsi="Arial" w:cs="Arial"/>
        </w:rPr>
      </w:pPr>
    </w:p>
    <w:p w14:paraId="4640AA14" w14:textId="359A3080" w:rsidR="00084627" w:rsidRPr="00EB4495" w:rsidRDefault="00084627" w:rsidP="00084627">
      <w:pPr>
        <w:jc w:val="left"/>
        <w:rPr>
          <w:rFonts w:ascii="Arial" w:hAnsi="Arial" w:cs="Arial"/>
          <w:bCs/>
        </w:rPr>
      </w:pPr>
      <w:r w:rsidRPr="00EB4495">
        <w:rPr>
          <w:rFonts w:ascii="Arial" w:hAnsi="Arial" w:cs="Arial"/>
        </w:rPr>
        <w:t xml:space="preserve">For customers looking for some extra help in completing their projects, our kitchen and bathroom installation service has been available throughout B&amp;Q since </w:t>
      </w:r>
      <w:r w:rsidR="00225483">
        <w:rPr>
          <w:rFonts w:ascii="Arial" w:hAnsi="Arial" w:cs="Arial"/>
        </w:rPr>
        <w:t xml:space="preserve">March </w:t>
      </w:r>
      <w:r w:rsidRPr="00EB4495">
        <w:rPr>
          <w:rFonts w:ascii="Arial" w:hAnsi="Arial" w:cs="Arial"/>
        </w:rPr>
        <w:t>2021</w:t>
      </w:r>
      <w:r w:rsidR="00225483">
        <w:rPr>
          <w:rFonts w:ascii="Arial" w:hAnsi="Arial" w:cs="Arial"/>
        </w:rPr>
        <w:t xml:space="preserve"> in the UK</w:t>
      </w:r>
      <w:r w:rsidR="00977320">
        <w:rPr>
          <w:rFonts w:ascii="Arial" w:hAnsi="Arial" w:cs="Arial"/>
        </w:rPr>
        <w:t>,</w:t>
      </w:r>
      <w:r w:rsidR="00225483">
        <w:rPr>
          <w:rFonts w:ascii="Arial" w:hAnsi="Arial" w:cs="Arial"/>
        </w:rPr>
        <w:t xml:space="preserve"> and August 2021 in Ireland</w:t>
      </w:r>
      <w:r w:rsidRPr="00EB4495">
        <w:rPr>
          <w:rFonts w:ascii="Arial" w:hAnsi="Arial" w:cs="Arial"/>
        </w:rPr>
        <w:t>. The service is growing fast, with positive feedback from customers. Brico Dépôt France also rolled out a kitchen installation offer in partnership with NeedHelp, to provide a seamless handover from in-store quotes to installation, available within seven days. NeedHelp, which Kingfisher acquired in November 2020, is one of Europe</w:t>
      </w:r>
      <w:r w:rsidR="00031361">
        <w:rPr>
          <w:rFonts w:ascii="Arial" w:hAnsi="Arial" w:cs="Arial"/>
        </w:rPr>
        <w:t>’</w:t>
      </w:r>
      <w:r w:rsidRPr="00EB4495">
        <w:rPr>
          <w:rFonts w:ascii="Arial" w:hAnsi="Arial" w:cs="Arial"/>
        </w:rPr>
        <w:t xml:space="preserve">s leading home improvement services marketplaces and it is now live </w:t>
      </w:r>
      <w:r w:rsidRPr="00EB4495">
        <w:rPr>
          <w:rFonts w:ascii="Arial" w:hAnsi="Arial" w:cs="Arial"/>
        </w:rPr>
        <w:lastRenderedPageBreak/>
        <w:t>throughout the UK, France and Poland, with a 6</w:t>
      </w:r>
      <w:r w:rsidR="003F3A8F">
        <w:rPr>
          <w:rFonts w:ascii="Arial" w:hAnsi="Arial" w:cs="Arial"/>
        </w:rPr>
        <w:t>0</w:t>
      </w:r>
      <w:r w:rsidRPr="00EB4495">
        <w:rPr>
          <w:rFonts w:ascii="Arial" w:hAnsi="Arial" w:cs="Arial"/>
        </w:rPr>
        <w:t>% increase in completed jobs versus 2020. In 2022, we will trial an energy-saving service at B&amp;Q to diagnose and fit energy efficiency solutions in customers’ homes. This is an area of significant opportunity.</w:t>
      </w:r>
    </w:p>
    <w:p w14:paraId="39C99A92" w14:textId="77777777" w:rsidR="00084627" w:rsidRPr="00EB4495" w:rsidRDefault="00084627" w:rsidP="00084627">
      <w:pPr>
        <w:pStyle w:val="ListParagraph"/>
        <w:ind w:left="0"/>
        <w:jc w:val="left"/>
        <w:rPr>
          <w:rFonts w:ascii="Arial" w:hAnsi="Arial" w:cs="Arial"/>
        </w:rPr>
      </w:pPr>
      <w:bookmarkStart w:id="42" w:name="_Hlk65688256"/>
      <w:bookmarkStart w:id="43" w:name="_Hlk80620040"/>
      <w:bookmarkEnd w:id="39"/>
    </w:p>
    <w:bookmarkEnd w:id="42"/>
    <w:p w14:paraId="063B9A60" w14:textId="77777777" w:rsidR="00084627" w:rsidRPr="00EB4495" w:rsidRDefault="00084627" w:rsidP="00084627">
      <w:pPr>
        <w:numPr>
          <w:ilvl w:val="0"/>
          <w:numId w:val="23"/>
        </w:numPr>
        <w:ind w:left="357" w:hanging="357"/>
        <w:jc w:val="left"/>
        <w:rPr>
          <w:rFonts w:ascii="Arial" w:hAnsi="Arial" w:cs="Arial"/>
          <w:b/>
          <w:u w:val="single"/>
        </w:rPr>
      </w:pPr>
      <w:r w:rsidRPr="00EB4495">
        <w:rPr>
          <w:rFonts w:ascii="Arial" w:hAnsi="Arial" w:cs="Arial"/>
          <w:b/>
          <w:u w:val="single"/>
        </w:rPr>
        <w:t>Test compact store concepts and adapt our store footprint</w:t>
      </w:r>
    </w:p>
    <w:p w14:paraId="379E055B" w14:textId="2EE896C3" w:rsidR="00084627" w:rsidRPr="00EB4495" w:rsidRDefault="00084627" w:rsidP="00084627">
      <w:pPr>
        <w:contextualSpacing/>
        <w:jc w:val="left"/>
        <w:rPr>
          <w:rFonts w:ascii="Arial" w:hAnsi="Arial" w:cs="Arial"/>
          <w:i/>
        </w:rPr>
      </w:pPr>
      <w:r w:rsidRPr="00EB4495">
        <w:rPr>
          <w:rFonts w:ascii="Arial" w:hAnsi="Arial" w:cs="Arial"/>
          <w:i/>
        </w:rPr>
        <w:t>Stores are a critical part of the home improvement market. Customers want to be inspired, to be able to visualise what they buy, and to get advice and design services from in-store experts. Stores also serve as a ‘one-stop shop’ for projects and allow us to provide customised services. Our</w:t>
      </w:r>
      <w:r w:rsidRPr="00EB4495">
        <w:rPr>
          <w:rFonts w:ascii="Arial" w:hAnsi="Arial" w:cs="Arial"/>
          <w:i/>
          <w:iCs/>
        </w:rPr>
        <w:t xml:space="preserve"> c.</w:t>
      </w:r>
      <w:r w:rsidRPr="00540186">
        <w:rPr>
          <w:rFonts w:ascii="Arial" w:hAnsi="Arial" w:cs="Arial"/>
          <w:i/>
          <w:iCs/>
        </w:rPr>
        <w:t>1,</w:t>
      </w:r>
      <w:r w:rsidR="00812DD3" w:rsidRPr="00540186">
        <w:rPr>
          <w:rFonts w:ascii="Arial" w:hAnsi="Arial" w:cs="Arial"/>
          <w:i/>
          <w:iCs/>
        </w:rPr>
        <w:t>470</w:t>
      </w:r>
      <w:r w:rsidR="00812DD3" w:rsidRPr="00EB4495">
        <w:rPr>
          <w:rFonts w:ascii="Arial" w:hAnsi="Arial" w:cs="Arial"/>
          <w:i/>
          <w:iCs/>
        </w:rPr>
        <w:t xml:space="preserve"> </w:t>
      </w:r>
      <w:r w:rsidRPr="00EB4495">
        <w:rPr>
          <w:rFonts w:ascii="Arial" w:hAnsi="Arial" w:cs="Arial"/>
          <w:i/>
        </w:rPr>
        <w:t>stores</w:t>
      </w:r>
      <w:r w:rsidRPr="00EB4495">
        <w:rPr>
          <w:rFonts w:ascii="Arial" w:hAnsi="Arial" w:cs="Arial"/>
          <w:i/>
          <w:iCs/>
        </w:rPr>
        <w:t xml:space="preserve"> will</w:t>
      </w:r>
      <w:r w:rsidRPr="00EB4495">
        <w:rPr>
          <w:rFonts w:ascii="Arial" w:hAnsi="Arial" w:cs="Arial"/>
          <w:i/>
        </w:rPr>
        <w:t xml:space="preserve"> also play an integral role in meeting the increasing customer demand for convenience and speed, whether through fast C&amp;C or home delivery. </w:t>
      </w:r>
    </w:p>
    <w:p w14:paraId="44403B8A" w14:textId="77777777" w:rsidR="00084627" w:rsidRPr="00EB4495" w:rsidRDefault="00084627" w:rsidP="00084627">
      <w:pPr>
        <w:contextualSpacing/>
        <w:jc w:val="left"/>
        <w:rPr>
          <w:rFonts w:ascii="Arial" w:hAnsi="Arial" w:cs="Arial"/>
        </w:rPr>
      </w:pPr>
    </w:p>
    <w:p w14:paraId="6F3901E9" w14:textId="77777777" w:rsidR="00084627" w:rsidRPr="00EB4495" w:rsidRDefault="00084627" w:rsidP="00084627">
      <w:pPr>
        <w:jc w:val="left"/>
        <w:rPr>
          <w:rFonts w:ascii="Arial" w:hAnsi="Arial" w:cs="Arial"/>
        </w:rPr>
      </w:pPr>
      <w:r w:rsidRPr="00EB4495">
        <w:rPr>
          <w:rFonts w:ascii="Arial" w:hAnsi="Arial" w:cs="Arial"/>
        </w:rPr>
        <w:t>We believe the demand for speed and convenience will continue to drive the shift online in our industry, as well as the need for a wider network of smaller and more localised stores. In response, we continue to increase our overall store count, while reducing the average size of our stores. We are achieving this through a combination of opening more ‘compact stores’ (less than 2,000 sqm), rebalancing our larger size ‘new store’ opening programme to mostly focus on ‘medium-box’ stores (2,000 to 8,000 sqm), and ‘rightsizing’ a relatively small proportion of our larger format ‘big-box’ stores (more than 8,000 sqm).</w:t>
      </w:r>
    </w:p>
    <w:p w14:paraId="790B2D3E" w14:textId="77777777" w:rsidR="00084627" w:rsidRPr="00EB4495" w:rsidRDefault="00084627" w:rsidP="00084627">
      <w:pPr>
        <w:jc w:val="left"/>
        <w:rPr>
          <w:rFonts w:ascii="Arial" w:hAnsi="Arial" w:cs="Arial"/>
        </w:rPr>
      </w:pPr>
    </w:p>
    <w:p w14:paraId="3CD3AF6A" w14:textId="562612C0" w:rsidR="00084627" w:rsidRPr="00EB4495" w:rsidRDefault="00084627" w:rsidP="00084627">
      <w:pPr>
        <w:jc w:val="left"/>
        <w:rPr>
          <w:rFonts w:ascii="Arial" w:hAnsi="Arial" w:cs="Arial"/>
        </w:rPr>
      </w:pPr>
      <w:bookmarkStart w:id="44" w:name="_Hlk97191654"/>
      <w:r w:rsidRPr="00EB4495">
        <w:rPr>
          <w:rFonts w:ascii="Arial" w:hAnsi="Arial" w:cs="Arial"/>
          <w:b/>
          <w:bCs/>
        </w:rPr>
        <w:t>Store rightsizings</w:t>
      </w:r>
      <w:r w:rsidRPr="00EB4495">
        <w:rPr>
          <w:rFonts w:ascii="Arial" w:hAnsi="Arial" w:cs="Arial"/>
        </w:rPr>
        <w:t xml:space="preserve"> have attracted a lot of stakeholder interest over the years. Following a rigorous review of our property portfolio and future space requirements, we have identified all ‘big-box’ stores across the Group where we may have surplus space over the longer term. This is based on our analysis of demand in the local area, store economics, proximity to other stores, and the number of ‘digital hub’ stores we need to achieve national coverage for home deliveries, as part our e-commerce strategy. We are confident that the UK and France are the only two regions where some of our stores are too large, specifically in B&amp;Q and Castorama France. As a result, we expect that </w:t>
      </w:r>
      <w:r w:rsidR="00B07DC6">
        <w:rPr>
          <w:rFonts w:ascii="Arial" w:hAnsi="Arial" w:cs="Arial"/>
        </w:rPr>
        <w:t xml:space="preserve">up </w:t>
      </w:r>
      <w:r w:rsidR="0020753C">
        <w:rPr>
          <w:rFonts w:ascii="Arial" w:hAnsi="Arial" w:cs="Arial"/>
        </w:rPr>
        <w:t xml:space="preserve">to </w:t>
      </w:r>
      <w:r w:rsidRPr="00EB4495">
        <w:rPr>
          <w:rFonts w:ascii="Arial" w:hAnsi="Arial" w:cs="Arial"/>
        </w:rPr>
        <w:t>40 ‘big-box’ stores across these two estates combined will require rightsizing over the next 10 years</w:t>
      </w:r>
      <w:r w:rsidR="00547A3B">
        <w:rPr>
          <w:rFonts w:ascii="Arial" w:hAnsi="Arial" w:cs="Arial"/>
        </w:rPr>
        <w:t xml:space="preserve">, including the reallocation of space to e-commerce operations and ‘dark </w:t>
      </w:r>
      <w:proofErr w:type="gramStart"/>
      <w:r w:rsidR="00547A3B">
        <w:rPr>
          <w:rFonts w:ascii="Arial" w:hAnsi="Arial" w:cs="Arial"/>
        </w:rPr>
        <w:t>stores’</w:t>
      </w:r>
      <w:proofErr w:type="gramEnd"/>
      <w:r w:rsidRPr="00EB4495">
        <w:rPr>
          <w:rFonts w:ascii="Arial" w:hAnsi="Arial" w:cs="Arial"/>
        </w:rPr>
        <w:t xml:space="preserve">. This space reduction equates to a relatively small proportion of Kingfisher’s store estate, and approximately </w:t>
      </w:r>
      <w:r w:rsidR="0020753C">
        <w:rPr>
          <w:rFonts w:ascii="Arial" w:hAnsi="Arial" w:cs="Arial"/>
        </w:rPr>
        <w:t>3% to 4</w:t>
      </w:r>
      <w:r w:rsidRPr="00EB4495">
        <w:rPr>
          <w:rFonts w:ascii="Arial" w:hAnsi="Arial" w:cs="Arial"/>
        </w:rPr>
        <w:t>% of the combined selling space of B&amp;Q and Castorama France. As a result, we expect to be able to carry these out as part of our medium-term capital expenditure guidance (c.3.0% to 3.5% of Group sales), and do not expect it to cause disruption to the store</w:t>
      </w:r>
      <w:r w:rsidR="0093320A">
        <w:rPr>
          <w:rFonts w:ascii="Arial" w:hAnsi="Arial" w:cs="Arial"/>
        </w:rPr>
        <w:t>, teams</w:t>
      </w:r>
      <w:r w:rsidRPr="00EB4495">
        <w:rPr>
          <w:rFonts w:ascii="Arial" w:hAnsi="Arial" w:cs="Arial"/>
        </w:rPr>
        <w:t xml:space="preserve"> and overall customer experience.</w:t>
      </w:r>
    </w:p>
    <w:p w14:paraId="1FFD5425" w14:textId="77777777" w:rsidR="00084627" w:rsidRPr="00EB4495" w:rsidRDefault="00084627" w:rsidP="00084627">
      <w:pPr>
        <w:jc w:val="left"/>
        <w:rPr>
          <w:rFonts w:ascii="Arial" w:hAnsi="Arial" w:cs="Arial"/>
        </w:rPr>
      </w:pPr>
    </w:p>
    <w:p w14:paraId="5491D2BA" w14:textId="3B4A5673" w:rsidR="00084627" w:rsidRPr="00EB4495" w:rsidRDefault="00084627" w:rsidP="00084627">
      <w:pPr>
        <w:jc w:val="left"/>
        <w:rPr>
          <w:rFonts w:ascii="Arial" w:hAnsi="Arial" w:cs="Arial"/>
        </w:rPr>
      </w:pPr>
      <w:r w:rsidRPr="00EB4495">
        <w:rPr>
          <w:rFonts w:ascii="Arial" w:hAnsi="Arial" w:cs="Arial"/>
        </w:rPr>
        <w:t xml:space="preserve">In FY 21/22, we completed three rightsizing trials at B&amp;Q (Canterbury, Watford and Colchester), with a further two recently completed at Castorama France (Gonesse and La </w:t>
      </w:r>
      <w:r w:rsidRPr="00CE15C3">
        <w:rPr>
          <w:rFonts w:ascii="Arial" w:hAnsi="Arial" w:cs="Arial"/>
        </w:rPr>
        <w:t xml:space="preserve">Rochelle) in January. The results from the B&amp;Q rightsizings have been </w:t>
      </w:r>
      <w:r w:rsidR="00F77C75">
        <w:rPr>
          <w:rFonts w:ascii="Arial" w:hAnsi="Arial" w:cs="Arial"/>
        </w:rPr>
        <w:t>positive</w:t>
      </w:r>
      <w:r w:rsidRPr="00CE15C3">
        <w:rPr>
          <w:rFonts w:ascii="Arial" w:hAnsi="Arial" w:cs="Arial"/>
        </w:rPr>
        <w:t xml:space="preserve">, with a </w:t>
      </w:r>
      <w:r w:rsidR="00CE15C3">
        <w:rPr>
          <w:rFonts w:ascii="Arial" w:hAnsi="Arial" w:cs="Arial"/>
        </w:rPr>
        <w:t xml:space="preserve">range of </w:t>
      </w:r>
      <w:r w:rsidRPr="00CE15C3">
        <w:rPr>
          <w:rFonts w:ascii="Arial" w:hAnsi="Arial" w:cs="Arial"/>
        </w:rPr>
        <w:t>c.</w:t>
      </w:r>
      <w:r w:rsidR="00CE15C3" w:rsidRPr="004364F2">
        <w:rPr>
          <w:rFonts w:ascii="Arial" w:hAnsi="Arial" w:cs="Arial"/>
        </w:rPr>
        <w:t>1</w:t>
      </w:r>
      <w:r w:rsidRPr="004364F2">
        <w:rPr>
          <w:rFonts w:ascii="Arial" w:hAnsi="Arial" w:cs="Arial"/>
        </w:rPr>
        <w:t>5-30</w:t>
      </w:r>
      <w:r w:rsidRPr="00CE15C3">
        <w:rPr>
          <w:rFonts w:ascii="Arial" w:hAnsi="Arial" w:cs="Arial"/>
        </w:rPr>
        <w:t>% space reduction</w:t>
      </w:r>
      <w:r w:rsidR="00CE15C3">
        <w:rPr>
          <w:rFonts w:ascii="Arial" w:hAnsi="Arial" w:cs="Arial"/>
        </w:rPr>
        <w:t>s</w:t>
      </w:r>
      <w:r w:rsidRPr="00CE15C3">
        <w:rPr>
          <w:rFonts w:ascii="Arial" w:hAnsi="Arial" w:cs="Arial"/>
        </w:rPr>
        <w:t xml:space="preserve"> taken over by discounter retailers, bringing incremental footfall to the vicinity of our stores.</w:t>
      </w:r>
      <w:r w:rsidRPr="00EB4495">
        <w:rPr>
          <w:rFonts w:ascii="Arial" w:hAnsi="Arial" w:cs="Arial"/>
        </w:rPr>
        <w:t xml:space="preserve"> Since reopening, the stores have exceeded our performance expectations, with strong sales retention and improved profitability. </w:t>
      </w:r>
      <w:bookmarkStart w:id="45" w:name="_Hlk97280312"/>
      <w:r w:rsidRPr="00EB4495">
        <w:rPr>
          <w:rFonts w:ascii="Arial" w:hAnsi="Arial" w:cs="Arial"/>
        </w:rPr>
        <w:t>We plan to complete further ‘big-box’ rightsizings in the year ahead</w:t>
      </w:r>
      <w:r w:rsidR="0064743E">
        <w:rPr>
          <w:rFonts w:ascii="Arial" w:hAnsi="Arial" w:cs="Arial"/>
        </w:rPr>
        <w:t>, including four B&amp;Q stores</w:t>
      </w:r>
      <w:r w:rsidRPr="00EB4495">
        <w:rPr>
          <w:rFonts w:ascii="Arial" w:hAnsi="Arial" w:cs="Arial"/>
        </w:rPr>
        <w:t>.</w:t>
      </w:r>
      <w:bookmarkEnd w:id="44"/>
      <w:bookmarkEnd w:id="45"/>
    </w:p>
    <w:p w14:paraId="794E07C1" w14:textId="77777777" w:rsidR="00084627" w:rsidRPr="00EB4495" w:rsidRDefault="00084627" w:rsidP="00084627">
      <w:pPr>
        <w:jc w:val="left"/>
        <w:rPr>
          <w:rFonts w:ascii="Arial" w:hAnsi="Arial" w:cs="Arial"/>
        </w:rPr>
      </w:pPr>
    </w:p>
    <w:p w14:paraId="418C5D51" w14:textId="2DE347EE" w:rsidR="00084627" w:rsidRPr="00EB4495" w:rsidRDefault="00084627" w:rsidP="00084627">
      <w:pPr>
        <w:jc w:val="left"/>
        <w:rPr>
          <w:rFonts w:ascii="Arial" w:hAnsi="Arial" w:cs="Arial"/>
        </w:rPr>
      </w:pPr>
      <w:r w:rsidRPr="00EB4495">
        <w:rPr>
          <w:rFonts w:ascii="Arial" w:hAnsi="Arial" w:cs="Arial"/>
          <w:b/>
          <w:bCs/>
        </w:rPr>
        <w:t>Compact stores</w:t>
      </w:r>
      <w:r w:rsidRPr="00EB4495">
        <w:rPr>
          <w:rFonts w:ascii="Arial" w:hAnsi="Arial" w:cs="Arial"/>
        </w:rPr>
        <w:t xml:space="preserve"> are a key enabler for continued market share growth in urban areas. We have made good progress with testing different concepts to unlock this opportunity. In FY 21/22 and to date in FY 22/23, we have opened and trialled </w:t>
      </w:r>
      <w:r w:rsidR="00342FFA">
        <w:rPr>
          <w:rFonts w:ascii="Arial" w:hAnsi="Arial" w:cs="Arial"/>
        </w:rPr>
        <w:t xml:space="preserve">19 </w:t>
      </w:r>
      <w:r w:rsidRPr="00EB4495">
        <w:rPr>
          <w:rFonts w:ascii="Arial" w:hAnsi="Arial" w:cs="Arial"/>
        </w:rPr>
        <w:t>new compact stores across the UK, France and Poland, bringing the Group total to 27 now in operation. These new compact stores are located in urban retail parks, high streets and within supermarkets.</w:t>
      </w:r>
    </w:p>
    <w:p w14:paraId="40E4BCF9" w14:textId="77777777" w:rsidR="00084627" w:rsidRPr="00EB4495" w:rsidRDefault="00084627" w:rsidP="00084627">
      <w:pPr>
        <w:jc w:val="left"/>
        <w:rPr>
          <w:rFonts w:ascii="Arial" w:hAnsi="Arial" w:cs="Arial"/>
        </w:rPr>
      </w:pPr>
    </w:p>
    <w:p w14:paraId="2232806A" w14:textId="780652FB" w:rsidR="00084627" w:rsidRPr="00EB4495" w:rsidRDefault="00084627" w:rsidP="00084627">
      <w:pPr>
        <w:jc w:val="left"/>
        <w:rPr>
          <w:rFonts w:ascii="Arial" w:hAnsi="Arial" w:cs="Arial"/>
        </w:rPr>
      </w:pPr>
      <w:r w:rsidRPr="00EB4495">
        <w:rPr>
          <w:rFonts w:ascii="Arial" w:hAnsi="Arial" w:cs="Arial"/>
        </w:rPr>
        <w:t xml:space="preserve">Our high street concepts (300-800 sqm) are delivering positive early results, with </w:t>
      </w:r>
      <w:r w:rsidR="00794B67">
        <w:rPr>
          <w:rFonts w:ascii="Arial" w:hAnsi="Arial" w:cs="Arial"/>
        </w:rPr>
        <w:t xml:space="preserve">five </w:t>
      </w:r>
      <w:r w:rsidRPr="00EB4495">
        <w:rPr>
          <w:rFonts w:ascii="Arial" w:hAnsi="Arial" w:cs="Arial"/>
        </w:rPr>
        <w:t>new stores opened at B&amp;Q (</w:t>
      </w:r>
      <w:r w:rsidR="002719CD">
        <w:rPr>
          <w:rFonts w:ascii="Arial" w:hAnsi="Arial" w:cs="Arial"/>
        </w:rPr>
        <w:t>three</w:t>
      </w:r>
      <w:r w:rsidRPr="00EB4495">
        <w:rPr>
          <w:rFonts w:ascii="Arial" w:hAnsi="Arial" w:cs="Arial"/>
        </w:rPr>
        <w:t xml:space="preserve">) and Castorama France (two). Our trials of B&amp;Q ‘grocery concessions’ (200-250 sqm) have now been extended </w:t>
      </w:r>
      <w:r w:rsidR="001A32DB">
        <w:rPr>
          <w:rFonts w:ascii="Arial" w:hAnsi="Arial" w:cs="Arial"/>
        </w:rPr>
        <w:t xml:space="preserve">from two </w:t>
      </w:r>
      <w:r w:rsidRPr="00EB4495">
        <w:rPr>
          <w:rFonts w:ascii="Arial" w:hAnsi="Arial" w:cs="Arial"/>
        </w:rPr>
        <w:t xml:space="preserve">to eight ASDA stores in the UK, with our latest tests extending into regions outside of London. </w:t>
      </w:r>
    </w:p>
    <w:p w14:paraId="067521D3" w14:textId="77777777" w:rsidR="00084627" w:rsidRPr="00EB4495" w:rsidRDefault="00084627" w:rsidP="00084627">
      <w:pPr>
        <w:jc w:val="left"/>
        <w:rPr>
          <w:rFonts w:ascii="Arial" w:hAnsi="Arial" w:cs="Arial"/>
        </w:rPr>
      </w:pPr>
    </w:p>
    <w:p w14:paraId="6E8E613B" w14:textId="164CFE35" w:rsidR="00B81578" w:rsidRDefault="00084627" w:rsidP="00583530">
      <w:pPr>
        <w:jc w:val="left"/>
        <w:rPr>
          <w:rFonts w:ascii="Arial" w:hAnsi="Arial" w:cs="Arial"/>
        </w:rPr>
      </w:pPr>
      <w:r w:rsidRPr="00EB4495">
        <w:rPr>
          <w:rFonts w:ascii="Arial" w:hAnsi="Arial" w:cs="Arial"/>
        </w:rPr>
        <w:t xml:space="preserve">In Poland, we are expanding with our urban retail park small-store concepts (800-2,000 sqm), under the ‘Castorama Smart’ banner. Poland opened two such formats in FY 21/22. </w:t>
      </w:r>
      <w:bookmarkStart w:id="46" w:name="_Hlk98346448"/>
      <w:r w:rsidRPr="00EB4495">
        <w:rPr>
          <w:rFonts w:ascii="Arial" w:hAnsi="Arial" w:cs="Arial"/>
        </w:rPr>
        <w:t xml:space="preserve">This is part of a larger Polish store roll-out strategy, following seven overall new store openings in FY 21/22, and </w:t>
      </w:r>
      <w:r w:rsidR="009978B5">
        <w:rPr>
          <w:rFonts w:ascii="Arial" w:hAnsi="Arial" w:cs="Arial"/>
        </w:rPr>
        <w:t xml:space="preserve">even more </w:t>
      </w:r>
      <w:r w:rsidRPr="00EB4495">
        <w:rPr>
          <w:rFonts w:ascii="Arial" w:hAnsi="Arial" w:cs="Arial"/>
        </w:rPr>
        <w:t>stores to follow in FY 22/23, which will reinforce Castorama’s number one market position.</w:t>
      </w:r>
      <w:bookmarkEnd w:id="46"/>
    </w:p>
    <w:p w14:paraId="4D1B4207" w14:textId="77777777" w:rsidR="000F7064" w:rsidRDefault="000F7064" w:rsidP="00583530">
      <w:pPr>
        <w:jc w:val="left"/>
        <w:rPr>
          <w:rFonts w:ascii="Arial" w:hAnsi="Arial" w:cs="Arial"/>
        </w:rPr>
      </w:pPr>
    </w:p>
    <w:p w14:paraId="6771098F" w14:textId="6B411A32" w:rsidR="00084627" w:rsidRPr="00EB4495" w:rsidRDefault="00084627" w:rsidP="00084627">
      <w:pPr>
        <w:jc w:val="left"/>
        <w:rPr>
          <w:rFonts w:ascii="Arial" w:hAnsi="Arial" w:cs="Arial"/>
        </w:rPr>
      </w:pPr>
      <w:r w:rsidRPr="00EB4495">
        <w:rPr>
          <w:rFonts w:ascii="Arial" w:hAnsi="Arial" w:cs="Arial"/>
        </w:rPr>
        <w:t xml:space="preserve">Screwfix has applied the key learnings from its London Victoria ‘Collect’ format store, to open further ultra-compact format stores called the ‘XSR format’. The XSR format has been developed to take the core Screwfix range into spaces unable to cater for the full traditional trade offer. In H2 21/22 we opened </w:t>
      </w:r>
      <w:r w:rsidRPr="00EB4495">
        <w:rPr>
          <w:rFonts w:ascii="Arial" w:hAnsi="Arial" w:cs="Arial"/>
        </w:rPr>
        <w:lastRenderedPageBreak/>
        <w:t xml:space="preserve">five XSR stores. In </w:t>
      </w:r>
      <w:r w:rsidR="004E617C" w:rsidRPr="00EB4495">
        <w:rPr>
          <w:rFonts w:ascii="Arial" w:hAnsi="Arial" w:cs="Arial"/>
        </w:rPr>
        <w:t>FY 22/23</w:t>
      </w:r>
      <w:r w:rsidRPr="00EB4495">
        <w:rPr>
          <w:rFonts w:ascii="Arial" w:hAnsi="Arial" w:cs="Arial"/>
        </w:rPr>
        <w:t xml:space="preserve">, we have plans to </w:t>
      </w:r>
      <w:r w:rsidR="004E617C">
        <w:rPr>
          <w:rFonts w:ascii="Arial" w:hAnsi="Arial" w:cs="Arial"/>
        </w:rPr>
        <w:t xml:space="preserve">accelerate our </w:t>
      </w:r>
      <w:r w:rsidRPr="00EB4495">
        <w:rPr>
          <w:rFonts w:ascii="Arial" w:hAnsi="Arial" w:cs="Arial"/>
        </w:rPr>
        <w:t>compact store</w:t>
      </w:r>
      <w:r w:rsidR="004E617C">
        <w:rPr>
          <w:rFonts w:ascii="Arial" w:hAnsi="Arial" w:cs="Arial"/>
        </w:rPr>
        <w:t xml:space="preserve"> tests</w:t>
      </w:r>
      <w:r w:rsidRPr="00EB4495">
        <w:rPr>
          <w:rFonts w:ascii="Arial" w:hAnsi="Arial" w:cs="Arial"/>
        </w:rPr>
        <w:t xml:space="preserve"> across the UK, France and Poland. </w:t>
      </w:r>
    </w:p>
    <w:p w14:paraId="768891BB" w14:textId="77777777" w:rsidR="00084627" w:rsidRPr="00EB4495" w:rsidRDefault="00084627" w:rsidP="00084627">
      <w:pPr>
        <w:jc w:val="left"/>
        <w:rPr>
          <w:rFonts w:ascii="Arial" w:hAnsi="Arial" w:cs="Arial"/>
        </w:rPr>
      </w:pPr>
    </w:p>
    <w:p w14:paraId="704BAA84" w14:textId="46BCE663" w:rsidR="00084627" w:rsidRPr="00EB4495" w:rsidRDefault="00084627" w:rsidP="00084627">
      <w:pPr>
        <w:jc w:val="left"/>
        <w:rPr>
          <w:rFonts w:ascii="Arial" w:hAnsi="Arial" w:cs="Arial"/>
        </w:rPr>
      </w:pPr>
      <w:r w:rsidRPr="00EB4495">
        <w:rPr>
          <w:rFonts w:ascii="Arial" w:hAnsi="Arial" w:cs="Arial"/>
          <w:b/>
          <w:bCs/>
        </w:rPr>
        <w:t>‘</w:t>
      </w:r>
      <w:bookmarkStart w:id="47" w:name="_Hlk96523974"/>
      <w:r w:rsidRPr="00EB4495">
        <w:rPr>
          <w:rFonts w:ascii="Arial" w:hAnsi="Arial" w:cs="Arial"/>
          <w:b/>
          <w:bCs/>
        </w:rPr>
        <w:t>Medium-box’ stores</w:t>
      </w:r>
      <w:r w:rsidRPr="00EB4495">
        <w:rPr>
          <w:rFonts w:ascii="Arial" w:hAnsi="Arial" w:cs="Arial"/>
        </w:rPr>
        <w:t xml:space="preserve"> in our banners tend to be well-located, have good sales densities and are highly profitable</w:t>
      </w:r>
      <w:bookmarkEnd w:id="47"/>
      <w:r w:rsidRPr="00EB4495">
        <w:rPr>
          <w:rFonts w:ascii="Arial" w:hAnsi="Arial" w:cs="Arial"/>
        </w:rPr>
        <w:t>. In FY 21/22 we completed the trial conversion of two Castorama France stores into Brico Dépôt France ‘medium-box’ stores. Results are</w:t>
      </w:r>
      <w:r w:rsidR="001166D6">
        <w:rPr>
          <w:rFonts w:ascii="Arial" w:hAnsi="Arial" w:cs="Arial"/>
        </w:rPr>
        <w:t xml:space="preserve"> very</w:t>
      </w:r>
      <w:r w:rsidRPr="00EB4495">
        <w:rPr>
          <w:rFonts w:ascii="Arial" w:hAnsi="Arial" w:cs="Arial"/>
        </w:rPr>
        <w:t xml:space="preserve"> encouraging so far with sales densities up </w:t>
      </w:r>
      <w:r w:rsidR="00590411">
        <w:rPr>
          <w:rFonts w:ascii="Arial" w:hAnsi="Arial" w:cs="Arial"/>
        </w:rPr>
        <w:t>significantly</w:t>
      </w:r>
      <w:r w:rsidR="007F1CA7">
        <w:rPr>
          <w:rFonts w:ascii="Arial" w:hAnsi="Arial" w:cs="Arial"/>
        </w:rPr>
        <w:t>,</w:t>
      </w:r>
      <w:r w:rsidR="00590411">
        <w:rPr>
          <w:rFonts w:ascii="Arial" w:hAnsi="Arial" w:cs="Arial"/>
        </w:rPr>
        <w:t xml:space="preserve"> </w:t>
      </w:r>
      <w:r w:rsidRPr="00EB4495">
        <w:rPr>
          <w:rFonts w:ascii="Arial" w:hAnsi="Arial" w:cs="Arial"/>
        </w:rPr>
        <w:t xml:space="preserve">and </w:t>
      </w:r>
      <w:r w:rsidR="007F1CA7">
        <w:rPr>
          <w:rFonts w:ascii="Arial" w:hAnsi="Arial" w:cs="Arial"/>
        </w:rPr>
        <w:t xml:space="preserve">lower </w:t>
      </w:r>
      <w:r w:rsidRPr="00EB4495">
        <w:rPr>
          <w:rFonts w:ascii="Arial" w:hAnsi="Arial" w:cs="Arial"/>
        </w:rPr>
        <w:t>store operating costs</w:t>
      </w:r>
      <w:r w:rsidRPr="00812DD3">
        <w:rPr>
          <w:rFonts w:ascii="Arial" w:hAnsi="Arial" w:cs="Arial"/>
        </w:rPr>
        <w:t>.</w:t>
      </w:r>
      <w:r w:rsidRPr="00EB4495">
        <w:rPr>
          <w:rFonts w:ascii="Arial" w:hAnsi="Arial" w:cs="Arial"/>
        </w:rPr>
        <w:t xml:space="preserve"> Poland also opened two new ‘medium-box’ stores this year. All four new stores are performing </w:t>
      </w:r>
      <w:r w:rsidR="00590787" w:rsidRPr="00EB4495">
        <w:rPr>
          <w:rFonts w:ascii="Arial" w:hAnsi="Arial" w:cs="Arial"/>
        </w:rPr>
        <w:t>well,</w:t>
      </w:r>
      <w:r w:rsidRPr="00EB4495">
        <w:rPr>
          <w:rFonts w:ascii="Arial" w:hAnsi="Arial" w:cs="Arial"/>
        </w:rPr>
        <w:t xml:space="preserve"> and we have plans to open more over the coming years.</w:t>
      </w:r>
    </w:p>
    <w:p w14:paraId="21D98643" w14:textId="77777777" w:rsidR="00084627" w:rsidRPr="00EB4495" w:rsidRDefault="00084627" w:rsidP="00084627">
      <w:pPr>
        <w:jc w:val="left"/>
        <w:rPr>
          <w:rFonts w:ascii="Arial" w:hAnsi="Arial" w:cs="Arial"/>
        </w:rPr>
      </w:pPr>
    </w:p>
    <w:p w14:paraId="31007901" w14:textId="57DF3736" w:rsidR="00084627" w:rsidRPr="00EB4495" w:rsidRDefault="00084627" w:rsidP="00084627">
      <w:pPr>
        <w:jc w:val="left"/>
        <w:rPr>
          <w:rFonts w:ascii="Arial" w:hAnsi="Arial" w:cs="Arial"/>
        </w:rPr>
      </w:pPr>
      <w:r w:rsidRPr="00EB4495">
        <w:rPr>
          <w:rFonts w:ascii="Arial" w:hAnsi="Arial" w:cs="Arial"/>
        </w:rPr>
        <w:t xml:space="preserve">We </w:t>
      </w:r>
      <w:r w:rsidR="00DD44E4">
        <w:rPr>
          <w:rFonts w:ascii="Arial" w:hAnsi="Arial" w:cs="Arial"/>
        </w:rPr>
        <w:t xml:space="preserve">also </w:t>
      </w:r>
      <w:r w:rsidRPr="00EB4495">
        <w:rPr>
          <w:rFonts w:ascii="Arial" w:hAnsi="Arial" w:cs="Arial"/>
        </w:rPr>
        <w:t xml:space="preserve">believe partnerships can enable Kingfisher to attract new customers and generate incremental revenues. As discussed above, we are testing </w:t>
      </w:r>
      <w:r w:rsidRPr="00EB4495">
        <w:rPr>
          <w:rFonts w:ascii="Arial" w:hAnsi="Arial" w:cs="Arial"/>
          <w:b/>
          <w:bCs/>
        </w:rPr>
        <w:t>store-in-store</w:t>
      </w:r>
      <w:r w:rsidRPr="00EB4495">
        <w:rPr>
          <w:rFonts w:ascii="Arial" w:hAnsi="Arial" w:cs="Arial"/>
        </w:rPr>
        <w:t xml:space="preserve"> B&amp;Q concessions within ASDA supermarkets, and we have also extended our </w:t>
      </w:r>
      <w:r w:rsidRPr="00EB4495">
        <w:rPr>
          <w:rFonts w:ascii="Arial" w:hAnsi="Arial" w:cs="Arial"/>
          <w:b/>
          <w:bCs/>
        </w:rPr>
        <w:t>concession</w:t>
      </w:r>
      <w:r w:rsidRPr="00EB4495">
        <w:rPr>
          <w:rFonts w:ascii="Arial" w:hAnsi="Arial" w:cs="Arial"/>
        </w:rPr>
        <w:t xml:space="preserve"> partnerships with Speedy Hire (tool hire) and Crystal Direct (made-to-measure doors and windows) inside B&amp;Q stores. We are also excited to have opened our first </w:t>
      </w:r>
      <w:r w:rsidRPr="00EB4495">
        <w:rPr>
          <w:rFonts w:ascii="Arial" w:hAnsi="Arial" w:cs="Arial"/>
          <w:b/>
          <w:bCs/>
        </w:rPr>
        <w:t>franchise</w:t>
      </w:r>
      <w:r w:rsidRPr="00EB4495">
        <w:rPr>
          <w:rFonts w:ascii="Arial" w:hAnsi="Arial" w:cs="Arial"/>
        </w:rPr>
        <w:t xml:space="preserve"> store under the B&amp;Q banner in the Middle East in February 2022</w:t>
      </w:r>
      <w:r w:rsidR="00505BE1">
        <w:rPr>
          <w:rFonts w:ascii="Arial" w:hAnsi="Arial" w:cs="Arial"/>
        </w:rPr>
        <w:t xml:space="preserve">, with one further store due to open in </w:t>
      </w:r>
      <w:r w:rsidR="004C1B4D">
        <w:rPr>
          <w:rFonts w:ascii="Arial" w:hAnsi="Arial" w:cs="Arial"/>
        </w:rPr>
        <w:t>Q2 22/23</w:t>
      </w:r>
      <w:r w:rsidRPr="00EB4495">
        <w:rPr>
          <w:rFonts w:ascii="Arial" w:hAnsi="Arial" w:cs="Arial"/>
        </w:rPr>
        <w:t>. The stores and support office functions are fully operated and staffed by the Al-Futtaim Group (</w:t>
      </w:r>
      <w:hyperlink r:id="rId15" w:history="1">
        <w:r w:rsidRPr="00EB4495">
          <w:rPr>
            <w:rStyle w:val="Hyperlink"/>
            <w:rFonts w:ascii="Arial" w:hAnsi="Arial" w:cs="Arial"/>
          </w:rPr>
          <w:t>https://www.alfuttaim.com/</w:t>
        </w:r>
      </w:hyperlink>
      <w:r w:rsidRPr="00EB4495">
        <w:rPr>
          <w:rFonts w:ascii="Arial" w:hAnsi="Arial" w:cs="Arial"/>
        </w:rPr>
        <w:t>).</w:t>
      </w:r>
    </w:p>
    <w:p w14:paraId="7A2EEBD5" w14:textId="77777777" w:rsidR="00084627" w:rsidRPr="00EB4495" w:rsidRDefault="00084627" w:rsidP="00084627">
      <w:pPr>
        <w:jc w:val="left"/>
        <w:rPr>
          <w:rFonts w:ascii="Arial" w:hAnsi="Arial" w:cs="Arial"/>
        </w:rPr>
      </w:pPr>
    </w:p>
    <w:p w14:paraId="0D24C273" w14:textId="2955E4E4" w:rsidR="00084627" w:rsidRDefault="00084627" w:rsidP="00084627">
      <w:pPr>
        <w:jc w:val="left"/>
        <w:rPr>
          <w:rFonts w:ascii="Arial" w:hAnsi="Arial" w:cs="Arial"/>
        </w:rPr>
      </w:pPr>
      <w:r w:rsidRPr="00EB4495">
        <w:rPr>
          <w:rFonts w:ascii="Arial" w:hAnsi="Arial" w:cs="Arial"/>
        </w:rPr>
        <w:t xml:space="preserve">We are pleased to update that our store programmes and enhanced focus on the estate has resulted in customers awarding us with a significant increase in store </w:t>
      </w:r>
      <w:r w:rsidRPr="0019356E">
        <w:rPr>
          <w:rFonts w:ascii="Arial" w:hAnsi="Arial" w:cs="Arial"/>
        </w:rPr>
        <w:t>NPS</w:t>
      </w:r>
      <w:r w:rsidR="007F6AEC" w:rsidRPr="0019356E">
        <w:rPr>
          <w:rFonts w:ascii="Arial" w:hAnsi="Arial" w:cs="Arial"/>
        </w:rPr>
        <w:t xml:space="preserve"> in all banners</w:t>
      </w:r>
      <w:r w:rsidR="00704F5E">
        <w:rPr>
          <w:rFonts w:ascii="Arial" w:hAnsi="Arial" w:cs="Arial"/>
        </w:rPr>
        <w:t xml:space="preserve"> </w:t>
      </w:r>
      <w:r w:rsidRPr="00EB4495">
        <w:rPr>
          <w:rFonts w:ascii="Arial" w:hAnsi="Arial" w:cs="Arial"/>
        </w:rPr>
        <w:t>for the second consecutive year.</w:t>
      </w:r>
      <w:bookmarkStart w:id="48" w:name="_Hlk80618699"/>
    </w:p>
    <w:p w14:paraId="7D8F86D7" w14:textId="77777777" w:rsidR="00B534DB" w:rsidRPr="00EB4495" w:rsidRDefault="00B534DB" w:rsidP="00084627">
      <w:pPr>
        <w:jc w:val="left"/>
        <w:rPr>
          <w:rFonts w:ascii="Arial" w:hAnsi="Arial" w:cs="Arial"/>
        </w:rPr>
      </w:pPr>
    </w:p>
    <w:p w14:paraId="56445C37" w14:textId="27F95D6C" w:rsidR="00084627" w:rsidRPr="00EB4495" w:rsidRDefault="00084627" w:rsidP="00084627">
      <w:pPr>
        <w:numPr>
          <w:ilvl w:val="0"/>
          <w:numId w:val="23"/>
        </w:numPr>
        <w:ind w:left="357" w:hanging="357"/>
        <w:jc w:val="left"/>
        <w:rPr>
          <w:rFonts w:ascii="Arial" w:hAnsi="Arial" w:cs="Arial"/>
          <w:b/>
          <w:u w:val="single"/>
        </w:rPr>
      </w:pPr>
      <w:r w:rsidRPr="00EB4495">
        <w:rPr>
          <w:rFonts w:ascii="Arial" w:hAnsi="Arial" w:cs="Arial"/>
          <w:b/>
          <w:u w:val="single"/>
        </w:rPr>
        <w:t xml:space="preserve">Expand engagement with </w:t>
      </w:r>
      <w:r w:rsidR="00B876B8">
        <w:rPr>
          <w:rFonts w:ascii="Arial" w:hAnsi="Arial" w:cs="Arial"/>
          <w:b/>
          <w:u w:val="single"/>
        </w:rPr>
        <w:t xml:space="preserve">trade </w:t>
      </w:r>
      <w:r w:rsidRPr="00EB4495">
        <w:rPr>
          <w:rFonts w:ascii="Arial" w:hAnsi="Arial" w:cs="Arial"/>
          <w:b/>
          <w:u w:val="single"/>
        </w:rPr>
        <w:t>customers</w:t>
      </w:r>
    </w:p>
    <w:p w14:paraId="17928ACA" w14:textId="2481CB1B" w:rsidR="00084627" w:rsidRPr="00EB4495" w:rsidRDefault="00084627" w:rsidP="00084627">
      <w:pPr>
        <w:jc w:val="left"/>
        <w:rPr>
          <w:rFonts w:ascii="Arial" w:hAnsi="Arial" w:cs="Arial"/>
          <w:i/>
          <w:iCs/>
        </w:rPr>
      </w:pPr>
      <w:r w:rsidRPr="00EB4495">
        <w:rPr>
          <w:rFonts w:ascii="Arial" w:hAnsi="Arial" w:cs="Arial"/>
          <w:i/>
          <w:iCs/>
        </w:rPr>
        <w:t xml:space="preserve">The trade customer is an integral part of the home improvement ecosystem and a key priority for Kingfisher. While we already have strong and growing participation, there are significant opportunities to engage further with the </w:t>
      </w:r>
      <w:r w:rsidR="00B876B8">
        <w:rPr>
          <w:rFonts w:ascii="Arial" w:hAnsi="Arial" w:cs="Arial"/>
          <w:i/>
          <w:iCs/>
        </w:rPr>
        <w:t>trade</w:t>
      </w:r>
      <w:r w:rsidRPr="00EB4495">
        <w:rPr>
          <w:rFonts w:ascii="Arial" w:hAnsi="Arial" w:cs="Arial"/>
          <w:i/>
          <w:iCs/>
        </w:rPr>
        <w:t xml:space="preserve"> customer. This includes continuing to roll-out trade counters, international expansion, digital enhancements, range expansion, loyalty programme optimisation, improved merchandising, more partnerships and new services. </w:t>
      </w:r>
    </w:p>
    <w:p w14:paraId="6BE334EE" w14:textId="77777777" w:rsidR="00084627" w:rsidRPr="00EB4495" w:rsidRDefault="00084627" w:rsidP="00084627">
      <w:pPr>
        <w:contextualSpacing/>
        <w:jc w:val="left"/>
        <w:rPr>
          <w:rFonts w:ascii="Arial" w:hAnsi="Arial" w:cs="Arial"/>
        </w:rPr>
      </w:pPr>
    </w:p>
    <w:p w14:paraId="06728E98" w14:textId="4FC50B1D" w:rsidR="00084627" w:rsidRPr="00EB4495" w:rsidRDefault="00084627" w:rsidP="00084627">
      <w:pPr>
        <w:jc w:val="left"/>
        <w:rPr>
          <w:rFonts w:ascii="Arial" w:hAnsi="Arial" w:cs="Arial"/>
        </w:rPr>
      </w:pPr>
      <w:bookmarkStart w:id="49" w:name="_Hlk97191937"/>
      <w:r w:rsidRPr="00EB4495">
        <w:rPr>
          <w:rFonts w:ascii="Arial" w:hAnsi="Arial" w:cs="Arial"/>
        </w:rPr>
        <w:t>Screwfix, the UK’s number one light-trade retailer, continues to expand through its capital-light small format outlets. We are pleased to have opened a record number of stores in FY 21/22, with 70 new outlets (58 in the UK and 12 in Ireland) bringing the total t</w:t>
      </w:r>
      <w:r w:rsidRPr="0019356E">
        <w:rPr>
          <w:rFonts w:ascii="Arial" w:hAnsi="Arial" w:cs="Arial"/>
        </w:rPr>
        <w:t xml:space="preserve">o </w:t>
      </w:r>
      <w:r w:rsidRPr="004364F2">
        <w:rPr>
          <w:rFonts w:ascii="Arial" w:hAnsi="Arial" w:cs="Arial"/>
        </w:rPr>
        <w:t>790</w:t>
      </w:r>
      <w:r w:rsidRPr="00EB4495">
        <w:rPr>
          <w:rFonts w:ascii="Arial" w:hAnsi="Arial" w:cs="Arial"/>
        </w:rPr>
        <w:t xml:space="preserve"> as of 31 January 2022. In FY 22/23, we are determined to set another new record on store openings</w:t>
      </w:r>
      <w:r w:rsidR="00192270">
        <w:rPr>
          <w:rFonts w:ascii="Arial" w:hAnsi="Arial" w:cs="Arial"/>
        </w:rPr>
        <w:t xml:space="preserve"> targeting </w:t>
      </w:r>
      <w:r w:rsidR="007A348C">
        <w:rPr>
          <w:rFonts w:ascii="Arial" w:hAnsi="Arial" w:cs="Arial"/>
        </w:rPr>
        <w:t xml:space="preserve">over </w:t>
      </w:r>
      <w:r w:rsidR="00192270">
        <w:rPr>
          <w:rFonts w:ascii="Arial" w:hAnsi="Arial" w:cs="Arial"/>
        </w:rPr>
        <w:t>80 new stores</w:t>
      </w:r>
      <w:r w:rsidRPr="00EB4495">
        <w:rPr>
          <w:rFonts w:ascii="Arial" w:hAnsi="Arial" w:cs="Arial"/>
        </w:rPr>
        <w:t xml:space="preserve"> and we remain confident of reaching more than 1,000 stores in the medium term in the UK </w:t>
      </w:r>
      <w:r w:rsidR="001E38B3">
        <w:rPr>
          <w:rFonts w:ascii="Arial" w:hAnsi="Arial" w:cs="Arial"/>
        </w:rPr>
        <w:t>&amp;</w:t>
      </w:r>
      <w:r w:rsidR="001E38B3" w:rsidRPr="00EB4495">
        <w:rPr>
          <w:rFonts w:ascii="Arial" w:hAnsi="Arial" w:cs="Arial"/>
        </w:rPr>
        <w:t xml:space="preserve"> </w:t>
      </w:r>
      <w:r w:rsidRPr="00EB4495">
        <w:rPr>
          <w:rFonts w:ascii="Arial" w:hAnsi="Arial" w:cs="Arial"/>
        </w:rPr>
        <w:t xml:space="preserve">Ireland. </w:t>
      </w:r>
    </w:p>
    <w:p w14:paraId="73D501B5" w14:textId="77777777" w:rsidR="00084627" w:rsidRPr="00EB4495" w:rsidRDefault="00084627" w:rsidP="00084627">
      <w:pPr>
        <w:jc w:val="left"/>
        <w:rPr>
          <w:rFonts w:ascii="Arial" w:hAnsi="Arial" w:cs="Arial"/>
        </w:rPr>
      </w:pPr>
    </w:p>
    <w:p w14:paraId="4DAF6833" w14:textId="22C0F90B" w:rsidR="00084627" w:rsidRPr="00EB4495" w:rsidRDefault="00084627" w:rsidP="00084627">
      <w:pPr>
        <w:jc w:val="left"/>
        <w:rPr>
          <w:rFonts w:ascii="Arial" w:hAnsi="Arial" w:cs="Arial"/>
        </w:rPr>
      </w:pPr>
      <w:r w:rsidRPr="00EB4495">
        <w:rPr>
          <w:rFonts w:ascii="Arial" w:hAnsi="Arial" w:cs="Arial"/>
        </w:rPr>
        <w:t xml:space="preserve">As part of our international expansion plans, Screwfix launched as a pure-play online retailer in France in April 2021. Initial results are very encouraging, with </w:t>
      </w:r>
      <w:r w:rsidR="00F20B72">
        <w:rPr>
          <w:rFonts w:ascii="Arial" w:hAnsi="Arial" w:cs="Arial"/>
        </w:rPr>
        <w:t xml:space="preserve">very strong </w:t>
      </w:r>
      <w:r w:rsidRPr="00EB4495">
        <w:rPr>
          <w:rFonts w:ascii="Arial" w:hAnsi="Arial" w:cs="Arial"/>
        </w:rPr>
        <w:t xml:space="preserve">web traffic </w:t>
      </w:r>
      <w:r w:rsidR="00F20B72">
        <w:rPr>
          <w:rFonts w:ascii="Arial" w:hAnsi="Arial" w:cs="Arial"/>
        </w:rPr>
        <w:t xml:space="preserve">and customer NPS scores </w:t>
      </w:r>
      <w:r w:rsidR="009064CC">
        <w:rPr>
          <w:rFonts w:ascii="Arial" w:hAnsi="Arial" w:cs="Arial"/>
        </w:rPr>
        <w:t xml:space="preserve">for </w:t>
      </w:r>
      <w:r w:rsidR="001C448F">
        <w:rPr>
          <w:rFonts w:ascii="Arial" w:hAnsi="Arial" w:cs="Arial"/>
        </w:rPr>
        <w:t xml:space="preserve">home </w:t>
      </w:r>
      <w:r w:rsidR="009064CC">
        <w:rPr>
          <w:rFonts w:ascii="Arial" w:hAnsi="Arial" w:cs="Arial"/>
        </w:rPr>
        <w:t xml:space="preserve">delivery </w:t>
      </w:r>
      <w:r w:rsidR="001C448F">
        <w:rPr>
          <w:rFonts w:ascii="Arial" w:hAnsi="Arial" w:cs="Arial"/>
        </w:rPr>
        <w:t xml:space="preserve">already </w:t>
      </w:r>
      <w:r w:rsidR="009064CC">
        <w:rPr>
          <w:rFonts w:ascii="Arial" w:hAnsi="Arial" w:cs="Arial"/>
        </w:rPr>
        <w:t>on a par with the UK business</w:t>
      </w:r>
      <w:r w:rsidRPr="00EB4495">
        <w:rPr>
          <w:rFonts w:ascii="Arial" w:hAnsi="Arial" w:cs="Arial"/>
        </w:rPr>
        <w:t xml:space="preserve">. We are making good progress with building a new supply chain and expect to open Screwfix’s first stores in France in the second half of 2022, with a meaningful step-up in roll-out </w:t>
      </w:r>
      <w:r w:rsidR="000977EB">
        <w:rPr>
          <w:rFonts w:ascii="Arial" w:hAnsi="Arial" w:cs="Arial"/>
        </w:rPr>
        <w:t xml:space="preserve">targeted in </w:t>
      </w:r>
      <w:r w:rsidRPr="00EB4495">
        <w:rPr>
          <w:rFonts w:ascii="Arial" w:hAnsi="Arial" w:cs="Arial"/>
        </w:rPr>
        <w:t xml:space="preserve">2023. This will position us to start taking share from the large trade segment in France, which has an estimated total market size </w:t>
      </w:r>
      <w:r w:rsidRPr="004E3E0F">
        <w:rPr>
          <w:rFonts w:ascii="Arial" w:hAnsi="Arial" w:cs="Arial"/>
        </w:rPr>
        <w:t xml:space="preserve">of </w:t>
      </w:r>
      <w:r w:rsidRPr="00C764C1">
        <w:rPr>
          <w:rFonts w:ascii="Arial" w:hAnsi="Arial" w:cs="Arial"/>
        </w:rPr>
        <w:t>over £20bn</w:t>
      </w:r>
      <w:r w:rsidRPr="00EB4495">
        <w:rPr>
          <w:rFonts w:ascii="Arial" w:hAnsi="Arial" w:cs="Arial"/>
        </w:rPr>
        <w:t>.</w:t>
      </w:r>
      <w:bookmarkEnd w:id="49"/>
    </w:p>
    <w:p w14:paraId="5D3D58A6" w14:textId="77777777" w:rsidR="00084627" w:rsidRPr="00EB4495" w:rsidRDefault="00084627" w:rsidP="00084627">
      <w:pPr>
        <w:contextualSpacing/>
        <w:jc w:val="left"/>
        <w:rPr>
          <w:rFonts w:ascii="Arial" w:hAnsi="Arial" w:cs="Arial"/>
        </w:rPr>
      </w:pPr>
    </w:p>
    <w:p w14:paraId="157EB645" w14:textId="58E99D68" w:rsidR="00084627" w:rsidRPr="00EB4495" w:rsidRDefault="00A35D52" w:rsidP="00084627">
      <w:pPr>
        <w:contextualSpacing/>
        <w:jc w:val="left"/>
        <w:rPr>
          <w:rFonts w:ascii="Arial" w:hAnsi="Arial" w:cs="Arial"/>
        </w:rPr>
      </w:pPr>
      <w:r>
        <w:rPr>
          <w:rFonts w:ascii="Arial" w:hAnsi="Arial" w:cs="Arial"/>
        </w:rPr>
        <w:t xml:space="preserve">B&amp;Q’s </w:t>
      </w:r>
      <w:r w:rsidR="00084627" w:rsidRPr="00EB4495">
        <w:rPr>
          <w:rFonts w:ascii="Arial" w:hAnsi="Arial" w:cs="Arial"/>
        </w:rPr>
        <w:t xml:space="preserve">trade-focused banner, TradePoint, has made excellent progress with its relaunch strategy. Its LFL sales outperformed the rest of B&amp;Q and Screwfix, growing </w:t>
      </w:r>
      <w:r w:rsidR="0019356E">
        <w:rPr>
          <w:rFonts w:ascii="Arial" w:hAnsi="Arial" w:cs="Arial"/>
        </w:rPr>
        <w:t>20</w:t>
      </w:r>
      <w:r w:rsidR="00084627" w:rsidRPr="00EB4495">
        <w:rPr>
          <w:rFonts w:ascii="Arial" w:hAnsi="Arial" w:cs="Arial"/>
        </w:rPr>
        <w:t xml:space="preserve">% in FY 21/22, with 2-year LFL </w:t>
      </w:r>
      <w:r w:rsidR="00084627" w:rsidRPr="0019356E">
        <w:rPr>
          <w:rFonts w:ascii="Arial" w:hAnsi="Arial" w:cs="Arial"/>
        </w:rPr>
        <w:t>sales</w:t>
      </w:r>
      <w:r w:rsidR="0019356E">
        <w:rPr>
          <w:rFonts w:ascii="Arial" w:hAnsi="Arial" w:cs="Arial"/>
        </w:rPr>
        <w:t xml:space="preserve"> up 33%. T</w:t>
      </w:r>
      <w:r w:rsidR="00084627" w:rsidRPr="00EB4495">
        <w:rPr>
          <w:rFonts w:ascii="Arial" w:hAnsi="Arial" w:cs="Arial"/>
        </w:rPr>
        <w:t>his brings the total size of the business to £834m of sales, representing 20% of B&amp;Q’s total sales (FY 20/21: 19%). The renewed focus on TradePoint’s loyalty programme</w:t>
      </w:r>
      <w:r w:rsidR="00E16A91">
        <w:rPr>
          <w:rFonts w:ascii="Arial" w:hAnsi="Arial" w:cs="Arial"/>
        </w:rPr>
        <w:t xml:space="preserve">, </w:t>
      </w:r>
      <w:r w:rsidR="00ED3D1F">
        <w:rPr>
          <w:rFonts w:ascii="Arial" w:hAnsi="Arial" w:cs="Arial"/>
        </w:rPr>
        <w:t xml:space="preserve">trading approach, </w:t>
      </w:r>
      <w:r w:rsidR="00B876B8">
        <w:rPr>
          <w:rFonts w:ascii="Arial" w:hAnsi="Arial" w:cs="Arial"/>
        </w:rPr>
        <w:t>trade-</w:t>
      </w:r>
      <w:r w:rsidR="00381A87">
        <w:rPr>
          <w:rFonts w:ascii="Arial" w:hAnsi="Arial" w:cs="Arial"/>
        </w:rPr>
        <w:t xml:space="preserve">specific ranges </w:t>
      </w:r>
      <w:r w:rsidR="00E16A91">
        <w:rPr>
          <w:rFonts w:ascii="Arial" w:hAnsi="Arial" w:cs="Arial"/>
        </w:rPr>
        <w:t xml:space="preserve">and </w:t>
      </w:r>
      <w:r w:rsidR="00031361">
        <w:rPr>
          <w:rFonts w:ascii="Arial" w:hAnsi="Arial" w:cs="Arial"/>
        </w:rPr>
        <w:t xml:space="preserve">enhanced </w:t>
      </w:r>
      <w:r w:rsidR="00E16A91">
        <w:rPr>
          <w:rFonts w:ascii="Arial" w:hAnsi="Arial" w:cs="Arial"/>
        </w:rPr>
        <w:t>online experience</w:t>
      </w:r>
      <w:r w:rsidR="00084627" w:rsidRPr="00EB4495">
        <w:rPr>
          <w:rFonts w:ascii="Arial" w:hAnsi="Arial" w:cs="Arial"/>
        </w:rPr>
        <w:t xml:space="preserve"> is resulting in increased engagement from existing customers and continued strong momentum for new customer sign-ups.</w:t>
      </w:r>
      <w:r w:rsidR="00CB3B59">
        <w:rPr>
          <w:rFonts w:ascii="Arial" w:hAnsi="Arial" w:cs="Arial"/>
        </w:rPr>
        <w:t xml:space="preserve"> </w:t>
      </w:r>
      <w:r w:rsidR="00381A87" w:rsidRPr="00381A87">
        <w:rPr>
          <w:rFonts w:ascii="Arial" w:hAnsi="Arial" w:cs="Arial"/>
        </w:rPr>
        <w:t xml:space="preserve">Work is ongoing </w:t>
      </w:r>
      <w:r w:rsidR="00381A87">
        <w:rPr>
          <w:rFonts w:ascii="Arial" w:hAnsi="Arial" w:cs="Arial"/>
        </w:rPr>
        <w:t xml:space="preserve">to </w:t>
      </w:r>
      <w:r w:rsidR="00CB37ED">
        <w:rPr>
          <w:rFonts w:ascii="Arial" w:hAnsi="Arial" w:cs="Arial"/>
        </w:rPr>
        <w:t xml:space="preserve">further </w:t>
      </w:r>
      <w:r w:rsidR="00CB37ED" w:rsidRPr="00381A87">
        <w:rPr>
          <w:rFonts w:ascii="Arial" w:hAnsi="Arial" w:cs="Arial"/>
        </w:rPr>
        <w:t xml:space="preserve">increase the </w:t>
      </w:r>
      <w:r w:rsidR="00CB37ED">
        <w:rPr>
          <w:rFonts w:ascii="Arial" w:hAnsi="Arial" w:cs="Arial"/>
        </w:rPr>
        <w:t xml:space="preserve">penetration </w:t>
      </w:r>
      <w:r w:rsidR="00CB37ED" w:rsidRPr="00381A87">
        <w:rPr>
          <w:rFonts w:ascii="Arial" w:hAnsi="Arial" w:cs="Arial"/>
        </w:rPr>
        <w:t xml:space="preserve">of </w:t>
      </w:r>
      <w:r w:rsidR="00CB37ED">
        <w:rPr>
          <w:rFonts w:ascii="Arial" w:hAnsi="Arial" w:cs="Arial"/>
        </w:rPr>
        <w:t>TradePoint within B&amp;Q and</w:t>
      </w:r>
      <w:r w:rsidR="00CB37ED" w:rsidRPr="00381A87">
        <w:rPr>
          <w:rFonts w:ascii="Arial" w:hAnsi="Arial" w:cs="Arial"/>
        </w:rPr>
        <w:t xml:space="preserve"> </w:t>
      </w:r>
      <w:r w:rsidR="00381A87" w:rsidRPr="00381A87">
        <w:rPr>
          <w:rFonts w:ascii="Arial" w:hAnsi="Arial" w:cs="Arial"/>
        </w:rPr>
        <w:t>launch the TradePoint proposition in Ireland</w:t>
      </w:r>
      <w:r w:rsidR="00DD44E4">
        <w:rPr>
          <w:rFonts w:ascii="Arial" w:hAnsi="Arial" w:cs="Arial"/>
        </w:rPr>
        <w:t>. Looking forward, we have built a strong plan to drive TradePoint’s sales to over £1bn.</w:t>
      </w:r>
    </w:p>
    <w:p w14:paraId="39232000" w14:textId="77777777" w:rsidR="00084627" w:rsidRPr="00EB4495" w:rsidRDefault="00084627" w:rsidP="00084627">
      <w:pPr>
        <w:contextualSpacing/>
        <w:jc w:val="left"/>
        <w:rPr>
          <w:rFonts w:ascii="Arial" w:hAnsi="Arial" w:cs="Arial"/>
        </w:rPr>
      </w:pPr>
    </w:p>
    <w:p w14:paraId="138F7CEA" w14:textId="17BE43A5" w:rsidR="00084627" w:rsidRPr="00EB4495" w:rsidRDefault="00084627" w:rsidP="00084627">
      <w:pPr>
        <w:contextualSpacing/>
        <w:jc w:val="left"/>
        <w:rPr>
          <w:rFonts w:ascii="Arial" w:hAnsi="Arial" w:cs="Arial"/>
        </w:rPr>
      </w:pPr>
      <w:r w:rsidRPr="00EB4495">
        <w:rPr>
          <w:rFonts w:ascii="Arial" w:hAnsi="Arial" w:cs="Arial"/>
        </w:rPr>
        <w:t xml:space="preserve">More broadly, we believe there is a significant opportunity to increase </w:t>
      </w:r>
      <w:r w:rsidR="00193C9F">
        <w:rPr>
          <w:rFonts w:ascii="Arial" w:hAnsi="Arial" w:cs="Arial"/>
        </w:rPr>
        <w:t xml:space="preserve">trade </w:t>
      </w:r>
      <w:r w:rsidRPr="00EB4495">
        <w:rPr>
          <w:rFonts w:ascii="Arial" w:hAnsi="Arial" w:cs="Arial"/>
        </w:rPr>
        <w:t xml:space="preserve">customer penetration across all our other retail banners, benefitting from lessons from Screwfix as well as TradePoint’s successful relaunch. During the year, each of our banners has </w:t>
      </w:r>
      <w:r w:rsidR="005111B2">
        <w:rPr>
          <w:rFonts w:ascii="Arial" w:hAnsi="Arial" w:cs="Arial"/>
        </w:rPr>
        <w:t xml:space="preserve">begun to execute on detailed </w:t>
      </w:r>
      <w:r w:rsidRPr="00EB4495">
        <w:rPr>
          <w:rFonts w:ascii="Arial" w:hAnsi="Arial" w:cs="Arial"/>
        </w:rPr>
        <w:t xml:space="preserve">plans to </w:t>
      </w:r>
      <w:r w:rsidR="005111B2">
        <w:rPr>
          <w:rFonts w:ascii="Arial" w:hAnsi="Arial" w:cs="Arial"/>
        </w:rPr>
        <w:t xml:space="preserve">increase </w:t>
      </w:r>
      <w:r w:rsidR="00193C9F">
        <w:rPr>
          <w:rFonts w:ascii="Arial" w:hAnsi="Arial" w:cs="Arial"/>
        </w:rPr>
        <w:t xml:space="preserve">trade </w:t>
      </w:r>
      <w:r w:rsidRPr="00EB4495">
        <w:rPr>
          <w:rFonts w:ascii="Arial" w:hAnsi="Arial" w:cs="Arial"/>
        </w:rPr>
        <w:t xml:space="preserve">customer engagement. These include trialling new store layouts and concepts, creating more </w:t>
      </w:r>
      <w:proofErr w:type="gramStart"/>
      <w:r w:rsidR="00193C9F">
        <w:rPr>
          <w:rFonts w:ascii="Arial" w:hAnsi="Arial" w:cs="Arial"/>
        </w:rPr>
        <w:t>trade</w:t>
      </w:r>
      <w:r w:rsidRPr="00EB4495">
        <w:rPr>
          <w:rFonts w:ascii="Arial" w:hAnsi="Arial" w:cs="Arial"/>
        </w:rPr>
        <w:t>-focused</w:t>
      </w:r>
      <w:proofErr w:type="gramEnd"/>
      <w:r w:rsidRPr="00EB4495">
        <w:rPr>
          <w:rFonts w:ascii="Arial" w:hAnsi="Arial" w:cs="Arial"/>
        </w:rPr>
        <w:t xml:space="preserve"> OEB ranges, offering a more user-friendly and integrated digital experience (both app and web), increasing the speed and convenience of order pick-ups, providing relevant services to tradespeople, and developing our loyalty programmes. Over time, we expect increased </w:t>
      </w:r>
      <w:r w:rsidR="00193C9F">
        <w:rPr>
          <w:rFonts w:ascii="Arial" w:hAnsi="Arial" w:cs="Arial"/>
        </w:rPr>
        <w:t xml:space="preserve">trade </w:t>
      </w:r>
      <w:r w:rsidRPr="00EB4495">
        <w:rPr>
          <w:rFonts w:ascii="Arial" w:hAnsi="Arial" w:cs="Arial"/>
        </w:rPr>
        <w:t xml:space="preserve">customer penetration to </w:t>
      </w:r>
      <w:r w:rsidR="00091D29">
        <w:rPr>
          <w:rFonts w:ascii="Arial" w:hAnsi="Arial" w:cs="Arial"/>
        </w:rPr>
        <w:t xml:space="preserve">contribute to </w:t>
      </w:r>
      <w:r w:rsidRPr="00EB4495">
        <w:rPr>
          <w:rFonts w:ascii="Arial" w:hAnsi="Arial" w:cs="Arial"/>
        </w:rPr>
        <w:t xml:space="preserve">higher sales and profit growth. </w:t>
      </w:r>
    </w:p>
    <w:p w14:paraId="02B7D97B" w14:textId="77777777" w:rsidR="00084627" w:rsidRPr="00EB4495" w:rsidRDefault="00084627" w:rsidP="00084627">
      <w:pPr>
        <w:contextualSpacing/>
        <w:jc w:val="left"/>
        <w:rPr>
          <w:rFonts w:ascii="Arial" w:hAnsi="Arial" w:cs="Arial"/>
        </w:rPr>
      </w:pPr>
    </w:p>
    <w:p w14:paraId="621EE733" w14:textId="77777777" w:rsidR="00084627" w:rsidRPr="00EB4495" w:rsidRDefault="00084627" w:rsidP="00084627">
      <w:pPr>
        <w:numPr>
          <w:ilvl w:val="0"/>
          <w:numId w:val="23"/>
        </w:numPr>
        <w:ind w:left="357" w:hanging="357"/>
        <w:jc w:val="left"/>
        <w:rPr>
          <w:rFonts w:ascii="Arial" w:hAnsi="Arial" w:cs="Arial"/>
          <w:b/>
          <w:u w:val="single"/>
        </w:rPr>
      </w:pPr>
      <w:bookmarkStart w:id="50" w:name="_Hlk80621445"/>
      <w:bookmarkEnd w:id="43"/>
      <w:r w:rsidRPr="00EB4495">
        <w:rPr>
          <w:rFonts w:ascii="Arial" w:hAnsi="Arial" w:cs="Arial"/>
          <w:b/>
          <w:u w:val="single"/>
        </w:rPr>
        <w:lastRenderedPageBreak/>
        <w:t>Source and buy better, reduce costs and same-store inventory</w:t>
      </w:r>
      <w:r w:rsidRPr="00EB4495" w:rsidDel="00281F88">
        <w:rPr>
          <w:rFonts w:ascii="Arial" w:hAnsi="Arial" w:cs="Arial"/>
          <w:b/>
          <w:u w:val="single"/>
        </w:rPr>
        <w:t xml:space="preserve"> </w:t>
      </w:r>
    </w:p>
    <w:bookmarkEnd w:id="50"/>
    <w:p w14:paraId="56986D1D" w14:textId="77777777" w:rsidR="00084627" w:rsidRPr="00EB4495" w:rsidRDefault="00084627" w:rsidP="00084627">
      <w:pPr>
        <w:jc w:val="left"/>
        <w:rPr>
          <w:rFonts w:ascii="Arial" w:hAnsi="Arial" w:cs="Arial"/>
          <w:i/>
          <w:iCs/>
        </w:rPr>
      </w:pPr>
      <w:r w:rsidRPr="00EB4495">
        <w:rPr>
          <w:rFonts w:ascii="Arial" w:hAnsi="Arial" w:cs="Arial"/>
          <w:i/>
          <w:iCs/>
        </w:rPr>
        <w:t xml:space="preserve">We have identified significant opportunities to reduce costs across Kingfisher, with efficiency programmes in areas including store productivity, </w:t>
      </w:r>
      <w:r w:rsidRPr="00EB4495">
        <w:rPr>
          <w:rFonts w:ascii="Arial" w:hAnsi="Arial" w:cs="Arial"/>
          <w:i/>
        </w:rPr>
        <w:t>supply and logistics</w:t>
      </w:r>
      <w:r w:rsidRPr="00EB4495">
        <w:rPr>
          <w:rFonts w:ascii="Arial" w:hAnsi="Arial" w:cs="Arial"/>
          <w:i/>
          <w:iCs/>
        </w:rPr>
        <w:t xml:space="preserve">, goods not for resale (GNFR*), property (including lease renegotiations), </w:t>
      </w:r>
      <w:r w:rsidRPr="00EB4495">
        <w:rPr>
          <w:rFonts w:ascii="Arial" w:hAnsi="Arial" w:cs="Arial"/>
          <w:i/>
        </w:rPr>
        <w:t>IT</w:t>
      </w:r>
      <w:r w:rsidRPr="00EB4495">
        <w:rPr>
          <w:rFonts w:ascii="Arial" w:hAnsi="Arial" w:cs="Arial"/>
          <w:i/>
          <w:iCs/>
        </w:rPr>
        <w:t xml:space="preserve"> and central costs, all of which will benefit from a simpler organisation over time. In addition, through the intelligent use of our scale, we expect to extract further value from sourcing and buying. Reducing same-store inventory levels over the medium and longer term is also a priority.</w:t>
      </w:r>
    </w:p>
    <w:p w14:paraId="309EDD5C" w14:textId="77777777" w:rsidR="00084627" w:rsidRPr="00EB4495" w:rsidRDefault="00084627" w:rsidP="00084627">
      <w:pPr>
        <w:contextualSpacing/>
        <w:jc w:val="left"/>
        <w:rPr>
          <w:rFonts w:ascii="Arial" w:hAnsi="Arial" w:cs="Arial"/>
          <w:bCs/>
        </w:rPr>
      </w:pPr>
    </w:p>
    <w:p w14:paraId="599ED482" w14:textId="77777777" w:rsidR="00084627" w:rsidRPr="00EB4495" w:rsidRDefault="00084627" w:rsidP="00084627">
      <w:pPr>
        <w:contextualSpacing/>
        <w:jc w:val="left"/>
        <w:rPr>
          <w:rFonts w:ascii="Arial" w:hAnsi="Arial" w:cs="Arial"/>
          <w:b/>
          <w:u w:val="single"/>
        </w:rPr>
      </w:pPr>
      <w:r w:rsidRPr="00EB4495">
        <w:rPr>
          <w:rFonts w:ascii="Arial" w:hAnsi="Arial" w:cs="Arial"/>
          <w:b/>
          <w:u w:val="single"/>
        </w:rPr>
        <w:t>Costs</w:t>
      </w:r>
    </w:p>
    <w:p w14:paraId="3D4B6102" w14:textId="6BC74464" w:rsidR="00084627" w:rsidRPr="00EB4495" w:rsidRDefault="00084627" w:rsidP="00084627">
      <w:pPr>
        <w:contextualSpacing/>
        <w:jc w:val="left"/>
        <w:rPr>
          <w:rFonts w:ascii="Arial" w:hAnsi="Arial" w:cs="Arial"/>
        </w:rPr>
      </w:pPr>
      <w:r w:rsidRPr="00EB4495">
        <w:rPr>
          <w:rFonts w:ascii="Arial" w:hAnsi="Arial" w:cs="Arial"/>
          <w:bCs/>
        </w:rPr>
        <w:t xml:space="preserve">The pandemic has deepened our conviction about the opportunity to operate more effectively and efficiently. </w:t>
      </w:r>
      <w:r w:rsidRPr="00EB4495">
        <w:rPr>
          <w:rFonts w:ascii="Arial" w:hAnsi="Arial" w:cs="Arial"/>
        </w:rPr>
        <w:t xml:space="preserve">Early on in </w:t>
      </w:r>
      <w:r w:rsidRPr="00EB4495">
        <w:rPr>
          <w:rFonts w:ascii="Arial" w:hAnsi="Arial" w:cs="Arial"/>
          <w:bCs/>
        </w:rPr>
        <w:t xml:space="preserve">the pandemic, in 2020, we took </w:t>
      </w:r>
      <w:r w:rsidR="004F0C49">
        <w:rPr>
          <w:rFonts w:ascii="Arial" w:hAnsi="Arial" w:cs="Arial"/>
          <w:bCs/>
        </w:rPr>
        <w:t xml:space="preserve">a range of </w:t>
      </w:r>
      <w:r w:rsidRPr="00EB4495">
        <w:rPr>
          <w:rFonts w:ascii="Arial" w:hAnsi="Arial" w:cs="Arial"/>
          <w:bCs/>
        </w:rPr>
        <w:t xml:space="preserve">actions to reduce costs, especially during times of store closures and trading restrictions. This provided us with </w:t>
      </w:r>
      <w:r w:rsidR="00300232">
        <w:rPr>
          <w:rFonts w:ascii="Arial" w:hAnsi="Arial" w:cs="Arial"/>
          <w:bCs/>
        </w:rPr>
        <w:t xml:space="preserve">many </w:t>
      </w:r>
      <w:r w:rsidRPr="00EB4495">
        <w:rPr>
          <w:rFonts w:ascii="Arial" w:hAnsi="Arial" w:cs="Arial"/>
          <w:bCs/>
        </w:rPr>
        <w:t xml:space="preserve">lessons on how to significantly adjust the cost base during times of volatile sales. Following the progress made in FY 20/21, we have set multiple cost-reduction programmes in motion. While we are not disclosing the expected net savings from our multi-year cost reduction programmes, they are expected to partly offset the </w:t>
      </w:r>
      <w:r w:rsidRPr="00EB4495">
        <w:rPr>
          <w:rFonts w:ascii="Arial" w:hAnsi="Arial" w:cs="Arial"/>
        </w:rPr>
        <w:t>cost of inflation, expansion and space changes, and the investment requirements of our business over the next few years.</w:t>
      </w:r>
      <w:bookmarkStart w:id="51" w:name="_Hlk80621463"/>
      <w:r w:rsidRPr="00EB4495">
        <w:rPr>
          <w:rFonts w:ascii="Arial" w:hAnsi="Arial" w:cs="Arial"/>
        </w:rPr>
        <w:t xml:space="preserve"> </w:t>
      </w:r>
    </w:p>
    <w:p w14:paraId="0FD56524" w14:textId="77777777" w:rsidR="00084627" w:rsidRPr="00EB4495" w:rsidRDefault="00084627" w:rsidP="00084627">
      <w:pPr>
        <w:contextualSpacing/>
        <w:jc w:val="left"/>
        <w:rPr>
          <w:rFonts w:ascii="Arial" w:hAnsi="Arial" w:cs="Arial"/>
        </w:rPr>
      </w:pPr>
    </w:p>
    <w:p w14:paraId="0895E0A3" w14:textId="4B301723" w:rsidR="00084627" w:rsidRPr="00EB4495" w:rsidRDefault="00084627" w:rsidP="00084627">
      <w:pPr>
        <w:contextualSpacing/>
        <w:jc w:val="left"/>
        <w:rPr>
          <w:rFonts w:ascii="Arial" w:hAnsi="Arial" w:cs="Arial"/>
        </w:rPr>
      </w:pPr>
      <w:r w:rsidRPr="00EB4495">
        <w:rPr>
          <w:rFonts w:ascii="Arial" w:hAnsi="Arial" w:cs="Arial"/>
        </w:rPr>
        <w:t xml:space="preserve">As </w:t>
      </w:r>
      <w:r w:rsidRPr="00AE08B9">
        <w:rPr>
          <w:rFonts w:ascii="Arial" w:hAnsi="Arial" w:cs="Arial"/>
        </w:rPr>
        <w:t xml:space="preserve">mentioned above, the lessons from the pandemic were invaluable. In scenarios where trading is less favourable than anticipated, we have plans in place to react quickly and adjust the cost base accordingly. </w:t>
      </w:r>
      <w:r w:rsidRPr="00AE08B9">
        <w:rPr>
          <w:rFonts w:ascii="Arial" w:hAnsi="Arial" w:cs="Arial"/>
          <w:bCs/>
        </w:rPr>
        <w:t>Cost self-help</w:t>
      </w:r>
      <w:r w:rsidRPr="00EB4495">
        <w:rPr>
          <w:rFonts w:ascii="Arial" w:hAnsi="Arial" w:cs="Arial"/>
          <w:bCs/>
        </w:rPr>
        <w:t xml:space="preserve"> and efficiency remain a priority for our retail banners and Group teams, with robust governance at Group Executive and Board level. The following areas have contributed to partially offsetting cost growth in FY 21/22:</w:t>
      </w:r>
    </w:p>
    <w:p w14:paraId="78D7766C" w14:textId="77777777" w:rsidR="00084627" w:rsidRPr="00EB4495" w:rsidRDefault="00084627" w:rsidP="00084627">
      <w:pPr>
        <w:contextualSpacing/>
        <w:jc w:val="left"/>
        <w:rPr>
          <w:rFonts w:ascii="Arial" w:hAnsi="Arial" w:cs="Arial"/>
          <w:bCs/>
        </w:rPr>
      </w:pPr>
    </w:p>
    <w:p w14:paraId="7CE709B0" w14:textId="77777777"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Realising benefits from reorganising our commercial operating model (fully implemented at a Group level and across all banners, with France completed in March 2021) and establishing a new banner-Group operating model for our Digital and Technology teams (completed in Q1 21/22). </w:t>
      </w:r>
    </w:p>
    <w:p w14:paraId="466B99E7" w14:textId="601EE0E7"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Rolling out self-checkout terminals to 110 B&amp;Q stores, with strong take-up from customers. We are also trialling other store productivity initiatives, including ‘Scan &amp; Go’ at B&amp;Q. For further details please refer to </w:t>
      </w:r>
      <w:r w:rsidRPr="00EB4495">
        <w:rPr>
          <w:rFonts w:ascii="Arial" w:hAnsi="Arial" w:cs="Arial"/>
          <w:bCs/>
          <w:i/>
          <w:iCs/>
        </w:rPr>
        <w:t>‘Build a mobile-first and service orientated customer experience’</w:t>
      </w:r>
      <w:r w:rsidRPr="00EB4495">
        <w:rPr>
          <w:rFonts w:ascii="Arial" w:hAnsi="Arial" w:cs="Arial"/>
          <w:bCs/>
        </w:rPr>
        <w:t xml:space="preserve"> above.</w:t>
      </w:r>
    </w:p>
    <w:p w14:paraId="0FDF44B3" w14:textId="1DC4B4A6" w:rsidR="00D667B1" w:rsidRPr="00076171" w:rsidRDefault="00D667B1" w:rsidP="00084627">
      <w:pPr>
        <w:pStyle w:val="ListParagraph"/>
        <w:numPr>
          <w:ilvl w:val="0"/>
          <w:numId w:val="25"/>
        </w:numPr>
        <w:ind w:left="360"/>
        <w:jc w:val="left"/>
        <w:rPr>
          <w:rFonts w:ascii="Arial" w:hAnsi="Arial" w:cs="Arial"/>
          <w:bCs/>
        </w:rPr>
      </w:pPr>
      <w:r>
        <w:rPr>
          <w:rFonts w:ascii="Arial" w:hAnsi="Arial" w:cs="Arial"/>
          <w:bCs/>
        </w:rPr>
        <w:t xml:space="preserve">Optimising stock losses and shrinkage through </w:t>
      </w:r>
      <w:r w:rsidRPr="00076171">
        <w:rPr>
          <w:rFonts w:ascii="Arial" w:hAnsi="Arial" w:cs="Arial"/>
          <w:bCs/>
        </w:rPr>
        <w:t>implementation of targeted best practice measures across all banners</w:t>
      </w:r>
      <w:r w:rsidR="004F0D16" w:rsidRPr="00076171">
        <w:rPr>
          <w:rFonts w:ascii="Arial" w:hAnsi="Arial" w:cs="Arial"/>
          <w:bCs/>
        </w:rPr>
        <w:t>.</w:t>
      </w:r>
    </w:p>
    <w:p w14:paraId="3012AFB6" w14:textId="1F91C4FA" w:rsidR="004272D4" w:rsidRDefault="004272D4" w:rsidP="00084627">
      <w:pPr>
        <w:pStyle w:val="ListParagraph"/>
        <w:numPr>
          <w:ilvl w:val="0"/>
          <w:numId w:val="25"/>
        </w:numPr>
        <w:ind w:left="360"/>
        <w:jc w:val="left"/>
        <w:rPr>
          <w:rFonts w:ascii="Arial" w:hAnsi="Arial" w:cs="Arial"/>
          <w:bCs/>
        </w:rPr>
      </w:pPr>
      <w:r w:rsidRPr="00076171">
        <w:rPr>
          <w:rFonts w:ascii="Arial" w:hAnsi="Arial" w:cs="Arial"/>
          <w:bCs/>
        </w:rPr>
        <w:t xml:space="preserve">Reducing logistics costs in France through reduction of </w:t>
      </w:r>
      <w:r w:rsidR="00031361" w:rsidRPr="00076171">
        <w:rPr>
          <w:rFonts w:ascii="Arial" w:hAnsi="Arial" w:cs="Arial"/>
          <w:bCs/>
        </w:rPr>
        <w:t>d</w:t>
      </w:r>
      <w:r w:rsidRPr="00076171">
        <w:rPr>
          <w:rFonts w:ascii="Arial" w:hAnsi="Arial" w:cs="Arial"/>
          <w:bCs/>
        </w:rPr>
        <w:t xml:space="preserve">istribution </w:t>
      </w:r>
      <w:r w:rsidR="00031361" w:rsidRPr="00076171">
        <w:rPr>
          <w:rFonts w:ascii="Arial" w:hAnsi="Arial" w:cs="Arial"/>
          <w:bCs/>
        </w:rPr>
        <w:t>c</w:t>
      </w:r>
      <w:r w:rsidRPr="00076171">
        <w:rPr>
          <w:rFonts w:ascii="Arial" w:hAnsi="Arial" w:cs="Arial"/>
          <w:bCs/>
        </w:rPr>
        <w:t xml:space="preserve">entre space by </w:t>
      </w:r>
      <w:r w:rsidR="00E31A88" w:rsidRPr="00076171">
        <w:rPr>
          <w:rFonts w:ascii="Arial" w:hAnsi="Arial" w:cs="Arial"/>
          <w:bCs/>
        </w:rPr>
        <w:t>c.</w:t>
      </w:r>
      <w:r w:rsidRPr="003F41A1">
        <w:rPr>
          <w:rFonts w:ascii="Arial" w:hAnsi="Arial" w:cs="Arial"/>
          <w:bCs/>
        </w:rPr>
        <w:t>1</w:t>
      </w:r>
      <w:r w:rsidR="005C1E27" w:rsidRPr="003F41A1">
        <w:rPr>
          <w:rFonts w:ascii="Arial" w:hAnsi="Arial" w:cs="Arial"/>
          <w:bCs/>
        </w:rPr>
        <w:t>9</w:t>
      </w:r>
      <w:r w:rsidRPr="003F41A1">
        <w:rPr>
          <w:rFonts w:ascii="Arial" w:hAnsi="Arial" w:cs="Arial"/>
          <w:bCs/>
        </w:rPr>
        <w:t>%</w:t>
      </w:r>
      <w:r w:rsidRPr="00076171">
        <w:rPr>
          <w:rFonts w:ascii="Arial" w:hAnsi="Arial" w:cs="Arial"/>
          <w:bCs/>
        </w:rPr>
        <w:t>,</w:t>
      </w:r>
      <w:r w:rsidR="00E31A88" w:rsidRPr="00076171">
        <w:rPr>
          <w:rFonts w:ascii="Arial" w:hAnsi="Arial" w:cs="Arial"/>
          <w:bCs/>
        </w:rPr>
        <w:t xml:space="preserve"> </w:t>
      </w:r>
      <w:r w:rsidR="00AA549C" w:rsidRPr="00076171">
        <w:rPr>
          <w:rFonts w:ascii="Arial" w:hAnsi="Arial" w:cs="Arial"/>
          <w:bCs/>
        </w:rPr>
        <w:t>creating a</w:t>
      </w:r>
      <w:r w:rsidR="00FD1E04" w:rsidRPr="00076171">
        <w:rPr>
          <w:rFonts w:ascii="Arial" w:hAnsi="Arial" w:cs="Arial"/>
          <w:bCs/>
        </w:rPr>
        <w:t>n</w:t>
      </w:r>
      <w:r w:rsidR="00AA549C" w:rsidRPr="00076171">
        <w:rPr>
          <w:rFonts w:ascii="Arial" w:hAnsi="Arial" w:cs="Arial"/>
          <w:bCs/>
        </w:rPr>
        <w:t xml:space="preserve"> optimised network for Castorama and Brico Dépôt</w:t>
      </w:r>
      <w:r w:rsidR="00AA549C" w:rsidRPr="00076171" w:rsidDel="00AA549C">
        <w:rPr>
          <w:rFonts w:ascii="Arial" w:hAnsi="Arial" w:cs="Arial"/>
          <w:bCs/>
        </w:rPr>
        <w:t xml:space="preserve"> </w:t>
      </w:r>
      <w:r w:rsidRPr="00076171">
        <w:rPr>
          <w:rFonts w:ascii="Arial" w:hAnsi="Arial" w:cs="Arial"/>
          <w:bCs/>
        </w:rPr>
        <w:t>and</w:t>
      </w:r>
      <w:r>
        <w:rPr>
          <w:rFonts w:ascii="Arial" w:hAnsi="Arial" w:cs="Arial"/>
          <w:bCs/>
        </w:rPr>
        <w:t xml:space="preserve"> decreasing transport distances</w:t>
      </w:r>
      <w:r w:rsidR="00031361">
        <w:rPr>
          <w:rFonts w:ascii="Arial" w:hAnsi="Arial" w:cs="Arial"/>
          <w:bCs/>
        </w:rPr>
        <w:t>.</w:t>
      </w:r>
    </w:p>
    <w:p w14:paraId="28FBFB3A" w14:textId="2BEF1AC0"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Completing </w:t>
      </w:r>
      <w:r w:rsidR="002F264F" w:rsidRPr="00590787">
        <w:rPr>
          <w:rFonts w:ascii="Arial" w:hAnsi="Arial" w:cs="Arial"/>
          <w:bCs/>
        </w:rPr>
        <w:t>3</w:t>
      </w:r>
      <w:r w:rsidR="002F264F" w:rsidRPr="002F264F">
        <w:rPr>
          <w:rFonts w:ascii="Arial" w:hAnsi="Arial" w:cs="Arial"/>
          <w:bCs/>
        </w:rPr>
        <w:t>4</w:t>
      </w:r>
      <w:r w:rsidR="002F264F" w:rsidRPr="00EB4495">
        <w:rPr>
          <w:rFonts w:ascii="Arial" w:hAnsi="Arial" w:cs="Arial"/>
          <w:bCs/>
        </w:rPr>
        <w:t xml:space="preserve"> </w:t>
      </w:r>
      <w:r w:rsidRPr="00EB4495">
        <w:rPr>
          <w:rFonts w:ascii="Arial" w:hAnsi="Arial" w:cs="Arial"/>
          <w:bCs/>
        </w:rPr>
        <w:t xml:space="preserve">additional B&amp;Q lease renegotiations, with a combined net rent reduction of </w:t>
      </w:r>
      <w:r w:rsidRPr="00590787">
        <w:rPr>
          <w:rFonts w:ascii="Arial" w:hAnsi="Arial" w:cs="Arial"/>
          <w:bCs/>
        </w:rPr>
        <w:t>over 20%</w:t>
      </w:r>
      <w:r w:rsidRPr="002F264F">
        <w:rPr>
          <w:rFonts w:ascii="Arial" w:hAnsi="Arial" w:cs="Arial"/>
          <w:bCs/>
        </w:rPr>
        <w:t>,</w:t>
      </w:r>
      <w:r w:rsidRPr="00EB4495">
        <w:rPr>
          <w:rFonts w:ascii="Arial" w:hAnsi="Arial" w:cs="Arial"/>
          <w:bCs/>
        </w:rPr>
        <w:t xml:space="preserve"> alongside improved lease terms. </w:t>
      </w:r>
      <w:r w:rsidRPr="00590787">
        <w:rPr>
          <w:rFonts w:ascii="Arial" w:hAnsi="Arial" w:cs="Arial"/>
          <w:bCs/>
        </w:rPr>
        <w:t>One third</w:t>
      </w:r>
      <w:r w:rsidRPr="00EB4495">
        <w:rPr>
          <w:rFonts w:ascii="Arial" w:hAnsi="Arial" w:cs="Arial"/>
          <w:bCs/>
        </w:rPr>
        <w:t xml:space="preserve"> of B&amp;Q’s leased store estate is coming up for renewal over the next </w:t>
      </w:r>
      <w:r w:rsidRPr="00590787">
        <w:rPr>
          <w:rFonts w:ascii="Arial" w:hAnsi="Arial" w:cs="Arial"/>
          <w:bCs/>
        </w:rPr>
        <w:t>five</w:t>
      </w:r>
      <w:r w:rsidRPr="00EB4495">
        <w:rPr>
          <w:rFonts w:ascii="Arial" w:hAnsi="Arial" w:cs="Arial"/>
          <w:bCs/>
        </w:rPr>
        <w:t xml:space="preserve"> years, with a weighted average remaining lease term of </w:t>
      </w:r>
      <w:r w:rsidRPr="00590787">
        <w:rPr>
          <w:rFonts w:ascii="Arial" w:hAnsi="Arial" w:cs="Arial"/>
          <w:bCs/>
        </w:rPr>
        <w:t>seven</w:t>
      </w:r>
      <w:r w:rsidRPr="00EB4495">
        <w:rPr>
          <w:rFonts w:ascii="Arial" w:hAnsi="Arial" w:cs="Arial"/>
          <w:bCs/>
        </w:rPr>
        <w:t xml:space="preserve"> years. </w:t>
      </w:r>
    </w:p>
    <w:p w14:paraId="65E19E69" w14:textId="6C9EF85B"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Completing </w:t>
      </w:r>
      <w:r w:rsidR="007F2E5C">
        <w:rPr>
          <w:rFonts w:ascii="Arial" w:hAnsi="Arial" w:cs="Arial"/>
          <w:bCs/>
        </w:rPr>
        <w:t>five</w:t>
      </w:r>
      <w:r w:rsidR="007F2E5C" w:rsidRPr="00EB4495">
        <w:rPr>
          <w:rFonts w:ascii="Arial" w:hAnsi="Arial" w:cs="Arial"/>
          <w:bCs/>
        </w:rPr>
        <w:t xml:space="preserve"> </w:t>
      </w:r>
      <w:r w:rsidRPr="00EB4495">
        <w:rPr>
          <w:rFonts w:ascii="Arial" w:hAnsi="Arial" w:cs="Arial"/>
          <w:bCs/>
        </w:rPr>
        <w:t>‘big-box’ rightsizings at B&amp;Q and Castorama France. Following the completion of our first rightsizing trial in March 2021, B&amp;Q Canterbury has achieved a YoY cost reduction of c.33</w:t>
      </w:r>
      <w:r w:rsidRPr="00EB4495">
        <w:rPr>
          <w:rFonts w:ascii="Arial" w:hAnsi="Arial" w:cs="Arial"/>
        </w:rPr>
        <w:t>%</w:t>
      </w:r>
      <w:r w:rsidRPr="00EB4495">
        <w:rPr>
          <w:rFonts w:ascii="Arial" w:hAnsi="Arial" w:cs="Arial"/>
          <w:bCs/>
        </w:rPr>
        <w:t xml:space="preserve">, with strong sales retention levels. </w:t>
      </w:r>
      <w:r w:rsidR="0064743E">
        <w:rPr>
          <w:rFonts w:ascii="Arial" w:hAnsi="Arial" w:cs="Arial"/>
          <w:bCs/>
        </w:rPr>
        <w:t>F</w:t>
      </w:r>
      <w:r w:rsidRPr="00EB4495">
        <w:rPr>
          <w:rFonts w:ascii="Arial" w:hAnsi="Arial" w:cs="Arial"/>
          <w:bCs/>
        </w:rPr>
        <w:t>urther rightsizings are planned at B&amp;Q and Castorama France in FY 22/23. For further details</w:t>
      </w:r>
      <w:r w:rsidR="009C2229">
        <w:rPr>
          <w:rFonts w:ascii="Arial" w:hAnsi="Arial" w:cs="Arial"/>
          <w:bCs/>
        </w:rPr>
        <w:t>,</w:t>
      </w:r>
      <w:r w:rsidRPr="00EB4495">
        <w:rPr>
          <w:rFonts w:ascii="Arial" w:hAnsi="Arial" w:cs="Arial"/>
          <w:bCs/>
        </w:rPr>
        <w:t xml:space="preserve"> please refer to </w:t>
      </w:r>
      <w:r w:rsidRPr="00EB4495">
        <w:rPr>
          <w:rFonts w:ascii="Arial" w:hAnsi="Arial" w:cs="Arial"/>
          <w:i/>
        </w:rPr>
        <w:t>‘</w:t>
      </w:r>
      <w:r w:rsidRPr="00EB4495">
        <w:rPr>
          <w:rFonts w:ascii="Arial" w:hAnsi="Arial" w:cs="Arial"/>
          <w:bCs/>
          <w:i/>
          <w:iCs/>
        </w:rPr>
        <w:t>Test compact store concepts and adapt our store footprint’</w:t>
      </w:r>
      <w:r w:rsidRPr="00EB4495">
        <w:rPr>
          <w:rFonts w:ascii="Arial" w:hAnsi="Arial" w:cs="Arial"/>
          <w:bCs/>
        </w:rPr>
        <w:t xml:space="preserve"> above.</w:t>
      </w:r>
    </w:p>
    <w:bookmarkEnd w:id="51"/>
    <w:p w14:paraId="2535BBF2" w14:textId="10CE6F06"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Optimising IT costs, including areas such as IT hosting, telecoms, and other network costs, </w:t>
      </w:r>
      <w:r w:rsidR="00D667B1">
        <w:rPr>
          <w:rFonts w:ascii="Arial" w:hAnsi="Arial" w:cs="Arial"/>
          <w:bCs/>
        </w:rPr>
        <w:t xml:space="preserve">and preparing the decommissioning of legacy </w:t>
      </w:r>
      <w:proofErr w:type="gramStart"/>
      <w:r w:rsidR="00D667B1">
        <w:rPr>
          <w:rFonts w:ascii="Arial" w:hAnsi="Arial" w:cs="Arial"/>
          <w:bCs/>
        </w:rPr>
        <w:t>systems</w:t>
      </w:r>
      <w:r w:rsidR="003760B6">
        <w:rPr>
          <w:rFonts w:ascii="Arial" w:hAnsi="Arial" w:cs="Arial"/>
          <w:bCs/>
        </w:rPr>
        <w:t>;</w:t>
      </w:r>
      <w:proofErr w:type="gramEnd"/>
      <w:r w:rsidR="00D667B1">
        <w:rPr>
          <w:rFonts w:ascii="Arial" w:hAnsi="Arial" w:cs="Arial"/>
          <w:bCs/>
        </w:rPr>
        <w:t xml:space="preserve"> </w:t>
      </w:r>
      <w:r w:rsidRPr="00EB4495">
        <w:rPr>
          <w:rFonts w:ascii="Arial" w:hAnsi="Arial" w:cs="Arial"/>
          <w:bCs/>
        </w:rPr>
        <w:t>while recognising that IT overall is an area of significant cost investment.</w:t>
      </w:r>
    </w:p>
    <w:p w14:paraId="1977EABD" w14:textId="07C1E1B7" w:rsidR="00084627" w:rsidRPr="00EB4495" w:rsidRDefault="00084627" w:rsidP="00B1555E">
      <w:pPr>
        <w:pStyle w:val="ListParagraph"/>
        <w:numPr>
          <w:ilvl w:val="0"/>
          <w:numId w:val="25"/>
        </w:numPr>
        <w:ind w:left="357" w:hanging="357"/>
        <w:jc w:val="left"/>
        <w:rPr>
          <w:rFonts w:ascii="Arial" w:hAnsi="Arial" w:cs="Arial"/>
          <w:bCs/>
        </w:rPr>
      </w:pPr>
      <w:r w:rsidRPr="00EB4495">
        <w:rPr>
          <w:rFonts w:ascii="Arial" w:hAnsi="Arial" w:cs="Arial"/>
          <w:bCs/>
        </w:rPr>
        <w:t xml:space="preserve">Implementing ongoing GNFR </w:t>
      </w:r>
      <w:r w:rsidR="004272D4">
        <w:rPr>
          <w:rFonts w:ascii="Arial" w:hAnsi="Arial" w:cs="Arial"/>
          <w:bCs/>
        </w:rPr>
        <w:t>procurement savings</w:t>
      </w:r>
      <w:r w:rsidRPr="00EB4495">
        <w:rPr>
          <w:rFonts w:ascii="Arial" w:hAnsi="Arial" w:cs="Arial"/>
          <w:bCs/>
        </w:rPr>
        <w:t>, further supported by sharing knowledge and best practices amongst all retail banners and facilitated by Group ‘Centres of Excellence’.</w:t>
      </w:r>
    </w:p>
    <w:p w14:paraId="28751480" w14:textId="77777777" w:rsidR="00084627" w:rsidRPr="00EB4495" w:rsidRDefault="00084627" w:rsidP="00B1555E">
      <w:pPr>
        <w:pStyle w:val="ListParagraph"/>
        <w:numPr>
          <w:ilvl w:val="0"/>
          <w:numId w:val="25"/>
        </w:numPr>
        <w:ind w:left="357" w:hanging="357"/>
        <w:jc w:val="left"/>
        <w:rPr>
          <w:rFonts w:ascii="Arial" w:hAnsi="Arial" w:cs="Arial"/>
          <w:bCs/>
        </w:rPr>
      </w:pPr>
      <w:r w:rsidRPr="00EB4495">
        <w:rPr>
          <w:rFonts w:ascii="Arial" w:hAnsi="Arial" w:cs="Arial"/>
          <w:bCs/>
        </w:rPr>
        <w:t>Expanding our shared services centre in Poland, adding more roles and enhancing Group-wide processes. We expect to be able to build on this capability over time.</w:t>
      </w:r>
    </w:p>
    <w:p w14:paraId="07DA6DBE" w14:textId="1BA6E9D1" w:rsidR="00314782" w:rsidRDefault="00084627" w:rsidP="00B1555E">
      <w:pPr>
        <w:pStyle w:val="ListParagraph"/>
        <w:numPr>
          <w:ilvl w:val="0"/>
          <w:numId w:val="25"/>
        </w:numPr>
        <w:ind w:left="357" w:hanging="357"/>
        <w:jc w:val="left"/>
        <w:rPr>
          <w:rFonts w:ascii="Arial" w:hAnsi="Arial" w:cs="Arial"/>
          <w:bCs/>
        </w:rPr>
      </w:pPr>
      <w:r w:rsidRPr="00314782">
        <w:rPr>
          <w:rFonts w:ascii="Arial" w:hAnsi="Arial" w:cs="Arial"/>
          <w:bCs/>
        </w:rPr>
        <w:t>Lowering clearance and disruption levels by significantly reducing the historical level of range reviews, and prioritising critical ranges.</w:t>
      </w:r>
    </w:p>
    <w:p w14:paraId="296679D6" w14:textId="77777777" w:rsidR="00276435" w:rsidRPr="00314782" w:rsidRDefault="00276435" w:rsidP="00E21F59">
      <w:pPr>
        <w:contextualSpacing/>
        <w:jc w:val="left"/>
        <w:rPr>
          <w:rFonts w:ascii="Arial" w:hAnsi="Arial" w:cs="Arial"/>
          <w:bCs/>
        </w:rPr>
      </w:pPr>
    </w:p>
    <w:p w14:paraId="61B0D828" w14:textId="1E3483BF" w:rsidR="00084627" w:rsidRPr="00EB4495" w:rsidRDefault="00084627" w:rsidP="00084627">
      <w:pPr>
        <w:contextualSpacing/>
        <w:jc w:val="left"/>
        <w:rPr>
          <w:rFonts w:ascii="Arial" w:hAnsi="Arial" w:cs="Arial"/>
          <w:bCs/>
        </w:rPr>
      </w:pPr>
      <w:r w:rsidRPr="00EB4495">
        <w:rPr>
          <w:rFonts w:ascii="Arial" w:hAnsi="Arial" w:cs="Arial"/>
          <w:color w:val="000000"/>
        </w:rPr>
        <w:t>COVID</w:t>
      </w:r>
      <w:r w:rsidRPr="00EB4495">
        <w:rPr>
          <w:rFonts w:ascii="Arial" w:eastAsia="Times New Roman" w:hAnsi="Arial" w:cs="Arial"/>
          <w:color w:val="000000"/>
        </w:rPr>
        <w:t>-related</w:t>
      </w:r>
      <w:r w:rsidRPr="00EB4495">
        <w:rPr>
          <w:rFonts w:ascii="Arial" w:hAnsi="Arial" w:cs="Arial"/>
          <w:color w:val="000000"/>
        </w:rPr>
        <w:t xml:space="preserve"> costs </w:t>
      </w:r>
      <w:r w:rsidRPr="00EB4495">
        <w:rPr>
          <w:rFonts w:ascii="Arial" w:eastAsia="Times New Roman" w:hAnsi="Arial" w:cs="Arial"/>
          <w:color w:val="000000"/>
        </w:rPr>
        <w:t>(including</w:t>
      </w:r>
      <w:r w:rsidRPr="00EB4495">
        <w:rPr>
          <w:rFonts w:ascii="Arial" w:hAnsi="Arial" w:cs="Arial"/>
          <w:color w:val="000000"/>
        </w:rPr>
        <w:t xml:space="preserve"> costs </w:t>
      </w:r>
      <w:r w:rsidRPr="00EB4495">
        <w:rPr>
          <w:rFonts w:ascii="Arial" w:eastAsia="Times New Roman" w:hAnsi="Arial" w:cs="Arial"/>
          <w:color w:val="000000"/>
        </w:rPr>
        <w:t>of PPE, extra store security and additional bonuses</w:t>
      </w:r>
      <w:r w:rsidRPr="00EB4495">
        <w:rPr>
          <w:rFonts w:ascii="Arial" w:hAnsi="Arial" w:cs="Arial"/>
          <w:color w:val="000000"/>
        </w:rPr>
        <w:t xml:space="preserve"> to </w:t>
      </w:r>
      <w:r w:rsidRPr="00EB4495">
        <w:rPr>
          <w:rFonts w:ascii="Arial" w:eastAsia="Times New Roman" w:hAnsi="Arial" w:cs="Arial"/>
          <w:color w:val="000000"/>
        </w:rPr>
        <w:t>frontline store colleagues)</w:t>
      </w:r>
      <w:r w:rsidRPr="00EB4495">
        <w:rPr>
          <w:rFonts w:ascii="Arial" w:hAnsi="Arial" w:cs="Arial"/>
          <w:bCs/>
        </w:rPr>
        <w:t xml:space="preserve"> were </w:t>
      </w:r>
      <w:r w:rsidRPr="00540186">
        <w:rPr>
          <w:rFonts w:ascii="Arial" w:hAnsi="Arial" w:cs="Arial"/>
          <w:bCs/>
        </w:rPr>
        <w:t>£</w:t>
      </w:r>
      <w:r w:rsidR="00D744D7">
        <w:rPr>
          <w:rFonts w:ascii="Arial" w:hAnsi="Arial" w:cs="Arial"/>
          <w:bCs/>
        </w:rPr>
        <w:t>18</w:t>
      </w:r>
      <w:r w:rsidR="00812DD3" w:rsidRPr="00540186">
        <w:rPr>
          <w:rFonts w:ascii="Arial" w:hAnsi="Arial" w:cs="Arial"/>
          <w:bCs/>
        </w:rPr>
        <w:t>m</w:t>
      </w:r>
      <w:r w:rsidR="00812DD3" w:rsidRPr="00EB4495">
        <w:rPr>
          <w:rFonts w:ascii="Arial" w:hAnsi="Arial" w:cs="Arial"/>
          <w:bCs/>
        </w:rPr>
        <w:t xml:space="preserve"> </w:t>
      </w:r>
      <w:r w:rsidRPr="00EB4495">
        <w:rPr>
          <w:rFonts w:ascii="Arial" w:hAnsi="Arial" w:cs="Arial"/>
          <w:bCs/>
        </w:rPr>
        <w:t>in FY 21/22, in line with our expectations, and considerably lower than the prior year (FY 20/21: £</w:t>
      </w:r>
      <w:r w:rsidRPr="00EB4495">
        <w:rPr>
          <w:rFonts w:ascii="Arial" w:hAnsi="Arial" w:cs="Arial"/>
        </w:rPr>
        <w:t>45</w:t>
      </w:r>
      <w:r w:rsidRPr="00EB4495">
        <w:rPr>
          <w:rFonts w:ascii="Arial" w:hAnsi="Arial" w:cs="Arial"/>
          <w:bCs/>
        </w:rPr>
        <w:t xml:space="preserve">m). These are accounted for in retail profit and not as adjusting items. We expect to continue reducing these costs going forward. </w:t>
      </w:r>
    </w:p>
    <w:p w14:paraId="586150F8" w14:textId="5E7507A4" w:rsidR="00C117F2" w:rsidRDefault="00C117F2" w:rsidP="00987932">
      <w:pPr>
        <w:jc w:val="left"/>
        <w:rPr>
          <w:rFonts w:ascii="Arial" w:hAnsi="Arial" w:cs="Arial"/>
          <w:bCs/>
        </w:rPr>
      </w:pPr>
      <w:r>
        <w:rPr>
          <w:rFonts w:ascii="Arial" w:hAnsi="Arial" w:cs="Arial"/>
          <w:bCs/>
        </w:rPr>
        <w:br w:type="page"/>
      </w:r>
    </w:p>
    <w:p w14:paraId="286C1D27" w14:textId="77777777" w:rsidR="00084627" w:rsidRPr="00EB4495" w:rsidRDefault="00084627" w:rsidP="00084627">
      <w:pPr>
        <w:contextualSpacing/>
        <w:jc w:val="left"/>
        <w:rPr>
          <w:rFonts w:ascii="Arial" w:hAnsi="Arial" w:cs="Arial"/>
          <w:b/>
          <w:u w:val="single"/>
        </w:rPr>
      </w:pPr>
      <w:r w:rsidRPr="00EB4495">
        <w:rPr>
          <w:rFonts w:ascii="Arial" w:hAnsi="Arial" w:cs="Arial"/>
          <w:b/>
          <w:u w:val="single"/>
        </w:rPr>
        <w:lastRenderedPageBreak/>
        <w:t>Sourcing and inventory</w:t>
      </w:r>
    </w:p>
    <w:bookmarkEnd w:id="48"/>
    <w:p w14:paraId="0C3DA5A5" w14:textId="6AD2D16A" w:rsidR="003873FD" w:rsidRDefault="003873FD" w:rsidP="00084627">
      <w:pPr>
        <w:contextualSpacing/>
        <w:jc w:val="left"/>
        <w:rPr>
          <w:rFonts w:ascii="Arial" w:hAnsi="Arial" w:cs="Arial"/>
        </w:rPr>
      </w:pPr>
      <w:r w:rsidRPr="003873FD">
        <w:rPr>
          <w:rFonts w:ascii="Arial" w:hAnsi="Arial" w:cs="Arial"/>
        </w:rPr>
        <w:t>In sourcing and buying, we continue to deliver cost efficiencies by leveraging our Group scale. </w:t>
      </w:r>
      <w:r w:rsidR="00015E51">
        <w:rPr>
          <w:rFonts w:ascii="Arial" w:hAnsi="Arial" w:cs="Arial"/>
        </w:rPr>
        <w:t>Through the use of a value engineering approach, we continue to deliver s</w:t>
      </w:r>
      <w:r w:rsidRPr="003873FD">
        <w:rPr>
          <w:rFonts w:ascii="Arial" w:hAnsi="Arial" w:cs="Arial"/>
        </w:rPr>
        <w:t>ourcing benefits</w:t>
      </w:r>
      <w:r w:rsidR="00015E51">
        <w:rPr>
          <w:rFonts w:ascii="Arial" w:hAnsi="Arial" w:cs="Arial"/>
        </w:rPr>
        <w:t xml:space="preserve"> on </w:t>
      </w:r>
      <w:r w:rsidRPr="003873FD">
        <w:rPr>
          <w:rFonts w:ascii="Arial" w:hAnsi="Arial" w:cs="Arial"/>
        </w:rPr>
        <w:t>our large OEB product base (45% of Group sales in FY</w:t>
      </w:r>
      <w:r>
        <w:rPr>
          <w:rFonts w:ascii="Arial" w:hAnsi="Arial" w:cs="Arial"/>
        </w:rPr>
        <w:t xml:space="preserve"> </w:t>
      </w:r>
      <w:r w:rsidRPr="003873FD">
        <w:rPr>
          <w:rFonts w:ascii="Arial" w:hAnsi="Arial" w:cs="Arial"/>
        </w:rPr>
        <w:t>21/22)</w:t>
      </w:r>
      <w:r w:rsidR="00015E51">
        <w:rPr>
          <w:rFonts w:ascii="Arial" w:hAnsi="Arial" w:cs="Arial"/>
        </w:rPr>
        <w:t xml:space="preserve">, which </w:t>
      </w:r>
      <w:r w:rsidRPr="003873FD">
        <w:rPr>
          <w:rFonts w:ascii="Arial" w:hAnsi="Arial" w:cs="Arial"/>
        </w:rPr>
        <w:t xml:space="preserve">helped to partly mitigate the impact of cost price inflation </w:t>
      </w:r>
      <w:r w:rsidR="00015E51">
        <w:rPr>
          <w:rFonts w:ascii="Arial" w:hAnsi="Arial" w:cs="Arial"/>
        </w:rPr>
        <w:t xml:space="preserve">during the </w:t>
      </w:r>
      <w:r w:rsidRPr="003873FD">
        <w:rPr>
          <w:rFonts w:ascii="Arial" w:hAnsi="Arial" w:cs="Arial"/>
        </w:rPr>
        <w:t xml:space="preserve">year. We accelerated our sourcing diversification plan by increasing our </w:t>
      </w:r>
      <w:r>
        <w:rPr>
          <w:rFonts w:ascii="Arial" w:hAnsi="Arial" w:cs="Arial"/>
        </w:rPr>
        <w:t>‘</w:t>
      </w:r>
      <w:r w:rsidRPr="003873FD">
        <w:rPr>
          <w:rFonts w:ascii="Arial" w:hAnsi="Arial" w:cs="Arial"/>
        </w:rPr>
        <w:t>near</w:t>
      </w:r>
      <w:r>
        <w:rPr>
          <w:rFonts w:ascii="Arial" w:hAnsi="Arial" w:cs="Arial"/>
        </w:rPr>
        <w:t>-</w:t>
      </w:r>
      <w:r w:rsidRPr="003873FD">
        <w:rPr>
          <w:rFonts w:ascii="Arial" w:hAnsi="Arial" w:cs="Arial"/>
        </w:rPr>
        <w:t>sourcing</w:t>
      </w:r>
      <w:r>
        <w:rPr>
          <w:rFonts w:ascii="Arial" w:hAnsi="Arial" w:cs="Arial"/>
        </w:rPr>
        <w:t>’</w:t>
      </w:r>
      <w:r w:rsidRPr="003873FD">
        <w:rPr>
          <w:rFonts w:ascii="Arial" w:hAnsi="Arial" w:cs="Arial"/>
        </w:rPr>
        <w:t xml:space="preserve"> footprint using dual sourcing. In addition, we are in the process of renewing strategic partnerships with several of our top international brands.</w:t>
      </w:r>
    </w:p>
    <w:p w14:paraId="02485A57" w14:textId="77777777" w:rsidR="003873FD" w:rsidRPr="00EB4495" w:rsidRDefault="003873FD" w:rsidP="00084627">
      <w:pPr>
        <w:contextualSpacing/>
        <w:jc w:val="left"/>
        <w:rPr>
          <w:rFonts w:ascii="Arial" w:hAnsi="Arial" w:cs="Arial"/>
        </w:rPr>
      </w:pPr>
    </w:p>
    <w:p w14:paraId="4783E035" w14:textId="6DFE4B7E" w:rsidR="00084627" w:rsidRPr="00EB4495" w:rsidRDefault="00084627" w:rsidP="00084627">
      <w:pPr>
        <w:jc w:val="left"/>
        <w:rPr>
          <w:rFonts w:ascii="Arial" w:hAnsi="Arial" w:cs="Arial"/>
        </w:rPr>
      </w:pPr>
      <w:r w:rsidRPr="00EB4495">
        <w:rPr>
          <w:rFonts w:ascii="Arial" w:hAnsi="Arial" w:cs="Arial"/>
        </w:rPr>
        <w:t xml:space="preserve">As described in the </w:t>
      </w:r>
      <w:r w:rsidRPr="00EB4495">
        <w:rPr>
          <w:rFonts w:ascii="Arial" w:hAnsi="Arial" w:cs="Arial"/>
          <w:i/>
          <w:iCs/>
        </w:rPr>
        <w:t>‘Supply, availability and logistics’</w:t>
      </w:r>
      <w:r w:rsidRPr="00EB4495">
        <w:rPr>
          <w:rFonts w:ascii="Arial" w:hAnsi="Arial" w:cs="Arial"/>
        </w:rPr>
        <w:t xml:space="preserve"> section above, ‘best seller’ product availability has gradually improved during the year and is currently above where it was at the start of FY 21/22. In addition, we are benefiting from an improvement in our inventory health YoY, due to lower delisted and slow-moving stock. </w:t>
      </w:r>
      <w:bookmarkStart w:id="52" w:name="_Hlk65504198"/>
      <w:r w:rsidRPr="00EB4495">
        <w:rPr>
          <w:rFonts w:ascii="Arial" w:hAnsi="Arial" w:cs="Arial"/>
        </w:rPr>
        <w:t xml:space="preserve">Our initiatives to reduce same-store inventory include better ranging and deployment (with a focus on removing slow-moving inventory), better planning and forecasting, and continued strong levels of product demand. Completing our SAP roll-out and further implementing and optimising our Group digital technology stack will support these initiatives. </w:t>
      </w:r>
    </w:p>
    <w:p w14:paraId="293D3835" w14:textId="77777777" w:rsidR="00084627" w:rsidRPr="00EB4495" w:rsidRDefault="00084627" w:rsidP="00084627">
      <w:pPr>
        <w:jc w:val="left"/>
        <w:rPr>
          <w:rFonts w:ascii="Arial" w:hAnsi="Arial" w:cs="Arial"/>
        </w:rPr>
      </w:pPr>
    </w:p>
    <w:p w14:paraId="2CA212C3" w14:textId="7EFD2828" w:rsidR="00084627" w:rsidRPr="00EB4495" w:rsidRDefault="00084627" w:rsidP="00084627">
      <w:pPr>
        <w:jc w:val="left"/>
        <w:rPr>
          <w:rFonts w:ascii="Arial" w:hAnsi="Arial" w:cs="Arial"/>
        </w:rPr>
      </w:pPr>
      <w:bookmarkStart w:id="53" w:name="_Hlk82441342"/>
      <w:r w:rsidRPr="00EB4495">
        <w:rPr>
          <w:rFonts w:ascii="Arial" w:hAnsi="Arial" w:cs="Arial"/>
        </w:rPr>
        <w:t xml:space="preserve">Net inventory at the end of FY 21/22 increased by £261m to £2,749m (FY 20/21: £2,488m), driven by the rebuilding of inventory levels (accelerated by an earlier Chinese New Year </w:t>
      </w:r>
      <w:r w:rsidR="00560521">
        <w:rPr>
          <w:rFonts w:ascii="Arial" w:hAnsi="Arial" w:cs="Arial"/>
        </w:rPr>
        <w:t xml:space="preserve">at the end of </w:t>
      </w:r>
      <w:r w:rsidRPr="00EB4495">
        <w:rPr>
          <w:rFonts w:ascii="Arial" w:hAnsi="Arial" w:cs="Arial"/>
        </w:rPr>
        <w:t xml:space="preserve">January 2022), the impact of inflation and store expansion. </w:t>
      </w:r>
      <w:r w:rsidR="003149FB">
        <w:rPr>
          <w:rFonts w:ascii="Arial" w:hAnsi="Arial" w:cs="Arial"/>
        </w:rPr>
        <w:t xml:space="preserve">This </w:t>
      </w:r>
      <w:r w:rsidR="002D4AB3">
        <w:rPr>
          <w:rFonts w:ascii="Arial" w:hAnsi="Arial" w:cs="Arial"/>
        </w:rPr>
        <w:t xml:space="preserve">was partially offset by the impact of exchange rate movements. </w:t>
      </w:r>
      <w:r w:rsidRPr="00EB4495">
        <w:rPr>
          <w:rFonts w:ascii="Arial" w:hAnsi="Arial" w:cs="Arial"/>
        </w:rPr>
        <w:t xml:space="preserve">We </w:t>
      </w:r>
      <w:r w:rsidR="008933AD">
        <w:rPr>
          <w:rFonts w:ascii="Arial" w:hAnsi="Arial" w:cs="Arial"/>
        </w:rPr>
        <w:t xml:space="preserve">also </w:t>
      </w:r>
      <w:r w:rsidRPr="00EB4495">
        <w:rPr>
          <w:rFonts w:ascii="Arial" w:hAnsi="Arial" w:cs="Arial"/>
        </w:rPr>
        <w:t>had exceptionally low inventory in the prior year, caused by COVID-related delays and strong sales.</w:t>
      </w:r>
      <w:bookmarkEnd w:id="52"/>
      <w:r w:rsidRPr="00EB4495">
        <w:rPr>
          <w:rFonts w:ascii="Arial" w:hAnsi="Arial" w:cs="Arial"/>
        </w:rPr>
        <w:t xml:space="preserve"> </w:t>
      </w:r>
    </w:p>
    <w:p w14:paraId="60B67D95" w14:textId="77777777" w:rsidR="00084627" w:rsidRPr="00EB4495" w:rsidRDefault="00084627" w:rsidP="00084627">
      <w:pPr>
        <w:jc w:val="left"/>
        <w:rPr>
          <w:rFonts w:ascii="Arial" w:hAnsi="Arial" w:cs="Arial"/>
        </w:rPr>
      </w:pPr>
    </w:p>
    <w:p w14:paraId="53FCA68D" w14:textId="3B60E02E" w:rsidR="00084627" w:rsidRPr="00EB4495" w:rsidRDefault="00084627" w:rsidP="00084627">
      <w:pPr>
        <w:jc w:val="left"/>
        <w:rPr>
          <w:rFonts w:ascii="Arial" w:hAnsi="Arial" w:cs="Arial"/>
        </w:rPr>
      </w:pPr>
      <w:r w:rsidRPr="00EB4495">
        <w:rPr>
          <w:rFonts w:ascii="Arial" w:hAnsi="Arial" w:cs="Arial"/>
        </w:rPr>
        <w:t xml:space="preserve">Same-store net inventory* (in constant currency) </w:t>
      </w:r>
      <w:r w:rsidRPr="00085CE1">
        <w:rPr>
          <w:rFonts w:ascii="Arial" w:hAnsi="Arial" w:cs="Arial"/>
        </w:rPr>
        <w:t xml:space="preserve">increased </w:t>
      </w:r>
      <w:r w:rsidRPr="004364F2">
        <w:rPr>
          <w:rFonts w:ascii="Arial" w:hAnsi="Arial" w:cs="Arial"/>
        </w:rPr>
        <w:t>by £</w:t>
      </w:r>
      <w:r w:rsidR="00085CE1" w:rsidRPr="004364F2">
        <w:rPr>
          <w:rFonts w:ascii="Arial" w:hAnsi="Arial" w:cs="Arial"/>
        </w:rPr>
        <w:t>3</w:t>
      </w:r>
      <w:r w:rsidR="000E1790">
        <w:rPr>
          <w:rFonts w:ascii="Arial" w:hAnsi="Arial" w:cs="Arial"/>
        </w:rPr>
        <w:t>21</w:t>
      </w:r>
      <w:r w:rsidR="00085CE1" w:rsidRPr="004364F2">
        <w:rPr>
          <w:rFonts w:ascii="Arial" w:hAnsi="Arial" w:cs="Arial"/>
        </w:rPr>
        <w:t xml:space="preserve">m </w:t>
      </w:r>
      <w:r w:rsidRPr="004364F2">
        <w:rPr>
          <w:rFonts w:ascii="Arial" w:hAnsi="Arial" w:cs="Arial"/>
        </w:rPr>
        <w:t>(</w:t>
      </w:r>
      <w:r w:rsidR="00085CE1" w:rsidRPr="004364F2">
        <w:rPr>
          <w:rFonts w:ascii="Arial" w:hAnsi="Arial" w:cs="Arial"/>
        </w:rPr>
        <w:t>13</w:t>
      </w:r>
      <w:r w:rsidRPr="004364F2">
        <w:rPr>
          <w:rFonts w:ascii="Arial" w:hAnsi="Arial" w:cs="Arial"/>
        </w:rPr>
        <w:t>%)</w:t>
      </w:r>
      <w:r w:rsidRPr="00085CE1">
        <w:rPr>
          <w:rFonts w:ascii="Arial" w:hAnsi="Arial" w:cs="Arial"/>
        </w:rPr>
        <w:t>.</w:t>
      </w:r>
      <w:r w:rsidRPr="00EB4495">
        <w:rPr>
          <w:rFonts w:ascii="Arial" w:hAnsi="Arial" w:cs="Arial"/>
        </w:rPr>
        <w:t xml:space="preserve"> On a 2-year basis the increase in same-store inventory (in constant currency) </w:t>
      </w:r>
      <w:r w:rsidRPr="004364F2">
        <w:rPr>
          <w:rFonts w:ascii="Arial" w:hAnsi="Arial" w:cs="Arial"/>
        </w:rPr>
        <w:t>was £</w:t>
      </w:r>
      <w:r w:rsidR="00085CE1" w:rsidRPr="004364F2">
        <w:rPr>
          <w:rFonts w:ascii="Arial" w:hAnsi="Arial" w:cs="Arial"/>
        </w:rPr>
        <w:t>27</w:t>
      </w:r>
      <w:r w:rsidR="000E1790">
        <w:rPr>
          <w:rFonts w:ascii="Arial" w:hAnsi="Arial" w:cs="Arial"/>
        </w:rPr>
        <w:t>6</w:t>
      </w:r>
      <w:r w:rsidR="00085CE1" w:rsidRPr="004364F2">
        <w:rPr>
          <w:rFonts w:ascii="Arial" w:hAnsi="Arial" w:cs="Arial"/>
        </w:rPr>
        <w:t xml:space="preserve">m </w:t>
      </w:r>
      <w:r w:rsidRPr="004364F2">
        <w:rPr>
          <w:rFonts w:ascii="Arial" w:hAnsi="Arial" w:cs="Arial"/>
        </w:rPr>
        <w:t>(11%),</w:t>
      </w:r>
      <w:r w:rsidRPr="00EB4495">
        <w:rPr>
          <w:rFonts w:ascii="Arial" w:hAnsi="Arial" w:cs="Arial"/>
        </w:rPr>
        <w:t xml:space="preserve"> with net stock days </w:t>
      </w:r>
      <w:r w:rsidR="00085CE1">
        <w:rPr>
          <w:rFonts w:ascii="Arial" w:hAnsi="Arial" w:cs="Arial"/>
        </w:rPr>
        <w:t>9</w:t>
      </w:r>
      <w:r w:rsidRPr="00EB4495">
        <w:rPr>
          <w:rFonts w:ascii="Arial" w:hAnsi="Arial" w:cs="Arial"/>
        </w:rPr>
        <w:t xml:space="preserve">% </w:t>
      </w:r>
      <w:r w:rsidR="005F5CDF">
        <w:rPr>
          <w:rFonts w:ascii="Arial" w:hAnsi="Arial" w:cs="Arial"/>
        </w:rPr>
        <w:t xml:space="preserve">(12 days) </w:t>
      </w:r>
      <w:r w:rsidRPr="00EB4495">
        <w:rPr>
          <w:rFonts w:ascii="Arial" w:hAnsi="Arial" w:cs="Arial"/>
        </w:rPr>
        <w:t xml:space="preserve">lower than </w:t>
      </w:r>
      <w:r w:rsidR="004839A6">
        <w:rPr>
          <w:rFonts w:ascii="Arial" w:hAnsi="Arial" w:cs="Arial"/>
        </w:rPr>
        <w:t>FY 19/20</w:t>
      </w:r>
      <w:r w:rsidRPr="00EB4495">
        <w:rPr>
          <w:rFonts w:ascii="Arial" w:hAnsi="Arial" w:cs="Arial"/>
        </w:rPr>
        <w:t xml:space="preserve"> (excluding Russia), reflecting our improved inventory management initiatives. Net stock days </w:t>
      </w:r>
      <w:r w:rsidR="00085CE1">
        <w:rPr>
          <w:rFonts w:ascii="Arial" w:hAnsi="Arial" w:cs="Arial"/>
        </w:rPr>
        <w:t>increased</w:t>
      </w:r>
      <w:r w:rsidR="00085CE1" w:rsidRPr="00EB4495">
        <w:rPr>
          <w:rFonts w:ascii="Arial" w:hAnsi="Arial" w:cs="Arial"/>
        </w:rPr>
        <w:t xml:space="preserve"> </w:t>
      </w:r>
      <w:r w:rsidRPr="00EB4495">
        <w:rPr>
          <w:rFonts w:ascii="Arial" w:hAnsi="Arial" w:cs="Arial"/>
        </w:rPr>
        <w:t xml:space="preserve">by </w:t>
      </w:r>
      <w:r w:rsidRPr="004364F2">
        <w:rPr>
          <w:rFonts w:ascii="Arial" w:hAnsi="Arial" w:cs="Arial"/>
        </w:rPr>
        <w:t>1% YoY in FY 21/22</w:t>
      </w:r>
      <w:r w:rsidR="00106351" w:rsidRPr="00085CE1">
        <w:rPr>
          <w:rFonts w:ascii="Arial" w:hAnsi="Arial" w:cs="Arial"/>
        </w:rPr>
        <w:t>,</w:t>
      </w:r>
      <w:r w:rsidR="00106351">
        <w:rPr>
          <w:rFonts w:ascii="Arial" w:hAnsi="Arial" w:cs="Arial"/>
        </w:rPr>
        <w:t xml:space="preserve"> with </w:t>
      </w:r>
      <w:r w:rsidR="00085CE1">
        <w:rPr>
          <w:rFonts w:ascii="Arial" w:hAnsi="Arial" w:cs="Arial"/>
        </w:rPr>
        <w:t>store openings, inflation and earlier seasonal purchases due to Chinese New Year</w:t>
      </w:r>
      <w:r w:rsidR="00560521">
        <w:rPr>
          <w:rFonts w:ascii="Arial" w:hAnsi="Arial" w:cs="Arial"/>
        </w:rPr>
        <w:t>;</w:t>
      </w:r>
      <w:r w:rsidR="00085CE1">
        <w:rPr>
          <w:rFonts w:ascii="Arial" w:hAnsi="Arial" w:cs="Arial"/>
        </w:rPr>
        <w:t xml:space="preserve"> </w:t>
      </w:r>
      <w:r w:rsidR="00106351">
        <w:rPr>
          <w:rFonts w:ascii="Arial" w:hAnsi="Arial" w:cs="Arial"/>
        </w:rPr>
        <w:t>partly offset by</w:t>
      </w:r>
      <w:r w:rsidR="00C534C8">
        <w:rPr>
          <w:rFonts w:ascii="Arial" w:hAnsi="Arial" w:cs="Arial"/>
        </w:rPr>
        <w:t xml:space="preserve"> </w:t>
      </w:r>
      <w:r w:rsidR="00085CE1">
        <w:rPr>
          <w:rFonts w:ascii="Arial" w:hAnsi="Arial" w:cs="Arial"/>
        </w:rPr>
        <w:t>efficiencies achieved and clearance activity</w:t>
      </w:r>
      <w:r w:rsidR="00C8451F">
        <w:rPr>
          <w:rFonts w:ascii="Arial" w:hAnsi="Arial" w:cs="Arial"/>
        </w:rPr>
        <w:t xml:space="preserve">. </w:t>
      </w:r>
    </w:p>
    <w:p w14:paraId="1E8E5EDE" w14:textId="77777777" w:rsidR="00084627" w:rsidRPr="00EB4495" w:rsidRDefault="00084627" w:rsidP="00084627">
      <w:pPr>
        <w:jc w:val="left"/>
        <w:rPr>
          <w:rFonts w:ascii="Arial" w:hAnsi="Arial" w:cs="Arial"/>
        </w:rPr>
      </w:pPr>
    </w:p>
    <w:p w14:paraId="56DA36D9" w14:textId="40BC8368" w:rsidR="00084627" w:rsidRPr="00EB4495" w:rsidRDefault="00084627" w:rsidP="00084627">
      <w:pPr>
        <w:jc w:val="left"/>
        <w:rPr>
          <w:rFonts w:ascii="Arial" w:hAnsi="Arial" w:cs="Arial"/>
        </w:rPr>
      </w:pPr>
      <w:r w:rsidRPr="00EB4495">
        <w:rPr>
          <w:rFonts w:ascii="Arial" w:hAnsi="Arial" w:cs="Arial"/>
        </w:rPr>
        <w:t>Our priority over the last two years has been to secure inventory and improve availability for our customers, amidst unprecedented global supply chain and logistics challenges</w:t>
      </w:r>
      <w:r w:rsidR="00E81B23">
        <w:rPr>
          <w:rFonts w:ascii="Arial" w:hAnsi="Arial" w:cs="Arial"/>
        </w:rPr>
        <w:t xml:space="preserve">, as well as </w:t>
      </w:r>
      <w:r w:rsidR="00BD18E8">
        <w:rPr>
          <w:rFonts w:ascii="Arial" w:hAnsi="Arial" w:cs="Arial"/>
        </w:rPr>
        <w:t xml:space="preserve">to </w:t>
      </w:r>
      <w:r w:rsidR="00E81B23">
        <w:rPr>
          <w:rFonts w:ascii="Arial" w:hAnsi="Arial" w:cs="Arial"/>
        </w:rPr>
        <w:t>improv</w:t>
      </w:r>
      <w:r w:rsidR="00BD18E8">
        <w:rPr>
          <w:rFonts w:ascii="Arial" w:hAnsi="Arial" w:cs="Arial"/>
        </w:rPr>
        <w:t>e</w:t>
      </w:r>
      <w:r w:rsidR="00E81B23">
        <w:rPr>
          <w:rFonts w:ascii="Arial" w:hAnsi="Arial" w:cs="Arial"/>
        </w:rPr>
        <w:t xml:space="preserve"> the quality of our inve</w:t>
      </w:r>
      <w:r w:rsidR="009F04F9">
        <w:rPr>
          <w:rFonts w:ascii="Arial" w:hAnsi="Arial" w:cs="Arial"/>
        </w:rPr>
        <w:t>n</w:t>
      </w:r>
      <w:r w:rsidR="00E81B23">
        <w:rPr>
          <w:rFonts w:ascii="Arial" w:hAnsi="Arial" w:cs="Arial"/>
        </w:rPr>
        <w:t>to</w:t>
      </w:r>
      <w:r w:rsidR="009F04F9">
        <w:rPr>
          <w:rFonts w:ascii="Arial" w:hAnsi="Arial" w:cs="Arial"/>
        </w:rPr>
        <w:t>ry</w:t>
      </w:r>
      <w:r w:rsidRPr="00EB4495">
        <w:rPr>
          <w:rFonts w:ascii="Arial" w:hAnsi="Arial" w:cs="Arial"/>
        </w:rPr>
        <w:t xml:space="preserve">. As and when a more ‘normalised’ environment emerges, we believe there are opportunities to unlock </w:t>
      </w:r>
      <w:r w:rsidR="00D80BE9">
        <w:rPr>
          <w:rFonts w:ascii="Arial" w:hAnsi="Arial" w:cs="Arial"/>
        </w:rPr>
        <w:t xml:space="preserve">further </w:t>
      </w:r>
      <w:r w:rsidRPr="00EB4495">
        <w:rPr>
          <w:rFonts w:ascii="Arial" w:hAnsi="Arial" w:cs="Arial"/>
        </w:rPr>
        <w:t>efficiencies in our supply chain and inventory management.</w:t>
      </w:r>
    </w:p>
    <w:p w14:paraId="0C77189F" w14:textId="77777777" w:rsidR="00084627" w:rsidRPr="00EB4495" w:rsidRDefault="00084627" w:rsidP="00084627">
      <w:pPr>
        <w:jc w:val="left"/>
        <w:rPr>
          <w:rFonts w:ascii="Arial" w:hAnsi="Arial" w:cs="Arial"/>
        </w:rPr>
      </w:pPr>
    </w:p>
    <w:bookmarkEnd w:id="53"/>
    <w:p w14:paraId="4FF853EB" w14:textId="77777777" w:rsidR="00084627" w:rsidRPr="00EB4495" w:rsidRDefault="00084627" w:rsidP="00084627">
      <w:pPr>
        <w:pStyle w:val="ListParagraph"/>
        <w:numPr>
          <w:ilvl w:val="0"/>
          <w:numId w:val="23"/>
        </w:numPr>
        <w:contextualSpacing/>
        <w:jc w:val="left"/>
        <w:rPr>
          <w:rFonts w:ascii="Arial" w:hAnsi="Arial" w:cs="Arial"/>
          <w:b/>
        </w:rPr>
      </w:pPr>
      <w:r w:rsidRPr="00EB4495">
        <w:rPr>
          <w:rFonts w:ascii="Arial" w:hAnsi="Arial" w:cs="Arial"/>
          <w:b/>
          <w:u w:val="single"/>
        </w:rPr>
        <w:t xml:space="preserve">Lead the industry in Responsible Business practices </w:t>
      </w:r>
    </w:p>
    <w:p w14:paraId="04B83524" w14:textId="77777777" w:rsidR="00084627" w:rsidRPr="00EB4495" w:rsidRDefault="00084627" w:rsidP="00084627">
      <w:pPr>
        <w:jc w:val="left"/>
        <w:rPr>
          <w:rFonts w:ascii="Arial" w:eastAsia="Times New Roman" w:hAnsi="Arial" w:cs="Arial"/>
          <w:i/>
          <w:iCs/>
        </w:rPr>
      </w:pPr>
      <w:r w:rsidRPr="00EB4495">
        <w:rPr>
          <w:rFonts w:ascii="Arial" w:hAnsi="Arial" w:cs="Arial"/>
          <w:i/>
          <w:iCs/>
        </w:rPr>
        <w:t xml:space="preserve">We are committed to leading our industry in responsible business practices. </w:t>
      </w:r>
      <w:r w:rsidRPr="00EB4495">
        <w:rPr>
          <w:rFonts w:ascii="Arial" w:eastAsia="Times New Roman" w:hAnsi="Arial" w:cs="Arial"/>
          <w:i/>
          <w:iCs/>
        </w:rPr>
        <w:t xml:space="preserve">Building on our strong Environmental, Social, and Governance (ESG) credentials, our ‘Powered by Kingfisher’ strategy sets out four priority areas for Responsible Business, where we can </w:t>
      </w:r>
      <w:r w:rsidRPr="00EB4495">
        <w:rPr>
          <w:rFonts w:ascii="Arial" w:hAnsi="Arial" w:cs="Arial"/>
          <w:i/>
          <w:iCs/>
        </w:rPr>
        <w:t>maximise our positive impact on the lives of our customers, colleagues, communities and the planet.</w:t>
      </w:r>
      <w:r w:rsidRPr="00EB4495">
        <w:rPr>
          <w:rFonts w:ascii="Arial" w:eastAsia="Times New Roman" w:hAnsi="Arial" w:cs="Arial"/>
          <w:i/>
          <w:iCs/>
        </w:rPr>
        <w:t xml:space="preserve"> </w:t>
      </w:r>
    </w:p>
    <w:p w14:paraId="29DB6698" w14:textId="77777777" w:rsidR="00084627" w:rsidRPr="00EB4495" w:rsidRDefault="00084627" w:rsidP="00084627">
      <w:pPr>
        <w:jc w:val="left"/>
        <w:rPr>
          <w:rFonts w:ascii="Arial" w:hAnsi="Arial" w:cs="Arial"/>
        </w:rPr>
      </w:pPr>
    </w:p>
    <w:p w14:paraId="60FB97C1" w14:textId="77777777" w:rsidR="00084627" w:rsidRPr="00EB4495" w:rsidRDefault="00084627" w:rsidP="00084627">
      <w:pPr>
        <w:jc w:val="left"/>
        <w:rPr>
          <w:rFonts w:ascii="Arial" w:hAnsi="Arial" w:cs="Arial"/>
          <w:b/>
          <w:bCs/>
          <w:u w:val="single"/>
        </w:rPr>
      </w:pPr>
      <w:r w:rsidRPr="00EB4495">
        <w:rPr>
          <w:rFonts w:ascii="Arial" w:hAnsi="Arial" w:cs="Arial"/>
          <w:b/>
          <w:bCs/>
          <w:u w:val="single"/>
        </w:rPr>
        <w:t>Colleagues</w:t>
      </w:r>
    </w:p>
    <w:p w14:paraId="2EF9AC58" w14:textId="77777777" w:rsidR="00084627" w:rsidRPr="00EB4495" w:rsidRDefault="00084627" w:rsidP="00084627">
      <w:pPr>
        <w:jc w:val="left"/>
        <w:rPr>
          <w:rFonts w:ascii="Arial" w:hAnsi="Arial" w:cs="Arial"/>
          <w:u w:val="single"/>
        </w:rPr>
      </w:pPr>
    </w:p>
    <w:p w14:paraId="3B556EA8" w14:textId="03573FD3" w:rsidR="00084627" w:rsidRPr="0000340F" w:rsidRDefault="0000340F" w:rsidP="00084627">
      <w:pPr>
        <w:jc w:val="left"/>
        <w:rPr>
          <w:rFonts w:ascii="Arial" w:hAnsi="Arial" w:cs="Arial"/>
          <w:u w:val="single"/>
        </w:rPr>
      </w:pPr>
      <w:r w:rsidRPr="0000340F">
        <w:rPr>
          <w:rFonts w:ascii="Arial" w:hAnsi="Arial" w:cs="Arial"/>
          <w:u w:val="single"/>
        </w:rPr>
        <w:t xml:space="preserve">Investing in </w:t>
      </w:r>
      <w:r w:rsidR="00E037F9">
        <w:rPr>
          <w:rFonts w:ascii="Arial" w:hAnsi="Arial" w:cs="Arial"/>
          <w:u w:val="single"/>
        </w:rPr>
        <w:t>our people</w:t>
      </w:r>
    </w:p>
    <w:p w14:paraId="5782EFD5" w14:textId="6AF8F7F0" w:rsidR="00084627" w:rsidRPr="00EB4495" w:rsidRDefault="00084627" w:rsidP="00084627">
      <w:pPr>
        <w:jc w:val="left"/>
        <w:rPr>
          <w:rFonts w:ascii="Arial" w:hAnsi="Arial" w:cs="Arial"/>
        </w:rPr>
      </w:pPr>
      <w:r w:rsidRPr="00EB4495">
        <w:rPr>
          <w:rFonts w:ascii="Arial" w:hAnsi="Arial" w:cs="Arial"/>
        </w:rPr>
        <w:t>At the heart of our business are our 8</w:t>
      </w:r>
      <w:r w:rsidR="008C254E">
        <w:rPr>
          <w:rFonts w:ascii="Arial" w:hAnsi="Arial" w:cs="Arial"/>
        </w:rPr>
        <w:t>2</w:t>
      </w:r>
      <w:r w:rsidRPr="00EB4495">
        <w:rPr>
          <w:rFonts w:ascii="Arial" w:hAnsi="Arial" w:cs="Arial"/>
        </w:rPr>
        <w:t xml:space="preserve">,000 colleagues. As a global business with colleagues in eight countries, we are proud of our cultural diversity and believe this is a strength. </w:t>
      </w:r>
    </w:p>
    <w:p w14:paraId="55379F2F" w14:textId="77777777" w:rsidR="00084627" w:rsidRPr="00EB4495" w:rsidRDefault="00084627" w:rsidP="00084627">
      <w:pPr>
        <w:jc w:val="left"/>
        <w:rPr>
          <w:rFonts w:ascii="Arial" w:hAnsi="Arial" w:cs="Arial"/>
        </w:rPr>
      </w:pPr>
    </w:p>
    <w:p w14:paraId="51E2C1FD" w14:textId="0A6E37E3" w:rsidR="00084627" w:rsidRPr="00EB4495" w:rsidRDefault="00084627" w:rsidP="00084627">
      <w:pPr>
        <w:jc w:val="left"/>
        <w:rPr>
          <w:rFonts w:ascii="Arial" w:hAnsi="Arial" w:cs="Arial"/>
        </w:rPr>
      </w:pPr>
      <w:r w:rsidRPr="00EB4495">
        <w:rPr>
          <w:rFonts w:ascii="Arial" w:hAnsi="Arial" w:cs="Arial"/>
        </w:rPr>
        <w:t>We continue to invest in talent and capability to unlock further growth. As part of our focus on creating new customer propositions, we have recruited in key areas, in particular digital, technology and data. Our new Group operating model is now fully embedded, empowering our banners to address the diverse needs of their customers. We have continued to focus on productivity and head office efficiencies, ensuring we align our resources to our strategic priorities.</w:t>
      </w:r>
    </w:p>
    <w:p w14:paraId="0338E0AE" w14:textId="77777777" w:rsidR="00084627" w:rsidRPr="00EB4495" w:rsidRDefault="00084627" w:rsidP="007645E5">
      <w:pPr>
        <w:jc w:val="left"/>
        <w:rPr>
          <w:rFonts w:ascii="Arial" w:hAnsi="Arial" w:cs="Arial"/>
        </w:rPr>
      </w:pPr>
    </w:p>
    <w:p w14:paraId="3810178D" w14:textId="64850A36" w:rsidR="00084627" w:rsidRDefault="00084627" w:rsidP="007645E5">
      <w:pPr>
        <w:jc w:val="left"/>
        <w:rPr>
          <w:rFonts w:ascii="Arial" w:hAnsi="Arial" w:cs="Arial"/>
        </w:rPr>
      </w:pPr>
      <w:r w:rsidRPr="00EB4495">
        <w:rPr>
          <w:rFonts w:ascii="Arial" w:hAnsi="Arial" w:cs="Arial"/>
        </w:rPr>
        <w:t>We ha</w:t>
      </w:r>
      <w:r w:rsidR="001074B8">
        <w:rPr>
          <w:rFonts w:ascii="Arial" w:hAnsi="Arial" w:cs="Arial"/>
        </w:rPr>
        <w:t>d</w:t>
      </w:r>
      <w:r w:rsidRPr="00EB4495">
        <w:rPr>
          <w:rFonts w:ascii="Arial" w:hAnsi="Arial" w:cs="Arial"/>
        </w:rPr>
        <w:t xml:space="preserve"> over 3,800 apprentices across the Group</w:t>
      </w:r>
      <w:r w:rsidR="008F2068">
        <w:rPr>
          <w:rFonts w:ascii="Arial" w:hAnsi="Arial" w:cs="Arial"/>
        </w:rPr>
        <w:t xml:space="preserve"> last year</w:t>
      </w:r>
      <w:r w:rsidRPr="00EB4495">
        <w:rPr>
          <w:rFonts w:ascii="Arial" w:hAnsi="Arial" w:cs="Arial"/>
        </w:rPr>
        <w:t xml:space="preserve">, giving opportunities to younger generations to build their skills and careers with us. We also continue to invest in learning and development across the Group, with colleagues investing over 2.2m hours into learning in FY 21/22. </w:t>
      </w:r>
    </w:p>
    <w:p w14:paraId="5EE5945B" w14:textId="77777777" w:rsidR="00C117F2" w:rsidRDefault="00C117F2" w:rsidP="007645E5">
      <w:pPr>
        <w:jc w:val="left"/>
        <w:rPr>
          <w:rFonts w:ascii="Arial" w:hAnsi="Arial" w:cs="Arial"/>
        </w:rPr>
      </w:pPr>
    </w:p>
    <w:p w14:paraId="10D36627" w14:textId="77777777" w:rsidR="00084627" w:rsidRPr="00EB4495" w:rsidRDefault="00084627" w:rsidP="00084627">
      <w:pPr>
        <w:jc w:val="left"/>
        <w:rPr>
          <w:rFonts w:ascii="Arial" w:hAnsi="Arial" w:cs="Arial"/>
          <w:u w:val="single"/>
        </w:rPr>
      </w:pPr>
      <w:r w:rsidRPr="00EB4495">
        <w:rPr>
          <w:rFonts w:ascii="Arial" w:hAnsi="Arial" w:cs="Arial"/>
          <w:u w:val="single"/>
        </w:rPr>
        <w:t>Colleague wellbeing a top priority</w:t>
      </w:r>
    </w:p>
    <w:p w14:paraId="1902AC61" w14:textId="77777777" w:rsidR="00084627" w:rsidRPr="00EB4495" w:rsidRDefault="00084627" w:rsidP="00084627">
      <w:pPr>
        <w:jc w:val="left"/>
        <w:rPr>
          <w:rFonts w:ascii="Arial" w:hAnsi="Arial" w:cs="Arial"/>
        </w:rPr>
      </w:pPr>
      <w:r w:rsidRPr="00EB4495">
        <w:rPr>
          <w:rFonts w:ascii="Arial" w:hAnsi="Arial" w:cs="Arial"/>
        </w:rPr>
        <w:t xml:space="preserve">As the pandemic has continued, our colleagues have inspired us with their dedication, flexibility, resilience and commitment to our customers. We have continued to ensure our stores, distribution </w:t>
      </w:r>
      <w:r w:rsidRPr="00EB4495">
        <w:rPr>
          <w:rFonts w:ascii="Arial" w:hAnsi="Arial" w:cs="Arial"/>
        </w:rPr>
        <w:lastRenderedPageBreak/>
        <w:t xml:space="preserve">centres and offices are safe places to work and have enabled colleagues to isolate, shield or take time off as necessary, by continuing to pay salaries during COVID-related absences. </w:t>
      </w:r>
    </w:p>
    <w:p w14:paraId="169BC049" w14:textId="77777777" w:rsidR="00084627" w:rsidRPr="00EB4495" w:rsidRDefault="00084627" w:rsidP="00084627">
      <w:pPr>
        <w:jc w:val="left"/>
        <w:rPr>
          <w:rFonts w:ascii="Arial" w:hAnsi="Arial" w:cs="Arial"/>
        </w:rPr>
      </w:pPr>
    </w:p>
    <w:p w14:paraId="702C6916" w14:textId="6152E172" w:rsidR="00084627" w:rsidRPr="00EB4495" w:rsidRDefault="00084627" w:rsidP="00084627">
      <w:pPr>
        <w:jc w:val="left"/>
        <w:rPr>
          <w:rFonts w:ascii="Arial" w:hAnsi="Arial" w:cs="Arial"/>
        </w:rPr>
      </w:pPr>
      <w:r w:rsidRPr="00EB4495">
        <w:rPr>
          <w:rFonts w:ascii="Arial" w:hAnsi="Arial" w:cs="Arial"/>
        </w:rPr>
        <w:t>Colleague wellbeing is a top priority</w:t>
      </w:r>
      <w:r w:rsidR="00A660E2">
        <w:rPr>
          <w:rFonts w:ascii="Arial" w:hAnsi="Arial" w:cs="Arial"/>
        </w:rPr>
        <w:t>.</w:t>
      </w:r>
      <w:r w:rsidRPr="00EB4495">
        <w:rPr>
          <w:rFonts w:ascii="Arial" w:hAnsi="Arial" w:cs="Arial"/>
        </w:rPr>
        <w:t xml:space="preserve"> </w:t>
      </w:r>
      <w:r w:rsidR="00A660E2">
        <w:rPr>
          <w:rFonts w:ascii="Arial" w:hAnsi="Arial" w:cs="Arial"/>
        </w:rPr>
        <w:t xml:space="preserve">We </w:t>
      </w:r>
      <w:r w:rsidRPr="00EB4495">
        <w:rPr>
          <w:rFonts w:ascii="Arial" w:hAnsi="Arial" w:cs="Arial"/>
        </w:rPr>
        <w:t xml:space="preserve">partner with organisations such as </w:t>
      </w:r>
      <w:r w:rsidRPr="00EB4495">
        <w:rPr>
          <w:rFonts w:ascii="Arial" w:hAnsi="Arial" w:cs="Arial"/>
          <w:i/>
          <w:iCs/>
        </w:rPr>
        <w:t>The Retail Trust</w:t>
      </w:r>
      <w:r w:rsidRPr="00EB4495">
        <w:rPr>
          <w:rFonts w:ascii="Arial" w:hAnsi="Arial" w:cs="Arial"/>
        </w:rPr>
        <w:t xml:space="preserve"> in the UK and </w:t>
      </w:r>
      <w:proofErr w:type="spellStart"/>
      <w:r w:rsidRPr="00EB4495">
        <w:rPr>
          <w:rFonts w:ascii="Arial" w:hAnsi="Arial" w:cs="Arial"/>
          <w:i/>
          <w:iCs/>
        </w:rPr>
        <w:t>Alterhego</w:t>
      </w:r>
      <w:proofErr w:type="spellEnd"/>
      <w:r w:rsidRPr="00EB4495">
        <w:rPr>
          <w:rFonts w:ascii="Arial" w:hAnsi="Arial" w:cs="Arial"/>
        </w:rPr>
        <w:t xml:space="preserve"> in France, to provide colleagues and their families with emotional, legal, and financial support. </w:t>
      </w:r>
    </w:p>
    <w:p w14:paraId="72C87683" w14:textId="77777777" w:rsidR="00084627" w:rsidRPr="00EB4495" w:rsidRDefault="00084627" w:rsidP="00084627">
      <w:pPr>
        <w:jc w:val="left"/>
        <w:rPr>
          <w:rFonts w:ascii="Arial" w:hAnsi="Arial" w:cs="Arial"/>
        </w:rPr>
      </w:pPr>
    </w:p>
    <w:p w14:paraId="0F7773CF" w14:textId="77777777" w:rsidR="00084627" w:rsidRPr="00EB4495" w:rsidRDefault="00084627" w:rsidP="00084627">
      <w:pPr>
        <w:jc w:val="left"/>
        <w:rPr>
          <w:rFonts w:ascii="Arial" w:hAnsi="Arial" w:cs="Arial"/>
          <w:u w:val="single"/>
        </w:rPr>
      </w:pPr>
      <w:r w:rsidRPr="00EB4495">
        <w:rPr>
          <w:rFonts w:ascii="Arial" w:hAnsi="Arial" w:cs="Arial"/>
          <w:u w:val="single"/>
        </w:rPr>
        <w:t>Making progress on inclusion and diversity, with more to go</w:t>
      </w:r>
    </w:p>
    <w:p w14:paraId="74A2752F" w14:textId="77777777" w:rsidR="00084627" w:rsidRPr="00EB4495" w:rsidRDefault="00084627" w:rsidP="00084627">
      <w:pPr>
        <w:jc w:val="left"/>
        <w:rPr>
          <w:rFonts w:ascii="Arial" w:hAnsi="Arial" w:cs="Arial"/>
        </w:rPr>
      </w:pPr>
      <w:r w:rsidRPr="00EB4495">
        <w:rPr>
          <w:rFonts w:ascii="Arial" w:hAnsi="Arial" w:cs="Arial"/>
        </w:rPr>
        <w:t xml:space="preserve">Inclusion and diversity play an important part in delivering ‘Powered by Kingfisher’, as it reinforces our commitment to differentiate our offer to our diverse customer base through our unique banners. Building an inclusive culture is also a core pillar of our Responsible Business priorities (see below). </w:t>
      </w:r>
    </w:p>
    <w:p w14:paraId="177673A1" w14:textId="77777777" w:rsidR="00084627" w:rsidRPr="00EB4495" w:rsidRDefault="00084627" w:rsidP="00084627">
      <w:pPr>
        <w:jc w:val="left"/>
        <w:rPr>
          <w:rFonts w:ascii="Arial" w:hAnsi="Arial" w:cs="Arial"/>
        </w:rPr>
      </w:pPr>
    </w:p>
    <w:p w14:paraId="363E9C2A" w14:textId="46A0D0A7" w:rsidR="00084627" w:rsidRPr="00EB4495" w:rsidRDefault="00084627" w:rsidP="00084627">
      <w:pPr>
        <w:jc w:val="left"/>
        <w:rPr>
          <w:rFonts w:ascii="Arial" w:hAnsi="Arial" w:cs="Arial"/>
        </w:rPr>
      </w:pPr>
      <w:bookmarkStart w:id="54" w:name="_Hlk97187456"/>
      <w:r w:rsidRPr="00EB4495">
        <w:rPr>
          <w:rFonts w:ascii="Arial" w:hAnsi="Arial" w:cs="Arial"/>
        </w:rPr>
        <w:t xml:space="preserve">We have set ourselves stretching targets to increase diversity and this is part of our incentive </w:t>
      </w:r>
      <w:r w:rsidR="008F6F0E">
        <w:rPr>
          <w:rFonts w:ascii="Arial" w:hAnsi="Arial" w:cs="Arial"/>
        </w:rPr>
        <w:t xml:space="preserve">plan </w:t>
      </w:r>
      <w:r w:rsidRPr="00EB4495">
        <w:rPr>
          <w:rFonts w:ascii="Arial" w:hAnsi="Arial" w:cs="Arial"/>
        </w:rPr>
        <w:t xml:space="preserve">for senior managers. We are on track to meet our goal of 40% women in all management roles by 2025 (currently at </w:t>
      </w:r>
      <w:r w:rsidRPr="00EB4495">
        <w:rPr>
          <w:rFonts w:ascii="Arial" w:eastAsiaTheme="minorHAnsi" w:hAnsi="Arial" w:cs="Arial"/>
          <w:lang w:eastAsia="en-US"/>
        </w:rPr>
        <w:t>38</w:t>
      </w:r>
      <w:r w:rsidRPr="00EB4495">
        <w:rPr>
          <w:rFonts w:ascii="Arial" w:hAnsi="Arial" w:cs="Arial"/>
        </w:rPr>
        <w:t xml:space="preserve">%), from a base of </w:t>
      </w:r>
      <w:r w:rsidRPr="00EB4495">
        <w:rPr>
          <w:rFonts w:ascii="Arial" w:eastAsiaTheme="minorHAnsi" w:hAnsi="Arial" w:cs="Arial"/>
          <w:lang w:eastAsia="en-US"/>
        </w:rPr>
        <w:t>35</w:t>
      </w:r>
      <w:r w:rsidRPr="00EB4495">
        <w:rPr>
          <w:rFonts w:ascii="Arial" w:hAnsi="Arial" w:cs="Arial"/>
        </w:rPr>
        <w:t>% in 2020. In 2021 we made several diverse appointments into senior leadership roles, although we have more to do.</w:t>
      </w:r>
      <w:bookmarkStart w:id="55" w:name="_Hlk92832237"/>
      <w:r w:rsidRPr="00EB4495">
        <w:rPr>
          <w:rFonts w:ascii="Arial" w:hAnsi="Arial" w:cs="Arial"/>
        </w:rPr>
        <w:t xml:space="preserve"> 16 Affinity Networks were launched for colleagues Group-wide, to spearhead our inclusion and diversity efforts, with plans for more activity in 2022.</w:t>
      </w:r>
      <w:bookmarkEnd w:id="54"/>
      <w:bookmarkEnd w:id="55"/>
    </w:p>
    <w:p w14:paraId="1AF9C556" w14:textId="77777777" w:rsidR="00084627" w:rsidRPr="00EB4495" w:rsidRDefault="00084627" w:rsidP="00084627">
      <w:pPr>
        <w:jc w:val="left"/>
        <w:rPr>
          <w:rFonts w:ascii="Arial" w:hAnsi="Arial" w:cs="Arial"/>
        </w:rPr>
      </w:pPr>
    </w:p>
    <w:p w14:paraId="7B14320E" w14:textId="77777777" w:rsidR="00084627" w:rsidRPr="0097617F" w:rsidRDefault="00084627" w:rsidP="00084627">
      <w:pPr>
        <w:jc w:val="left"/>
        <w:rPr>
          <w:rFonts w:ascii="Arial" w:hAnsi="Arial" w:cs="Arial"/>
          <w:u w:val="single"/>
        </w:rPr>
      </w:pPr>
      <w:bookmarkStart w:id="56" w:name="_Hlk97110291"/>
      <w:r w:rsidRPr="0097617F">
        <w:rPr>
          <w:rFonts w:ascii="Arial" w:hAnsi="Arial" w:cs="Arial"/>
          <w:u w:val="single"/>
        </w:rPr>
        <w:t>Launching a new all-colleague share plan</w:t>
      </w:r>
    </w:p>
    <w:p w14:paraId="50D13DAB" w14:textId="1B6755A8" w:rsidR="00084627" w:rsidRPr="00EB4495" w:rsidRDefault="004459E7" w:rsidP="00084627">
      <w:pPr>
        <w:jc w:val="left"/>
        <w:rPr>
          <w:rFonts w:ascii="Arial" w:eastAsia="Times New Roman" w:hAnsi="Arial" w:cs="Arial"/>
          <w:bCs/>
          <w:snapToGrid w:val="0"/>
        </w:rPr>
      </w:pPr>
      <w:r w:rsidRPr="004459E7">
        <w:rPr>
          <w:rFonts w:ascii="Arial" w:eastAsia="Times New Roman" w:hAnsi="Arial" w:cs="Arial"/>
          <w:bCs/>
          <w:snapToGrid w:val="0"/>
        </w:rPr>
        <w:t xml:space="preserve">Later this year we will </w:t>
      </w:r>
      <w:r w:rsidR="00084627" w:rsidRPr="004459E7">
        <w:rPr>
          <w:rFonts w:ascii="Arial" w:eastAsia="Times New Roman" w:hAnsi="Arial" w:cs="Arial"/>
          <w:bCs/>
          <w:snapToGrid w:val="0"/>
        </w:rPr>
        <w:t>launch a new 1+1 all</w:t>
      </w:r>
      <w:r w:rsidR="00084627" w:rsidRPr="00EB4495">
        <w:rPr>
          <w:rFonts w:ascii="Arial" w:eastAsia="Times New Roman" w:hAnsi="Arial" w:cs="Arial"/>
          <w:bCs/>
          <w:snapToGrid w:val="0"/>
        </w:rPr>
        <w:t xml:space="preserve">-colleague share plan, building on the strong take-up of </w:t>
      </w:r>
      <w:r w:rsidR="0000340F">
        <w:rPr>
          <w:rFonts w:ascii="Arial" w:eastAsia="Times New Roman" w:hAnsi="Arial" w:cs="Arial"/>
          <w:bCs/>
          <w:snapToGrid w:val="0"/>
        </w:rPr>
        <w:t xml:space="preserve">the </w:t>
      </w:r>
      <w:r w:rsidR="00084627" w:rsidRPr="00EB4495">
        <w:rPr>
          <w:rFonts w:ascii="Arial" w:eastAsia="Times New Roman" w:hAnsi="Arial" w:cs="Arial"/>
          <w:bCs/>
          <w:snapToGrid w:val="0"/>
        </w:rPr>
        <w:t xml:space="preserve">1+1 ‘Sharing </w:t>
      </w:r>
      <w:proofErr w:type="gramStart"/>
      <w:r w:rsidR="00084627" w:rsidRPr="00EB4495">
        <w:rPr>
          <w:rFonts w:ascii="Arial" w:eastAsia="Times New Roman" w:hAnsi="Arial" w:cs="Arial"/>
          <w:bCs/>
          <w:snapToGrid w:val="0"/>
        </w:rPr>
        <w:t>In</w:t>
      </w:r>
      <w:proofErr w:type="gramEnd"/>
      <w:r w:rsidR="00084627" w:rsidRPr="00EB4495">
        <w:rPr>
          <w:rFonts w:ascii="Arial" w:eastAsia="Times New Roman" w:hAnsi="Arial" w:cs="Arial"/>
          <w:bCs/>
          <w:snapToGrid w:val="0"/>
        </w:rPr>
        <w:t xml:space="preserve"> Our Future’ plan</w:t>
      </w:r>
      <w:r w:rsidR="0000340F">
        <w:rPr>
          <w:rFonts w:ascii="Arial" w:eastAsia="Times New Roman" w:hAnsi="Arial" w:cs="Arial"/>
          <w:bCs/>
          <w:snapToGrid w:val="0"/>
        </w:rPr>
        <w:t xml:space="preserve"> that we launched in 2020</w:t>
      </w:r>
      <w:r w:rsidR="00084627" w:rsidRPr="00EB4495">
        <w:rPr>
          <w:rFonts w:ascii="Arial" w:eastAsia="Times New Roman" w:hAnsi="Arial" w:cs="Arial"/>
          <w:bCs/>
          <w:snapToGrid w:val="0"/>
        </w:rPr>
        <w:t xml:space="preserve">. The plan </w:t>
      </w:r>
      <w:r>
        <w:rPr>
          <w:rFonts w:ascii="Arial" w:eastAsia="Times New Roman" w:hAnsi="Arial" w:cs="Arial"/>
          <w:bCs/>
          <w:snapToGrid w:val="0"/>
        </w:rPr>
        <w:t xml:space="preserve">will </w:t>
      </w:r>
      <w:r w:rsidR="00084627" w:rsidRPr="00EB4495">
        <w:rPr>
          <w:rFonts w:ascii="Arial" w:eastAsia="Times New Roman" w:hAnsi="Arial" w:cs="Arial"/>
          <w:bCs/>
          <w:snapToGrid w:val="0"/>
        </w:rPr>
        <w:t xml:space="preserve">give colleagues the opportunity to </w:t>
      </w:r>
      <w:r>
        <w:rPr>
          <w:rFonts w:ascii="Arial" w:eastAsia="Times New Roman" w:hAnsi="Arial" w:cs="Arial"/>
          <w:bCs/>
          <w:snapToGrid w:val="0"/>
        </w:rPr>
        <w:t xml:space="preserve">continue </w:t>
      </w:r>
      <w:r w:rsidR="00084627" w:rsidRPr="00EB4495">
        <w:rPr>
          <w:rFonts w:ascii="Arial" w:eastAsia="Times New Roman" w:hAnsi="Arial" w:cs="Arial"/>
          <w:bCs/>
          <w:snapToGrid w:val="0"/>
        </w:rPr>
        <w:t>shar</w:t>
      </w:r>
      <w:r>
        <w:rPr>
          <w:rFonts w:ascii="Arial" w:eastAsia="Times New Roman" w:hAnsi="Arial" w:cs="Arial"/>
          <w:bCs/>
          <w:snapToGrid w:val="0"/>
        </w:rPr>
        <w:t>ing</w:t>
      </w:r>
      <w:r w:rsidR="00084627" w:rsidRPr="00EB4495">
        <w:rPr>
          <w:rFonts w:ascii="Arial" w:eastAsia="Times New Roman" w:hAnsi="Arial" w:cs="Arial"/>
          <w:bCs/>
          <w:snapToGrid w:val="0"/>
        </w:rPr>
        <w:t xml:space="preserve"> in the success of our growth strategy and promotes inclusivity at all levels. In the FY 20/21 plan, 75% of the </w:t>
      </w:r>
      <w:r w:rsidR="008F2068">
        <w:rPr>
          <w:rFonts w:ascii="Arial" w:eastAsia="Times New Roman" w:hAnsi="Arial" w:cs="Arial"/>
          <w:bCs/>
          <w:snapToGrid w:val="0"/>
        </w:rPr>
        <w:t xml:space="preserve">nearly </w:t>
      </w:r>
      <w:r w:rsidR="00084627" w:rsidRPr="00EB4495">
        <w:rPr>
          <w:rFonts w:ascii="Arial" w:eastAsia="Times New Roman" w:hAnsi="Arial" w:cs="Arial"/>
          <w:bCs/>
          <w:snapToGrid w:val="0"/>
        </w:rPr>
        <w:t xml:space="preserve">9,000 colleagues who took part were store-based colleagues. </w:t>
      </w:r>
    </w:p>
    <w:bookmarkEnd w:id="56"/>
    <w:p w14:paraId="0637A942" w14:textId="77777777" w:rsidR="00084627" w:rsidRPr="00EB4495" w:rsidRDefault="00084627" w:rsidP="00084627">
      <w:pPr>
        <w:jc w:val="left"/>
        <w:rPr>
          <w:rFonts w:ascii="Arial" w:hAnsi="Arial" w:cs="Arial"/>
        </w:rPr>
      </w:pPr>
    </w:p>
    <w:p w14:paraId="2064FE2E" w14:textId="77777777" w:rsidR="00084627" w:rsidRPr="00EB4495" w:rsidRDefault="00084627" w:rsidP="00084627">
      <w:pPr>
        <w:jc w:val="left"/>
        <w:rPr>
          <w:rFonts w:ascii="Arial" w:hAnsi="Arial" w:cs="Arial"/>
          <w:u w:val="single"/>
        </w:rPr>
      </w:pPr>
      <w:r w:rsidRPr="00EB4495">
        <w:rPr>
          <w:rFonts w:ascii="Arial" w:hAnsi="Arial" w:cs="Arial"/>
          <w:u w:val="single"/>
        </w:rPr>
        <w:t>Strong engagement to attract and retain colleagues</w:t>
      </w:r>
    </w:p>
    <w:p w14:paraId="5D77DCD6" w14:textId="6C394C99" w:rsidR="00084627" w:rsidRPr="00EB4495" w:rsidRDefault="00084627" w:rsidP="00084627">
      <w:pPr>
        <w:jc w:val="left"/>
        <w:rPr>
          <w:rFonts w:ascii="Arial" w:hAnsi="Arial" w:cs="Arial"/>
        </w:rPr>
      </w:pPr>
      <w:r w:rsidRPr="00EB4495">
        <w:rPr>
          <w:rFonts w:ascii="Arial" w:hAnsi="Arial" w:cs="Arial"/>
          <w:bCs/>
        </w:rPr>
        <w:t xml:space="preserve">To help us build a culture which is agile, trust-based, inclusive and responsive, we introduced a new engagement tool </w:t>
      </w:r>
      <w:r w:rsidRPr="00EB4495">
        <w:rPr>
          <w:rFonts w:ascii="Arial" w:hAnsi="Arial" w:cs="Arial"/>
        </w:rPr>
        <w:t xml:space="preserve">to listen to our people and measure their engagement across the Group. Over 63,500 colleagues </w:t>
      </w:r>
      <w:r w:rsidR="00671814">
        <w:rPr>
          <w:rFonts w:ascii="Arial" w:hAnsi="Arial" w:cs="Arial"/>
        </w:rPr>
        <w:t xml:space="preserve">(c.80%) </w:t>
      </w:r>
      <w:r w:rsidRPr="00EB4495">
        <w:rPr>
          <w:rFonts w:ascii="Arial" w:hAnsi="Arial" w:cs="Arial"/>
        </w:rPr>
        <w:t>took part in our annual colleague engagement survey</w:t>
      </w:r>
      <w:r w:rsidR="00BC5405">
        <w:rPr>
          <w:rFonts w:ascii="Arial" w:hAnsi="Arial" w:cs="Arial"/>
        </w:rPr>
        <w:t xml:space="preserve"> in Ju</w:t>
      </w:r>
      <w:r w:rsidR="001074B8">
        <w:rPr>
          <w:rFonts w:ascii="Arial" w:hAnsi="Arial" w:cs="Arial"/>
        </w:rPr>
        <w:t>ne</w:t>
      </w:r>
      <w:r w:rsidR="00BC5405">
        <w:rPr>
          <w:rFonts w:ascii="Arial" w:hAnsi="Arial" w:cs="Arial"/>
        </w:rPr>
        <w:t xml:space="preserve"> 2021</w:t>
      </w:r>
      <w:r w:rsidRPr="00EB4495">
        <w:rPr>
          <w:rFonts w:ascii="Arial" w:hAnsi="Arial" w:cs="Arial"/>
        </w:rPr>
        <w:t xml:space="preserve">, </w:t>
      </w:r>
      <w:r w:rsidR="00EF1117">
        <w:rPr>
          <w:rFonts w:ascii="Arial" w:hAnsi="Arial" w:cs="Arial"/>
        </w:rPr>
        <w:t xml:space="preserve">with a score that positions us in the </w:t>
      </w:r>
      <w:r w:rsidRPr="00EB4495">
        <w:rPr>
          <w:rFonts w:ascii="Arial" w:hAnsi="Arial" w:cs="Arial"/>
        </w:rPr>
        <w:t xml:space="preserve">top quartile for retail. </w:t>
      </w:r>
    </w:p>
    <w:p w14:paraId="5A5FEB70" w14:textId="77777777" w:rsidR="00084627" w:rsidRPr="00EB4495" w:rsidRDefault="00084627" w:rsidP="00084627">
      <w:pPr>
        <w:jc w:val="left"/>
        <w:rPr>
          <w:rFonts w:ascii="Arial" w:hAnsi="Arial" w:cs="Arial"/>
        </w:rPr>
      </w:pPr>
    </w:p>
    <w:p w14:paraId="2CD7FE88" w14:textId="78434FC2" w:rsidR="00084627" w:rsidRPr="00EB4495" w:rsidRDefault="00084627" w:rsidP="00084627">
      <w:pPr>
        <w:jc w:val="left"/>
        <w:rPr>
          <w:rFonts w:ascii="Arial" w:hAnsi="Arial" w:cs="Arial"/>
          <w:bCs/>
        </w:rPr>
      </w:pPr>
      <w:r w:rsidRPr="00EB4495">
        <w:rPr>
          <w:rFonts w:ascii="Arial" w:hAnsi="Arial" w:cs="Arial"/>
        </w:rPr>
        <w:t xml:space="preserve">We also now measure our Employee Net Promoter Score (eNPS), which shows how willing colleagues are to recommend their workplace to family or friends. Despite the challenges of the pandemic, we were pleased that our eNPS was </w:t>
      </w:r>
      <w:r w:rsidR="00EF1117">
        <w:rPr>
          <w:rFonts w:ascii="Arial" w:hAnsi="Arial" w:cs="Arial"/>
        </w:rPr>
        <w:t xml:space="preserve">significantly ahead of </w:t>
      </w:r>
      <w:r w:rsidRPr="00EB4495">
        <w:rPr>
          <w:rFonts w:ascii="Arial" w:hAnsi="Arial" w:cs="Arial"/>
        </w:rPr>
        <w:t>the benchmark, putting us in the top 10% of global retailers.</w:t>
      </w:r>
      <w:r w:rsidRPr="00EB4495">
        <w:rPr>
          <w:rFonts w:ascii="Arial" w:hAnsi="Arial" w:cs="Arial"/>
          <w:bCs/>
        </w:rPr>
        <w:t xml:space="preserve"> Furthermore, </w:t>
      </w:r>
      <w:r w:rsidR="001074B8" w:rsidRPr="001E20A7">
        <w:rPr>
          <w:rFonts w:ascii="Arial" w:hAnsi="Arial" w:cs="Arial"/>
          <w:bCs/>
        </w:rPr>
        <w:t>we r</w:t>
      </w:r>
      <w:r w:rsidR="001074B8">
        <w:rPr>
          <w:rFonts w:ascii="Arial" w:hAnsi="Arial" w:cs="Arial"/>
          <w:bCs/>
        </w:rPr>
        <w:t>a</w:t>
      </w:r>
      <w:r w:rsidR="001074B8" w:rsidRPr="001E20A7">
        <w:rPr>
          <w:rFonts w:ascii="Arial" w:hAnsi="Arial" w:cs="Arial"/>
          <w:bCs/>
        </w:rPr>
        <w:t xml:space="preserve">n regular local surveys, which are an important tool to </w:t>
      </w:r>
      <w:r w:rsidR="00C9650B">
        <w:rPr>
          <w:rFonts w:ascii="Arial" w:hAnsi="Arial" w:cs="Arial"/>
          <w:bCs/>
        </w:rPr>
        <w:t>continue listening to our colleagues</w:t>
      </w:r>
      <w:r w:rsidRPr="00EB4495">
        <w:rPr>
          <w:rFonts w:ascii="Arial" w:hAnsi="Arial" w:cs="Arial"/>
          <w:bCs/>
        </w:rPr>
        <w:t>.</w:t>
      </w:r>
    </w:p>
    <w:p w14:paraId="754C6EE3" w14:textId="77777777" w:rsidR="00084627" w:rsidRPr="00EB4495" w:rsidRDefault="00084627" w:rsidP="00084627">
      <w:pPr>
        <w:jc w:val="left"/>
        <w:rPr>
          <w:rFonts w:ascii="Arial" w:hAnsi="Arial" w:cs="Arial"/>
          <w:bCs/>
        </w:rPr>
      </w:pPr>
    </w:p>
    <w:p w14:paraId="1046DF3F" w14:textId="61B20665" w:rsidR="00084627" w:rsidRPr="00EB4495" w:rsidRDefault="00084627" w:rsidP="00084627">
      <w:pPr>
        <w:jc w:val="left"/>
        <w:rPr>
          <w:rFonts w:ascii="Arial" w:hAnsi="Arial" w:cs="Arial"/>
        </w:rPr>
      </w:pPr>
      <w:r w:rsidRPr="00EB4495">
        <w:rPr>
          <w:rFonts w:ascii="Arial" w:hAnsi="Arial" w:cs="Arial"/>
        </w:rPr>
        <w:t xml:space="preserve">We invested to strengthen our employer brands, to ensure we can attract and retain colleagues in increasingly competitive labour markets, especially at store level. </w:t>
      </w:r>
      <w:r w:rsidR="00DD7E86" w:rsidRPr="00DD7E86">
        <w:rPr>
          <w:rFonts w:ascii="Arial" w:hAnsi="Arial" w:cs="Arial"/>
        </w:rPr>
        <w:t xml:space="preserve">To recognise the contribution of our frontline teams, we </w:t>
      </w:r>
      <w:r w:rsidR="00740AA8">
        <w:rPr>
          <w:rFonts w:ascii="Arial" w:hAnsi="Arial" w:cs="Arial"/>
        </w:rPr>
        <w:t xml:space="preserve">invested in </w:t>
      </w:r>
      <w:r w:rsidR="00DD7E86" w:rsidRPr="00DD7E86">
        <w:rPr>
          <w:rFonts w:ascii="Arial" w:hAnsi="Arial" w:cs="Arial"/>
        </w:rPr>
        <w:t>store colleague remuneration, including through awarding additional pay increases or bonuses</w:t>
      </w:r>
      <w:r w:rsidRPr="00EB4495">
        <w:rPr>
          <w:rFonts w:ascii="Arial" w:hAnsi="Arial" w:cs="Arial"/>
        </w:rPr>
        <w:t>.</w:t>
      </w:r>
    </w:p>
    <w:p w14:paraId="09EF3334" w14:textId="77777777" w:rsidR="00084627" w:rsidRPr="00EB4495" w:rsidRDefault="00084627" w:rsidP="00084627">
      <w:pPr>
        <w:jc w:val="left"/>
        <w:rPr>
          <w:rFonts w:ascii="Arial" w:hAnsi="Arial" w:cs="Arial"/>
        </w:rPr>
      </w:pPr>
    </w:p>
    <w:p w14:paraId="388C1806" w14:textId="77777777" w:rsidR="00084627" w:rsidRPr="00EB4495" w:rsidRDefault="00084627" w:rsidP="00084627">
      <w:pPr>
        <w:jc w:val="left"/>
        <w:rPr>
          <w:rFonts w:ascii="Arial" w:eastAsia="Times New Roman" w:hAnsi="Arial" w:cs="Arial"/>
          <w:b/>
          <w:bCs/>
          <w:u w:val="single"/>
        </w:rPr>
      </w:pPr>
      <w:r w:rsidRPr="00EB4495">
        <w:rPr>
          <w:rFonts w:ascii="Arial" w:eastAsia="Times New Roman" w:hAnsi="Arial" w:cs="Arial"/>
          <w:b/>
          <w:bCs/>
          <w:u w:val="single"/>
        </w:rPr>
        <w:t>Responsible Business priorities</w:t>
      </w:r>
    </w:p>
    <w:p w14:paraId="7182789E" w14:textId="05AC37DF" w:rsidR="00084627" w:rsidRPr="00EB4495" w:rsidRDefault="00084627" w:rsidP="00084627">
      <w:pPr>
        <w:jc w:val="left"/>
        <w:rPr>
          <w:rFonts w:ascii="Arial" w:eastAsia="Times New Roman" w:hAnsi="Arial" w:cs="Arial"/>
        </w:rPr>
      </w:pPr>
      <w:r w:rsidRPr="00EB4495">
        <w:rPr>
          <w:rFonts w:ascii="Arial" w:eastAsia="Times New Roman" w:hAnsi="Arial" w:cs="Arial"/>
        </w:rPr>
        <w:t>We continue to make strong progress against our four Responsible Business priorities:</w:t>
      </w:r>
    </w:p>
    <w:p w14:paraId="355A2874" w14:textId="77777777" w:rsidR="00084627" w:rsidRPr="00EB4495" w:rsidRDefault="00084627" w:rsidP="00084627">
      <w:pPr>
        <w:jc w:val="left"/>
        <w:rPr>
          <w:rFonts w:ascii="Arial" w:hAnsi="Arial" w:cs="Arial"/>
        </w:rPr>
      </w:pPr>
    </w:p>
    <w:p w14:paraId="5ECEC913" w14:textId="77777777" w:rsidR="00084627" w:rsidRPr="00EB4495" w:rsidRDefault="00084627" w:rsidP="00084627">
      <w:pPr>
        <w:jc w:val="left"/>
        <w:rPr>
          <w:rFonts w:ascii="Arial" w:hAnsi="Arial" w:cs="Arial"/>
          <w:u w:val="single"/>
        </w:rPr>
      </w:pPr>
      <w:r w:rsidRPr="00EB4495">
        <w:rPr>
          <w:rFonts w:ascii="Arial" w:hAnsi="Arial" w:cs="Arial"/>
          <w:u w:val="single"/>
        </w:rPr>
        <w:t xml:space="preserve">Colleagues: Becoming a more inclusive company </w:t>
      </w:r>
    </w:p>
    <w:p w14:paraId="3E04BD10" w14:textId="75D5FA31"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Each of our banners and Group functions has an </w:t>
      </w:r>
      <w:r w:rsidR="008F6F0E">
        <w:rPr>
          <w:rFonts w:ascii="Arial" w:hAnsi="Arial" w:cs="Arial"/>
          <w:bCs/>
        </w:rPr>
        <w:t>‘</w:t>
      </w:r>
      <w:r w:rsidRPr="00EB4495">
        <w:rPr>
          <w:rFonts w:ascii="Arial" w:hAnsi="Arial" w:cs="Arial"/>
          <w:bCs/>
        </w:rPr>
        <w:t>Inclusivity Action Plan</w:t>
      </w:r>
      <w:r w:rsidR="008F6F0E">
        <w:rPr>
          <w:rFonts w:ascii="Arial" w:hAnsi="Arial" w:cs="Arial"/>
          <w:bCs/>
        </w:rPr>
        <w:t>’, with</w:t>
      </w:r>
      <w:r w:rsidRPr="00EB4495">
        <w:rPr>
          <w:rFonts w:ascii="Arial" w:hAnsi="Arial" w:cs="Arial"/>
          <w:bCs/>
        </w:rPr>
        <w:t xml:space="preserve"> targets that are linked to </w:t>
      </w:r>
      <w:r w:rsidR="008F6F0E">
        <w:rPr>
          <w:rFonts w:ascii="Arial" w:hAnsi="Arial" w:cs="Arial"/>
          <w:bCs/>
        </w:rPr>
        <w:t>incentive plans</w:t>
      </w:r>
      <w:r w:rsidRPr="00EB4495">
        <w:rPr>
          <w:rFonts w:ascii="Arial" w:hAnsi="Arial" w:cs="Arial"/>
          <w:bCs/>
        </w:rPr>
        <w:t xml:space="preserve">. </w:t>
      </w:r>
    </w:p>
    <w:p w14:paraId="56D5DC83" w14:textId="77777777"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We have established an Inclusion &amp; Diversity Advisory Forum, to bring together colleague representatives and senior leaders. </w:t>
      </w:r>
    </w:p>
    <w:p w14:paraId="6579754A" w14:textId="7EB2B158"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rPr>
        <w:t>3</w:t>
      </w:r>
      <w:r w:rsidR="008E5930">
        <w:rPr>
          <w:rFonts w:ascii="Arial" w:hAnsi="Arial" w:cs="Arial"/>
        </w:rPr>
        <w:t>7</w:t>
      </w:r>
      <w:r w:rsidR="00DD44E4">
        <w:rPr>
          <w:rFonts w:ascii="Arial" w:hAnsi="Arial" w:cs="Arial"/>
        </w:rPr>
        <w:t>.</w:t>
      </w:r>
      <w:r w:rsidR="008E5930">
        <w:rPr>
          <w:rFonts w:ascii="Arial" w:hAnsi="Arial" w:cs="Arial"/>
        </w:rPr>
        <w:t>7</w:t>
      </w:r>
      <w:r w:rsidRPr="00EB4495">
        <w:rPr>
          <w:rFonts w:ascii="Arial" w:hAnsi="Arial" w:cs="Arial"/>
          <w:bCs/>
        </w:rPr>
        <w:t xml:space="preserve">% of managers and </w:t>
      </w:r>
      <w:r w:rsidRPr="00EB4495">
        <w:rPr>
          <w:rFonts w:ascii="Arial" w:hAnsi="Arial" w:cs="Arial"/>
        </w:rPr>
        <w:t>2</w:t>
      </w:r>
      <w:r w:rsidR="00246185">
        <w:rPr>
          <w:rFonts w:ascii="Arial" w:hAnsi="Arial" w:cs="Arial"/>
        </w:rPr>
        <w:t>5</w:t>
      </w:r>
      <w:r w:rsidR="00DD44E4">
        <w:rPr>
          <w:rFonts w:ascii="Arial" w:hAnsi="Arial" w:cs="Arial"/>
        </w:rPr>
        <w:t>.</w:t>
      </w:r>
      <w:r w:rsidR="0007779B">
        <w:rPr>
          <w:rFonts w:ascii="Arial" w:hAnsi="Arial" w:cs="Arial"/>
        </w:rPr>
        <w:t>2</w:t>
      </w:r>
      <w:r w:rsidRPr="00EB4495">
        <w:rPr>
          <w:rFonts w:ascii="Arial" w:hAnsi="Arial" w:cs="Arial"/>
          <w:bCs/>
        </w:rPr>
        <w:t xml:space="preserve">% of senior leaders are women, </w:t>
      </w:r>
      <w:r w:rsidRPr="00EB4495">
        <w:rPr>
          <w:rFonts w:ascii="Arial" w:hAnsi="Arial" w:cs="Arial"/>
        </w:rPr>
        <w:t>an increase on the previous year</w:t>
      </w:r>
      <w:r w:rsidRPr="00EB4495">
        <w:rPr>
          <w:rFonts w:ascii="Arial" w:hAnsi="Arial" w:cs="Arial"/>
          <w:bCs/>
        </w:rPr>
        <w:t>.</w:t>
      </w:r>
    </w:p>
    <w:p w14:paraId="25777E04" w14:textId="466A1FFE" w:rsidR="00084627" w:rsidRPr="004459E7" w:rsidRDefault="00084627" w:rsidP="00084627">
      <w:pPr>
        <w:pStyle w:val="ListParagraph"/>
        <w:numPr>
          <w:ilvl w:val="0"/>
          <w:numId w:val="25"/>
        </w:numPr>
        <w:ind w:left="360"/>
        <w:jc w:val="left"/>
        <w:rPr>
          <w:rFonts w:ascii="Arial" w:hAnsi="Arial" w:cs="Arial"/>
          <w:bCs/>
        </w:rPr>
      </w:pPr>
      <w:r w:rsidRPr="0097617F">
        <w:rPr>
          <w:rFonts w:ascii="Arial" w:hAnsi="Arial" w:cs="Arial"/>
          <w:bCs/>
        </w:rPr>
        <w:t xml:space="preserve">As detailed above, </w:t>
      </w:r>
      <w:r w:rsidR="004459E7" w:rsidRPr="0097617F">
        <w:rPr>
          <w:rFonts w:ascii="Arial" w:hAnsi="Arial" w:cs="Arial"/>
          <w:bCs/>
        </w:rPr>
        <w:t xml:space="preserve">later this year we will launch </w:t>
      </w:r>
      <w:r w:rsidRPr="0097617F">
        <w:rPr>
          <w:rFonts w:ascii="Arial" w:hAnsi="Arial" w:cs="Arial"/>
        </w:rPr>
        <w:t>a new all-colleague share plan</w:t>
      </w:r>
      <w:r w:rsidRPr="004459E7">
        <w:rPr>
          <w:rFonts w:ascii="Arial" w:hAnsi="Arial" w:cs="Arial"/>
        </w:rPr>
        <w:t xml:space="preserve">, </w:t>
      </w:r>
      <w:r w:rsidRPr="004459E7">
        <w:rPr>
          <w:rFonts w:ascii="Arial" w:eastAsia="Times New Roman" w:hAnsi="Arial" w:cs="Arial"/>
          <w:bCs/>
          <w:snapToGrid w:val="0"/>
        </w:rPr>
        <w:t xml:space="preserve">building on the strong take-up of </w:t>
      </w:r>
      <w:r w:rsidR="0000340F">
        <w:rPr>
          <w:rFonts w:ascii="Arial" w:eastAsia="Times New Roman" w:hAnsi="Arial" w:cs="Arial"/>
          <w:bCs/>
          <w:snapToGrid w:val="0"/>
        </w:rPr>
        <w:t xml:space="preserve">the </w:t>
      </w:r>
      <w:r w:rsidRPr="004459E7">
        <w:rPr>
          <w:rFonts w:ascii="Arial" w:eastAsia="Times New Roman" w:hAnsi="Arial" w:cs="Arial"/>
          <w:bCs/>
          <w:snapToGrid w:val="0"/>
        </w:rPr>
        <w:t xml:space="preserve">1+1 ‘Sharing </w:t>
      </w:r>
      <w:proofErr w:type="gramStart"/>
      <w:r w:rsidRPr="004459E7">
        <w:rPr>
          <w:rFonts w:ascii="Arial" w:eastAsia="Times New Roman" w:hAnsi="Arial" w:cs="Arial"/>
          <w:bCs/>
          <w:snapToGrid w:val="0"/>
        </w:rPr>
        <w:t>In</w:t>
      </w:r>
      <w:proofErr w:type="gramEnd"/>
      <w:r w:rsidRPr="004459E7">
        <w:rPr>
          <w:rFonts w:ascii="Arial" w:eastAsia="Times New Roman" w:hAnsi="Arial" w:cs="Arial"/>
          <w:bCs/>
          <w:snapToGrid w:val="0"/>
        </w:rPr>
        <w:t xml:space="preserve"> Our Future’ plan</w:t>
      </w:r>
      <w:r w:rsidR="0000340F">
        <w:rPr>
          <w:rFonts w:ascii="Arial" w:eastAsia="Times New Roman" w:hAnsi="Arial" w:cs="Arial"/>
          <w:bCs/>
          <w:snapToGrid w:val="0"/>
        </w:rPr>
        <w:t xml:space="preserve"> that we launched in 2020</w:t>
      </w:r>
      <w:r w:rsidRPr="004459E7">
        <w:rPr>
          <w:rFonts w:ascii="Arial" w:hAnsi="Arial" w:cs="Arial"/>
          <w:bCs/>
        </w:rPr>
        <w:t>.</w:t>
      </w:r>
    </w:p>
    <w:p w14:paraId="06E0F0E9" w14:textId="77777777" w:rsidR="00C117F2" w:rsidRDefault="00C117F2" w:rsidP="006D51EA">
      <w:pPr>
        <w:jc w:val="left"/>
        <w:rPr>
          <w:rFonts w:ascii="Arial" w:hAnsi="Arial" w:cs="Arial"/>
          <w:u w:val="single"/>
        </w:rPr>
      </w:pPr>
    </w:p>
    <w:p w14:paraId="10106483" w14:textId="296E4885" w:rsidR="00084627" w:rsidRPr="00EB4495" w:rsidRDefault="00084627" w:rsidP="006D51EA">
      <w:pPr>
        <w:jc w:val="left"/>
        <w:rPr>
          <w:rFonts w:ascii="Arial" w:hAnsi="Arial" w:cs="Arial"/>
          <w:u w:val="single"/>
        </w:rPr>
      </w:pPr>
      <w:r w:rsidRPr="00EB4495">
        <w:rPr>
          <w:rFonts w:ascii="Arial" w:hAnsi="Arial" w:cs="Arial"/>
          <w:u w:val="single"/>
        </w:rPr>
        <w:t xml:space="preserve">Planet: Helping to tackle climate change and create more forests than we use </w:t>
      </w:r>
    </w:p>
    <w:p w14:paraId="5FECAB76" w14:textId="548B79FF"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In June 2021 we announced new carbon reduction targets to 2025, consistent with the reductions required to keep global warming to 1.5°C. These have been approved by the Science Based Targets Initiative (SBTi) and replace our previous targets. </w:t>
      </w:r>
    </w:p>
    <w:p w14:paraId="157ABEB6" w14:textId="05D41EF5" w:rsidR="00084627" w:rsidRPr="00EB4495" w:rsidRDefault="00406B7E" w:rsidP="00084627">
      <w:pPr>
        <w:pStyle w:val="ListParagraph"/>
        <w:numPr>
          <w:ilvl w:val="0"/>
          <w:numId w:val="25"/>
        </w:numPr>
        <w:ind w:left="360"/>
        <w:jc w:val="left"/>
        <w:rPr>
          <w:rFonts w:ascii="Arial" w:hAnsi="Arial" w:cs="Arial"/>
          <w:bCs/>
        </w:rPr>
      </w:pPr>
      <w:r>
        <w:rPr>
          <w:rFonts w:ascii="Arial" w:hAnsi="Arial" w:cs="Arial"/>
          <w:bCs/>
        </w:rPr>
        <w:t>We</w:t>
      </w:r>
      <w:r w:rsidRPr="00EB4495">
        <w:rPr>
          <w:rFonts w:ascii="Arial" w:hAnsi="Arial" w:cs="Arial"/>
          <w:bCs/>
        </w:rPr>
        <w:t xml:space="preserve"> </w:t>
      </w:r>
      <w:r w:rsidR="00084627" w:rsidRPr="00EB4495">
        <w:rPr>
          <w:rFonts w:ascii="Arial" w:hAnsi="Arial" w:cs="Arial"/>
          <w:bCs/>
        </w:rPr>
        <w:t xml:space="preserve">became a founder member of the </w:t>
      </w:r>
      <w:hyperlink r:id="rId16" w:history="1">
        <w:r w:rsidR="00084627" w:rsidRPr="00EB4495">
          <w:rPr>
            <w:rStyle w:val="Hyperlink"/>
            <w:rFonts w:ascii="Arial" w:hAnsi="Arial" w:cs="Arial"/>
          </w:rPr>
          <w:t>UN’s Race to Zero Breakthroughs – Retail Campaign</w:t>
        </w:r>
      </w:hyperlink>
      <w:r w:rsidR="00084627" w:rsidRPr="00EB4495">
        <w:rPr>
          <w:rFonts w:ascii="Arial" w:hAnsi="Arial" w:cs="Arial"/>
          <w:bCs/>
        </w:rPr>
        <w:t xml:space="preserve"> in July 2021, a partnership aiming to inspire more of the world’s retailers to </w:t>
      </w:r>
      <w:proofErr w:type="gramStart"/>
      <w:r w:rsidR="00084627" w:rsidRPr="00EB4495">
        <w:rPr>
          <w:rFonts w:ascii="Arial" w:hAnsi="Arial" w:cs="Arial"/>
          <w:bCs/>
        </w:rPr>
        <w:t>take action</w:t>
      </w:r>
      <w:proofErr w:type="gramEnd"/>
      <w:r w:rsidR="00084627" w:rsidRPr="00EB4495">
        <w:rPr>
          <w:rFonts w:ascii="Arial" w:hAnsi="Arial" w:cs="Arial"/>
          <w:bCs/>
        </w:rPr>
        <w:t xml:space="preserve"> on climate change.</w:t>
      </w:r>
    </w:p>
    <w:p w14:paraId="3C12D485" w14:textId="43460F2B" w:rsidR="00246185" w:rsidRDefault="00BB0807" w:rsidP="00084627">
      <w:pPr>
        <w:pStyle w:val="ListParagraph"/>
        <w:numPr>
          <w:ilvl w:val="0"/>
          <w:numId w:val="25"/>
        </w:numPr>
        <w:ind w:left="360"/>
        <w:jc w:val="left"/>
        <w:rPr>
          <w:rFonts w:ascii="Arial" w:hAnsi="Arial" w:cs="Arial"/>
          <w:bCs/>
        </w:rPr>
      </w:pPr>
      <w:r>
        <w:rPr>
          <w:rFonts w:ascii="Arial" w:hAnsi="Arial" w:cs="Arial"/>
          <w:bCs/>
        </w:rPr>
        <w:lastRenderedPageBreak/>
        <w:t>In FY 21/22</w:t>
      </w:r>
      <w:r w:rsidR="00084627" w:rsidRPr="00EB4495">
        <w:rPr>
          <w:rFonts w:ascii="Arial" w:hAnsi="Arial" w:cs="Arial"/>
          <w:bCs/>
        </w:rPr>
        <w:t xml:space="preserve"> </w:t>
      </w:r>
      <w:r>
        <w:rPr>
          <w:rFonts w:ascii="Arial" w:hAnsi="Arial" w:cs="Arial"/>
          <w:bCs/>
        </w:rPr>
        <w:t xml:space="preserve">we </w:t>
      </w:r>
      <w:r w:rsidR="00084627" w:rsidRPr="00EB4495">
        <w:rPr>
          <w:rFonts w:ascii="Arial" w:hAnsi="Arial" w:cs="Arial"/>
          <w:bCs/>
        </w:rPr>
        <w:t xml:space="preserve">reduced our carbon footprint for our own operations (scope 1 and 2 emissions) by </w:t>
      </w:r>
      <w:r w:rsidR="00246185">
        <w:rPr>
          <w:rFonts w:ascii="Arial" w:hAnsi="Arial" w:cs="Arial"/>
        </w:rPr>
        <w:t>2</w:t>
      </w:r>
      <w:r w:rsidR="002955DC">
        <w:rPr>
          <w:rFonts w:ascii="Arial" w:hAnsi="Arial" w:cs="Arial"/>
        </w:rPr>
        <w:t>4.</w:t>
      </w:r>
      <w:r w:rsidR="00246185">
        <w:rPr>
          <w:rFonts w:ascii="Arial" w:hAnsi="Arial" w:cs="Arial"/>
        </w:rPr>
        <w:t>5</w:t>
      </w:r>
      <w:r w:rsidR="00084627" w:rsidRPr="00EB4495">
        <w:rPr>
          <w:rFonts w:ascii="Arial" w:hAnsi="Arial" w:cs="Arial"/>
          <w:bCs/>
        </w:rPr>
        <w:t xml:space="preserve">%, against a </w:t>
      </w:r>
      <w:r w:rsidR="00407E68">
        <w:rPr>
          <w:rFonts w:ascii="Arial" w:hAnsi="Arial" w:cs="Arial"/>
          <w:bCs/>
        </w:rPr>
        <w:t xml:space="preserve">FY </w:t>
      </w:r>
      <w:r w:rsidR="00084627" w:rsidRPr="00EB4495">
        <w:rPr>
          <w:rFonts w:ascii="Arial" w:hAnsi="Arial" w:cs="Arial"/>
          <w:bCs/>
        </w:rPr>
        <w:t>16/17 base</w:t>
      </w:r>
      <w:r w:rsidR="00407E68">
        <w:rPr>
          <w:rFonts w:ascii="Arial" w:hAnsi="Arial" w:cs="Arial"/>
          <w:bCs/>
        </w:rPr>
        <w:t xml:space="preserve"> year</w:t>
      </w:r>
      <w:r w:rsidR="009C79F5">
        <w:rPr>
          <w:rFonts w:ascii="Arial" w:hAnsi="Arial" w:cs="Arial"/>
          <w:bCs/>
        </w:rPr>
        <w:t xml:space="preserve">. </w:t>
      </w:r>
      <w:r w:rsidR="009C79F5" w:rsidRPr="00D652AA">
        <w:rPr>
          <w:rFonts w:ascii="Arial" w:hAnsi="Arial" w:cs="Arial"/>
          <w:bCs/>
        </w:rPr>
        <w:t xml:space="preserve">This </w:t>
      </w:r>
      <w:r w:rsidR="009C79F5">
        <w:rPr>
          <w:rFonts w:ascii="Arial" w:hAnsi="Arial" w:cs="Arial"/>
          <w:bCs/>
        </w:rPr>
        <w:t xml:space="preserve">shows a strong underlying improvement over the last two years </w:t>
      </w:r>
      <w:r w:rsidR="009C79F5" w:rsidRPr="00D652AA">
        <w:rPr>
          <w:rFonts w:ascii="Arial" w:hAnsi="Arial" w:cs="Arial"/>
          <w:bCs/>
        </w:rPr>
        <w:t>(FY 19</w:t>
      </w:r>
      <w:r w:rsidR="009C79F5" w:rsidRPr="00E60B67">
        <w:rPr>
          <w:rFonts w:ascii="Arial" w:hAnsi="Arial" w:cs="Arial"/>
          <w:bCs/>
        </w:rPr>
        <w:t xml:space="preserve">/20: </w:t>
      </w:r>
      <w:r w:rsidR="009C79F5" w:rsidRPr="00804101">
        <w:rPr>
          <w:rFonts w:ascii="Arial" w:hAnsi="Arial" w:cs="Arial"/>
          <w:bCs/>
        </w:rPr>
        <w:t>18</w:t>
      </w:r>
      <w:r w:rsidR="002955DC" w:rsidRPr="00804101">
        <w:rPr>
          <w:rFonts w:ascii="Arial" w:hAnsi="Arial" w:cs="Arial"/>
          <w:bCs/>
        </w:rPr>
        <w:t>.</w:t>
      </w:r>
      <w:r w:rsidR="00E60B67" w:rsidRPr="00E60B67">
        <w:rPr>
          <w:rFonts w:ascii="Arial" w:hAnsi="Arial" w:cs="Arial"/>
          <w:bCs/>
        </w:rPr>
        <w:t>5</w:t>
      </w:r>
      <w:r w:rsidR="009C79F5" w:rsidRPr="00E60B67">
        <w:rPr>
          <w:rFonts w:ascii="Arial" w:hAnsi="Arial" w:cs="Arial"/>
          <w:bCs/>
        </w:rPr>
        <w:t>%)</w:t>
      </w:r>
      <w:r w:rsidR="00BE587A">
        <w:rPr>
          <w:rFonts w:ascii="Arial" w:hAnsi="Arial" w:cs="Arial"/>
          <w:bCs/>
        </w:rPr>
        <w:t>.</w:t>
      </w:r>
      <w:r w:rsidR="009C79F5" w:rsidRPr="00E60B67">
        <w:rPr>
          <w:rFonts w:ascii="Arial" w:hAnsi="Arial" w:cs="Arial"/>
          <w:bCs/>
        </w:rPr>
        <w:t xml:space="preserve"> </w:t>
      </w:r>
      <w:r w:rsidR="00BE587A">
        <w:rPr>
          <w:rFonts w:ascii="Arial" w:hAnsi="Arial" w:cs="Arial"/>
          <w:bCs/>
        </w:rPr>
        <w:t xml:space="preserve">The movement versus </w:t>
      </w:r>
      <w:r w:rsidR="00E60B67">
        <w:rPr>
          <w:rFonts w:ascii="Arial" w:hAnsi="Arial" w:cs="Arial"/>
          <w:bCs/>
        </w:rPr>
        <w:t xml:space="preserve">last year </w:t>
      </w:r>
      <w:r w:rsidRPr="00D652AA">
        <w:rPr>
          <w:rFonts w:ascii="Arial" w:hAnsi="Arial" w:cs="Arial"/>
          <w:bCs/>
        </w:rPr>
        <w:t>(</w:t>
      </w:r>
      <w:r>
        <w:rPr>
          <w:rFonts w:ascii="Arial" w:hAnsi="Arial" w:cs="Arial"/>
          <w:bCs/>
        </w:rPr>
        <w:t xml:space="preserve">FY 20/21: 27.5%) </w:t>
      </w:r>
      <w:r w:rsidR="00BE587A">
        <w:rPr>
          <w:rFonts w:ascii="Arial" w:hAnsi="Arial" w:cs="Arial"/>
          <w:bCs/>
        </w:rPr>
        <w:t xml:space="preserve">is </w:t>
      </w:r>
      <w:r w:rsidR="00E4589B">
        <w:rPr>
          <w:rFonts w:ascii="Arial" w:hAnsi="Arial" w:cs="Arial"/>
          <w:bCs/>
        </w:rPr>
        <w:t xml:space="preserve">largely due to </w:t>
      </w:r>
      <w:r w:rsidR="009C79F5" w:rsidRPr="00E60B67">
        <w:rPr>
          <w:rFonts w:ascii="Arial" w:hAnsi="Arial" w:cs="Arial"/>
          <w:bCs/>
        </w:rPr>
        <w:t xml:space="preserve">the </w:t>
      </w:r>
      <w:r w:rsidR="00BE587A">
        <w:rPr>
          <w:rFonts w:ascii="Arial" w:hAnsi="Arial" w:cs="Arial"/>
          <w:bCs/>
        </w:rPr>
        <w:t xml:space="preserve">positive impact on our carbon footprint of the </w:t>
      </w:r>
      <w:r w:rsidR="009C79F5" w:rsidRPr="00E60B67">
        <w:rPr>
          <w:rFonts w:ascii="Arial" w:hAnsi="Arial" w:cs="Arial"/>
          <w:bCs/>
        </w:rPr>
        <w:t xml:space="preserve">temporary </w:t>
      </w:r>
      <w:r w:rsidR="00BE587A">
        <w:rPr>
          <w:rFonts w:ascii="Arial" w:hAnsi="Arial" w:cs="Arial"/>
          <w:bCs/>
        </w:rPr>
        <w:t xml:space="preserve">store </w:t>
      </w:r>
      <w:r w:rsidR="009C79F5" w:rsidRPr="00E60B67">
        <w:rPr>
          <w:rFonts w:ascii="Arial" w:hAnsi="Arial" w:cs="Arial"/>
          <w:bCs/>
        </w:rPr>
        <w:t>closure</w:t>
      </w:r>
      <w:r w:rsidR="00BE587A">
        <w:rPr>
          <w:rFonts w:ascii="Arial" w:hAnsi="Arial" w:cs="Arial"/>
          <w:bCs/>
        </w:rPr>
        <w:t>s</w:t>
      </w:r>
      <w:r w:rsidR="009C79F5" w:rsidRPr="00E60B67">
        <w:rPr>
          <w:rFonts w:ascii="Arial" w:hAnsi="Arial" w:cs="Arial"/>
          <w:bCs/>
        </w:rPr>
        <w:t xml:space="preserve"> </w:t>
      </w:r>
      <w:r w:rsidR="00E4589B">
        <w:rPr>
          <w:rFonts w:ascii="Arial" w:hAnsi="Arial" w:cs="Arial"/>
          <w:bCs/>
        </w:rPr>
        <w:t xml:space="preserve">in FY 20/21 </w:t>
      </w:r>
      <w:r w:rsidR="009C79F5" w:rsidRPr="00E60B67">
        <w:rPr>
          <w:rFonts w:ascii="Arial" w:hAnsi="Arial" w:cs="Arial"/>
          <w:bCs/>
        </w:rPr>
        <w:t>due to COVID</w:t>
      </w:r>
      <w:r w:rsidR="009C79F5" w:rsidRPr="00D652AA">
        <w:rPr>
          <w:rFonts w:ascii="Arial" w:hAnsi="Arial" w:cs="Arial"/>
          <w:bCs/>
        </w:rPr>
        <w:t>.</w:t>
      </w:r>
      <w:r w:rsidR="00084627" w:rsidRPr="00EB4495">
        <w:rPr>
          <w:rFonts w:ascii="Arial" w:hAnsi="Arial" w:cs="Arial"/>
          <w:bCs/>
        </w:rPr>
        <w:t xml:space="preserve"> </w:t>
      </w:r>
      <w:r w:rsidR="00703613">
        <w:rPr>
          <w:rFonts w:ascii="Arial" w:hAnsi="Arial" w:cs="Arial"/>
          <w:bCs/>
        </w:rPr>
        <w:t xml:space="preserve">We remain </w:t>
      </w:r>
      <w:r w:rsidR="00084627" w:rsidRPr="00EB4495">
        <w:rPr>
          <w:rFonts w:ascii="Arial" w:hAnsi="Arial" w:cs="Arial"/>
          <w:bCs/>
        </w:rPr>
        <w:t xml:space="preserve">on </w:t>
      </w:r>
      <w:r w:rsidR="008B2B82">
        <w:rPr>
          <w:rFonts w:ascii="Arial" w:hAnsi="Arial" w:cs="Arial"/>
          <w:bCs/>
        </w:rPr>
        <w:t xml:space="preserve">track </w:t>
      </w:r>
      <w:r w:rsidR="00084627" w:rsidRPr="00EB4495">
        <w:rPr>
          <w:rFonts w:ascii="Arial" w:hAnsi="Arial" w:cs="Arial"/>
          <w:bCs/>
        </w:rPr>
        <w:t>to meet our 2025 target of a 3</w:t>
      </w:r>
      <w:r w:rsidR="008B2B82">
        <w:rPr>
          <w:rFonts w:ascii="Arial" w:hAnsi="Arial" w:cs="Arial"/>
          <w:bCs/>
        </w:rPr>
        <w:t>7.</w:t>
      </w:r>
      <w:r w:rsidR="00084627" w:rsidRPr="00EB4495">
        <w:rPr>
          <w:rFonts w:ascii="Arial" w:hAnsi="Arial" w:cs="Arial"/>
          <w:bCs/>
        </w:rPr>
        <w:t xml:space="preserve">8% reduction. </w:t>
      </w:r>
    </w:p>
    <w:p w14:paraId="12F4A52B" w14:textId="5079E924" w:rsidR="008B2B82"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Actions during the year included </w:t>
      </w:r>
      <w:r w:rsidR="008B2B82" w:rsidRPr="008865D9">
        <w:rPr>
          <w:rFonts w:ascii="Arial" w:hAnsi="Arial" w:cs="Arial"/>
          <w:bCs/>
        </w:rPr>
        <w:t>further roll</w:t>
      </w:r>
      <w:r w:rsidR="00703613">
        <w:rPr>
          <w:rFonts w:ascii="Arial" w:hAnsi="Arial" w:cs="Arial"/>
          <w:bCs/>
        </w:rPr>
        <w:t>-</w:t>
      </w:r>
      <w:r w:rsidR="008B2B82" w:rsidRPr="008865D9">
        <w:rPr>
          <w:rFonts w:ascii="Arial" w:hAnsi="Arial" w:cs="Arial"/>
          <w:bCs/>
        </w:rPr>
        <w:t>out of LED lighting</w:t>
      </w:r>
      <w:r w:rsidR="008B2B82">
        <w:rPr>
          <w:rFonts w:ascii="Arial" w:hAnsi="Arial" w:cs="Arial"/>
          <w:bCs/>
        </w:rPr>
        <w:t xml:space="preserve">, </w:t>
      </w:r>
      <w:r w:rsidR="008B2B82" w:rsidRPr="008865D9">
        <w:rPr>
          <w:rFonts w:ascii="Arial" w:hAnsi="Arial" w:cs="Arial"/>
          <w:bCs/>
        </w:rPr>
        <w:t>convert</w:t>
      </w:r>
      <w:r w:rsidR="008B2B82">
        <w:rPr>
          <w:rFonts w:ascii="Arial" w:hAnsi="Arial" w:cs="Arial"/>
          <w:bCs/>
        </w:rPr>
        <w:t>ing</w:t>
      </w:r>
      <w:r w:rsidR="008B2B82" w:rsidRPr="008865D9">
        <w:rPr>
          <w:rFonts w:ascii="Arial" w:hAnsi="Arial" w:cs="Arial"/>
          <w:bCs/>
        </w:rPr>
        <w:t xml:space="preserve"> a further 102 </w:t>
      </w:r>
      <w:r w:rsidR="00703613">
        <w:rPr>
          <w:rFonts w:ascii="Arial" w:hAnsi="Arial" w:cs="Arial"/>
          <w:bCs/>
        </w:rPr>
        <w:t xml:space="preserve">stores </w:t>
      </w:r>
      <w:r w:rsidR="008B2B82" w:rsidRPr="008865D9">
        <w:rPr>
          <w:rFonts w:ascii="Arial" w:hAnsi="Arial" w:cs="Arial"/>
          <w:bCs/>
        </w:rPr>
        <w:t>in the UK to air source heat pumps, and instal</w:t>
      </w:r>
      <w:r w:rsidR="008B2B82">
        <w:rPr>
          <w:rFonts w:ascii="Arial" w:hAnsi="Arial" w:cs="Arial"/>
          <w:bCs/>
        </w:rPr>
        <w:t>ling</w:t>
      </w:r>
      <w:r w:rsidR="008B2B82" w:rsidRPr="008865D9">
        <w:rPr>
          <w:rFonts w:ascii="Arial" w:hAnsi="Arial" w:cs="Arial"/>
          <w:bCs/>
        </w:rPr>
        <w:t xml:space="preserve"> PV panels and biomass boilers at selected locations</w:t>
      </w:r>
      <w:r w:rsidR="008B2B82">
        <w:rPr>
          <w:rFonts w:ascii="Arial" w:hAnsi="Arial" w:cs="Arial"/>
          <w:bCs/>
        </w:rPr>
        <w:t>.</w:t>
      </w:r>
      <w:r w:rsidRPr="00EB4495">
        <w:rPr>
          <w:rFonts w:ascii="Arial" w:hAnsi="Arial" w:cs="Arial"/>
          <w:bCs/>
        </w:rPr>
        <w:t xml:space="preserve"> </w:t>
      </w:r>
    </w:p>
    <w:p w14:paraId="20F314BA" w14:textId="6FF1EF74" w:rsidR="00084627" w:rsidRPr="00EB4495" w:rsidRDefault="008B2B82" w:rsidP="00084627">
      <w:pPr>
        <w:pStyle w:val="ListParagraph"/>
        <w:numPr>
          <w:ilvl w:val="0"/>
          <w:numId w:val="25"/>
        </w:numPr>
        <w:ind w:left="360"/>
        <w:jc w:val="left"/>
        <w:rPr>
          <w:rFonts w:ascii="Arial" w:hAnsi="Arial" w:cs="Arial"/>
          <w:bCs/>
        </w:rPr>
      </w:pPr>
      <w:r>
        <w:rPr>
          <w:rFonts w:ascii="Arial" w:hAnsi="Arial" w:cs="Arial"/>
          <w:bCs/>
        </w:rPr>
        <w:t xml:space="preserve">We are </w:t>
      </w:r>
      <w:r w:rsidR="00084627" w:rsidRPr="00EB4495">
        <w:rPr>
          <w:rFonts w:ascii="Arial" w:hAnsi="Arial" w:cs="Arial"/>
          <w:bCs/>
        </w:rPr>
        <w:t>using 100% low-carbon electricity across the UK, France, Poland and Iberia.</w:t>
      </w:r>
    </w:p>
    <w:p w14:paraId="286ED76C" w14:textId="49B5B28C"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Our scope 3 target requires us to achieve a 40% reduction (per £’million turnover) from purchased goods and services and use of sold products by 2025, </w:t>
      </w:r>
      <w:r w:rsidR="00703613">
        <w:rPr>
          <w:rFonts w:ascii="Arial" w:hAnsi="Arial" w:cs="Arial"/>
          <w:bCs/>
        </w:rPr>
        <w:t xml:space="preserve">against </w:t>
      </w:r>
      <w:r w:rsidRPr="00EB4495">
        <w:rPr>
          <w:rFonts w:ascii="Arial" w:hAnsi="Arial" w:cs="Arial"/>
          <w:bCs/>
        </w:rPr>
        <w:t xml:space="preserve">a </w:t>
      </w:r>
      <w:r w:rsidR="00407E68">
        <w:rPr>
          <w:rFonts w:ascii="Arial" w:hAnsi="Arial" w:cs="Arial"/>
          <w:bCs/>
        </w:rPr>
        <w:t xml:space="preserve">FY </w:t>
      </w:r>
      <w:r w:rsidRPr="00EB4495">
        <w:rPr>
          <w:rFonts w:ascii="Arial" w:hAnsi="Arial" w:cs="Arial"/>
          <w:bCs/>
        </w:rPr>
        <w:t>17/18 base</w:t>
      </w:r>
      <w:r w:rsidR="00407E68">
        <w:rPr>
          <w:rFonts w:ascii="Arial" w:hAnsi="Arial" w:cs="Arial"/>
          <w:bCs/>
        </w:rPr>
        <w:t xml:space="preserve"> year</w:t>
      </w:r>
      <w:r w:rsidRPr="00EB4495">
        <w:rPr>
          <w:rFonts w:ascii="Arial" w:hAnsi="Arial" w:cs="Arial"/>
          <w:bCs/>
        </w:rPr>
        <w:t xml:space="preserve">. We will report progress against our scope 3 emissions reduction target in our FY 21/22 Responsible Business Report (published </w:t>
      </w:r>
      <w:r w:rsidR="00703613">
        <w:rPr>
          <w:rFonts w:ascii="Arial" w:hAnsi="Arial" w:cs="Arial"/>
          <w:bCs/>
        </w:rPr>
        <w:t xml:space="preserve">in </w:t>
      </w:r>
      <w:r w:rsidR="00407E68">
        <w:rPr>
          <w:rFonts w:ascii="Arial" w:hAnsi="Arial" w:cs="Arial"/>
          <w:bCs/>
        </w:rPr>
        <w:t>Q2</w:t>
      </w:r>
      <w:r w:rsidR="00407E68" w:rsidRPr="00EB4495">
        <w:rPr>
          <w:rFonts w:ascii="Arial" w:hAnsi="Arial" w:cs="Arial"/>
          <w:bCs/>
        </w:rPr>
        <w:t xml:space="preserve"> </w:t>
      </w:r>
      <w:r w:rsidRPr="00EB4495">
        <w:rPr>
          <w:rFonts w:ascii="Arial" w:hAnsi="Arial" w:cs="Arial"/>
          <w:bCs/>
        </w:rPr>
        <w:t>22/23).</w:t>
      </w:r>
    </w:p>
    <w:p w14:paraId="3F4B1863" w14:textId="5A8F866A" w:rsidR="00084627" w:rsidRPr="008B2B82" w:rsidRDefault="00084627" w:rsidP="00084627">
      <w:pPr>
        <w:pStyle w:val="ListParagraph"/>
        <w:numPr>
          <w:ilvl w:val="0"/>
          <w:numId w:val="25"/>
        </w:numPr>
        <w:ind w:left="360"/>
        <w:jc w:val="left"/>
        <w:rPr>
          <w:rFonts w:ascii="Arial" w:hAnsi="Arial" w:cs="Arial"/>
          <w:bCs/>
        </w:rPr>
      </w:pPr>
      <w:r w:rsidRPr="00EB4495">
        <w:rPr>
          <w:rFonts w:ascii="Arial" w:hAnsi="Arial" w:cs="Arial"/>
          <w:lang w:val="en-US"/>
        </w:rPr>
        <w:t xml:space="preserve">Kingfisher has </w:t>
      </w:r>
      <w:r w:rsidR="00703613">
        <w:rPr>
          <w:rFonts w:ascii="Arial" w:hAnsi="Arial" w:cs="Arial"/>
          <w:lang w:val="en-US"/>
        </w:rPr>
        <w:t>a</w:t>
      </w:r>
      <w:r w:rsidRPr="00EB4495">
        <w:rPr>
          <w:rFonts w:ascii="Arial" w:hAnsi="Arial" w:cs="Arial"/>
          <w:lang w:val="en-US"/>
        </w:rPr>
        <w:t xml:space="preserve"> strong heritage in sustainable forestry and the responsible sourcing of wood. </w:t>
      </w:r>
      <w:r w:rsidRPr="008B2B82">
        <w:rPr>
          <w:rFonts w:ascii="Arial" w:hAnsi="Arial" w:cs="Arial"/>
          <w:bCs/>
        </w:rPr>
        <w:t>In line with our commitment to be ‘forest positive’ by 2025:</w:t>
      </w:r>
    </w:p>
    <w:p w14:paraId="3EF352C0" w14:textId="33005F04" w:rsidR="00084627" w:rsidRPr="008B2B82" w:rsidRDefault="008B2B82" w:rsidP="00084627">
      <w:pPr>
        <w:pStyle w:val="ListParagraph"/>
        <w:numPr>
          <w:ilvl w:val="1"/>
          <w:numId w:val="2"/>
        </w:numPr>
        <w:ind w:left="709"/>
        <w:jc w:val="left"/>
        <w:rPr>
          <w:rFonts w:ascii="Arial" w:hAnsi="Arial" w:cs="Arial"/>
          <w:bCs/>
        </w:rPr>
      </w:pPr>
      <w:r w:rsidRPr="008B2B82">
        <w:rPr>
          <w:rFonts w:ascii="Arial" w:hAnsi="Arial" w:cs="Arial"/>
          <w:bCs/>
        </w:rPr>
        <w:t>8</w:t>
      </w:r>
      <w:r w:rsidR="00983A26">
        <w:rPr>
          <w:rFonts w:ascii="Arial" w:hAnsi="Arial" w:cs="Arial"/>
          <w:bCs/>
        </w:rPr>
        <w:t>7</w:t>
      </w:r>
      <w:r w:rsidR="00084627" w:rsidRPr="008B2B82">
        <w:rPr>
          <w:rFonts w:ascii="Arial" w:hAnsi="Arial" w:cs="Arial"/>
          <w:bCs/>
        </w:rPr>
        <w:t>% of the wood and paper used in products is responsibly sourced (FY 20/21: 81%), including 100% of catalogue paper, putting us on track to achieve our target of 100% by FY 25/26.</w:t>
      </w:r>
    </w:p>
    <w:p w14:paraId="17BA5FDA" w14:textId="77777777"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 xml:space="preserve">As a founder member of the Rainforest Alliance’s ‘Forest Allies’ initiative, we are supporting forest projects in Indonesia, Peru, Columbia, Guatemala and Cameroon, which will have a positive impact on </w:t>
      </w:r>
      <w:r w:rsidRPr="00EB4495">
        <w:rPr>
          <w:rFonts w:ascii="Arial" w:hAnsi="Arial" w:cs="Arial"/>
          <w:lang w:val="en-US"/>
        </w:rPr>
        <w:t>tropical forests and their communities</w:t>
      </w:r>
      <w:r w:rsidRPr="00EB4495">
        <w:rPr>
          <w:rFonts w:ascii="Arial" w:hAnsi="Arial" w:cs="Arial"/>
          <w:bCs/>
          <w:lang w:val="en-US"/>
        </w:rPr>
        <w:t xml:space="preserve">, including </w:t>
      </w:r>
      <w:r w:rsidRPr="00EB4495">
        <w:rPr>
          <w:rFonts w:ascii="Arial" w:hAnsi="Arial" w:cs="Arial"/>
          <w:bCs/>
        </w:rPr>
        <w:t xml:space="preserve">over 7,000 people and over 300,000 hectares of forest. </w:t>
      </w:r>
    </w:p>
    <w:p w14:paraId="63FBE856" w14:textId="77777777" w:rsidR="00084627" w:rsidRPr="00EB4495" w:rsidRDefault="00084627" w:rsidP="00084627">
      <w:pPr>
        <w:jc w:val="left"/>
        <w:rPr>
          <w:rFonts w:ascii="Arial" w:hAnsi="Arial" w:cs="Arial"/>
        </w:rPr>
      </w:pPr>
    </w:p>
    <w:p w14:paraId="520D29A5" w14:textId="77777777" w:rsidR="00084627" w:rsidRPr="00EB4495" w:rsidRDefault="00084627" w:rsidP="00084627">
      <w:pPr>
        <w:jc w:val="left"/>
        <w:rPr>
          <w:rFonts w:ascii="Arial" w:hAnsi="Arial" w:cs="Arial"/>
          <w:u w:val="single"/>
        </w:rPr>
      </w:pPr>
      <w:bookmarkStart w:id="57" w:name="_Hlk97128369"/>
      <w:r w:rsidRPr="00EB4495">
        <w:rPr>
          <w:rFonts w:ascii="Arial" w:hAnsi="Arial" w:cs="Arial"/>
          <w:u w:val="single"/>
        </w:rPr>
        <w:t xml:space="preserve">Customers: Helping to make greener, healthier homes affordable </w:t>
      </w:r>
    </w:p>
    <w:p w14:paraId="5E038930" w14:textId="470EA015" w:rsidR="00084627"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In </w:t>
      </w:r>
      <w:r w:rsidRPr="008B2B82">
        <w:rPr>
          <w:rFonts w:ascii="Arial" w:hAnsi="Arial" w:cs="Arial"/>
          <w:bCs/>
        </w:rPr>
        <w:t>FY 21/22, £</w:t>
      </w:r>
      <w:r w:rsidR="008B2B82" w:rsidRPr="008B2B82">
        <w:rPr>
          <w:rFonts w:ascii="Arial" w:hAnsi="Arial" w:cs="Arial"/>
          <w:bCs/>
        </w:rPr>
        <w:t>5.8</w:t>
      </w:r>
      <w:r w:rsidRPr="008B2B82">
        <w:rPr>
          <w:rFonts w:ascii="Arial" w:hAnsi="Arial" w:cs="Arial"/>
          <w:bCs/>
        </w:rPr>
        <w:t xml:space="preserve">bn of sales, representing </w:t>
      </w:r>
      <w:r w:rsidR="008B2B82" w:rsidRPr="008B2B82">
        <w:rPr>
          <w:rFonts w:ascii="Arial" w:hAnsi="Arial" w:cs="Arial"/>
          <w:bCs/>
        </w:rPr>
        <w:t>44</w:t>
      </w:r>
      <w:r w:rsidRPr="008B2B82">
        <w:rPr>
          <w:rFonts w:ascii="Arial" w:hAnsi="Arial" w:cs="Arial"/>
          <w:bCs/>
        </w:rPr>
        <w:t>% of Group sales</w:t>
      </w:r>
      <w:r w:rsidR="005069CE">
        <w:rPr>
          <w:rFonts w:ascii="Arial" w:hAnsi="Arial" w:cs="Arial"/>
          <w:bCs/>
        </w:rPr>
        <w:t xml:space="preserve"> </w:t>
      </w:r>
      <w:r w:rsidR="005069CE" w:rsidRPr="008B2B82">
        <w:rPr>
          <w:rFonts w:ascii="Arial" w:hAnsi="Arial" w:cs="Arial"/>
          <w:bCs/>
        </w:rPr>
        <w:t>(FY 20/21: 42%)</w:t>
      </w:r>
      <w:r w:rsidRPr="008B2B82">
        <w:rPr>
          <w:rFonts w:ascii="Arial" w:hAnsi="Arial" w:cs="Arial"/>
          <w:bCs/>
        </w:rPr>
        <w:t xml:space="preserve">, were from </w:t>
      </w:r>
      <w:r w:rsidR="00AE691B">
        <w:rPr>
          <w:rFonts w:ascii="Arial" w:hAnsi="Arial" w:cs="Arial"/>
          <w:bCs/>
        </w:rPr>
        <w:t>‘Sustainable Home Products’. This</w:t>
      </w:r>
      <w:r w:rsidRPr="008B2B82">
        <w:rPr>
          <w:rFonts w:ascii="Arial" w:hAnsi="Arial" w:cs="Arial"/>
          <w:bCs/>
        </w:rPr>
        <w:t xml:space="preserve"> equat</w:t>
      </w:r>
      <w:r w:rsidR="00AE691B">
        <w:rPr>
          <w:rFonts w:ascii="Arial" w:hAnsi="Arial" w:cs="Arial"/>
          <w:bCs/>
        </w:rPr>
        <w:t>es</w:t>
      </w:r>
      <w:r w:rsidRPr="008B2B82">
        <w:rPr>
          <w:rFonts w:ascii="Arial" w:hAnsi="Arial" w:cs="Arial"/>
          <w:bCs/>
        </w:rPr>
        <w:t xml:space="preserve"> to a doubling of our penetration since the programme was established in FY 11/12.</w:t>
      </w:r>
    </w:p>
    <w:p w14:paraId="283E374A" w14:textId="69B301D7" w:rsidR="005069CE" w:rsidRPr="008B2B82" w:rsidRDefault="005069CE" w:rsidP="00084627">
      <w:pPr>
        <w:pStyle w:val="ListParagraph"/>
        <w:numPr>
          <w:ilvl w:val="0"/>
          <w:numId w:val="25"/>
        </w:numPr>
        <w:ind w:left="360"/>
        <w:jc w:val="left"/>
        <w:rPr>
          <w:rFonts w:ascii="Arial" w:hAnsi="Arial" w:cs="Arial"/>
          <w:bCs/>
        </w:rPr>
      </w:pPr>
      <w:r w:rsidRPr="005069CE">
        <w:rPr>
          <w:rFonts w:ascii="Arial" w:hAnsi="Arial" w:cs="Arial"/>
          <w:bCs/>
        </w:rPr>
        <w:t>These are products that help our customers live more sustainab</w:t>
      </w:r>
      <w:r>
        <w:rPr>
          <w:rFonts w:ascii="Arial" w:hAnsi="Arial" w:cs="Arial"/>
          <w:bCs/>
        </w:rPr>
        <w:t>ly</w:t>
      </w:r>
      <w:r w:rsidRPr="005069CE">
        <w:rPr>
          <w:rFonts w:ascii="Arial" w:hAnsi="Arial" w:cs="Arial"/>
          <w:bCs/>
        </w:rPr>
        <w:t xml:space="preserve"> </w:t>
      </w:r>
      <w:r>
        <w:rPr>
          <w:rFonts w:ascii="Arial" w:hAnsi="Arial" w:cs="Arial"/>
          <w:bCs/>
        </w:rPr>
        <w:t xml:space="preserve">(e.g., </w:t>
      </w:r>
      <w:r w:rsidRPr="005069CE">
        <w:rPr>
          <w:rFonts w:ascii="Arial" w:hAnsi="Arial" w:cs="Arial"/>
          <w:bCs/>
        </w:rPr>
        <w:t>water</w:t>
      </w:r>
      <w:r>
        <w:rPr>
          <w:rFonts w:ascii="Arial" w:hAnsi="Arial" w:cs="Arial"/>
          <w:bCs/>
        </w:rPr>
        <w:t>-</w:t>
      </w:r>
      <w:r w:rsidRPr="005069CE">
        <w:rPr>
          <w:rFonts w:ascii="Arial" w:hAnsi="Arial" w:cs="Arial"/>
          <w:bCs/>
        </w:rPr>
        <w:t>saving taps or loft insulation</w:t>
      </w:r>
      <w:r>
        <w:rPr>
          <w:rFonts w:ascii="Arial" w:hAnsi="Arial" w:cs="Arial"/>
          <w:bCs/>
        </w:rPr>
        <w:t>)</w:t>
      </w:r>
      <w:r w:rsidRPr="005069CE">
        <w:rPr>
          <w:rFonts w:ascii="Arial" w:hAnsi="Arial" w:cs="Arial"/>
          <w:bCs/>
        </w:rPr>
        <w:t xml:space="preserve"> </w:t>
      </w:r>
      <w:r>
        <w:rPr>
          <w:rFonts w:ascii="Arial" w:hAnsi="Arial" w:cs="Arial"/>
          <w:bCs/>
        </w:rPr>
        <w:t xml:space="preserve">and products </w:t>
      </w:r>
      <w:r w:rsidRPr="005069CE">
        <w:rPr>
          <w:rFonts w:ascii="Arial" w:hAnsi="Arial" w:cs="Arial"/>
          <w:bCs/>
        </w:rPr>
        <w:t xml:space="preserve">that are sustainable because of their </w:t>
      </w:r>
      <w:r>
        <w:rPr>
          <w:rFonts w:ascii="Arial" w:hAnsi="Arial" w:cs="Arial"/>
          <w:bCs/>
        </w:rPr>
        <w:t xml:space="preserve">input </w:t>
      </w:r>
      <w:r w:rsidRPr="005069CE">
        <w:rPr>
          <w:rFonts w:ascii="Arial" w:hAnsi="Arial" w:cs="Arial"/>
          <w:bCs/>
        </w:rPr>
        <w:t xml:space="preserve">materials or how they are manufactured </w:t>
      </w:r>
      <w:r>
        <w:rPr>
          <w:rFonts w:ascii="Arial" w:hAnsi="Arial" w:cs="Arial"/>
          <w:bCs/>
        </w:rPr>
        <w:t xml:space="preserve">(e.g., </w:t>
      </w:r>
      <w:r w:rsidRPr="005069CE">
        <w:rPr>
          <w:rFonts w:ascii="Arial" w:hAnsi="Arial" w:cs="Arial"/>
          <w:bCs/>
        </w:rPr>
        <w:t xml:space="preserve">FSC timber, </w:t>
      </w:r>
      <w:r>
        <w:rPr>
          <w:rFonts w:ascii="Arial" w:hAnsi="Arial" w:cs="Arial"/>
          <w:bCs/>
        </w:rPr>
        <w:t>p</w:t>
      </w:r>
      <w:r w:rsidRPr="005069CE">
        <w:rPr>
          <w:rFonts w:ascii="Arial" w:hAnsi="Arial" w:cs="Arial"/>
          <w:bCs/>
        </w:rPr>
        <w:t>eat</w:t>
      </w:r>
      <w:r>
        <w:rPr>
          <w:rFonts w:ascii="Arial" w:hAnsi="Arial" w:cs="Arial"/>
          <w:bCs/>
        </w:rPr>
        <w:t>-</w:t>
      </w:r>
      <w:r w:rsidRPr="005069CE">
        <w:rPr>
          <w:rFonts w:ascii="Arial" w:hAnsi="Arial" w:cs="Arial"/>
          <w:bCs/>
        </w:rPr>
        <w:t>free compost</w:t>
      </w:r>
      <w:r>
        <w:rPr>
          <w:rFonts w:ascii="Arial" w:hAnsi="Arial" w:cs="Arial"/>
          <w:bCs/>
        </w:rPr>
        <w:t>,</w:t>
      </w:r>
      <w:r w:rsidRPr="005069CE">
        <w:rPr>
          <w:rFonts w:ascii="Arial" w:hAnsi="Arial" w:cs="Arial"/>
          <w:bCs/>
        </w:rPr>
        <w:t xml:space="preserve"> or recycled plastic</w:t>
      </w:r>
      <w:r>
        <w:rPr>
          <w:rFonts w:ascii="Arial" w:hAnsi="Arial" w:cs="Arial"/>
          <w:bCs/>
        </w:rPr>
        <w:t>)</w:t>
      </w:r>
      <w:r w:rsidRPr="005069CE">
        <w:rPr>
          <w:rFonts w:ascii="Arial" w:hAnsi="Arial" w:cs="Arial"/>
          <w:bCs/>
        </w:rPr>
        <w:t>.</w:t>
      </w:r>
    </w:p>
    <w:p w14:paraId="0257E4D2" w14:textId="5D160F3F" w:rsidR="00C9650B" w:rsidRPr="005069CE" w:rsidRDefault="00084627" w:rsidP="00084627">
      <w:pPr>
        <w:pStyle w:val="ListParagraph"/>
        <w:numPr>
          <w:ilvl w:val="0"/>
          <w:numId w:val="25"/>
        </w:numPr>
        <w:ind w:left="360"/>
        <w:jc w:val="left"/>
        <w:rPr>
          <w:rFonts w:ascii="Arial" w:hAnsi="Arial" w:cs="Arial"/>
          <w:bCs/>
        </w:rPr>
      </w:pPr>
      <w:r w:rsidRPr="008B2B82">
        <w:rPr>
          <w:rFonts w:ascii="Arial" w:hAnsi="Arial" w:cs="Arial"/>
          <w:bCs/>
        </w:rPr>
        <w:t xml:space="preserve">We </w:t>
      </w:r>
      <w:r w:rsidRPr="005069CE">
        <w:rPr>
          <w:rFonts w:ascii="Arial" w:hAnsi="Arial" w:cs="Arial"/>
          <w:bCs/>
        </w:rPr>
        <w:t xml:space="preserve">have now </w:t>
      </w:r>
      <w:r w:rsidR="00C9650B" w:rsidRPr="005069CE">
        <w:rPr>
          <w:rFonts w:ascii="Arial" w:hAnsi="Arial" w:cs="Arial"/>
          <w:bCs/>
        </w:rPr>
        <w:t xml:space="preserve">set up an ambitious new target for </w:t>
      </w:r>
      <w:r w:rsidRPr="005069CE">
        <w:rPr>
          <w:rFonts w:ascii="Arial" w:hAnsi="Arial" w:cs="Arial"/>
          <w:bCs/>
        </w:rPr>
        <w:t>Sustainable Home Product</w:t>
      </w:r>
      <w:r w:rsidR="00C9650B" w:rsidRPr="005069CE">
        <w:rPr>
          <w:rFonts w:ascii="Arial" w:hAnsi="Arial" w:cs="Arial"/>
          <w:bCs/>
        </w:rPr>
        <w:t xml:space="preserve"> sales</w:t>
      </w:r>
      <w:r w:rsidRPr="005069CE">
        <w:rPr>
          <w:rFonts w:ascii="Arial" w:hAnsi="Arial" w:cs="Arial"/>
          <w:bCs/>
        </w:rPr>
        <w:t xml:space="preserve"> to </w:t>
      </w:r>
      <w:r w:rsidR="00C9650B" w:rsidRPr="005069CE">
        <w:rPr>
          <w:rFonts w:ascii="Arial" w:hAnsi="Arial" w:cs="Arial"/>
          <w:bCs/>
        </w:rPr>
        <w:t xml:space="preserve">reach </w:t>
      </w:r>
      <w:r w:rsidRPr="005069CE">
        <w:rPr>
          <w:rFonts w:ascii="Arial" w:hAnsi="Arial" w:cs="Arial"/>
          <w:bCs/>
        </w:rPr>
        <w:t>60% of Group sales by FY 25/26 (previous target 50%</w:t>
      </w:r>
      <w:r w:rsidR="00082D92" w:rsidRPr="005069CE">
        <w:rPr>
          <w:rFonts w:ascii="Arial" w:hAnsi="Arial" w:cs="Arial"/>
          <w:bCs/>
        </w:rPr>
        <w:t xml:space="preserve"> by FY 20/21</w:t>
      </w:r>
      <w:r w:rsidRPr="005069CE">
        <w:rPr>
          <w:rFonts w:ascii="Arial" w:hAnsi="Arial" w:cs="Arial"/>
          <w:bCs/>
        </w:rPr>
        <w:t>)</w:t>
      </w:r>
      <w:r w:rsidR="00AE691B" w:rsidRPr="005069CE">
        <w:rPr>
          <w:rFonts w:ascii="Arial" w:hAnsi="Arial" w:cs="Arial"/>
          <w:bCs/>
        </w:rPr>
        <w:t xml:space="preserve">. </w:t>
      </w:r>
    </w:p>
    <w:p w14:paraId="48B2E601" w14:textId="50223898" w:rsidR="00084627" w:rsidRPr="00047CAA" w:rsidRDefault="005069CE" w:rsidP="00841B52">
      <w:pPr>
        <w:pStyle w:val="ListParagraph"/>
        <w:numPr>
          <w:ilvl w:val="1"/>
          <w:numId w:val="2"/>
        </w:numPr>
        <w:ind w:left="709"/>
        <w:jc w:val="left"/>
        <w:rPr>
          <w:rFonts w:ascii="Arial" w:hAnsi="Arial" w:cs="Arial"/>
          <w:bCs/>
        </w:rPr>
      </w:pPr>
      <w:r w:rsidRPr="00047CAA">
        <w:rPr>
          <w:rFonts w:ascii="Arial" w:hAnsi="Arial" w:cs="Arial"/>
          <w:bCs/>
        </w:rPr>
        <w:t>W</w:t>
      </w:r>
      <w:r w:rsidR="00AE691B" w:rsidRPr="00047CAA">
        <w:rPr>
          <w:rFonts w:ascii="Arial" w:hAnsi="Arial" w:cs="Arial"/>
          <w:bCs/>
        </w:rPr>
        <w:t xml:space="preserve">e are </w:t>
      </w:r>
      <w:r w:rsidRPr="00047CAA">
        <w:rPr>
          <w:rFonts w:ascii="Arial" w:hAnsi="Arial" w:cs="Arial"/>
          <w:bCs/>
        </w:rPr>
        <w:t xml:space="preserve">also </w:t>
      </w:r>
      <w:r w:rsidR="00AE691B" w:rsidRPr="00047CAA">
        <w:rPr>
          <w:rFonts w:ascii="Arial" w:hAnsi="Arial" w:cs="Arial"/>
          <w:bCs/>
        </w:rPr>
        <w:t xml:space="preserve">targeting </w:t>
      </w:r>
      <w:r w:rsidR="00082D92" w:rsidRPr="00047CAA">
        <w:rPr>
          <w:rFonts w:ascii="Arial" w:hAnsi="Arial" w:cs="Arial"/>
          <w:bCs/>
        </w:rPr>
        <w:t>70% of</w:t>
      </w:r>
      <w:r w:rsidR="00084627" w:rsidRPr="00047CAA">
        <w:rPr>
          <w:rFonts w:ascii="Arial" w:hAnsi="Arial" w:cs="Arial"/>
          <w:bCs/>
        </w:rPr>
        <w:t xml:space="preserve"> OEB product</w:t>
      </w:r>
      <w:r w:rsidR="00082D92" w:rsidRPr="00047CAA">
        <w:rPr>
          <w:rFonts w:ascii="Arial" w:hAnsi="Arial" w:cs="Arial"/>
          <w:bCs/>
        </w:rPr>
        <w:t xml:space="preserve"> sales</w:t>
      </w:r>
      <w:r w:rsidR="00084627" w:rsidRPr="00047CAA">
        <w:rPr>
          <w:rFonts w:ascii="Arial" w:hAnsi="Arial" w:cs="Arial"/>
          <w:bCs/>
        </w:rPr>
        <w:t xml:space="preserve"> to </w:t>
      </w:r>
      <w:r w:rsidR="00082D92" w:rsidRPr="00047CAA">
        <w:rPr>
          <w:rFonts w:ascii="Arial" w:hAnsi="Arial" w:cs="Arial"/>
          <w:bCs/>
        </w:rPr>
        <w:t xml:space="preserve">be from </w:t>
      </w:r>
      <w:r w:rsidR="00084627" w:rsidRPr="00047CAA">
        <w:rPr>
          <w:rFonts w:ascii="Arial" w:hAnsi="Arial" w:cs="Arial"/>
          <w:bCs/>
        </w:rPr>
        <w:t>Sustainable Home Product</w:t>
      </w:r>
      <w:r w:rsidR="00082D92" w:rsidRPr="00047CAA">
        <w:rPr>
          <w:rFonts w:ascii="Arial" w:hAnsi="Arial" w:cs="Arial"/>
          <w:bCs/>
        </w:rPr>
        <w:t>s</w:t>
      </w:r>
      <w:r w:rsidR="00AA1AAA" w:rsidRPr="00047CAA">
        <w:rPr>
          <w:rFonts w:ascii="Arial" w:hAnsi="Arial" w:cs="Arial"/>
          <w:bCs/>
        </w:rPr>
        <w:t xml:space="preserve"> </w:t>
      </w:r>
      <w:r w:rsidRPr="00047CAA">
        <w:rPr>
          <w:rFonts w:ascii="Arial" w:hAnsi="Arial" w:cs="Arial"/>
          <w:bCs/>
        </w:rPr>
        <w:t>by FY 25/26</w:t>
      </w:r>
      <w:r w:rsidR="00AE691B" w:rsidRPr="00047CAA">
        <w:rPr>
          <w:rFonts w:ascii="Arial" w:hAnsi="Arial" w:cs="Arial"/>
          <w:bCs/>
        </w:rPr>
        <w:t xml:space="preserve"> (FY 21/22</w:t>
      </w:r>
      <w:r w:rsidR="0093509F" w:rsidRPr="00047CAA">
        <w:rPr>
          <w:rFonts w:ascii="Arial" w:hAnsi="Arial" w:cs="Arial"/>
          <w:bCs/>
        </w:rPr>
        <w:t>: 55%</w:t>
      </w:r>
      <w:r w:rsidR="00AE691B" w:rsidRPr="00047CAA">
        <w:rPr>
          <w:rFonts w:ascii="Arial" w:hAnsi="Arial" w:cs="Arial"/>
          <w:bCs/>
        </w:rPr>
        <w:t>)</w:t>
      </w:r>
      <w:r w:rsidR="00084627" w:rsidRPr="00047CAA">
        <w:rPr>
          <w:rFonts w:ascii="Arial" w:hAnsi="Arial" w:cs="Arial"/>
          <w:bCs/>
        </w:rPr>
        <w:t xml:space="preserve">. </w:t>
      </w:r>
    </w:p>
    <w:p w14:paraId="122E9FF7" w14:textId="4BE1FB01" w:rsidR="00084627" w:rsidRPr="00EB4495" w:rsidRDefault="00084627" w:rsidP="00084627">
      <w:pPr>
        <w:pStyle w:val="ListParagraph"/>
        <w:numPr>
          <w:ilvl w:val="0"/>
          <w:numId w:val="25"/>
        </w:numPr>
        <w:ind w:left="360"/>
        <w:jc w:val="left"/>
        <w:rPr>
          <w:rFonts w:ascii="Arial" w:hAnsi="Arial" w:cs="Arial"/>
          <w:bCs/>
        </w:rPr>
      </w:pPr>
      <w:r w:rsidRPr="005069CE">
        <w:rPr>
          <w:rFonts w:ascii="Arial" w:hAnsi="Arial" w:cs="Arial"/>
          <w:bCs/>
        </w:rPr>
        <w:t>Sustainability is one of the five</w:t>
      </w:r>
      <w:r w:rsidRPr="00EB4495">
        <w:rPr>
          <w:rFonts w:ascii="Arial" w:hAnsi="Arial" w:cs="Arial"/>
          <w:bCs/>
        </w:rPr>
        <w:t xml:space="preserve"> core design principles we use in developing our OEB </w:t>
      </w:r>
      <w:proofErr w:type="gramStart"/>
      <w:r w:rsidRPr="00EB4495">
        <w:rPr>
          <w:rFonts w:ascii="Arial" w:hAnsi="Arial" w:cs="Arial"/>
          <w:bCs/>
        </w:rPr>
        <w:t>ranges</w:t>
      </w:r>
      <w:proofErr w:type="gramEnd"/>
      <w:r w:rsidRPr="00EB4495">
        <w:rPr>
          <w:rFonts w:ascii="Arial" w:hAnsi="Arial" w:cs="Arial"/>
          <w:bCs/>
        </w:rPr>
        <w:t xml:space="preserve"> and we remain focused on improving sustainability performance. For example, we lead the market in moving towards 100% peat-free compost, we have removed solvents from </w:t>
      </w:r>
      <w:r w:rsidR="00AA1AAA">
        <w:rPr>
          <w:rFonts w:ascii="Arial" w:hAnsi="Arial" w:cs="Arial"/>
          <w:bCs/>
        </w:rPr>
        <w:t xml:space="preserve">further </w:t>
      </w:r>
      <w:r w:rsidRPr="00EB4495">
        <w:rPr>
          <w:rFonts w:ascii="Arial" w:hAnsi="Arial" w:cs="Arial"/>
          <w:bCs/>
        </w:rPr>
        <w:t xml:space="preserve">paint lines, integrated recycled plastic into more furniture and tools, and increased the longevity of some hand tool ranges.  </w:t>
      </w:r>
    </w:p>
    <w:p w14:paraId="21BB73EA" w14:textId="4DCA55A3"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We </w:t>
      </w:r>
      <w:r w:rsidR="00047CAA">
        <w:rPr>
          <w:rFonts w:ascii="Arial" w:hAnsi="Arial" w:cs="Arial"/>
          <w:bCs/>
        </w:rPr>
        <w:t xml:space="preserve">also </w:t>
      </w:r>
      <w:r w:rsidRPr="00EB4495">
        <w:rPr>
          <w:rFonts w:ascii="Arial" w:hAnsi="Arial" w:cs="Arial"/>
          <w:bCs/>
        </w:rPr>
        <w:t xml:space="preserve">see considerable potential across all our markets as the </w:t>
      </w:r>
      <w:r w:rsidR="001503CC">
        <w:rPr>
          <w:rFonts w:ascii="Arial" w:hAnsi="Arial" w:cs="Arial"/>
          <w:bCs/>
        </w:rPr>
        <w:t>‘g</w:t>
      </w:r>
      <w:r w:rsidRPr="00EB4495">
        <w:rPr>
          <w:rFonts w:ascii="Arial" w:hAnsi="Arial" w:cs="Arial"/>
          <w:bCs/>
        </w:rPr>
        <w:t xml:space="preserve">reen </w:t>
      </w:r>
      <w:r w:rsidR="001503CC">
        <w:rPr>
          <w:rFonts w:ascii="Arial" w:hAnsi="Arial" w:cs="Arial"/>
          <w:bCs/>
        </w:rPr>
        <w:t>h</w:t>
      </w:r>
      <w:r w:rsidRPr="00EB4495">
        <w:rPr>
          <w:rFonts w:ascii="Arial" w:hAnsi="Arial" w:cs="Arial"/>
          <w:bCs/>
        </w:rPr>
        <w:t>omes</w:t>
      </w:r>
      <w:r w:rsidR="001503CC">
        <w:rPr>
          <w:rFonts w:ascii="Arial" w:hAnsi="Arial" w:cs="Arial"/>
          <w:bCs/>
        </w:rPr>
        <w:t>’</w:t>
      </w:r>
      <w:r w:rsidRPr="00EB4495">
        <w:rPr>
          <w:rFonts w:ascii="Arial" w:hAnsi="Arial" w:cs="Arial"/>
          <w:bCs/>
        </w:rPr>
        <w:t xml:space="preserve"> agenda accelerates, in particular in the UK and France, where the</w:t>
      </w:r>
      <w:r w:rsidR="00AA1AAA">
        <w:rPr>
          <w:rFonts w:ascii="Arial" w:hAnsi="Arial" w:cs="Arial"/>
          <w:bCs/>
        </w:rPr>
        <w:t xml:space="preserve"> governments have made</w:t>
      </w:r>
      <w:r w:rsidR="00AA1AAA" w:rsidRPr="00EB4495" w:rsidDel="00AA1AAA">
        <w:rPr>
          <w:rFonts w:ascii="Arial" w:hAnsi="Arial" w:cs="Arial"/>
          <w:bCs/>
        </w:rPr>
        <w:t xml:space="preserve"> </w:t>
      </w:r>
      <w:r w:rsidR="00AA1AAA">
        <w:rPr>
          <w:rFonts w:ascii="Arial" w:hAnsi="Arial" w:cs="Arial"/>
          <w:bCs/>
        </w:rPr>
        <w:t>‘</w:t>
      </w:r>
      <w:r w:rsidR="001503CC">
        <w:rPr>
          <w:rFonts w:ascii="Arial" w:hAnsi="Arial" w:cs="Arial"/>
          <w:bCs/>
        </w:rPr>
        <w:t>n</w:t>
      </w:r>
      <w:r w:rsidRPr="00EB4495">
        <w:rPr>
          <w:rFonts w:ascii="Arial" w:hAnsi="Arial" w:cs="Arial"/>
          <w:bCs/>
        </w:rPr>
        <w:t xml:space="preserve">et </w:t>
      </w:r>
      <w:r w:rsidR="001503CC">
        <w:rPr>
          <w:rFonts w:ascii="Arial" w:hAnsi="Arial" w:cs="Arial"/>
          <w:bCs/>
        </w:rPr>
        <w:t>z</w:t>
      </w:r>
      <w:r w:rsidRPr="00EB4495">
        <w:rPr>
          <w:rFonts w:ascii="Arial" w:hAnsi="Arial" w:cs="Arial"/>
          <w:bCs/>
        </w:rPr>
        <w:t>ero</w:t>
      </w:r>
      <w:r w:rsidR="00AA1AAA">
        <w:rPr>
          <w:rFonts w:ascii="Arial" w:hAnsi="Arial" w:cs="Arial"/>
          <w:bCs/>
        </w:rPr>
        <w:t>’</w:t>
      </w:r>
      <w:r w:rsidRPr="00EB4495">
        <w:rPr>
          <w:rFonts w:ascii="Arial" w:hAnsi="Arial" w:cs="Arial"/>
          <w:bCs/>
        </w:rPr>
        <w:t xml:space="preserve"> commitments. </w:t>
      </w:r>
      <w:r w:rsidR="00A440C0">
        <w:rPr>
          <w:rFonts w:ascii="Arial" w:hAnsi="Arial" w:cs="Arial"/>
          <w:bCs/>
        </w:rPr>
        <w:t xml:space="preserve">Moreover, the ongoing energy crisis adds weight to the urgent need for governments to increase their support of greener homes and energy efficiency. </w:t>
      </w:r>
      <w:r w:rsidRPr="00EB4495">
        <w:rPr>
          <w:rFonts w:ascii="Arial" w:hAnsi="Arial" w:cs="Arial"/>
          <w:bCs/>
        </w:rPr>
        <w:t xml:space="preserve">We are exploring opportunities to further increase engagement with DIY and trade customers on this agenda. For example: </w:t>
      </w:r>
    </w:p>
    <w:p w14:paraId="2F5A9FCA" w14:textId="42BF1DE0"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 xml:space="preserve">In FY 21/22, Kingfisher derived </w:t>
      </w:r>
      <w:r w:rsidR="008424A1">
        <w:rPr>
          <w:rFonts w:ascii="Arial" w:hAnsi="Arial" w:cs="Arial"/>
          <w:bCs/>
        </w:rPr>
        <w:t>10</w:t>
      </w:r>
      <w:r w:rsidRPr="00EB4495">
        <w:rPr>
          <w:rFonts w:ascii="Arial" w:hAnsi="Arial" w:cs="Arial"/>
          <w:bCs/>
        </w:rPr>
        <w:t>% of Group sales from energy and water-saving products. We are very well placed in energy efficiency categories such as loft insulation, LED lighting, underfloor heating and electric radiators, and are exploring other solutions.</w:t>
      </w:r>
    </w:p>
    <w:p w14:paraId="42B0E2AC" w14:textId="77777777"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 xml:space="preserve">Screwfix is now selling photovoltaic (PV) panels and air-source heat pumps to the trade and is exploring further options in this market. </w:t>
      </w:r>
    </w:p>
    <w:p w14:paraId="16F4B59B" w14:textId="77777777"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This year, B&amp;Q will test a new service to enable customers to improve the energy efficiency of their homes.</w:t>
      </w:r>
    </w:p>
    <w:p w14:paraId="44E7BBF9" w14:textId="77777777"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 xml:space="preserve">Following its launch in early 2021, Castorama France and Brico Dépôt France have supported the French government’s </w:t>
      </w:r>
      <w:r w:rsidRPr="00EB4495">
        <w:rPr>
          <w:rFonts w:ascii="Arial" w:hAnsi="Arial" w:cs="Arial"/>
          <w:bCs/>
          <w:i/>
          <w:iCs/>
        </w:rPr>
        <w:t>‘MaPrimeRénov’</w:t>
      </w:r>
      <w:r w:rsidRPr="00EB4495">
        <w:rPr>
          <w:rFonts w:ascii="Arial" w:hAnsi="Arial" w:cs="Arial"/>
          <w:bCs/>
        </w:rPr>
        <w:t xml:space="preserve"> grant scheme for energy-efficient projects in customers’ homes. The programme has gained significant traction in France.  </w:t>
      </w:r>
    </w:p>
    <w:p w14:paraId="09230FEF" w14:textId="77777777" w:rsidR="00084627" w:rsidRPr="00EB4495" w:rsidRDefault="00084627" w:rsidP="00084627">
      <w:pPr>
        <w:jc w:val="left"/>
        <w:rPr>
          <w:rFonts w:ascii="Arial" w:hAnsi="Arial" w:cs="Arial"/>
          <w:u w:val="single"/>
        </w:rPr>
      </w:pPr>
    </w:p>
    <w:bookmarkEnd w:id="57"/>
    <w:p w14:paraId="2126FA73" w14:textId="77777777" w:rsidR="00084627" w:rsidRPr="008B2B82" w:rsidRDefault="00084627" w:rsidP="00084627">
      <w:pPr>
        <w:jc w:val="left"/>
        <w:rPr>
          <w:rFonts w:ascii="Arial" w:hAnsi="Arial" w:cs="Arial"/>
          <w:u w:val="single"/>
        </w:rPr>
      </w:pPr>
      <w:r w:rsidRPr="008B2B82">
        <w:rPr>
          <w:rFonts w:ascii="Arial" w:hAnsi="Arial" w:cs="Arial"/>
          <w:u w:val="single"/>
        </w:rPr>
        <w:t xml:space="preserve">Communities: Fighting to fix bad housing </w:t>
      </w:r>
    </w:p>
    <w:p w14:paraId="6F62D136" w14:textId="4C56BC2B" w:rsidR="00084627" w:rsidRPr="008B2B82" w:rsidRDefault="00AA1AAA" w:rsidP="00084627">
      <w:pPr>
        <w:pStyle w:val="ListParagraph"/>
        <w:numPr>
          <w:ilvl w:val="0"/>
          <w:numId w:val="25"/>
        </w:numPr>
        <w:ind w:left="360"/>
        <w:jc w:val="left"/>
        <w:rPr>
          <w:rFonts w:ascii="Arial" w:hAnsi="Arial" w:cs="Arial"/>
          <w:bCs/>
        </w:rPr>
      </w:pPr>
      <w:r>
        <w:rPr>
          <w:rFonts w:ascii="Arial" w:hAnsi="Arial" w:cs="Arial"/>
          <w:bCs/>
        </w:rPr>
        <w:t>In FY 21/22, w</w:t>
      </w:r>
      <w:r w:rsidR="00084627" w:rsidRPr="008B2B82">
        <w:rPr>
          <w:rFonts w:ascii="Arial" w:hAnsi="Arial" w:cs="Arial"/>
          <w:bCs/>
        </w:rPr>
        <w:t>e invested £</w:t>
      </w:r>
      <w:r w:rsidR="008B2B82" w:rsidRPr="008B2B82">
        <w:rPr>
          <w:rFonts w:ascii="Arial" w:hAnsi="Arial" w:cs="Arial"/>
          <w:bCs/>
        </w:rPr>
        <w:t xml:space="preserve">4m </w:t>
      </w:r>
      <w:r w:rsidR="00084627" w:rsidRPr="008B2B82">
        <w:rPr>
          <w:rFonts w:ascii="Arial" w:hAnsi="Arial" w:cs="Arial"/>
          <w:bCs/>
        </w:rPr>
        <w:t>in our communities</w:t>
      </w:r>
      <w:r w:rsidR="00A66AB0" w:rsidRPr="00A66AB0">
        <w:rPr>
          <w:rFonts w:ascii="Arial" w:hAnsi="Arial" w:cs="Arial"/>
          <w:bCs/>
        </w:rPr>
        <w:t>, and our colleagues and customers raised an additional £2.8m</w:t>
      </w:r>
      <w:r w:rsidR="00A66AB0">
        <w:rPr>
          <w:rFonts w:ascii="Arial" w:hAnsi="Arial" w:cs="Arial"/>
          <w:bCs/>
        </w:rPr>
        <w:t>.</w:t>
      </w:r>
      <w:r w:rsidR="00084627" w:rsidRPr="008B2B82">
        <w:rPr>
          <w:rFonts w:ascii="Arial" w:hAnsi="Arial" w:cs="Arial"/>
          <w:bCs/>
        </w:rPr>
        <w:t xml:space="preserve"> </w:t>
      </w:r>
      <w:r w:rsidR="00A66AB0">
        <w:rPr>
          <w:rFonts w:ascii="Arial" w:hAnsi="Arial" w:cs="Arial"/>
          <w:bCs/>
        </w:rPr>
        <w:t xml:space="preserve">We </w:t>
      </w:r>
      <w:r w:rsidR="00084627" w:rsidRPr="008B2B82">
        <w:rPr>
          <w:rFonts w:ascii="Arial" w:hAnsi="Arial" w:cs="Arial"/>
          <w:bCs/>
        </w:rPr>
        <w:t xml:space="preserve">reached over </w:t>
      </w:r>
      <w:r w:rsidR="008B2B82" w:rsidRPr="008B2B82">
        <w:rPr>
          <w:rFonts w:ascii="Arial" w:hAnsi="Arial" w:cs="Arial"/>
          <w:bCs/>
        </w:rPr>
        <w:t>800,000</w:t>
      </w:r>
      <w:r w:rsidR="00084627" w:rsidRPr="008B2B82">
        <w:rPr>
          <w:rFonts w:ascii="Arial" w:hAnsi="Arial" w:cs="Arial"/>
          <w:bCs/>
        </w:rPr>
        <w:t xml:space="preserve"> people through our </w:t>
      </w:r>
      <w:r>
        <w:rPr>
          <w:rFonts w:ascii="Arial" w:hAnsi="Arial" w:cs="Arial"/>
          <w:bCs/>
        </w:rPr>
        <w:t>charitable partnerships and banner</w:t>
      </w:r>
      <w:r w:rsidRPr="008B2B82">
        <w:rPr>
          <w:rFonts w:ascii="Arial" w:hAnsi="Arial" w:cs="Arial"/>
          <w:bCs/>
        </w:rPr>
        <w:t xml:space="preserve"> </w:t>
      </w:r>
      <w:r>
        <w:rPr>
          <w:rFonts w:ascii="Arial" w:hAnsi="Arial" w:cs="Arial"/>
          <w:bCs/>
        </w:rPr>
        <w:t>Foundations</w:t>
      </w:r>
      <w:r w:rsidR="00084627" w:rsidRPr="008B2B82">
        <w:rPr>
          <w:rFonts w:ascii="Arial" w:hAnsi="Arial" w:cs="Arial"/>
          <w:bCs/>
        </w:rPr>
        <w:t xml:space="preserve">. </w:t>
      </w:r>
    </w:p>
    <w:p w14:paraId="3D00F0BD" w14:textId="64FFB9A5" w:rsidR="00084627" w:rsidRPr="008B2B82" w:rsidRDefault="00084627" w:rsidP="00084627">
      <w:pPr>
        <w:pStyle w:val="ListParagraph"/>
        <w:numPr>
          <w:ilvl w:val="0"/>
          <w:numId w:val="25"/>
        </w:numPr>
        <w:ind w:left="360"/>
        <w:jc w:val="left"/>
        <w:rPr>
          <w:rFonts w:ascii="Arial" w:hAnsi="Arial" w:cs="Arial"/>
          <w:bCs/>
        </w:rPr>
      </w:pPr>
      <w:r w:rsidRPr="008B2B82">
        <w:rPr>
          <w:rFonts w:ascii="Arial" w:hAnsi="Arial" w:cs="Arial"/>
          <w:bCs/>
        </w:rPr>
        <w:t>This brings our total to over 1</w:t>
      </w:r>
      <w:r w:rsidR="008B2B82">
        <w:rPr>
          <w:rFonts w:ascii="Arial" w:hAnsi="Arial" w:cs="Arial"/>
          <w:bCs/>
        </w:rPr>
        <w:t>.5</w:t>
      </w:r>
      <w:r w:rsidR="000F2F06">
        <w:rPr>
          <w:rFonts w:ascii="Arial" w:hAnsi="Arial" w:cs="Arial"/>
          <w:bCs/>
        </w:rPr>
        <w:t>m</w:t>
      </w:r>
      <w:r w:rsidRPr="008B2B82">
        <w:rPr>
          <w:rFonts w:ascii="Arial" w:hAnsi="Arial" w:cs="Arial"/>
          <w:bCs/>
        </w:rPr>
        <w:t xml:space="preserve"> people helped since FY 16/17</w:t>
      </w:r>
      <w:r w:rsidR="00AA1AAA">
        <w:rPr>
          <w:rFonts w:ascii="Arial" w:hAnsi="Arial" w:cs="Arial"/>
          <w:bCs/>
        </w:rPr>
        <w:t>, putting us on track to achieve our target to</w:t>
      </w:r>
      <w:r w:rsidRPr="008B2B82">
        <w:rPr>
          <w:rFonts w:ascii="Arial" w:hAnsi="Arial" w:cs="Arial"/>
          <w:bCs/>
        </w:rPr>
        <w:t xml:space="preserve"> help over 2</w:t>
      </w:r>
      <w:r w:rsidR="000F2F06">
        <w:rPr>
          <w:rFonts w:ascii="Arial" w:hAnsi="Arial" w:cs="Arial"/>
          <w:bCs/>
        </w:rPr>
        <w:t>m</w:t>
      </w:r>
      <w:r w:rsidRPr="008B2B82">
        <w:rPr>
          <w:rFonts w:ascii="Arial" w:hAnsi="Arial" w:cs="Arial"/>
          <w:bCs/>
        </w:rPr>
        <w:t xml:space="preserve"> people by FY 25/26. </w:t>
      </w:r>
    </w:p>
    <w:p w14:paraId="682060B1" w14:textId="4181D465" w:rsidR="00084627" w:rsidRPr="00EB4495" w:rsidRDefault="00084627" w:rsidP="00084627">
      <w:pPr>
        <w:pStyle w:val="ListParagraph"/>
        <w:numPr>
          <w:ilvl w:val="0"/>
          <w:numId w:val="25"/>
        </w:numPr>
        <w:ind w:left="360"/>
        <w:jc w:val="left"/>
        <w:rPr>
          <w:rFonts w:ascii="Arial" w:hAnsi="Arial" w:cs="Arial"/>
          <w:bCs/>
        </w:rPr>
      </w:pPr>
      <w:r w:rsidRPr="008B2B82">
        <w:rPr>
          <w:rFonts w:ascii="Arial" w:hAnsi="Arial" w:cs="Arial"/>
          <w:bCs/>
        </w:rPr>
        <w:lastRenderedPageBreak/>
        <w:t xml:space="preserve">We have </w:t>
      </w:r>
      <w:r w:rsidR="00AA1AAA">
        <w:rPr>
          <w:rFonts w:ascii="Arial" w:hAnsi="Arial" w:cs="Arial"/>
          <w:bCs/>
        </w:rPr>
        <w:t xml:space="preserve">now </w:t>
      </w:r>
      <w:r w:rsidRPr="008B2B82">
        <w:rPr>
          <w:rFonts w:ascii="Arial" w:hAnsi="Arial" w:cs="Arial"/>
          <w:bCs/>
        </w:rPr>
        <w:t xml:space="preserve">established charitable </w:t>
      </w:r>
      <w:r w:rsidR="00AA1AAA">
        <w:rPr>
          <w:rFonts w:ascii="Arial" w:hAnsi="Arial" w:cs="Arial"/>
          <w:bCs/>
        </w:rPr>
        <w:t>F</w:t>
      </w:r>
      <w:r w:rsidRPr="008B2B82">
        <w:rPr>
          <w:rFonts w:ascii="Arial" w:hAnsi="Arial" w:cs="Arial"/>
          <w:bCs/>
        </w:rPr>
        <w:t xml:space="preserve">oundations in all </w:t>
      </w:r>
      <w:r w:rsidR="00D01CDB">
        <w:rPr>
          <w:rFonts w:ascii="Arial" w:hAnsi="Arial" w:cs="Arial"/>
          <w:bCs/>
        </w:rPr>
        <w:t xml:space="preserve">our </w:t>
      </w:r>
      <w:r w:rsidRPr="008B2B82">
        <w:rPr>
          <w:rFonts w:ascii="Arial" w:hAnsi="Arial" w:cs="Arial"/>
          <w:bCs/>
        </w:rPr>
        <w:t>banners and extended our partnerships with the national charities</w:t>
      </w:r>
      <w:r w:rsidRPr="00EB4495">
        <w:rPr>
          <w:rFonts w:ascii="Arial" w:hAnsi="Arial" w:cs="Arial"/>
          <w:bCs/>
        </w:rPr>
        <w:t xml:space="preserve">, </w:t>
      </w:r>
      <w:r w:rsidRPr="00EB4495">
        <w:rPr>
          <w:rFonts w:ascii="Arial" w:hAnsi="Arial" w:cs="Arial"/>
          <w:bCs/>
          <w:i/>
          <w:iCs/>
        </w:rPr>
        <w:t>Shelter</w:t>
      </w:r>
      <w:r w:rsidRPr="00EB4495">
        <w:rPr>
          <w:rFonts w:ascii="Arial" w:hAnsi="Arial" w:cs="Arial"/>
          <w:bCs/>
        </w:rPr>
        <w:t xml:space="preserve"> and </w:t>
      </w:r>
      <w:r w:rsidRPr="00EB4495">
        <w:rPr>
          <w:rFonts w:ascii="Arial" w:hAnsi="Arial" w:cs="Arial"/>
          <w:bCs/>
          <w:i/>
          <w:iCs/>
        </w:rPr>
        <w:t>Macmillan</w:t>
      </w:r>
      <w:r w:rsidRPr="00EB4495">
        <w:rPr>
          <w:rFonts w:ascii="Arial" w:hAnsi="Arial" w:cs="Arial"/>
          <w:bCs/>
        </w:rPr>
        <w:t xml:space="preserve"> in the UK, </w:t>
      </w:r>
      <w:r w:rsidRPr="00EB4495">
        <w:rPr>
          <w:rFonts w:ascii="Arial" w:hAnsi="Arial" w:cs="Arial"/>
          <w:bCs/>
          <w:i/>
          <w:iCs/>
        </w:rPr>
        <w:t xml:space="preserve">La </w:t>
      </w:r>
      <w:proofErr w:type="spellStart"/>
      <w:r w:rsidRPr="00EB4495">
        <w:rPr>
          <w:rFonts w:ascii="Arial" w:hAnsi="Arial" w:cs="Arial"/>
          <w:bCs/>
          <w:i/>
          <w:iCs/>
        </w:rPr>
        <w:t>Fondation</w:t>
      </w:r>
      <w:proofErr w:type="spellEnd"/>
      <w:r w:rsidRPr="00EB4495">
        <w:rPr>
          <w:rFonts w:ascii="Arial" w:hAnsi="Arial" w:cs="Arial"/>
          <w:bCs/>
          <w:i/>
          <w:iCs/>
        </w:rPr>
        <w:t xml:space="preserve"> Abbé Pierre</w:t>
      </w:r>
      <w:r w:rsidRPr="00EB4495">
        <w:rPr>
          <w:rFonts w:ascii="Arial" w:hAnsi="Arial" w:cs="Arial"/>
          <w:bCs/>
        </w:rPr>
        <w:t xml:space="preserve"> in France, and </w:t>
      </w:r>
      <w:r w:rsidRPr="00EB4495">
        <w:rPr>
          <w:rFonts w:ascii="Arial" w:hAnsi="Arial" w:cs="Arial"/>
          <w:bCs/>
          <w:i/>
          <w:iCs/>
        </w:rPr>
        <w:t>Habitat for Humanity</w:t>
      </w:r>
      <w:r w:rsidRPr="00EB4495">
        <w:rPr>
          <w:rFonts w:ascii="Arial" w:hAnsi="Arial" w:cs="Arial"/>
          <w:bCs/>
        </w:rPr>
        <w:t xml:space="preserve"> in Romania and Poland. </w:t>
      </w:r>
    </w:p>
    <w:p w14:paraId="3D2A64EE" w14:textId="77777777"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 xml:space="preserve">Our banners supported a range of local projects during FY 21/22, such as the </w:t>
      </w:r>
      <w:proofErr w:type="spellStart"/>
      <w:r w:rsidRPr="00EB4495">
        <w:rPr>
          <w:rFonts w:ascii="Arial" w:hAnsi="Arial" w:cs="Arial"/>
          <w:bCs/>
          <w:i/>
          <w:iCs/>
        </w:rPr>
        <w:t>Bricobus</w:t>
      </w:r>
      <w:proofErr w:type="spellEnd"/>
      <w:r w:rsidRPr="00EB4495">
        <w:rPr>
          <w:rFonts w:ascii="Arial" w:hAnsi="Arial" w:cs="Arial"/>
          <w:bCs/>
        </w:rPr>
        <w:t xml:space="preserve"> run by </w:t>
      </w:r>
      <w:proofErr w:type="spellStart"/>
      <w:r w:rsidRPr="00EB4495">
        <w:rPr>
          <w:rFonts w:ascii="Arial" w:hAnsi="Arial" w:cs="Arial"/>
          <w:bCs/>
          <w:i/>
          <w:iCs/>
        </w:rPr>
        <w:t>Compagnon</w:t>
      </w:r>
      <w:proofErr w:type="spellEnd"/>
      <w:r w:rsidRPr="00EB4495">
        <w:rPr>
          <w:rFonts w:ascii="Arial" w:hAnsi="Arial" w:cs="Arial"/>
          <w:bCs/>
          <w:i/>
          <w:iCs/>
        </w:rPr>
        <w:t xml:space="preserve"> </w:t>
      </w:r>
      <w:proofErr w:type="spellStart"/>
      <w:r w:rsidRPr="00EB4495">
        <w:rPr>
          <w:rFonts w:ascii="Arial" w:hAnsi="Arial" w:cs="Arial"/>
          <w:bCs/>
          <w:i/>
          <w:iCs/>
        </w:rPr>
        <w:t>Bâtisseurs</w:t>
      </w:r>
      <w:proofErr w:type="spellEnd"/>
      <w:r w:rsidRPr="00EB4495">
        <w:rPr>
          <w:rFonts w:ascii="Arial" w:hAnsi="Arial" w:cs="Arial"/>
          <w:bCs/>
        </w:rPr>
        <w:t xml:space="preserve"> in France, which reached 2,000 people in deprived rural regions with free DIY training and advice, and </w:t>
      </w:r>
      <w:r w:rsidRPr="00EB4495">
        <w:rPr>
          <w:rFonts w:ascii="Arial" w:hAnsi="Arial" w:cs="Arial"/>
          <w:bCs/>
          <w:i/>
          <w:iCs/>
        </w:rPr>
        <w:t xml:space="preserve">Meta </w:t>
      </w:r>
      <w:proofErr w:type="spellStart"/>
      <w:r w:rsidRPr="00EB4495">
        <w:rPr>
          <w:rFonts w:ascii="Arial" w:hAnsi="Arial" w:cs="Arial"/>
          <w:bCs/>
          <w:i/>
          <w:iCs/>
        </w:rPr>
        <w:t>Pomoc</w:t>
      </w:r>
      <w:proofErr w:type="spellEnd"/>
      <w:r w:rsidRPr="00EB4495">
        <w:rPr>
          <w:rFonts w:ascii="Arial" w:hAnsi="Arial" w:cs="Arial"/>
          <w:bCs/>
        </w:rPr>
        <w:t xml:space="preserve"> in Poland, supporting young people leaving the care system to improve their housing. </w:t>
      </w:r>
    </w:p>
    <w:p w14:paraId="1E6ED741" w14:textId="77777777" w:rsidR="00084627" w:rsidRPr="00EB4495" w:rsidRDefault="00084627" w:rsidP="00084627">
      <w:pPr>
        <w:autoSpaceDE w:val="0"/>
        <w:autoSpaceDN w:val="0"/>
        <w:jc w:val="left"/>
        <w:rPr>
          <w:rFonts w:ascii="Arial" w:eastAsiaTheme="minorHAnsi" w:hAnsi="Arial" w:cs="Arial"/>
        </w:rPr>
      </w:pPr>
    </w:p>
    <w:p w14:paraId="1D449575" w14:textId="77777777" w:rsidR="00084627" w:rsidRPr="00EB4495" w:rsidRDefault="00084627" w:rsidP="00084627">
      <w:pPr>
        <w:autoSpaceDE w:val="0"/>
        <w:autoSpaceDN w:val="0"/>
        <w:jc w:val="left"/>
        <w:rPr>
          <w:rFonts w:ascii="Arial" w:eastAsiaTheme="minorHAnsi" w:hAnsi="Arial" w:cs="Arial"/>
        </w:rPr>
      </w:pPr>
      <w:r w:rsidRPr="00EB4495">
        <w:rPr>
          <w:rFonts w:ascii="Arial" w:hAnsi="Arial" w:cs="Arial"/>
        </w:rPr>
        <w:t xml:space="preserve">Our priorities are underpinned by our commitment to our ‘Responsible Business Fundamentals’. </w:t>
      </w:r>
      <w:r w:rsidRPr="00EB4495">
        <w:rPr>
          <w:rFonts w:ascii="Arial" w:hAnsi="Arial" w:cs="Arial"/>
          <w:lang w:val="en-US"/>
        </w:rPr>
        <w:t xml:space="preserve">These are </w:t>
      </w:r>
      <w:r w:rsidRPr="00EB4495">
        <w:rPr>
          <w:rFonts w:ascii="Arial" w:hAnsi="Arial" w:cs="Arial"/>
        </w:rPr>
        <w:t xml:space="preserve">the many issues and impacts we need to measure and manage, to ensure we continue to operate responsibly across our business. We have clear policies in each of these areas, including health and safety, responsible sourcing, cyber security and data protection, and ethical conduct, to ensure we take a consistent best practice approach across our banners. </w:t>
      </w:r>
    </w:p>
    <w:p w14:paraId="6B266FDC" w14:textId="77777777" w:rsidR="00084627" w:rsidRPr="00EB4495" w:rsidRDefault="00084627" w:rsidP="00084627">
      <w:pPr>
        <w:jc w:val="left"/>
        <w:rPr>
          <w:rFonts w:ascii="Arial" w:hAnsi="Arial" w:cs="Arial"/>
        </w:rPr>
      </w:pPr>
    </w:p>
    <w:p w14:paraId="3C9E3A44" w14:textId="67D9ECDE" w:rsidR="00084627" w:rsidRPr="00EB4495" w:rsidRDefault="00D01CDB" w:rsidP="00084627">
      <w:pPr>
        <w:jc w:val="left"/>
        <w:rPr>
          <w:rFonts w:ascii="Arial" w:hAnsi="Arial" w:cs="Arial"/>
        </w:rPr>
      </w:pPr>
      <w:bookmarkStart w:id="58" w:name="_Hlk97101743"/>
      <w:r>
        <w:rPr>
          <w:rFonts w:ascii="Arial" w:hAnsi="Arial" w:cs="Arial"/>
        </w:rPr>
        <w:t xml:space="preserve">From FY 22/23, we </w:t>
      </w:r>
      <w:r w:rsidR="00BA50A3">
        <w:rPr>
          <w:rFonts w:ascii="Arial" w:hAnsi="Arial" w:cs="Arial"/>
        </w:rPr>
        <w:t xml:space="preserve">are </w:t>
      </w:r>
      <w:r>
        <w:rPr>
          <w:rFonts w:ascii="Arial" w:hAnsi="Arial" w:cs="Arial"/>
        </w:rPr>
        <w:t>integrat</w:t>
      </w:r>
      <w:r w:rsidR="00BA50A3">
        <w:rPr>
          <w:rFonts w:ascii="Arial" w:hAnsi="Arial" w:cs="Arial"/>
        </w:rPr>
        <w:t>ing</w:t>
      </w:r>
      <w:r>
        <w:rPr>
          <w:rFonts w:ascii="Arial" w:hAnsi="Arial" w:cs="Arial"/>
        </w:rPr>
        <w:t xml:space="preserve"> </w:t>
      </w:r>
      <w:r w:rsidR="00084627" w:rsidRPr="00EB4495">
        <w:rPr>
          <w:rFonts w:ascii="Arial" w:hAnsi="Arial" w:cs="Arial"/>
        </w:rPr>
        <w:t xml:space="preserve">Responsible Business </w:t>
      </w:r>
      <w:r>
        <w:rPr>
          <w:rFonts w:ascii="Arial" w:hAnsi="Arial" w:cs="Arial"/>
        </w:rPr>
        <w:t xml:space="preserve">measures </w:t>
      </w:r>
      <w:r w:rsidR="00084627" w:rsidRPr="00EB4495">
        <w:rPr>
          <w:rFonts w:ascii="Arial" w:hAnsi="Arial" w:cs="Arial"/>
        </w:rPr>
        <w:t xml:space="preserve">into </w:t>
      </w:r>
      <w:r w:rsidR="00BA50A3">
        <w:rPr>
          <w:rFonts w:ascii="Arial" w:hAnsi="Arial" w:cs="Arial"/>
        </w:rPr>
        <w:t xml:space="preserve">our </w:t>
      </w:r>
      <w:r w:rsidR="00084627" w:rsidRPr="00EB4495">
        <w:rPr>
          <w:rFonts w:ascii="Arial" w:hAnsi="Arial" w:cs="Arial"/>
        </w:rPr>
        <w:t xml:space="preserve">long-term incentive plan </w:t>
      </w:r>
      <w:r w:rsidR="00BA50A3">
        <w:rPr>
          <w:rFonts w:ascii="Arial" w:hAnsi="Arial" w:cs="Arial"/>
        </w:rPr>
        <w:t>(</w:t>
      </w:r>
      <w:r w:rsidR="00BA50A3" w:rsidRPr="00BA50A3">
        <w:rPr>
          <w:rFonts w:ascii="Arial" w:hAnsi="Arial" w:cs="Arial"/>
        </w:rPr>
        <w:t>known as the Kingfisher Performance Share Plan</w:t>
      </w:r>
      <w:r w:rsidR="00BA50A3">
        <w:rPr>
          <w:rFonts w:ascii="Arial" w:hAnsi="Arial" w:cs="Arial"/>
        </w:rPr>
        <w:t xml:space="preserve">), which will be granted to members of </w:t>
      </w:r>
      <w:r w:rsidR="00084627" w:rsidRPr="00EB4495">
        <w:rPr>
          <w:rFonts w:ascii="Arial" w:hAnsi="Arial" w:cs="Arial"/>
        </w:rPr>
        <w:t>our senior leadership team.</w:t>
      </w:r>
      <w:r w:rsidR="008867B9">
        <w:rPr>
          <w:rFonts w:ascii="Arial" w:hAnsi="Arial" w:cs="Arial"/>
        </w:rPr>
        <w:t xml:space="preserve"> </w:t>
      </w:r>
      <w:r w:rsidR="008867B9" w:rsidRPr="008867B9">
        <w:rPr>
          <w:rFonts w:ascii="Arial" w:hAnsi="Arial" w:cs="Arial"/>
        </w:rPr>
        <w:t>More information on this will be provided in our 2021/22 Annual Report and Accounts.</w:t>
      </w:r>
      <w:bookmarkEnd w:id="58"/>
    </w:p>
    <w:p w14:paraId="1D2E198C" w14:textId="77777777" w:rsidR="00084627" w:rsidRPr="00EB4495" w:rsidRDefault="00084627" w:rsidP="00084627">
      <w:pPr>
        <w:jc w:val="left"/>
        <w:rPr>
          <w:rFonts w:ascii="Arial" w:hAnsi="Arial" w:cs="Arial"/>
        </w:rPr>
      </w:pPr>
    </w:p>
    <w:p w14:paraId="11D00963" w14:textId="0A264827" w:rsidR="00406B7E" w:rsidRDefault="00084627" w:rsidP="00B534DB">
      <w:pPr>
        <w:jc w:val="left"/>
        <w:rPr>
          <w:rFonts w:ascii="Arial" w:eastAsia="Times New Roman" w:hAnsi="Arial" w:cs="Arial"/>
        </w:rPr>
      </w:pPr>
      <w:r w:rsidRPr="00EB4495">
        <w:rPr>
          <w:rFonts w:ascii="Arial" w:hAnsi="Arial" w:cs="Arial"/>
        </w:rPr>
        <w:t xml:space="preserve">In </w:t>
      </w:r>
      <w:r w:rsidR="008F6F0E">
        <w:rPr>
          <w:rFonts w:ascii="Arial" w:hAnsi="Arial" w:cs="Arial"/>
        </w:rPr>
        <w:t>May</w:t>
      </w:r>
      <w:r w:rsidR="008F6F0E" w:rsidRPr="00EB4495">
        <w:rPr>
          <w:rFonts w:ascii="Arial" w:hAnsi="Arial" w:cs="Arial"/>
        </w:rPr>
        <w:t xml:space="preserve"> </w:t>
      </w:r>
      <w:r w:rsidRPr="00EB4495">
        <w:rPr>
          <w:rFonts w:ascii="Arial" w:hAnsi="Arial" w:cs="Arial"/>
        </w:rPr>
        <w:t xml:space="preserve">2021, we </w:t>
      </w:r>
      <w:r w:rsidR="008F6F0E">
        <w:rPr>
          <w:rFonts w:ascii="Arial" w:hAnsi="Arial" w:cs="Arial"/>
        </w:rPr>
        <w:t xml:space="preserve">entered into </w:t>
      </w:r>
      <w:r w:rsidRPr="00EB4495">
        <w:rPr>
          <w:rFonts w:ascii="Arial" w:hAnsi="Arial" w:cs="Arial"/>
        </w:rPr>
        <w:t>a new £550m sustainability-linked revolving credit facility (RCF)</w:t>
      </w:r>
      <w:r w:rsidRPr="00EB4495">
        <w:rPr>
          <w:rStyle w:val="Hyperlink"/>
          <w:rFonts w:ascii="Arial" w:hAnsi="Arial" w:cs="Arial"/>
          <w:color w:val="auto"/>
          <w:u w:val="none"/>
        </w:rPr>
        <w:t xml:space="preserve">, which enables </w:t>
      </w:r>
      <w:r w:rsidRPr="00EB4495">
        <w:rPr>
          <w:rFonts w:ascii="Arial" w:hAnsi="Arial" w:cs="Arial"/>
        </w:rPr>
        <w:t xml:space="preserve">Kingfisher to benefit from a lower interest rate </w:t>
      </w:r>
      <w:r w:rsidR="008535E3">
        <w:rPr>
          <w:rFonts w:ascii="Arial" w:hAnsi="Arial" w:cs="Arial"/>
        </w:rPr>
        <w:t xml:space="preserve">when </w:t>
      </w:r>
      <w:r w:rsidRPr="00EB4495">
        <w:rPr>
          <w:rFonts w:ascii="Arial" w:hAnsi="Arial" w:cs="Arial"/>
        </w:rPr>
        <w:t>we deliver on ambitious sustainability and community-based targets under the Group’s Responsible Business plan.</w:t>
      </w:r>
    </w:p>
    <w:p w14:paraId="1C01AFBB" w14:textId="77777777" w:rsidR="00B534DB" w:rsidRDefault="00B534DB" w:rsidP="00B534DB">
      <w:pPr>
        <w:jc w:val="left"/>
        <w:rPr>
          <w:rFonts w:ascii="Arial" w:eastAsia="Times New Roman" w:hAnsi="Arial" w:cs="Arial"/>
        </w:rPr>
      </w:pPr>
    </w:p>
    <w:p w14:paraId="7504DA34" w14:textId="77777777" w:rsidR="00084627" w:rsidRPr="00EB4495" w:rsidRDefault="00084627" w:rsidP="00084627">
      <w:pPr>
        <w:jc w:val="left"/>
        <w:rPr>
          <w:rFonts w:ascii="Arial" w:eastAsia="Times New Roman" w:hAnsi="Arial" w:cs="Arial"/>
          <w:b/>
          <w:bCs/>
          <w:u w:val="single"/>
        </w:rPr>
      </w:pPr>
      <w:r w:rsidRPr="00EB4495">
        <w:rPr>
          <w:rFonts w:ascii="Arial" w:eastAsia="Times New Roman" w:hAnsi="Arial" w:cs="Arial"/>
          <w:b/>
          <w:bCs/>
          <w:u w:val="single"/>
        </w:rPr>
        <w:t xml:space="preserve">Governance and Reporting </w:t>
      </w:r>
    </w:p>
    <w:p w14:paraId="5633E26B" w14:textId="77777777" w:rsidR="00084627" w:rsidRPr="00EB4495" w:rsidRDefault="00084627" w:rsidP="00084627">
      <w:pPr>
        <w:jc w:val="left"/>
        <w:rPr>
          <w:rFonts w:ascii="Arial" w:hAnsi="Arial" w:cs="Arial"/>
        </w:rPr>
      </w:pPr>
      <w:r w:rsidRPr="00EB4495">
        <w:rPr>
          <w:rFonts w:ascii="Arial" w:eastAsia="Times New Roman" w:hAnsi="Arial" w:cs="Arial"/>
        </w:rPr>
        <w:t xml:space="preserve">Our Responsible Business Committee (RBC) is a sub-committee of Kingfisher’s Board. It supports the governance of Responsible Business and monitors performance against our priorities, and met three times during 2021. </w:t>
      </w:r>
      <w:r w:rsidRPr="00EB4495">
        <w:rPr>
          <w:rFonts w:ascii="Arial" w:hAnsi="Arial" w:cs="Arial"/>
        </w:rPr>
        <w:t xml:space="preserve">The RBC is chaired by Sophie Gasperment, a non-executive director (NED) of the Board, and includes a further NED, our Group CEO, and other members of the Group Executive. </w:t>
      </w:r>
    </w:p>
    <w:p w14:paraId="1F820182" w14:textId="77777777" w:rsidR="00084627" w:rsidRPr="00EB4495" w:rsidRDefault="00084627" w:rsidP="00084627">
      <w:pPr>
        <w:jc w:val="left"/>
        <w:rPr>
          <w:rFonts w:ascii="Arial" w:hAnsi="Arial" w:cs="Arial"/>
        </w:rPr>
      </w:pPr>
    </w:p>
    <w:p w14:paraId="263B6822" w14:textId="3155F9CA" w:rsidR="00084627" w:rsidRPr="00EB4495" w:rsidRDefault="00084627" w:rsidP="009D4A62">
      <w:pPr>
        <w:jc w:val="left"/>
        <w:rPr>
          <w:rFonts w:ascii="Arial" w:hAnsi="Arial" w:cs="Arial"/>
        </w:rPr>
      </w:pPr>
      <w:r w:rsidRPr="00EB4495">
        <w:rPr>
          <w:rFonts w:ascii="Arial" w:hAnsi="Arial" w:cs="Arial"/>
          <w:bCs/>
        </w:rPr>
        <w:t xml:space="preserve">We align our reporting with the </w:t>
      </w:r>
      <w:r w:rsidRPr="00EB4495">
        <w:rPr>
          <w:rFonts w:ascii="Arial" w:hAnsi="Arial" w:cs="Arial"/>
          <w:b/>
        </w:rPr>
        <w:t>Sustainability Accounting Standards Board (SASB)</w:t>
      </w:r>
      <w:r w:rsidRPr="00EB4495">
        <w:rPr>
          <w:rFonts w:ascii="Arial" w:hAnsi="Arial" w:cs="Arial"/>
          <w:bCs/>
        </w:rPr>
        <w:t xml:space="preserve"> standards for Multiline and Speciality Retailers and Distributors, and the </w:t>
      </w:r>
      <w:r w:rsidRPr="00EB4495">
        <w:rPr>
          <w:rFonts w:ascii="Arial" w:hAnsi="Arial" w:cs="Arial"/>
          <w:lang w:eastAsia="zh-CN"/>
        </w:rPr>
        <w:t>Global Reporting Initiative (GRI).</w:t>
      </w:r>
      <w:r w:rsidRPr="00EB4495">
        <w:rPr>
          <w:rFonts w:ascii="Arial" w:hAnsi="Arial" w:cs="Arial"/>
          <w:bCs/>
        </w:rPr>
        <w:t xml:space="preserve"> </w:t>
      </w:r>
      <w:r w:rsidR="009D4A62">
        <w:rPr>
          <w:rFonts w:ascii="Arial" w:hAnsi="Arial" w:cs="Arial"/>
          <w:bCs/>
        </w:rPr>
        <w:t xml:space="preserve">Furthermore, </w:t>
      </w:r>
      <w:r w:rsidR="009D4A62">
        <w:rPr>
          <w:rFonts w:ascii="Arial" w:hAnsi="Arial" w:cs="Arial"/>
        </w:rPr>
        <w:t>w</w:t>
      </w:r>
      <w:r w:rsidRPr="00EB4495">
        <w:rPr>
          <w:rFonts w:ascii="Arial" w:hAnsi="Arial" w:cs="Arial"/>
        </w:rPr>
        <w:t xml:space="preserve">e have been working to improve our understanding of the financial impacts of climate-related risks and opportunities, in line with the approach set out by the </w:t>
      </w:r>
      <w:r w:rsidRPr="00EB4495">
        <w:rPr>
          <w:rFonts w:ascii="Arial" w:hAnsi="Arial" w:cs="Arial"/>
          <w:b/>
          <w:bCs/>
        </w:rPr>
        <w:t>Task Force on Climate-related Financial Disclosures (TCFD)</w:t>
      </w:r>
      <w:r w:rsidRPr="00EB4495">
        <w:rPr>
          <w:rFonts w:ascii="Arial" w:hAnsi="Arial" w:cs="Arial"/>
        </w:rPr>
        <w:t xml:space="preserve">. </w:t>
      </w:r>
      <w:r w:rsidR="009D4A62">
        <w:rPr>
          <w:rFonts w:ascii="Arial" w:hAnsi="Arial" w:cs="Arial"/>
        </w:rPr>
        <w:t>Further</w:t>
      </w:r>
      <w:r w:rsidR="009D4A62" w:rsidRPr="00EB4495">
        <w:rPr>
          <w:rFonts w:ascii="Arial" w:hAnsi="Arial" w:cs="Arial"/>
        </w:rPr>
        <w:t xml:space="preserve"> </w:t>
      </w:r>
      <w:r w:rsidRPr="00EB4495">
        <w:rPr>
          <w:rFonts w:ascii="Arial" w:hAnsi="Arial" w:cs="Arial"/>
        </w:rPr>
        <w:t>information will be provided in our 2021/22 Annual Report and Accounts.</w:t>
      </w:r>
    </w:p>
    <w:p w14:paraId="5016B0E6" w14:textId="77777777" w:rsidR="00084627" w:rsidRPr="00A4029C" w:rsidRDefault="00084627" w:rsidP="00084627">
      <w:pPr>
        <w:jc w:val="left"/>
        <w:rPr>
          <w:rFonts w:ascii="Arial" w:hAnsi="Arial" w:cs="Arial"/>
        </w:rPr>
      </w:pPr>
    </w:p>
    <w:p w14:paraId="118D4B83" w14:textId="77777777" w:rsidR="00084627" w:rsidRPr="00A4029C" w:rsidRDefault="00084627" w:rsidP="00084627">
      <w:pPr>
        <w:jc w:val="left"/>
        <w:rPr>
          <w:rFonts w:ascii="Arial" w:hAnsi="Arial" w:cs="Arial"/>
        </w:rPr>
      </w:pPr>
      <w:r w:rsidRPr="00A4029C">
        <w:rPr>
          <w:rFonts w:ascii="Arial" w:hAnsi="Arial" w:cs="Arial"/>
        </w:rPr>
        <w:t>We continue to rank highly in external benchmarks and indices, including:</w:t>
      </w:r>
    </w:p>
    <w:p w14:paraId="74969FE7" w14:textId="77777777" w:rsidR="00084627" w:rsidRPr="00A4029C" w:rsidRDefault="00084627" w:rsidP="00084627">
      <w:pPr>
        <w:jc w:val="left"/>
        <w:rPr>
          <w:rFonts w:ascii="Arial" w:hAnsi="Arial" w:cs="Arial"/>
        </w:rPr>
      </w:pPr>
    </w:p>
    <w:p w14:paraId="51814D6A" w14:textId="6E5A1237" w:rsidR="00084627" w:rsidRPr="00A4029C" w:rsidRDefault="00084627" w:rsidP="00084627">
      <w:pPr>
        <w:pStyle w:val="ListParagraph"/>
        <w:numPr>
          <w:ilvl w:val="0"/>
          <w:numId w:val="25"/>
        </w:numPr>
        <w:ind w:left="360"/>
        <w:jc w:val="left"/>
        <w:rPr>
          <w:rFonts w:ascii="Arial" w:hAnsi="Arial" w:cs="Arial"/>
          <w:bCs/>
        </w:rPr>
      </w:pPr>
      <w:r w:rsidRPr="00A4029C">
        <w:rPr>
          <w:rFonts w:ascii="Arial" w:hAnsi="Arial" w:cs="Arial"/>
          <w:b/>
        </w:rPr>
        <w:t>MSCI:</w:t>
      </w:r>
      <w:r w:rsidRPr="00A4029C">
        <w:rPr>
          <w:rFonts w:ascii="Arial" w:hAnsi="Arial" w:cs="Arial"/>
          <w:bCs/>
        </w:rPr>
        <w:t xml:space="preserve"> We rank as a </w:t>
      </w:r>
      <w:r w:rsidR="00EF66D0" w:rsidRPr="00A4029C">
        <w:rPr>
          <w:rFonts w:ascii="Arial" w:hAnsi="Arial" w:cs="Arial"/>
          <w:bCs/>
        </w:rPr>
        <w:t>‘</w:t>
      </w:r>
      <w:r w:rsidR="00407E68" w:rsidRPr="00A4029C">
        <w:rPr>
          <w:rFonts w:ascii="Arial" w:hAnsi="Arial" w:cs="Arial"/>
          <w:bCs/>
        </w:rPr>
        <w:t>L</w:t>
      </w:r>
      <w:r w:rsidRPr="00A4029C">
        <w:rPr>
          <w:rFonts w:ascii="Arial" w:hAnsi="Arial" w:cs="Arial"/>
          <w:bCs/>
        </w:rPr>
        <w:t>eader</w:t>
      </w:r>
      <w:r w:rsidR="00FF2036" w:rsidRPr="00A4029C">
        <w:rPr>
          <w:rFonts w:ascii="Arial" w:hAnsi="Arial" w:cs="Arial"/>
          <w:bCs/>
        </w:rPr>
        <w:t>’</w:t>
      </w:r>
      <w:r w:rsidRPr="00A4029C">
        <w:rPr>
          <w:rFonts w:ascii="Arial" w:hAnsi="Arial" w:cs="Arial"/>
          <w:bCs/>
        </w:rPr>
        <w:t xml:space="preserve">, having received the highest-possible ‘AAA’ score, which was achieved by only 3% of companies in the </w:t>
      </w:r>
      <w:r w:rsidRPr="00A4029C">
        <w:rPr>
          <w:rFonts w:ascii="Arial" w:hAnsi="Arial" w:cs="Arial"/>
          <w:bCs/>
          <w:i/>
          <w:iCs/>
        </w:rPr>
        <w:t xml:space="preserve">Retail </w:t>
      </w:r>
      <w:r w:rsidR="008B2B82" w:rsidRPr="00A4029C">
        <w:rPr>
          <w:rFonts w:ascii="Arial" w:hAnsi="Arial" w:cs="Arial"/>
          <w:bCs/>
          <w:i/>
          <w:iCs/>
        </w:rPr>
        <w:t>– Consumer Discretionary</w:t>
      </w:r>
      <w:r w:rsidR="008B2B82" w:rsidRPr="00A4029C">
        <w:rPr>
          <w:rFonts w:ascii="Arial" w:hAnsi="Arial" w:cs="Arial"/>
          <w:bCs/>
        </w:rPr>
        <w:t xml:space="preserve"> </w:t>
      </w:r>
      <w:r w:rsidRPr="00A4029C">
        <w:rPr>
          <w:rFonts w:ascii="Arial" w:hAnsi="Arial" w:cs="Arial"/>
          <w:bCs/>
        </w:rPr>
        <w:t>sector.</w:t>
      </w:r>
    </w:p>
    <w:p w14:paraId="6883B5F2" w14:textId="7D4E88EF" w:rsidR="00084627" w:rsidRPr="00A4029C" w:rsidRDefault="00084627" w:rsidP="00084627">
      <w:pPr>
        <w:pStyle w:val="ListParagraph"/>
        <w:numPr>
          <w:ilvl w:val="0"/>
          <w:numId w:val="25"/>
        </w:numPr>
        <w:ind w:left="360"/>
        <w:jc w:val="left"/>
        <w:rPr>
          <w:rFonts w:ascii="Arial" w:hAnsi="Arial" w:cs="Arial"/>
          <w:bCs/>
        </w:rPr>
      </w:pPr>
      <w:r w:rsidRPr="00A4029C">
        <w:rPr>
          <w:rFonts w:ascii="Arial" w:hAnsi="Arial" w:cs="Arial"/>
          <w:b/>
        </w:rPr>
        <w:t>CDP climate change:</w:t>
      </w:r>
      <w:r w:rsidRPr="00A4029C">
        <w:rPr>
          <w:rFonts w:ascii="Arial" w:hAnsi="Arial" w:cs="Arial"/>
          <w:bCs/>
        </w:rPr>
        <w:t xml:space="preserve"> We continue to achieve a leadership score of ‘A-’. We are amongst 25% of companies in our sector globally that reached ‘Leadership’ level and we score higher than the average </w:t>
      </w:r>
      <w:r w:rsidR="008B2B82" w:rsidRPr="00A4029C">
        <w:rPr>
          <w:rFonts w:ascii="Arial" w:hAnsi="Arial" w:cs="Arial"/>
        </w:rPr>
        <w:t>discretionary</w:t>
      </w:r>
      <w:r w:rsidR="008B2B82" w:rsidRPr="00A4029C">
        <w:rPr>
          <w:rFonts w:ascii="Arial" w:hAnsi="Arial" w:cs="Arial"/>
          <w:bCs/>
        </w:rPr>
        <w:t xml:space="preserve"> </w:t>
      </w:r>
      <w:r w:rsidRPr="00A4029C">
        <w:rPr>
          <w:rFonts w:ascii="Arial" w:hAnsi="Arial" w:cs="Arial"/>
          <w:bCs/>
        </w:rPr>
        <w:t xml:space="preserve">retail performance of ‘B-’. </w:t>
      </w:r>
    </w:p>
    <w:p w14:paraId="1FE7E7F9" w14:textId="4AA02812" w:rsidR="00084627" w:rsidRPr="00A4029C" w:rsidRDefault="00084627" w:rsidP="00084627">
      <w:pPr>
        <w:pStyle w:val="ListParagraph"/>
        <w:numPr>
          <w:ilvl w:val="0"/>
          <w:numId w:val="25"/>
        </w:numPr>
        <w:ind w:left="360"/>
        <w:jc w:val="left"/>
        <w:rPr>
          <w:rFonts w:ascii="Arial" w:hAnsi="Arial" w:cs="Arial"/>
          <w:bCs/>
        </w:rPr>
      </w:pPr>
      <w:r w:rsidRPr="00A4029C">
        <w:rPr>
          <w:rFonts w:ascii="Arial" w:hAnsi="Arial" w:cs="Arial"/>
          <w:b/>
        </w:rPr>
        <w:t>Sustainalytics:</w:t>
      </w:r>
      <w:r w:rsidRPr="00A4029C">
        <w:rPr>
          <w:rFonts w:ascii="Arial" w:hAnsi="Arial" w:cs="Arial"/>
          <w:bCs/>
        </w:rPr>
        <w:t xml:space="preserve"> </w:t>
      </w:r>
      <w:r w:rsidR="00AE0CA5" w:rsidRPr="00A4029C">
        <w:rPr>
          <w:rFonts w:ascii="Arial" w:hAnsi="Arial" w:cs="Arial"/>
          <w:bCs/>
        </w:rPr>
        <w:t>We rank 1</w:t>
      </w:r>
      <w:r w:rsidR="00AE0CA5" w:rsidRPr="00583530">
        <w:rPr>
          <w:rFonts w:ascii="Arial" w:hAnsi="Arial" w:cs="Arial"/>
          <w:bCs/>
          <w:vertAlign w:val="superscript"/>
        </w:rPr>
        <w:t>st</w:t>
      </w:r>
      <w:r w:rsidR="00AE0CA5" w:rsidRPr="00A4029C">
        <w:rPr>
          <w:rFonts w:ascii="Arial" w:hAnsi="Arial" w:cs="Arial"/>
          <w:bCs/>
        </w:rPr>
        <w:t xml:space="preserve"> out of 39 in home improvement retail and 2</w:t>
      </w:r>
      <w:r w:rsidR="00AE0CA5" w:rsidRPr="00583530">
        <w:rPr>
          <w:rFonts w:ascii="Arial" w:hAnsi="Arial" w:cs="Arial"/>
          <w:bCs/>
          <w:vertAlign w:val="superscript"/>
        </w:rPr>
        <w:t>nd</w:t>
      </w:r>
      <w:r w:rsidR="00AE0CA5" w:rsidRPr="00A4029C">
        <w:rPr>
          <w:rFonts w:ascii="Arial" w:hAnsi="Arial" w:cs="Arial"/>
          <w:bCs/>
        </w:rPr>
        <w:t xml:space="preserve"> out of 453 in the wider retailing industry.</w:t>
      </w:r>
    </w:p>
    <w:p w14:paraId="1EBAF3E1" w14:textId="5ED24D46" w:rsidR="00084627" w:rsidRPr="00A4029C" w:rsidRDefault="00084627" w:rsidP="00084627">
      <w:pPr>
        <w:pStyle w:val="ListParagraph"/>
        <w:numPr>
          <w:ilvl w:val="0"/>
          <w:numId w:val="25"/>
        </w:numPr>
        <w:ind w:left="360"/>
        <w:jc w:val="left"/>
        <w:rPr>
          <w:rFonts w:ascii="Arial" w:hAnsi="Arial" w:cs="Arial"/>
          <w:bCs/>
        </w:rPr>
      </w:pPr>
      <w:r w:rsidRPr="00A4029C">
        <w:rPr>
          <w:rFonts w:ascii="Arial" w:hAnsi="Arial" w:cs="Arial"/>
          <w:b/>
        </w:rPr>
        <w:t>Workforce Disclosure Initiative:</w:t>
      </w:r>
      <w:r w:rsidRPr="00A4029C">
        <w:rPr>
          <w:rFonts w:ascii="Arial" w:hAnsi="Arial" w:cs="Arial"/>
          <w:bCs/>
        </w:rPr>
        <w:t xml:space="preserve"> </w:t>
      </w:r>
      <w:r w:rsidR="00407E68" w:rsidRPr="00A4029C">
        <w:rPr>
          <w:rFonts w:ascii="Arial" w:hAnsi="Arial" w:cs="Arial"/>
          <w:bCs/>
        </w:rPr>
        <w:t>W</w:t>
      </w:r>
      <w:r w:rsidRPr="00A4029C">
        <w:rPr>
          <w:rFonts w:ascii="Arial" w:hAnsi="Arial" w:cs="Arial"/>
          <w:bCs/>
        </w:rPr>
        <w:t xml:space="preserve">e received a disclosure score of </w:t>
      </w:r>
      <w:r w:rsidR="00407E68" w:rsidRPr="00A4029C">
        <w:rPr>
          <w:rFonts w:ascii="Arial" w:hAnsi="Arial" w:cs="Arial"/>
          <w:bCs/>
        </w:rPr>
        <w:t>71</w:t>
      </w:r>
      <w:r w:rsidRPr="00A4029C">
        <w:rPr>
          <w:rFonts w:ascii="Arial" w:hAnsi="Arial" w:cs="Arial"/>
          <w:bCs/>
        </w:rPr>
        <w:t xml:space="preserve">%, which is ahead of the average </w:t>
      </w:r>
      <w:r w:rsidR="00407E68" w:rsidRPr="00A4029C">
        <w:rPr>
          <w:rFonts w:ascii="Arial" w:hAnsi="Arial" w:cs="Arial"/>
        </w:rPr>
        <w:t xml:space="preserve">consumer discretionary </w:t>
      </w:r>
      <w:r w:rsidRPr="00A4029C">
        <w:rPr>
          <w:rFonts w:ascii="Arial" w:hAnsi="Arial" w:cs="Arial"/>
          <w:bCs/>
        </w:rPr>
        <w:t xml:space="preserve">sector </w:t>
      </w:r>
      <w:r w:rsidR="00407E68" w:rsidRPr="00A4029C">
        <w:rPr>
          <w:rFonts w:ascii="Arial" w:hAnsi="Arial" w:cs="Arial"/>
          <w:bCs/>
        </w:rPr>
        <w:t xml:space="preserve">and </w:t>
      </w:r>
      <w:r w:rsidRPr="00A4029C">
        <w:rPr>
          <w:rFonts w:ascii="Arial" w:hAnsi="Arial" w:cs="Arial"/>
          <w:bCs/>
        </w:rPr>
        <w:t xml:space="preserve">average </w:t>
      </w:r>
      <w:r w:rsidR="00407E68" w:rsidRPr="00A4029C">
        <w:rPr>
          <w:rFonts w:ascii="Arial" w:hAnsi="Arial" w:cs="Arial"/>
          <w:bCs/>
        </w:rPr>
        <w:t xml:space="preserve">disclosure </w:t>
      </w:r>
      <w:r w:rsidRPr="00A4029C">
        <w:rPr>
          <w:rFonts w:ascii="Arial" w:hAnsi="Arial" w:cs="Arial"/>
          <w:bCs/>
        </w:rPr>
        <w:t xml:space="preserve">score </w:t>
      </w:r>
      <w:r w:rsidR="00407E68" w:rsidRPr="00A4029C">
        <w:rPr>
          <w:rFonts w:ascii="Arial" w:hAnsi="Arial" w:cs="Arial"/>
          <w:bCs/>
        </w:rPr>
        <w:t xml:space="preserve">(all companies) </w:t>
      </w:r>
      <w:r w:rsidRPr="00A4029C">
        <w:rPr>
          <w:rFonts w:ascii="Arial" w:hAnsi="Arial" w:cs="Arial"/>
          <w:bCs/>
        </w:rPr>
        <w:t xml:space="preserve">of </w:t>
      </w:r>
      <w:r w:rsidR="00407E68" w:rsidRPr="00A4029C">
        <w:rPr>
          <w:rFonts w:ascii="Arial" w:hAnsi="Arial" w:cs="Arial"/>
          <w:bCs/>
        </w:rPr>
        <w:t>68</w:t>
      </w:r>
      <w:r w:rsidRPr="00A4029C">
        <w:rPr>
          <w:rFonts w:ascii="Arial" w:hAnsi="Arial" w:cs="Arial"/>
          <w:bCs/>
        </w:rPr>
        <w:t>%.</w:t>
      </w:r>
    </w:p>
    <w:p w14:paraId="052ACFF7" w14:textId="117954C1" w:rsidR="00084627" w:rsidRPr="00A4029C" w:rsidRDefault="00084627" w:rsidP="00084627">
      <w:pPr>
        <w:pStyle w:val="ListParagraph"/>
        <w:numPr>
          <w:ilvl w:val="0"/>
          <w:numId w:val="25"/>
        </w:numPr>
        <w:ind w:left="360"/>
        <w:jc w:val="left"/>
        <w:rPr>
          <w:rFonts w:ascii="Arial" w:hAnsi="Arial" w:cs="Arial"/>
          <w:bCs/>
        </w:rPr>
      </w:pPr>
      <w:r w:rsidRPr="00A4029C">
        <w:rPr>
          <w:rFonts w:ascii="Arial" w:hAnsi="Arial" w:cs="Arial"/>
          <w:b/>
        </w:rPr>
        <w:t>ISS ESG Corporate Rating:</w:t>
      </w:r>
      <w:r w:rsidRPr="00A4029C">
        <w:rPr>
          <w:rFonts w:ascii="Arial" w:hAnsi="Arial" w:cs="Arial"/>
          <w:bCs/>
        </w:rPr>
        <w:t xml:space="preserve"> We achieved a ‘C+’ rating. This is supported by our ‘Prime’ status, which is given to companies that are perceived to be sustainability leaders in their industry.</w:t>
      </w:r>
    </w:p>
    <w:p w14:paraId="76B51905" w14:textId="79AAC506" w:rsidR="00407E68" w:rsidRPr="00A4029C" w:rsidRDefault="00407E68" w:rsidP="00084627">
      <w:pPr>
        <w:pStyle w:val="ListParagraph"/>
        <w:numPr>
          <w:ilvl w:val="0"/>
          <w:numId w:val="25"/>
        </w:numPr>
        <w:ind w:left="360"/>
        <w:jc w:val="left"/>
        <w:rPr>
          <w:rFonts w:ascii="Arial" w:hAnsi="Arial" w:cs="Arial"/>
          <w:bCs/>
        </w:rPr>
      </w:pPr>
      <w:r w:rsidRPr="00A4029C">
        <w:rPr>
          <w:rFonts w:ascii="Arial" w:hAnsi="Arial" w:cs="Arial"/>
          <w:b/>
        </w:rPr>
        <w:t>FTSE4Good:</w:t>
      </w:r>
      <w:r w:rsidRPr="00A4029C">
        <w:rPr>
          <w:rFonts w:ascii="Arial" w:hAnsi="Arial" w:cs="Arial"/>
          <w:bCs/>
        </w:rPr>
        <w:t xml:space="preserve"> Listed in this index with a rating of 4.6 out of 5 (</w:t>
      </w:r>
      <w:r w:rsidR="00A07D61">
        <w:rPr>
          <w:rFonts w:ascii="Arial" w:hAnsi="Arial" w:cs="Arial"/>
          <w:bCs/>
        </w:rPr>
        <w:t>‘</w:t>
      </w:r>
      <w:r w:rsidRPr="00A4029C">
        <w:rPr>
          <w:rFonts w:ascii="Arial" w:hAnsi="Arial" w:cs="Arial"/>
          <w:bCs/>
        </w:rPr>
        <w:t>Strong’ performance).</w:t>
      </w:r>
    </w:p>
    <w:p w14:paraId="5678E64F" w14:textId="77777777" w:rsidR="00084627" w:rsidRPr="00A4029C" w:rsidRDefault="00084627" w:rsidP="00084627">
      <w:pPr>
        <w:jc w:val="left"/>
        <w:rPr>
          <w:rFonts w:ascii="Arial" w:hAnsi="Arial" w:cs="Arial"/>
        </w:rPr>
      </w:pPr>
    </w:p>
    <w:p w14:paraId="1B6617DD" w14:textId="50CF5B7A" w:rsidR="00276435" w:rsidRDefault="00084627" w:rsidP="00E21F59">
      <w:pPr>
        <w:jc w:val="left"/>
        <w:rPr>
          <w:rFonts w:ascii="Arial" w:hAnsi="Arial" w:cs="Arial"/>
        </w:rPr>
      </w:pPr>
      <w:bookmarkStart w:id="59" w:name="_Hlk97136887"/>
      <w:r w:rsidRPr="00A4029C">
        <w:rPr>
          <w:rFonts w:ascii="Arial" w:hAnsi="Arial" w:cs="Arial"/>
        </w:rPr>
        <w:t xml:space="preserve">For more information on our Responsible Business strategy, performance and governance, please visit the Responsible Business section of our website at </w:t>
      </w:r>
      <w:hyperlink r:id="rId17" w:history="1">
        <w:r w:rsidRPr="00A4029C">
          <w:rPr>
            <w:rStyle w:val="Hyperlink"/>
            <w:rFonts w:ascii="Arial" w:hAnsi="Arial" w:cs="Arial"/>
          </w:rPr>
          <w:t>www.kingfisher.com</w:t>
        </w:r>
      </w:hyperlink>
      <w:r w:rsidR="00A4029C">
        <w:rPr>
          <w:rFonts w:ascii="Arial" w:hAnsi="Arial" w:cs="Arial"/>
        </w:rPr>
        <w:t xml:space="preserve"> a</w:t>
      </w:r>
      <w:r w:rsidR="00EE3E49" w:rsidRPr="00A4029C">
        <w:rPr>
          <w:rFonts w:ascii="Arial" w:hAnsi="Arial" w:cs="Arial"/>
        </w:rPr>
        <w:t>nd our Responsible Business report</w:t>
      </w:r>
      <w:r w:rsidR="0048620F" w:rsidRPr="00A4029C">
        <w:rPr>
          <w:rFonts w:ascii="Arial" w:hAnsi="Arial" w:cs="Arial"/>
        </w:rPr>
        <w:t xml:space="preserve"> to be published in Q2 22/23</w:t>
      </w:r>
      <w:r w:rsidRPr="00A4029C">
        <w:rPr>
          <w:rFonts w:ascii="Arial" w:hAnsi="Arial" w:cs="Arial"/>
        </w:rPr>
        <w:t>.</w:t>
      </w:r>
      <w:bookmarkEnd w:id="59"/>
      <w:r w:rsidR="00276435">
        <w:rPr>
          <w:rFonts w:ascii="Arial" w:hAnsi="Arial" w:cs="Arial"/>
        </w:rPr>
        <w:br w:type="page"/>
      </w:r>
    </w:p>
    <w:p w14:paraId="57B1EC2A" w14:textId="77777777" w:rsidR="00084627" w:rsidRPr="00EB4495" w:rsidRDefault="00084627" w:rsidP="00084627">
      <w:pPr>
        <w:pStyle w:val="ListParagraph"/>
        <w:numPr>
          <w:ilvl w:val="0"/>
          <w:numId w:val="17"/>
        </w:numPr>
        <w:pBdr>
          <w:top w:val="single" w:sz="4" w:space="1" w:color="auto"/>
          <w:left w:val="single" w:sz="4" w:space="4" w:color="auto"/>
          <w:bottom w:val="single" w:sz="4" w:space="1" w:color="auto"/>
          <w:right w:val="single" w:sz="4" w:space="4" w:color="auto"/>
        </w:pBdr>
        <w:contextualSpacing/>
        <w:jc w:val="left"/>
        <w:rPr>
          <w:rFonts w:ascii="Arial" w:hAnsi="Arial" w:cs="Arial"/>
          <w:b/>
          <w:bCs/>
        </w:rPr>
      </w:pPr>
      <w:r w:rsidRPr="00EB4495">
        <w:rPr>
          <w:rFonts w:ascii="Arial" w:hAnsi="Arial" w:cs="Arial"/>
          <w:b/>
          <w:bCs/>
        </w:rPr>
        <w:lastRenderedPageBreak/>
        <w:t>Industry trends offer us opportunities</w:t>
      </w:r>
    </w:p>
    <w:p w14:paraId="5FBDF7A6" w14:textId="77777777" w:rsidR="00084627" w:rsidRPr="00EB4495" w:rsidRDefault="00084627" w:rsidP="00084627">
      <w:pPr>
        <w:jc w:val="left"/>
        <w:rPr>
          <w:rFonts w:ascii="Arial" w:hAnsi="Arial" w:cs="Arial"/>
        </w:rPr>
      </w:pPr>
    </w:p>
    <w:p w14:paraId="15D286D4" w14:textId="77777777" w:rsidR="00084627" w:rsidRPr="00EB4495" w:rsidRDefault="00084627" w:rsidP="00084627">
      <w:pPr>
        <w:jc w:val="left"/>
        <w:rPr>
          <w:rFonts w:ascii="Arial" w:hAnsi="Arial" w:cs="Arial"/>
        </w:rPr>
      </w:pPr>
      <w:r w:rsidRPr="00EB4495">
        <w:rPr>
          <w:rFonts w:ascii="Arial" w:hAnsi="Arial" w:cs="Arial"/>
        </w:rPr>
        <w:t>While the overall home improvement industry is growing, there are also clear longer-term shifts within the market which provide us with further opportunities. Our ‘Powered by Kingfisher’ strategy is closely aligned with these trends, positioning our banners for growth.</w:t>
      </w:r>
    </w:p>
    <w:p w14:paraId="488B3F98" w14:textId="77777777" w:rsidR="00084627" w:rsidRPr="00EB4495" w:rsidRDefault="00084627" w:rsidP="00084627">
      <w:pPr>
        <w:jc w:val="left"/>
        <w:rPr>
          <w:rFonts w:ascii="Arial" w:hAnsi="Arial" w:cs="Arial"/>
        </w:rPr>
      </w:pPr>
    </w:p>
    <w:p w14:paraId="21137620" w14:textId="2692CD15" w:rsidR="00084627" w:rsidRPr="00EB4495" w:rsidRDefault="00084627" w:rsidP="00084627">
      <w:pPr>
        <w:jc w:val="left"/>
        <w:rPr>
          <w:rFonts w:ascii="Arial" w:hAnsi="Arial" w:cs="Arial"/>
        </w:rPr>
      </w:pPr>
      <w:r w:rsidRPr="00EB4495">
        <w:rPr>
          <w:rFonts w:ascii="Arial" w:hAnsi="Arial" w:cs="Arial"/>
          <w:b/>
          <w:bCs/>
        </w:rPr>
        <w:t xml:space="preserve">Working from home – </w:t>
      </w:r>
      <w:r w:rsidRPr="00EB4495">
        <w:rPr>
          <w:rFonts w:ascii="Arial" w:hAnsi="Arial" w:cs="Arial"/>
        </w:rPr>
        <w:t>The COVID crisis has established longer-term trends that clearly support our industry, in particular the normalisation of flexible working. We expect that for most, a return to the work office for five days a week is unlikely. As a result, our customers are encouraged to invest in their homes</w:t>
      </w:r>
      <w:r w:rsidR="00276435">
        <w:rPr>
          <w:rFonts w:ascii="Arial" w:hAnsi="Arial" w:cs="Arial"/>
        </w:rPr>
        <w:t xml:space="preserve"> and gardens</w:t>
      </w:r>
      <w:r w:rsidRPr="00EB4495">
        <w:rPr>
          <w:rFonts w:ascii="Arial" w:hAnsi="Arial" w:cs="Arial"/>
        </w:rPr>
        <w:t>, with more focus on improving their comfort and wellness. More working from home also results in more wear and tear, and the need to organise living space differently, creating further demand for home improvement. Flexible working has also allowed people to move further out of city centres, usually into larger homes, meaning they have more space to maintain and improve, and are generally closer to our larger stores. This has also driven up housing transaction volumes which, our data shows, generates significant incremental demand for the 12-18 months following a move.</w:t>
      </w:r>
    </w:p>
    <w:p w14:paraId="02A75D2E" w14:textId="77777777" w:rsidR="00084627" w:rsidRPr="00EB4495" w:rsidRDefault="00084627" w:rsidP="00084627">
      <w:pPr>
        <w:jc w:val="left"/>
        <w:rPr>
          <w:rFonts w:ascii="Arial" w:hAnsi="Arial" w:cs="Arial"/>
        </w:rPr>
      </w:pPr>
    </w:p>
    <w:p w14:paraId="69AE5FFC" w14:textId="77777777" w:rsidR="00084627" w:rsidRPr="00EB4495" w:rsidRDefault="00084627" w:rsidP="00084627">
      <w:pPr>
        <w:jc w:val="left"/>
        <w:rPr>
          <w:rFonts w:ascii="Arial" w:hAnsi="Arial" w:cs="Arial"/>
        </w:rPr>
      </w:pPr>
      <w:r w:rsidRPr="00EB4495">
        <w:rPr>
          <w:rFonts w:ascii="Arial" w:hAnsi="Arial" w:cs="Arial"/>
          <w:b/>
          <w:bCs/>
        </w:rPr>
        <w:t xml:space="preserve">Digital – </w:t>
      </w:r>
      <w:r w:rsidRPr="00EB4495">
        <w:rPr>
          <w:rFonts w:ascii="Arial" w:hAnsi="Arial" w:cs="Arial"/>
        </w:rPr>
        <w:t xml:space="preserve">Over the last two years, the shift towards online has rapidly accelerated for the whole industry. All our key markets have experienced significant e-commerce growth, with our e-commerce sales up 171% since FY 19/20. We are prioritising investment in digital, technology and data as we scale up for the next phase of e-commerce growth, led by our Group e-commerce marketplace technology. Further detail is included above within </w:t>
      </w:r>
      <w:r w:rsidRPr="00EB4495">
        <w:rPr>
          <w:rFonts w:ascii="Arial" w:hAnsi="Arial" w:cs="Arial"/>
          <w:i/>
          <w:iCs/>
        </w:rPr>
        <w:t xml:space="preserve">‘Grow e-commerce </w:t>
      </w:r>
      <w:proofErr w:type="gramStart"/>
      <w:r w:rsidRPr="00EB4495">
        <w:rPr>
          <w:rFonts w:ascii="Arial" w:hAnsi="Arial" w:cs="Arial"/>
          <w:i/>
          <w:iCs/>
        </w:rPr>
        <w:t>sales’</w:t>
      </w:r>
      <w:proofErr w:type="gramEnd"/>
      <w:r w:rsidRPr="00EB4495">
        <w:rPr>
          <w:rFonts w:ascii="Arial" w:hAnsi="Arial" w:cs="Arial"/>
        </w:rPr>
        <w:t>.</w:t>
      </w:r>
    </w:p>
    <w:p w14:paraId="61A5422E" w14:textId="77777777" w:rsidR="00084627" w:rsidRPr="00EB4495" w:rsidRDefault="00084627" w:rsidP="00084627">
      <w:pPr>
        <w:jc w:val="left"/>
        <w:rPr>
          <w:rFonts w:ascii="Arial" w:hAnsi="Arial" w:cs="Arial"/>
        </w:rPr>
      </w:pPr>
    </w:p>
    <w:p w14:paraId="1BE8C451" w14:textId="77777777" w:rsidR="00084627" w:rsidRPr="00EB4495" w:rsidRDefault="00084627" w:rsidP="00084627">
      <w:pPr>
        <w:jc w:val="left"/>
        <w:rPr>
          <w:rFonts w:ascii="Arial" w:hAnsi="Arial" w:cs="Arial"/>
        </w:rPr>
      </w:pPr>
      <w:r w:rsidRPr="00EB4495">
        <w:rPr>
          <w:rFonts w:ascii="Arial" w:hAnsi="Arial" w:cs="Arial"/>
          <w:b/>
          <w:bCs/>
        </w:rPr>
        <w:t>Speed &amp; convenience –</w:t>
      </w:r>
      <w:r w:rsidRPr="00EB4495">
        <w:rPr>
          <w:rFonts w:ascii="Arial" w:hAnsi="Arial" w:cs="Arial"/>
        </w:rPr>
        <w:t xml:space="preserve"> Customers’ increased demand for speed and convenience, along with demographic trends, are driving a shift towards more localised compact stores and faster fulfilment. Our stores are at the centre of our e-commerce proposition, giving us an advantage by enabling us to fulfil orders fast, especially through C&amp;C. We are also pushing boundaries in the non-food retail space through Screwfix’s one-hour delivery service. While Screwfix is already addressing the compact store shift in the UK, the trend provides our other retail banners with the opportunity to widen their customer reach, especially in France and Poland where we have less of a presence in small formats. Further detail is included above within </w:t>
      </w:r>
      <w:r w:rsidRPr="00EB4495">
        <w:rPr>
          <w:rFonts w:ascii="Arial" w:hAnsi="Arial" w:cs="Arial"/>
          <w:i/>
          <w:iCs/>
        </w:rPr>
        <w:t>‘Test compact store concepts and adapt our store footprint’</w:t>
      </w:r>
      <w:r w:rsidRPr="00EB4495">
        <w:rPr>
          <w:rFonts w:ascii="Arial" w:hAnsi="Arial" w:cs="Arial"/>
        </w:rPr>
        <w:t>.</w:t>
      </w:r>
    </w:p>
    <w:p w14:paraId="4BC01697" w14:textId="77777777" w:rsidR="00084627" w:rsidRPr="00EB4495" w:rsidRDefault="00084627" w:rsidP="00084627">
      <w:pPr>
        <w:jc w:val="left"/>
        <w:rPr>
          <w:rFonts w:ascii="Arial" w:hAnsi="Arial" w:cs="Arial"/>
        </w:rPr>
      </w:pPr>
    </w:p>
    <w:p w14:paraId="232F7D6B" w14:textId="7D2E20F6" w:rsidR="00084627" w:rsidRPr="00EB4495" w:rsidRDefault="00A21CBA" w:rsidP="00084627">
      <w:pPr>
        <w:jc w:val="left"/>
        <w:rPr>
          <w:rFonts w:ascii="Arial" w:hAnsi="Arial" w:cs="Arial"/>
        </w:rPr>
      </w:pPr>
      <w:r>
        <w:rPr>
          <w:rFonts w:ascii="Arial" w:hAnsi="Arial" w:cs="Arial"/>
          <w:b/>
          <w:bCs/>
        </w:rPr>
        <w:t>Value</w:t>
      </w:r>
      <w:r w:rsidR="00084627" w:rsidRPr="00EB4495">
        <w:rPr>
          <w:rFonts w:ascii="Arial" w:hAnsi="Arial" w:cs="Arial"/>
          <w:b/>
          <w:bCs/>
        </w:rPr>
        <w:t xml:space="preserve"> – </w:t>
      </w:r>
      <w:r w:rsidR="00084627" w:rsidRPr="00EB4495">
        <w:rPr>
          <w:rFonts w:ascii="Arial" w:hAnsi="Arial" w:cs="Arial"/>
        </w:rPr>
        <w:t xml:space="preserve">In more mature markets across Europe, discounter format stores are growing their businesses and expanding their home improvement ranges. This growth has been supported by consumers’ rising focus on value for money and pricing transparency, which we can capture by offering competitively priced OEB products, which make up almost half of Group sales. Further detail is included within </w:t>
      </w:r>
      <w:r w:rsidR="00084627" w:rsidRPr="00EB4495">
        <w:rPr>
          <w:rFonts w:ascii="Arial" w:hAnsi="Arial" w:cs="Arial"/>
          <w:i/>
          <w:iCs/>
        </w:rPr>
        <w:t xml:space="preserve">‘Differentiate and grow through own exclusive </w:t>
      </w:r>
      <w:proofErr w:type="gramStart"/>
      <w:r w:rsidR="00084627" w:rsidRPr="00EB4495">
        <w:rPr>
          <w:rFonts w:ascii="Arial" w:hAnsi="Arial" w:cs="Arial"/>
          <w:i/>
          <w:iCs/>
        </w:rPr>
        <w:t>brands’</w:t>
      </w:r>
      <w:proofErr w:type="gramEnd"/>
      <w:r w:rsidR="00084627" w:rsidRPr="00EB4495">
        <w:rPr>
          <w:rFonts w:ascii="Arial" w:hAnsi="Arial" w:cs="Arial"/>
        </w:rPr>
        <w:t xml:space="preserve">. In addition, we are well placed in this area of the market with our renowned </w:t>
      </w:r>
      <w:r w:rsidR="00084627" w:rsidRPr="00EB4495">
        <w:rPr>
          <w:rFonts w:ascii="Arial" w:eastAsia="Times New Roman" w:hAnsi="Arial" w:cs="Arial"/>
        </w:rPr>
        <w:t>Brico Dépôt discounter banners in France and Iberia</w:t>
      </w:r>
      <w:r w:rsidR="00084627" w:rsidRPr="00EB4495">
        <w:rPr>
          <w:rFonts w:ascii="Arial" w:hAnsi="Arial" w:cs="Arial"/>
        </w:rPr>
        <w:t xml:space="preserve">. We are also mindful of rising consumer prices and the potential impact on customer demand. As a core consumer spending area, home improvement has grown steadily over time and proven to be robust even during periods of economic weakness. </w:t>
      </w:r>
      <w:r w:rsidR="00C6276C">
        <w:rPr>
          <w:rFonts w:ascii="Arial" w:hAnsi="Arial" w:cs="Arial"/>
        </w:rPr>
        <w:t>W</w:t>
      </w:r>
      <w:r w:rsidR="00084627" w:rsidRPr="00EB4495">
        <w:rPr>
          <w:rFonts w:ascii="Arial" w:hAnsi="Arial" w:cs="Arial"/>
        </w:rPr>
        <w:t>e are well positioned here too, thanks to our sharp focus on maintaining attractive price positioning across the Group</w:t>
      </w:r>
      <w:r w:rsidR="00010DDB" w:rsidRPr="00C764C1">
        <w:rPr>
          <w:rFonts w:ascii="Arial" w:hAnsi="Arial" w:cs="Arial"/>
        </w:rPr>
        <w:t xml:space="preserve">, with </w:t>
      </w:r>
      <w:r w:rsidR="003760B6">
        <w:rPr>
          <w:rFonts w:ascii="Arial" w:hAnsi="Arial" w:cs="Arial"/>
        </w:rPr>
        <w:t xml:space="preserve">a </w:t>
      </w:r>
      <w:r w:rsidR="00010DDB" w:rsidRPr="00C764C1">
        <w:rPr>
          <w:rFonts w:ascii="Arial" w:hAnsi="Arial" w:cs="Arial"/>
        </w:rPr>
        <w:t>price index at 100 or below vs nearest competitors</w:t>
      </w:r>
      <w:r w:rsidR="00010DDB" w:rsidRPr="004E3E0F">
        <w:rPr>
          <w:rFonts w:ascii="Arial" w:hAnsi="Arial" w:cs="Arial"/>
        </w:rPr>
        <w:t>.</w:t>
      </w:r>
    </w:p>
    <w:p w14:paraId="6FEB2E30" w14:textId="77777777" w:rsidR="00084627" w:rsidRPr="00EB4495" w:rsidRDefault="00084627" w:rsidP="00084627">
      <w:pPr>
        <w:jc w:val="left"/>
        <w:rPr>
          <w:rFonts w:ascii="Arial" w:hAnsi="Arial" w:cs="Arial"/>
        </w:rPr>
      </w:pPr>
    </w:p>
    <w:p w14:paraId="2C57C9BF" w14:textId="3049F4F2" w:rsidR="00084627" w:rsidRPr="00EB4495" w:rsidRDefault="00084627" w:rsidP="00084627">
      <w:pPr>
        <w:jc w:val="left"/>
        <w:rPr>
          <w:rFonts w:ascii="Arial" w:hAnsi="Arial" w:cs="Arial"/>
          <w:i/>
          <w:iCs/>
        </w:rPr>
      </w:pPr>
      <w:r w:rsidRPr="00EB4495">
        <w:rPr>
          <w:rFonts w:ascii="Arial" w:hAnsi="Arial" w:cs="Arial"/>
          <w:b/>
          <w:bCs/>
        </w:rPr>
        <w:t xml:space="preserve">DIFM – </w:t>
      </w:r>
      <w:r w:rsidRPr="00EB4495">
        <w:rPr>
          <w:rFonts w:ascii="Arial" w:hAnsi="Arial" w:cs="Arial"/>
        </w:rPr>
        <w:t>Before the COVID crisis, we saw a very gradual shift in customer preference from DIY towards Do-</w:t>
      </w:r>
      <w:r w:rsidR="00312E51">
        <w:rPr>
          <w:rFonts w:ascii="Arial" w:hAnsi="Arial" w:cs="Arial"/>
        </w:rPr>
        <w:t>I</w:t>
      </w:r>
      <w:r w:rsidRPr="00EB4495">
        <w:rPr>
          <w:rFonts w:ascii="Arial" w:hAnsi="Arial" w:cs="Arial"/>
        </w:rPr>
        <w:t xml:space="preserve">t-For-Me (‘DIFM’). According to research by USP Marketing Consultancy, DIFM share grew by less than one percentage point between 2015 and 2019. Over the last two years we have seen customers favour DIY, which is linked to it being more ‘socially distanced’ than DIFM, as well as being cheaper, a hobby, an activity that contributes to wellbeing, and customers having more flexibility, due to an increase in working from home. </w:t>
      </w:r>
      <w:bookmarkStart w:id="60" w:name="_Hlk66822801"/>
      <w:r w:rsidRPr="00EB4495">
        <w:rPr>
          <w:rFonts w:ascii="Arial" w:hAnsi="Arial" w:cs="Arial"/>
        </w:rPr>
        <w:t xml:space="preserve">As a result, we expect the balance between DIY and DIFM to remain stable over the medium term. Kingfisher is well positioned to capture growth opportunities in both customer preferences, with DIFM and </w:t>
      </w:r>
      <w:r w:rsidR="00193C9F">
        <w:rPr>
          <w:rFonts w:ascii="Arial" w:hAnsi="Arial" w:cs="Arial"/>
        </w:rPr>
        <w:t>t</w:t>
      </w:r>
      <w:r w:rsidRPr="00EB4495">
        <w:rPr>
          <w:rFonts w:ascii="Arial" w:hAnsi="Arial" w:cs="Arial"/>
        </w:rPr>
        <w:t xml:space="preserve">rade comprising half of Group sales, and we have plans to further increase engagement with </w:t>
      </w:r>
      <w:r w:rsidR="00193C9F">
        <w:rPr>
          <w:rFonts w:ascii="Arial" w:hAnsi="Arial" w:cs="Arial"/>
        </w:rPr>
        <w:t xml:space="preserve">trade </w:t>
      </w:r>
      <w:r w:rsidRPr="00EB4495">
        <w:rPr>
          <w:rFonts w:ascii="Arial" w:hAnsi="Arial" w:cs="Arial"/>
        </w:rPr>
        <w:t xml:space="preserve">customers. </w:t>
      </w:r>
      <w:bookmarkEnd w:id="60"/>
      <w:r w:rsidRPr="00EB4495">
        <w:rPr>
          <w:rFonts w:ascii="Arial" w:hAnsi="Arial" w:cs="Arial"/>
        </w:rPr>
        <w:t xml:space="preserve">Further detail is included above within </w:t>
      </w:r>
      <w:r w:rsidRPr="00EB4495">
        <w:rPr>
          <w:rFonts w:ascii="Arial" w:hAnsi="Arial" w:cs="Arial"/>
          <w:i/>
          <w:iCs/>
        </w:rPr>
        <w:t>‘Build a mobile-first and service orientated customer experience’</w:t>
      </w:r>
      <w:r w:rsidRPr="00EB4495">
        <w:rPr>
          <w:rFonts w:ascii="Arial" w:hAnsi="Arial" w:cs="Arial"/>
        </w:rPr>
        <w:t xml:space="preserve"> and </w:t>
      </w:r>
      <w:r w:rsidRPr="00EB4495">
        <w:rPr>
          <w:rFonts w:ascii="Arial" w:hAnsi="Arial" w:cs="Arial"/>
          <w:i/>
          <w:iCs/>
        </w:rPr>
        <w:t xml:space="preserve">‘Expand engagement with </w:t>
      </w:r>
      <w:r w:rsidR="00193C9F">
        <w:rPr>
          <w:rFonts w:ascii="Arial" w:hAnsi="Arial" w:cs="Arial"/>
          <w:i/>
          <w:iCs/>
        </w:rPr>
        <w:t>trade</w:t>
      </w:r>
      <w:r w:rsidRPr="00EB4495">
        <w:rPr>
          <w:rFonts w:ascii="Arial" w:hAnsi="Arial" w:cs="Arial"/>
          <w:i/>
          <w:iCs/>
        </w:rPr>
        <w:t xml:space="preserve"> </w:t>
      </w:r>
      <w:proofErr w:type="gramStart"/>
      <w:r w:rsidRPr="00EB4495">
        <w:rPr>
          <w:rFonts w:ascii="Arial" w:hAnsi="Arial" w:cs="Arial"/>
          <w:i/>
          <w:iCs/>
        </w:rPr>
        <w:t>customers’</w:t>
      </w:r>
      <w:proofErr w:type="gramEnd"/>
      <w:r w:rsidRPr="00EB4495">
        <w:rPr>
          <w:rFonts w:ascii="Arial" w:hAnsi="Arial" w:cs="Arial"/>
          <w:i/>
          <w:iCs/>
        </w:rPr>
        <w:t>.</w:t>
      </w:r>
    </w:p>
    <w:p w14:paraId="3EE363DA" w14:textId="77777777" w:rsidR="00084627" w:rsidRPr="00EB4495" w:rsidRDefault="00084627" w:rsidP="00084627">
      <w:pPr>
        <w:jc w:val="left"/>
        <w:rPr>
          <w:rFonts w:ascii="Arial" w:hAnsi="Arial" w:cs="Arial"/>
        </w:rPr>
      </w:pPr>
    </w:p>
    <w:p w14:paraId="360B61EA" w14:textId="68D27398" w:rsidR="00276435" w:rsidRDefault="00084627" w:rsidP="00E21F59">
      <w:pPr>
        <w:jc w:val="left"/>
        <w:rPr>
          <w:rFonts w:ascii="Arial" w:hAnsi="Arial" w:cs="Arial"/>
        </w:rPr>
      </w:pPr>
      <w:r w:rsidRPr="00EB4495">
        <w:rPr>
          <w:rFonts w:ascii="Arial" w:hAnsi="Arial" w:cs="Arial"/>
          <w:b/>
          <w:bCs/>
        </w:rPr>
        <w:t>Younger ‘DIY’ers’ –</w:t>
      </w:r>
      <w:r w:rsidRPr="00EB4495">
        <w:rPr>
          <w:rFonts w:ascii="Arial" w:hAnsi="Arial" w:cs="Arial"/>
        </w:rPr>
        <w:t xml:space="preserve"> During the COVID crisis, we saw the emergence of a younger generation of ‘DIY’ers’, whose interest, skills and enthusiasm for DIY have grown considerably. While this trend is still emerging, it is encouraging and enables us to capture a broader range of customers. Our investments in technology and data are positioning us to secure their interest earlier in their journey, as the purchasing or inspiration phase often starts online. We are also well placed to satisfy their demand for choice, speed and convenience, as detailed above.</w:t>
      </w:r>
      <w:r w:rsidR="00276435">
        <w:rPr>
          <w:rFonts w:ascii="Arial" w:hAnsi="Arial" w:cs="Arial"/>
        </w:rPr>
        <w:br w:type="page"/>
      </w:r>
    </w:p>
    <w:p w14:paraId="041BBB5D" w14:textId="391BAB36" w:rsidR="00084627" w:rsidRPr="00EB4495" w:rsidRDefault="00084627" w:rsidP="00084627">
      <w:pPr>
        <w:jc w:val="left"/>
        <w:rPr>
          <w:rFonts w:ascii="Arial" w:hAnsi="Arial" w:cs="Arial"/>
        </w:rPr>
      </w:pPr>
      <w:r w:rsidRPr="00EB4495">
        <w:rPr>
          <w:rFonts w:ascii="Arial" w:hAnsi="Arial" w:cs="Arial"/>
          <w:b/>
          <w:bCs/>
        </w:rPr>
        <w:lastRenderedPageBreak/>
        <w:t xml:space="preserve">‘Greener’ products – </w:t>
      </w:r>
      <w:r w:rsidRPr="00EB4495">
        <w:rPr>
          <w:rFonts w:ascii="Arial" w:hAnsi="Arial" w:cs="Arial"/>
        </w:rPr>
        <w:t xml:space="preserve">Being a responsible business is more important than ever. Customers are looking for easy ways to buy </w:t>
      </w:r>
      <w:r w:rsidR="00F51914" w:rsidRPr="004F1A77">
        <w:rPr>
          <w:rFonts w:ascii="Arial" w:hAnsi="Arial" w:cs="Arial"/>
        </w:rPr>
        <w:t>more sustainable products that have been responsibly sourced</w:t>
      </w:r>
      <w:r w:rsidRPr="00EB4495">
        <w:rPr>
          <w:rFonts w:ascii="Arial" w:hAnsi="Arial" w:cs="Arial"/>
        </w:rPr>
        <w:t xml:space="preserve">. As a sustainability leader with access to significant in-house product design capability, this provides us with significant growth opportunities. Moreover, we are well positioned to cater to the growing demand for energy-efficient products and solutions. Further detail is included above within </w:t>
      </w:r>
      <w:r w:rsidRPr="00EB4495">
        <w:rPr>
          <w:rFonts w:ascii="Arial" w:hAnsi="Arial" w:cs="Arial"/>
          <w:i/>
          <w:iCs/>
        </w:rPr>
        <w:t xml:space="preserve">‘Lead the industry in Responsible Business </w:t>
      </w:r>
      <w:proofErr w:type="gramStart"/>
      <w:r w:rsidRPr="00EB4495">
        <w:rPr>
          <w:rFonts w:ascii="Arial" w:hAnsi="Arial" w:cs="Arial"/>
          <w:i/>
          <w:iCs/>
        </w:rPr>
        <w:t>practices’</w:t>
      </w:r>
      <w:proofErr w:type="gramEnd"/>
      <w:r w:rsidRPr="00EB4495">
        <w:rPr>
          <w:rFonts w:ascii="Arial" w:hAnsi="Arial" w:cs="Arial"/>
        </w:rPr>
        <w:t>.</w:t>
      </w:r>
    </w:p>
    <w:p w14:paraId="36EF902A" w14:textId="77777777" w:rsidR="00084627" w:rsidRPr="00EB4495" w:rsidRDefault="00084627" w:rsidP="00084627">
      <w:pPr>
        <w:jc w:val="left"/>
        <w:rPr>
          <w:rFonts w:ascii="Arial" w:hAnsi="Arial" w:cs="Arial"/>
          <w:b/>
          <w:bCs/>
        </w:rPr>
      </w:pPr>
    </w:p>
    <w:p w14:paraId="1F7A69A3" w14:textId="051529EA" w:rsidR="00084627" w:rsidRPr="00EB4495" w:rsidRDefault="00084627" w:rsidP="00084627">
      <w:pPr>
        <w:jc w:val="left"/>
        <w:rPr>
          <w:rFonts w:ascii="Arial" w:hAnsi="Arial" w:cs="Arial"/>
        </w:rPr>
      </w:pPr>
      <w:r w:rsidRPr="00EB4495">
        <w:rPr>
          <w:rFonts w:ascii="Arial" w:hAnsi="Arial" w:cs="Arial"/>
        </w:rPr>
        <w:t xml:space="preserve">In summary, structural market drivers together with the establishment of new and longer-term trends following the COVID crisis, clearly support our strategy. </w:t>
      </w:r>
    </w:p>
    <w:p w14:paraId="3633458B" w14:textId="77777777" w:rsidR="00084627" w:rsidRPr="00EB4495" w:rsidRDefault="00084627" w:rsidP="00084627">
      <w:pPr>
        <w:jc w:val="left"/>
        <w:rPr>
          <w:rFonts w:ascii="Arial" w:hAnsi="Arial" w:cs="Arial"/>
        </w:rPr>
      </w:pPr>
    </w:p>
    <w:p w14:paraId="67FFA93B" w14:textId="77777777" w:rsidR="00084627" w:rsidRPr="00EB4495" w:rsidRDefault="00084627" w:rsidP="00084627">
      <w:pPr>
        <w:pStyle w:val="ListParagraph"/>
        <w:numPr>
          <w:ilvl w:val="0"/>
          <w:numId w:val="17"/>
        </w:numPr>
        <w:pBdr>
          <w:top w:val="single" w:sz="4" w:space="1" w:color="auto"/>
          <w:left w:val="single" w:sz="4" w:space="4" w:color="auto"/>
          <w:bottom w:val="single" w:sz="4" w:space="1" w:color="auto"/>
          <w:right w:val="single" w:sz="4" w:space="4" w:color="auto"/>
        </w:pBdr>
        <w:contextualSpacing/>
        <w:jc w:val="left"/>
        <w:rPr>
          <w:rFonts w:ascii="Arial" w:hAnsi="Arial" w:cs="Arial"/>
          <w:b/>
          <w:bCs/>
        </w:rPr>
      </w:pPr>
      <w:r w:rsidRPr="00EB4495">
        <w:rPr>
          <w:rFonts w:ascii="Arial" w:hAnsi="Arial" w:cs="Arial"/>
          <w:b/>
          <w:bCs/>
        </w:rPr>
        <w:t>Clear financial priorities and capital allocation framework</w:t>
      </w:r>
    </w:p>
    <w:p w14:paraId="560C1E10" w14:textId="77777777" w:rsidR="00084627" w:rsidRPr="00EB4495" w:rsidRDefault="00084627" w:rsidP="00084627">
      <w:pPr>
        <w:jc w:val="left"/>
        <w:rPr>
          <w:rFonts w:ascii="Arial" w:hAnsi="Arial" w:cs="Arial"/>
        </w:rPr>
      </w:pPr>
    </w:p>
    <w:p w14:paraId="29EA3FA7" w14:textId="77777777" w:rsidR="00084627" w:rsidRPr="00EB4495" w:rsidRDefault="00084627" w:rsidP="00084627">
      <w:pPr>
        <w:jc w:val="left"/>
        <w:rPr>
          <w:rFonts w:ascii="Arial" w:hAnsi="Arial" w:cs="Arial"/>
          <w:b/>
          <w:u w:val="single"/>
        </w:rPr>
      </w:pPr>
      <w:bookmarkStart w:id="61" w:name="_Hlk34905570"/>
      <w:r w:rsidRPr="00EB4495">
        <w:rPr>
          <w:rFonts w:ascii="Arial" w:hAnsi="Arial" w:cs="Arial"/>
          <w:b/>
          <w:bCs/>
          <w:u w:val="single"/>
        </w:rPr>
        <w:t>Group financial priorities</w:t>
      </w:r>
    </w:p>
    <w:bookmarkEnd w:id="61"/>
    <w:p w14:paraId="1A98BC77" w14:textId="17F59B2D" w:rsidR="00084627" w:rsidRPr="00EB4495" w:rsidRDefault="00084627" w:rsidP="00084627">
      <w:pPr>
        <w:jc w:val="left"/>
        <w:rPr>
          <w:rFonts w:ascii="Arial" w:hAnsi="Arial" w:cs="Arial"/>
        </w:rPr>
      </w:pPr>
      <w:r w:rsidRPr="00EB4495">
        <w:rPr>
          <w:rFonts w:ascii="Arial" w:hAnsi="Arial" w:cs="Arial"/>
        </w:rPr>
        <w:t>Our ‘Powered by Kingfisher’ strategic plan is delivering growth and creating shareholder value. We are also making progress against our financial priorities over the medium</w:t>
      </w:r>
      <w:r w:rsidR="00DC27BF">
        <w:rPr>
          <w:rFonts w:ascii="Arial" w:hAnsi="Arial" w:cs="Arial"/>
        </w:rPr>
        <w:t xml:space="preserve"> </w:t>
      </w:r>
      <w:r w:rsidRPr="00EB4495">
        <w:rPr>
          <w:rFonts w:ascii="Arial" w:hAnsi="Arial" w:cs="Arial"/>
        </w:rPr>
        <w:t>term. These are to:</w:t>
      </w:r>
    </w:p>
    <w:p w14:paraId="7082F00D" w14:textId="77777777" w:rsidR="00084627" w:rsidRPr="00EB4495" w:rsidRDefault="00084627" w:rsidP="00084627">
      <w:pPr>
        <w:jc w:val="left"/>
        <w:rPr>
          <w:rFonts w:ascii="Arial" w:hAnsi="Arial" w:cs="Arial"/>
        </w:rPr>
      </w:pPr>
    </w:p>
    <w:p w14:paraId="6A402638" w14:textId="77777777" w:rsidR="00084627" w:rsidRPr="00EB4495" w:rsidRDefault="00084627" w:rsidP="00084627">
      <w:pPr>
        <w:pStyle w:val="ListParagraph"/>
        <w:numPr>
          <w:ilvl w:val="0"/>
          <w:numId w:val="25"/>
        </w:numPr>
        <w:ind w:left="360"/>
        <w:jc w:val="left"/>
        <w:rPr>
          <w:rFonts w:ascii="Arial" w:hAnsi="Arial" w:cs="Arial"/>
          <w:b/>
        </w:rPr>
      </w:pPr>
      <w:r w:rsidRPr="00EB4495">
        <w:rPr>
          <w:rFonts w:ascii="Arial" w:hAnsi="Arial" w:cs="Arial"/>
          <w:b/>
        </w:rPr>
        <w:t>Prioritise top line growth and grow sales ahead of market:</w:t>
      </w:r>
    </w:p>
    <w:p w14:paraId="3A072A28" w14:textId="0FF9099A"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Clear strategy</w:t>
      </w:r>
      <w:r w:rsidR="00F51914">
        <w:rPr>
          <w:rFonts w:ascii="Arial" w:hAnsi="Arial" w:cs="Arial"/>
          <w:bCs/>
        </w:rPr>
        <w:t>,</w:t>
      </w:r>
      <w:r w:rsidRPr="00EB4495">
        <w:rPr>
          <w:rFonts w:ascii="Arial" w:hAnsi="Arial" w:cs="Arial"/>
          <w:bCs/>
        </w:rPr>
        <w:t xml:space="preserve"> actions </w:t>
      </w:r>
      <w:r w:rsidR="00F51914">
        <w:rPr>
          <w:rFonts w:ascii="Arial" w:hAnsi="Arial" w:cs="Arial"/>
          <w:bCs/>
        </w:rPr>
        <w:t xml:space="preserve">and investments </w:t>
      </w:r>
      <w:r w:rsidRPr="00EB4495">
        <w:rPr>
          <w:rFonts w:ascii="Arial" w:hAnsi="Arial" w:cs="Arial"/>
          <w:bCs/>
        </w:rPr>
        <w:t>to drive market share growth</w:t>
      </w:r>
    </w:p>
    <w:p w14:paraId="3FE90504" w14:textId="444EC46C"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 xml:space="preserve">Focused on store and </w:t>
      </w:r>
      <w:r w:rsidR="00C6276C">
        <w:rPr>
          <w:rFonts w:ascii="Arial" w:hAnsi="Arial" w:cs="Arial"/>
          <w:bCs/>
        </w:rPr>
        <w:t xml:space="preserve">online </w:t>
      </w:r>
      <w:r w:rsidRPr="00EB4495">
        <w:rPr>
          <w:rFonts w:ascii="Arial" w:hAnsi="Arial" w:cs="Arial"/>
          <w:bCs/>
        </w:rPr>
        <w:t>customer satisfaction</w:t>
      </w:r>
    </w:p>
    <w:p w14:paraId="6972450A" w14:textId="0729A545" w:rsidR="00084627" w:rsidRDefault="00F51914" w:rsidP="00084627">
      <w:pPr>
        <w:pStyle w:val="ListParagraph"/>
        <w:numPr>
          <w:ilvl w:val="1"/>
          <w:numId w:val="2"/>
        </w:numPr>
        <w:ind w:left="709"/>
        <w:jc w:val="left"/>
        <w:rPr>
          <w:rFonts w:ascii="Arial" w:hAnsi="Arial" w:cs="Arial"/>
          <w:bCs/>
        </w:rPr>
      </w:pPr>
      <w:r w:rsidRPr="00EB4495">
        <w:rPr>
          <w:rFonts w:ascii="Arial" w:hAnsi="Arial" w:cs="Arial"/>
          <w:bCs/>
        </w:rPr>
        <w:t>Operat</w:t>
      </w:r>
      <w:r>
        <w:rPr>
          <w:rFonts w:ascii="Arial" w:hAnsi="Arial" w:cs="Arial"/>
          <w:bCs/>
        </w:rPr>
        <w:t>ing</w:t>
      </w:r>
      <w:r w:rsidRPr="00EB4495">
        <w:rPr>
          <w:rFonts w:ascii="Arial" w:hAnsi="Arial" w:cs="Arial"/>
          <w:bCs/>
        </w:rPr>
        <w:t xml:space="preserve"> </w:t>
      </w:r>
      <w:r w:rsidR="00084627" w:rsidRPr="00EB4495">
        <w:rPr>
          <w:rFonts w:ascii="Arial" w:hAnsi="Arial" w:cs="Arial"/>
          <w:bCs/>
        </w:rPr>
        <w:t>in an attractive market, with new longer-term trends supporting the industry</w:t>
      </w:r>
    </w:p>
    <w:p w14:paraId="5FCF81A0" w14:textId="2918AB6F" w:rsidR="00084627" w:rsidRPr="00EB4495" w:rsidRDefault="00147CAE" w:rsidP="00084627">
      <w:pPr>
        <w:pStyle w:val="ListParagraph"/>
        <w:numPr>
          <w:ilvl w:val="0"/>
          <w:numId w:val="25"/>
        </w:numPr>
        <w:ind w:left="360"/>
        <w:jc w:val="left"/>
        <w:rPr>
          <w:rFonts w:ascii="Arial" w:hAnsi="Arial" w:cs="Arial"/>
          <w:b/>
        </w:rPr>
      </w:pPr>
      <w:r>
        <w:rPr>
          <w:rFonts w:ascii="Arial" w:hAnsi="Arial" w:cs="Arial"/>
          <w:b/>
        </w:rPr>
        <w:t>G</w:t>
      </w:r>
      <w:r w:rsidR="00084627" w:rsidRPr="00EB4495">
        <w:rPr>
          <w:rFonts w:ascii="Arial" w:hAnsi="Arial" w:cs="Arial"/>
          <w:b/>
        </w:rPr>
        <w:t xml:space="preserve">row adjusted pre-tax profit in line with </w:t>
      </w:r>
      <w:proofErr w:type="gramStart"/>
      <w:r w:rsidR="00084627" w:rsidRPr="00EB4495">
        <w:rPr>
          <w:rFonts w:ascii="Arial" w:hAnsi="Arial" w:cs="Arial"/>
          <w:b/>
        </w:rPr>
        <w:t>sales;</w:t>
      </w:r>
      <w:proofErr w:type="gramEnd"/>
      <w:r w:rsidR="00084627" w:rsidRPr="00EB4495">
        <w:rPr>
          <w:rFonts w:ascii="Arial" w:hAnsi="Arial" w:cs="Arial"/>
          <w:b/>
        </w:rPr>
        <w:t xml:space="preserve"> gradually faster than sales over time:</w:t>
      </w:r>
    </w:p>
    <w:p w14:paraId="36ACADAB" w14:textId="64D42BAB"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 xml:space="preserve">Focused on driving scale benefits and cost </w:t>
      </w:r>
      <w:r w:rsidR="005057BD">
        <w:rPr>
          <w:rFonts w:ascii="Arial" w:hAnsi="Arial" w:cs="Arial"/>
          <w:bCs/>
        </w:rPr>
        <w:t>improvements</w:t>
      </w:r>
      <w:r w:rsidRPr="00EB4495">
        <w:rPr>
          <w:rFonts w:ascii="Arial" w:hAnsi="Arial" w:cs="Arial"/>
          <w:bCs/>
        </w:rPr>
        <w:t xml:space="preserve">, enabling us to accelerate investment in top line growth and achieve </w:t>
      </w:r>
      <w:r w:rsidR="003160FA">
        <w:rPr>
          <w:rFonts w:ascii="Arial" w:hAnsi="Arial" w:cs="Arial"/>
          <w:bCs/>
        </w:rPr>
        <w:t xml:space="preserve">an </w:t>
      </w:r>
      <w:r w:rsidRPr="00EB4495">
        <w:rPr>
          <w:rFonts w:ascii="Arial" w:hAnsi="Arial" w:cs="Arial"/>
          <w:bCs/>
        </w:rPr>
        <w:t xml:space="preserve">improved adjusted pre-tax profit margin </w:t>
      </w:r>
      <w:r w:rsidR="003160FA">
        <w:rPr>
          <w:rFonts w:ascii="Arial" w:hAnsi="Arial" w:cs="Arial"/>
          <w:bCs/>
        </w:rPr>
        <w:t xml:space="preserve">%* </w:t>
      </w:r>
      <w:r w:rsidRPr="00EB4495">
        <w:rPr>
          <w:rFonts w:ascii="Arial" w:hAnsi="Arial" w:cs="Arial"/>
          <w:bCs/>
        </w:rPr>
        <w:t>over time</w:t>
      </w:r>
    </w:p>
    <w:p w14:paraId="198F4B18" w14:textId="2525AF40" w:rsidR="00084627" w:rsidRPr="00EB4495" w:rsidRDefault="00084627" w:rsidP="00084627">
      <w:pPr>
        <w:pStyle w:val="ListParagraph"/>
        <w:numPr>
          <w:ilvl w:val="0"/>
          <w:numId w:val="25"/>
        </w:numPr>
        <w:ind w:left="360"/>
        <w:jc w:val="left"/>
        <w:rPr>
          <w:rFonts w:ascii="Arial" w:hAnsi="Arial" w:cs="Arial"/>
          <w:b/>
        </w:rPr>
      </w:pPr>
      <w:r w:rsidRPr="00EB4495">
        <w:rPr>
          <w:rFonts w:ascii="Arial" w:hAnsi="Arial" w:cs="Arial"/>
          <w:b/>
        </w:rPr>
        <w:t xml:space="preserve">Generate strong free cash flow to underpin </w:t>
      </w:r>
      <w:r w:rsidR="00E65057">
        <w:rPr>
          <w:rFonts w:ascii="Arial" w:hAnsi="Arial" w:cs="Arial"/>
          <w:b/>
        </w:rPr>
        <w:t xml:space="preserve">investment and </w:t>
      </w:r>
      <w:r w:rsidRPr="00EB4495">
        <w:rPr>
          <w:rFonts w:ascii="Arial" w:hAnsi="Arial" w:cs="Arial"/>
          <w:b/>
        </w:rPr>
        <w:t>shareholder returns:</w:t>
      </w:r>
    </w:p>
    <w:p w14:paraId="2940A69F" w14:textId="3A9C36A2" w:rsidR="00084627" w:rsidRPr="00EB4495" w:rsidRDefault="00D86C12" w:rsidP="00084627">
      <w:pPr>
        <w:pStyle w:val="ListParagraph"/>
        <w:numPr>
          <w:ilvl w:val="1"/>
          <w:numId w:val="2"/>
        </w:numPr>
        <w:ind w:left="709"/>
        <w:jc w:val="left"/>
        <w:rPr>
          <w:rFonts w:ascii="Arial" w:hAnsi="Arial" w:cs="Arial"/>
          <w:bCs/>
        </w:rPr>
      </w:pPr>
      <w:r>
        <w:rPr>
          <w:rFonts w:ascii="Arial" w:hAnsi="Arial" w:cs="Arial"/>
          <w:bCs/>
        </w:rPr>
        <w:t>D</w:t>
      </w:r>
      <w:r w:rsidR="00084627" w:rsidRPr="00EB4495">
        <w:rPr>
          <w:rFonts w:ascii="Arial" w:hAnsi="Arial" w:cs="Arial"/>
          <w:bCs/>
        </w:rPr>
        <w:t>riving inventory self-help, which presents a significant opportunity over the medium-term</w:t>
      </w:r>
    </w:p>
    <w:p w14:paraId="3044DF81" w14:textId="77777777"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Disciplined approach to capital expenditure allocation, with target gross capex of c.3.0-3.5% of total sales per annum, on average</w:t>
      </w:r>
    </w:p>
    <w:p w14:paraId="5D3F251D" w14:textId="1CD22A1E"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Progressive, sustainable dividend policy, with target dividend cover of 2.25-2.75x</w:t>
      </w:r>
    </w:p>
    <w:p w14:paraId="5A7FADCA" w14:textId="77777777" w:rsidR="00084627" w:rsidRPr="00EB4495" w:rsidRDefault="00084627" w:rsidP="00084627">
      <w:pPr>
        <w:pStyle w:val="ListParagraph"/>
        <w:numPr>
          <w:ilvl w:val="1"/>
          <w:numId w:val="2"/>
        </w:numPr>
        <w:ind w:left="709"/>
        <w:jc w:val="left"/>
        <w:rPr>
          <w:rFonts w:ascii="Arial" w:hAnsi="Arial" w:cs="Arial"/>
          <w:bCs/>
        </w:rPr>
      </w:pPr>
      <w:bookmarkStart w:id="62" w:name="_Hlk66887625"/>
      <w:r w:rsidRPr="00EB4495">
        <w:rPr>
          <w:rFonts w:ascii="Arial" w:hAnsi="Arial" w:cs="Arial"/>
          <w:bCs/>
        </w:rPr>
        <w:t>Committed to an efficient capital structure, while maintaining a prudent position in times of uncertainty</w:t>
      </w:r>
      <w:bookmarkEnd w:id="62"/>
    </w:p>
    <w:p w14:paraId="6F3AF991" w14:textId="77777777" w:rsidR="00084627" w:rsidRPr="00EB4495" w:rsidRDefault="00084627" w:rsidP="00084627">
      <w:pPr>
        <w:pStyle w:val="ListParagraph"/>
        <w:numPr>
          <w:ilvl w:val="1"/>
          <w:numId w:val="2"/>
        </w:numPr>
        <w:ind w:left="709"/>
        <w:jc w:val="left"/>
        <w:rPr>
          <w:rFonts w:ascii="Arial" w:hAnsi="Arial" w:cs="Arial"/>
          <w:bCs/>
        </w:rPr>
      </w:pPr>
      <w:r w:rsidRPr="00EB4495">
        <w:rPr>
          <w:rFonts w:ascii="Arial" w:hAnsi="Arial" w:cs="Arial"/>
          <w:bCs/>
        </w:rPr>
        <w:t>Scope for surplus capital returns via share buybacks or special dividends</w:t>
      </w:r>
    </w:p>
    <w:p w14:paraId="4485320D" w14:textId="77777777" w:rsidR="00084627" w:rsidRPr="00EB4495" w:rsidRDefault="00084627" w:rsidP="00084627">
      <w:pPr>
        <w:jc w:val="left"/>
        <w:rPr>
          <w:rFonts w:ascii="Arial" w:hAnsi="Arial" w:cs="Arial"/>
        </w:rPr>
      </w:pPr>
    </w:p>
    <w:p w14:paraId="1C4708E1" w14:textId="77777777" w:rsidR="00084627" w:rsidRPr="00EB4495" w:rsidRDefault="00084627" w:rsidP="00084627">
      <w:pPr>
        <w:jc w:val="left"/>
        <w:rPr>
          <w:rFonts w:ascii="Arial" w:hAnsi="Arial" w:cs="Arial"/>
          <w:b/>
          <w:bCs/>
          <w:u w:val="single"/>
        </w:rPr>
      </w:pPr>
      <w:r w:rsidRPr="00EB4495">
        <w:rPr>
          <w:rFonts w:ascii="Arial" w:hAnsi="Arial" w:cs="Arial"/>
          <w:b/>
          <w:bCs/>
          <w:u w:val="single"/>
        </w:rPr>
        <w:t xml:space="preserve">Capital allocation </w:t>
      </w:r>
    </w:p>
    <w:p w14:paraId="30FA49C6" w14:textId="521E1A8B" w:rsidR="00084627" w:rsidRPr="00EB4495" w:rsidRDefault="00084627" w:rsidP="00084627">
      <w:pPr>
        <w:jc w:val="left"/>
        <w:rPr>
          <w:rFonts w:ascii="Arial" w:hAnsi="Arial" w:cs="Arial"/>
        </w:rPr>
      </w:pPr>
      <w:r w:rsidRPr="00EB4495">
        <w:rPr>
          <w:rFonts w:ascii="Arial" w:hAnsi="Arial" w:cs="Arial"/>
        </w:rPr>
        <w:t>In 2021 we updated our capital allocation policy to reflect the investment requirements and ambition of ‘Powered by Kingfisher’, while maintaining a strong balance sheet.</w:t>
      </w:r>
      <w:r w:rsidR="002D735D">
        <w:rPr>
          <w:rFonts w:ascii="Arial" w:hAnsi="Arial" w:cs="Arial"/>
        </w:rPr>
        <w:t xml:space="preserve"> </w:t>
      </w:r>
      <w:r w:rsidRPr="00EB4495">
        <w:rPr>
          <w:rFonts w:ascii="Arial" w:hAnsi="Arial" w:cs="Arial"/>
        </w:rPr>
        <w:t xml:space="preserve">The Group’s objectives </w:t>
      </w:r>
      <w:r w:rsidR="002D735D">
        <w:rPr>
          <w:rFonts w:ascii="Arial" w:hAnsi="Arial" w:cs="Arial"/>
        </w:rPr>
        <w:t>i</w:t>
      </w:r>
      <w:r w:rsidRPr="00EB4495">
        <w:rPr>
          <w:rFonts w:ascii="Arial" w:hAnsi="Arial" w:cs="Arial"/>
        </w:rPr>
        <w:t>n</w:t>
      </w:r>
      <w:r w:rsidR="002D735D">
        <w:rPr>
          <w:rFonts w:ascii="Arial" w:hAnsi="Arial" w:cs="Arial"/>
        </w:rPr>
        <w:t xml:space="preserve"> </w:t>
      </w:r>
      <w:r w:rsidRPr="00EB4495">
        <w:rPr>
          <w:rFonts w:ascii="Arial" w:hAnsi="Arial" w:cs="Arial"/>
        </w:rPr>
        <w:t>managing capital are to:</w:t>
      </w:r>
    </w:p>
    <w:p w14:paraId="0CED0095" w14:textId="77777777" w:rsidR="00084627" w:rsidRPr="00EB4495" w:rsidRDefault="00084627" w:rsidP="00084627">
      <w:pPr>
        <w:jc w:val="left"/>
        <w:rPr>
          <w:rFonts w:ascii="Arial" w:hAnsi="Arial" w:cs="Arial"/>
        </w:rPr>
      </w:pPr>
    </w:p>
    <w:p w14:paraId="7B3C0AD3" w14:textId="77777777"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Invest in the business where economic returns are attractive</w:t>
      </w:r>
    </w:p>
    <w:p w14:paraId="4978316B" w14:textId="6CA98DAB" w:rsidR="00084627" w:rsidRPr="00EB4495" w:rsidRDefault="00F51089" w:rsidP="00084627">
      <w:pPr>
        <w:pStyle w:val="ListParagraph"/>
        <w:numPr>
          <w:ilvl w:val="0"/>
          <w:numId w:val="25"/>
        </w:numPr>
        <w:ind w:left="360"/>
        <w:jc w:val="left"/>
        <w:rPr>
          <w:rFonts w:ascii="Arial" w:hAnsi="Arial" w:cs="Arial"/>
          <w:bCs/>
        </w:rPr>
      </w:pPr>
      <w:r>
        <w:rPr>
          <w:rFonts w:ascii="Arial" w:hAnsi="Arial" w:cs="Arial"/>
          <w:bCs/>
        </w:rPr>
        <w:t xml:space="preserve">Maintain </w:t>
      </w:r>
      <w:r w:rsidR="00084627" w:rsidRPr="00EB4495">
        <w:rPr>
          <w:rFonts w:ascii="Arial" w:hAnsi="Arial" w:cs="Arial"/>
          <w:bCs/>
        </w:rPr>
        <w:t>a solid investment grade credit rating</w:t>
      </w:r>
    </w:p>
    <w:p w14:paraId="230CBDF3" w14:textId="77777777"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Safeguard the Group’s ability to continue as a going concern and retain financial flexibility</w:t>
      </w:r>
    </w:p>
    <w:p w14:paraId="3ADFD238" w14:textId="77777777" w:rsidR="00084627" w:rsidRPr="00EB4495" w:rsidRDefault="00084627" w:rsidP="00084627">
      <w:pPr>
        <w:pStyle w:val="ListParagraph"/>
        <w:numPr>
          <w:ilvl w:val="0"/>
          <w:numId w:val="25"/>
        </w:numPr>
        <w:ind w:left="360"/>
        <w:jc w:val="left"/>
        <w:rPr>
          <w:rFonts w:ascii="Arial" w:hAnsi="Arial" w:cs="Arial"/>
          <w:bCs/>
        </w:rPr>
      </w:pPr>
      <w:r w:rsidRPr="00EB4495">
        <w:rPr>
          <w:rFonts w:ascii="Arial" w:hAnsi="Arial" w:cs="Arial"/>
          <w:bCs/>
        </w:rPr>
        <w:t>Provide attractive returns to shareholders</w:t>
      </w:r>
    </w:p>
    <w:p w14:paraId="37907800" w14:textId="77777777" w:rsidR="00084627" w:rsidRPr="00EB4495" w:rsidRDefault="00084627" w:rsidP="00084627">
      <w:pPr>
        <w:jc w:val="left"/>
        <w:rPr>
          <w:rFonts w:ascii="Arial" w:hAnsi="Arial" w:cs="Arial"/>
          <w:bCs/>
        </w:rPr>
      </w:pPr>
    </w:p>
    <w:p w14:paraId="3C5860AE" w14:textId="61EB99B9" w:rsidR="00084627" w:rsidRPr="00EB4495" w:rsidRDefault="00084627" w:rsidP="00084627">
      <w:pPr>
        <w:jc w:val="left"/>
        <w:rPr>
          <w:rFonts w:ascii="Arial" w:hAnsi="Arial" w:cs="Arial"/>
        </w:rPr>
      </w:pPr>
      <w:r w:rsidRPr="00EB4495">
        <w:rPr>
          <w:rFonts w:ascii="Arial" w:hAnsi="Arial" w:cs="Arial"/>
        </w:rPr>
        <w:t>We aim to allocate capital, subject to strict returns criteria, to compelling organic or strategic/bolt-on inorganic growth opportunities that strengthen and accelerate our strategy. O</w:t>
      </w:r>
      <w:r w:rsidRPr="00EB4495">
        <w:rPr>
          <w:rFonts w:ascii="Arial" w:hAnsi="Arial" w:cs="Arial"/>
          <w:bCs/>
        </w:rPr>
        <w:t xml:space="preserve">ver the next two </w:t>
      </w:r>
      <w:r w:rsidR="002D735D">
        <w:rPr>
          <w:rFonts w:ascii="Arial" w:hAnsi="Arial" w:cs="Arial"/>
          <w:bCs/>
        </w:rPr>
        <w:t xml:space="preserve">financial </w:t>
      </w:r>
      <w:r w:rsidRPr="00EB4495">
        <w:rPr>
          <w:rFonts w:ascii="Arial" w:hAnsi="Arial" w:cs="Arial"/>
          <w:bCs/>
        </w:rPr>
        <w:t>years,</w:t>
      </w:r>
      <w:r w:rsidRPr="00EB4495" w:rsidDel="009E1045">
        <w:rPr>
          <w:rFonts w:ascii="Arial" w:hAnsi="Arial" w:cs="Arial"/>
        </w:rPr>
        <w:t xml:space="preserve"> </w:t>
      </w:r>
      <w:r w:rsidRPr="00EB4495">
        <w:rPr>
          <w:rFonts w:ascii="Arial" w:hAnsi="Arial" w:cs="Arial"/>
          <w:bCs/>
        </w:rPr>
        <w:t>we expect to be at the upper end of the gross capex target range set out above, as we accelerate investments for growth.</w:t>
      </w:r>
    </w:p>
    <w:p w14:paraId="2581D465" w14:textId="77777777" w:rsidR="00084627" w:rsidRPr="00EB4495" w:rsidRDefault="00084627" w:rsidP="00084627">
      <w:pPr>
        <w:jc w:val="left"/>
        <w:rPr>
          <w:rFonts w:ascii="Arial" w:hAnsi="Arial" w:cs="Arial"/>
        </w:rPr>
      </w:pPr>
    </w:p>
    <w:p w14:paraId="00BDF0BA" w14:textId="58E210FD" w:rsidR="00084627" w:rsidRPr="00EB4495" w:rsidRDefault="00084627" w:rsidP="00084627">
      <w:pPr>
        <w:jc w:val="left"/>
        <w:rPr>
          <w:rFonts w:ascii="Arial" w:hAnsi="Arial" w:cs="Arial"/>
        </w:rPr>
      </w:pPr>
      <w:r w:rsidRPr="00EB4495">
        <w:rPr>
          <w:rFonts w:ascii="Arial" w:hAnsi="Arial" w:cs="Arial"/>
        </w:rPr>
        <w:t xml:space="preserve">To </w:t>
      </w:r>
      <w:r w:rsidR="000C06B8">
        <w:rPr>
          <w:rFonts w:ascii="Arial" w:hAnsi="Arial" w:cs="Arial"/>
        </w:rPr>
        <w:t xml:space="preserve">maintain </w:t>
      </w:r>
      <w:r w:rsidRPr="00EB4495">
        <w:rPr>
          <w:rFonts w:ascii="Arial" w:hAnsi="Arial" w:cs="Arial"/>
        </w:rPr>
        <w:t xml:space="preserve">a solid investment grade credit rating, our target is </w:t>
      </w:r>
      <w:r w:rsidR="000E5507">
        <w:rPr>
          <w:rFonts w:ascii="Arial" w:hAnsi="Arial" w:cs="Arial"/>
        </w:rPr>
        <w:t xml:space="preserve">a maximum of </w:t>
      </w:r>
      <w:r w:rsidRPr="00EB4495">
        <w:rPr>
          <w:rFonts w:ascii="Arial" w:hAnsi="Arial" w:cs="Arial"/>
        </w:rPr>
        <w:t>c.2.0 times net debt to EBITDA on an IFRS 16 basis over the medium term. To retain financial flexibility, we aim to maintain strong liquidity headroom (including cash, cash equivalents and committed debt facilities), which is currently set at a minimum of £1bn. This £1bn buffer currently comprises an undrawn RCF of £550m and cash of £450m.</w:t>
      </w:r>
    </w:p>
    <w:p w14:paraId="4405B37F" w14:textId="77777777" w:rsidR="000B3AAB" w:rsidRPr="00EB4495" w:rsidRDefault="000B3AAB" w:rsidP="00084627">
      <w:pPr>
        <w:jc w:val="left"/>
        <w:rPr>
          <w:rFonts w:ascii="Arial" w:hAnsi="Arial" w:cs="Arial"/>
        </w:rPr>
      </w:pPr>
    </w:p>
    <w:p w14:paraId="11C8AE5E" w14:textId="77777777" w:rsidR="00084627" w:rsidRPr="00EB4495" w:rsidRDefault="00084627" w:rsidP="00084627">
      <w:pPr>
        <w:jc w:val="left"/>
        <w:rPr>
          <w:rFonts w:ascii="Arial" w:hAnsi="Arial" w:cs="Arial"/>
        </w:rPr>
      </w:pPr>
      <w:r w:rsidRPr="00EB4495">
        <w:rPr>
          <w:rFonts w:ascii="Arial" w:hAnsi="Arial" w:cs="Arial"/>
        </w:rPr>
        <w:t xml:space="preserve">In March 2021, the Board announced a target ordinary dividend cover range of 2.25 to 2.75 times, based on adjusted basic earnings per share. We aim to grow the ordinary dividend progressively over time. </w:t>
      </w:r>
    </w:p>
    <w:p w14:paraId="5AD618BA" w14:textId="77777777" w:rsidR="00084627" w:rsidRPr="00EB4495" w:rsidRDefault="00084627" w:rsidP="00084627">
      <w:pPr>
        <w:jc w:val="left"/>
        <w:rPr>
          <w:rFonts w:ascii="Arial" w:hAnsi="Arial" w:cs="Arial"/>
        </w:rPr>
      </w:pPr>
    </w:p>
    <w:p w14:paraId="73166B78" w14:textId="568352CC" w:rsidR="00276435" w:rsidRDefault="00084627" w:rsidP="00E21F59">
      <w:pPr>
        <w:jc w:val="left"/>
        <w:rPr>
          <w:rFonts w:ascii="Arial" w:hAnsi="Arial" w:cs="Arial"/>
        </w:rPr>
      </w:pPr>
      <w:r w:rsidRPr="00EB4495">
        <w:rPr>
          <w:rFonts w:ascii="Arial" w:hAnsi="Arial" w:cs="Arial"/>
        </w:rPr>
        <w:t xml:space="preserve">If surplus capital remains after </w:t>
      </w:r>
      <w:r w:rsidR="005057BD">
        <w:rPr>
          <w:rFonts w:ascii="Arial" w:hAnsi="Arial" w:cs="Arial"/>
        </w:rPr>
        <w:t>having</w:t>
      </w:r>
      <w:r w:rsidRPr="00EB4495">
        <w:rPr>
          <w:rFonts w:ascii="Arial" w:hAnsi="Arial" w:cs="Arial"/>
        </w:rPr>
        <w:t xml:space="preserve"> achieved all the above objectives, the Board will periodically evaluate returning surplus capital to shareholders via a share buyback programme or special dividends.</w:t>
      </w:r>
      <w:r w:rsidR="00276435">
        <w:rPr>
          <w:rFonts w:ascii="Arial" w:hAnsi="Arial" w:cs="Arial"/>
        </w:rPr>
        <w:br w:type="page"/>
      </w:r>
    </w:p>
    <w:p w14:paraId="6D071BCD" w14:textId="77777777" w:rsidR="00084627" w:rsidRPr="006245D5" w:rsidRDefault="00084627" w:rsidP="00084627">
      <w:pPr>
        <w:jc w:val="left"/>
        <w:rPr>
          <w:rFonts w:ascii="Arial" w:hAnsi="Arial" w:cs="Arial"/>
          <w:b/>
          <w:bCs/>
          <w:u w:val="single"/>
        </w:rPr>
      </w:pPr>
      <w:r w:rsidRPr="006245D5">
        <w:rPr>
          <w:rFonts w:ascii="Arial" w:hAnsi="Arial" w:cs="Arial"/>
          <w:b/>
          <w:bCs/>
          <w:u w:val="single"/>
        </w:rPr>
        <w:lastRenderedPageBreak/>
        <w:t>Dividend for FY 21/22</w:t>
      </w:r>
    </w:p>
    <w:p w14:paraId="44C28102" w14:textId="73B29878" w:rsidR="00084627" w:rsidRPr="00EB4495" w:rsidRDefault="00084627" w:rsidP="00084627">
      <w:pPr>
        <w:jc w:val="left"/>
        <w:rPr>
          <w:rFonts w:ascii="Arial" w:hAnsi="Arial" w:cs="Arial"/>
        </w:rPr>
      </w:pPr>
      <w:r w:rsidRPr="006245D5">
        <w:rPr>
          <w:rFonts w:ascii="Arial" w:hAnsi="Arial" w:cs="Arial"/>
        </w:rPr>
        <w:t xml:space="preserve">Following the very strong performance in FY 21/22, the Board has proposed a final dividend per share of </w:t>
      </w:r>
      <w:r w:rsidRPr="00F854C7">
        <w:rPr>
          <w:rFonts w:ascii="Arial" w:hAnsi="Arial" w:cs="Arial"/>
        </w:rPr>
        <w:t>8.60p</w:t>
      </w:r>
      <w:r w:rsidRPr="006245D5">
        <w:rPr>
          <w:rFonts w:ascii="Arial" w:hAnsi="Arial" w:cs="Arial"/>
        </w:rPr>
        <w:t xml:space="preserve">. This results in a proposed total dividend per share of </w:t>
      </w:r>
      <w:r w:rsidRPr="00F854C7">
        <w:rPr>
          <w:rFonts w:ascii="Arial" w:hAnsi="Arial" w:cs="Arial"/>
        </w:rPr>
        <w:t>12.40p</w:t>
      </w:r>
      <w:r w:rsidRPr="006245D5">
        <w:rPr>
          <w:rFonts w:ascii="Arial" w:hAnsi="Arial" w:cs="Arial"/>
        </w:rPr>
        <w:t xml:space="preserve"> in respect of FY 21/22, which is 50% higher than the prior year (FY 20/21: 8.25p).</w:t>
      </w:r>
      <w:r w:rsidR="002B4B03">
        <w:rPr>
          <w:rFonts w:ascii="Arial" w:hAnsi="Arial" w:cs="Arial"/>
        </w:rPr>
        <w:t xml:space="preserve"> The dividend cover of </w:t>
      </w:r>
      <w:r w:rsidR="00505EF1">
        <w:rPr>
          <w:rFonts w:ascii="Arial" w:hAnsi="Arial" w:cs="Arial"/>
        </w:rPr>
        <w:t>c.</w:t>
      </w:r>
      <w:r w:rsidR="002B4B03">
        <w:rPr>
          <w:rFonts w:ascii="Arial" w:hAnsi="Arial" w:cs="Arial"/>
        </w:rPr>
        <w:t xml:space="preserve">2.8 times is a little over the top end of our target </w:t>
      </w:r>
      <w:r w:rsidR="00505EF1">
        <w:rPr>
          <w:rFonts w:ascii="Arial" w:hAnsi="Arial" w:cs="Arial"/>
        </w:rPr>
        <w:t xml:space="preserve">cover </w:t>
      </w:r>
      <w:r w:rsidR="002B4B03">
        <w:rPr>
          <w:rFonts w:ascii="Arial" w:hAnsi="Arial" w:cs="Arial"/>
        </w:rPr>
        <w:t>range, in line with our previous guidance.</w:t>
      </w:r>
    </w:p>
    <w:p w14:paraId="74DBF52D" w14:textId="77777777" w:rsidR="00084627" w:rsidRPr="00EB4495" w:rsidRDefault="00084627" w:rsidP="00084627">
      <w:pPr>
        <w:jc w:val="left"/>
        <w:rPr>
          <w:rFonts w:ascii="Arial" w:hAnsi="Arial" w:cs="Arial"/>
        </w:rPr>
      </w:pPr>
    </w:p>
    <w:p w14:paraId="3559BC2E" w14:textId="77777777" w:rsidR="00084627" w:rsidRPr="00EB4495" w:rsidRDefault="00084627" w:rsidP="00084627">
      <w:pPr>
        <w:jc w:val="left"/>
        <w:rPr>
          <w:rFonts w:ascii="Arial" w:hAnsi="Arial" w:cs="Arial"/>
        </w:rPr>
      </w:pPr>
      <w:r w:rsidRPr="00EB4495">
        <w:rPr>
          <w:rFonts w:ascii="Arial" w:hAnsi="Arial" w:cs="Arial"/>
        </w:rPr>
        <w:t>The final dividend is subject to shareholder approval at the Annual General Meeting on 22 June 2022, and will be paid on 27 June 2022 to shareholders on the register at close of business on 20 May 2022. A dividend reinvestment plan (DRIP) is available to shareholders who would prefer to invest their dividends in the Company’s shares. The shares will go ex-dividend on 19 May 2022. For shareholders electing to participate in the DRIP, the last date for receipt of elections is 6 June 2022.</w:t>
      </w:r>
    </w:p>
    <w:p w14:paraId="4E94FBDD" w14:textId="77777777" w:rsidR="00084627" w:rsidRPr="00EB4495" w:rsidRDefault="00084627" w:rsidP="000F6848">
      <w:pPr>
        <w:jc w:val="left"/>
        <w:rPr>
          <w:rFonts w:ascii="Arial" w:hAnsi="Arial" w:cs="Arial"/>
        </w:rPr>
      </w:pPr>
    </w:p>
    <w:p w14:paraId="448F2E3E" w14:textId="77777777" w:rsidR="00084627" w:rsidRPr="000F6848" w:rsidRDefault="00084627" w:rsidP="000F6848">
      <w:pPr>
        <w:jc w:val="left"/>
        <w:rPr>
          <w:rFonts w:ascii="Arial" w:hAnsi="Arial" w:cs="Arial"/>
          <w:b/>
          <w:bCs/>
          <w:u w:val="single"/>
        </w:rPr>
      </w:pPr>
      <w:r w:rsidRPr="000F6848">
        <w:rPr>
          <w:rFonts w:ascii="Arial" w:hAnsi="Arial" w:cs="Arial"/>
          <w:b/>
          <w:bCs/>
          <w:u w:val="single"/>
        </w:rPr>
        <w:t>£300m share buyback programme</w:t>
      </w:r>
    </w:p>
    <w:p w14:paraId="171E309D" w14:textId="64EEF8C3" w:rsidR="00084627" w:rsidRPr="00EB4495" w:rsidRDefault="00084627" w:rsidP="000F6848">
      <w:pPr>
        <w:jc w:val="left"/>
        <w:rPr>
          <w:rFonts w:ascii="Arial" w:hAnsi="Arial" w:cs="Arial"/>
        </w:rPr>
      </w:pPr>
      <w:r w:rsidRPr="000F6848">
        <w:rPr>
          <w:rFonts w:ascii="Arial" w:hAnsi="Arial" w:cs="Arial"/>
        </w:rPr>
        <w:t xml:space="preserve">In September 2021, the Board announced the return of £300m of surplus capital via a share buyback programme. </w:t>
      </w:r>
      <w:r w:rsidR="0036598C" w:rsidRPr="000F6848">
        <w:rPr>
          <w:rFonts w:ascii="Arial" w:hAnsi="Arial" w:cs="Arial"/>
        </w:rPr>
        <w:t xml:space="preserve">Up to and including </w:t>
      </w:r>
      <w:r w:rsidR="000F6848" w:rsidRPr="000F6848">
        <w:rPr>
          <w:rFonts w:ascii="Arial" w:hAnsi="Arial" w:cs="Arial"/>
        </w:rPr>
        <w:t>21</w:t>
      </w:r>
      <w:r w:rsidR="0036598C" w:rsidRPr="000F6848">
        <w:rPr>
          <w:rFonts w:ascii="Arial" w:hAnsi="Arial" w:cs="Arial"/>
        </w:rPr>
        <w:t xml:space="preserve"> March 2022</w:t>
      </w:r>
      <w:r w:rsidRPr="000F6848">
        <w:rPr>
          <w:rFonts w:ascii="Arial" w:hAnsi="Arial" w:cs="Arial"/>
        </w:rPr>
        <w:t xml:space="preserve">, we have repurchased </w:t>
      </w:r>
      <w:r w:rsidRPr="008F0B7D">
        <w:rPr>
          <w:rFonts w:ascii="Arial" w:hAnsi="Arial" w:cs="Arial"/>
        </w:rPr>
        <w:t>£</w:t>
      </w:r>
      <w:r w:rsidR="000F6848" w:rsidRPr="008F0B7D">
        <w:rPr>
          <w:rFonts w:ascii="Arial" w:hAnsi="Arial" w:cs="Arial"/>
        </w:rPr>
        <w:t>225m</w:t>
      </w:r>
      <w:r w:rsidR="000F6848" w:rsidRPr="000F6848">
        <w:rPr>
          <w:rFonts w:ascii="Arial" w:hAnsi="Arial" w:cs="Arial"/>
        </w:rPr>
        <w:t xml:space="preserve"> </w:t>
      </w:r>
      <w:r w:rsidRPr="000F6848">
        <w:rPr>
          <w:rFonts w:ascii="Arial" w:hAnsi="Arial" w:cs="Arial"/>
        </w:rPr>
        <w:t>worth of shares</w:t>
      </w:r>
      <w:r w:rsidR="005B05EE">
        <w:rPr>
          <w:rFonts w:ascii="Arial" w:hAnsi="Arial" w:cs="Arial"/>
        </w:rPr>
        <w:t xml:space="preserve"> (31 January 2022: £157m)</w:t>
      </w:r>
      <w:r w:rsidRPr="000F6848">
        <w:rPr>
          <w:rFonts w:ascii="Arial" w:hAnsi="Arial" w:cs="Arial"/>
        </w:rPr>
        <w:t xml:space="preserve">, with the final </w:t>
      </w:r>
      <w:r w:rsidR="005B05EE">
        <w:rPr>
          <w:rFonts w:ascii="Arial" w:hAnsi="Arial" w:cs="Arial"/>
        </w:rPr>
        <w:t xml:space="preserve">£75m </w:t>
      </w:r>
      <w:r w:rsidRPr="000F6848">
        <w:rPr>
          <w:rFonts w:ascii="Arial" w:hAnsi="Arial" w:cs="Arial"/>
        </w:rPr>
        <w:t xml:space="preserve">tranche expected to complete </w:t>
      </w:r>
      <w:r w:rsidR="00F51089">
        <w:rPr>
          <w:rFonts w:ascii="Arial" w:hAnsi="Arial" w:cs="Arial"/>
        </w:rPr>
        <w:t xml:space="preserve">by </w:t>
      </w:r>
      <w:r w:rsidR="000F6848" w:rsidRPr="000F6848">
        <w:rPr>
          <w:rFonts w:ascii="Arial" w:hAnsi="Arial" w:cs="Arial"/>
        </w:rPr>
        <w:t xml:space="preserve">May </w:t>
      </w:r>
      <w:r w:rsidRPr="000F6848">
        <w:rPr>
          <w:rFonts w:ascii="Arial" w:hAnsi="Arial" w:cs="Arial"/>
        </w:rPr>
        <w:t>2022.</w:t>
      </w:r>
    </w:p>
    <w:p w14:paraId="3D93184E" w14:textId="29B74001" w:rsidR="00C7440C" w:rsidRPr="00EB4495" w:rsidRDefault="00C7440C" w:rsidP="008F0B7D">
      <w:pPr>
        <w:jc w:val="left"/>
        <w:rPr>
          <w:rFonts w:ascii="Arial" w:hAnsi="Arial" w:cs="Arial"/>
        </w:rPr>
      </w:pPr>
      <w:r w:rsidRPr="00EB4495">
        <w:rPr>
          <w:rFonts w:ascii="Arial" w:hAnsi="Arial" w:cs="Arial"/>
        </w:rPr>
        <w:br w:type="page"/>
      </w:r>
    </w:p>
    <w:p w14:paraId="725318DC" w14:textId="77777777" w:rsidR="000426AD" w:rsidRPr="00EB4495" w:rsidRDefault="000426AD" w:rsidP="000426AD">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b/>
          <w:bCs/>
          <w:color w:val="FFFFFF" w:themeColor="background1"/>
        </w:rPr>
      </w:pPr>
      <w:r w:rsidRPr="00EB4495">
        <w:rPr>
          <w:rFonts w:ascii="Arial" w:hAnsi="Arial" w:cs="Arial"/>
          <w:b/>
          <w:bCs/>
          <w:color w:val="FFFFFF" w:themeColor="background1"/>
        </w:rPr>
        <w:lastRenderedPageBreak/>
        <w:t>Section 3: Trading review by division</w:t>
      </w:r>
    </w:p>
    <w:p w14:paraId="761F3B54" w14:textId="65CB114F" w:rsidR="00C7440C" w:rsidRPr="00EB4495" w:rsidRDefault="00C7440C" w:rsidP="00084627">
      <w:pPr>
        <w:jc w:val="left"/>
        <w:rPr>
          <w:rFonts w:ascii="Arial" w:hAnsi="Arial" w:cs="Arial"/>
        </w:rPr>
      </w:pPr>
    </w:p>
    <w:p w14:paraId="4581AADA" w14:textId="77777777" w:rsidR="00351421" w:rsidRPr="007C31A6" w:rsidRDefault="00351421" w:rsidP="00351421">
      <w:pPr>
        <w:jc w:val="left"/>
        <w:rPr>
          <w:rFonts w:ascii="Arial" w:hAnsi="Arial" w:cs="Arial"/>
          <w:i/>
          <w:iCs/>
        </w:rPr>
      </w:pPr>
      <w:r w:rsidRPr="0024013E">
        <w:rPr>
          <w:rFonts w:ascii="Arial" w:hAnsi="Arial" w:cs="Arial"/>
          <w:i/>
          <w:iCs/>
        </w:rPr>
        <w:t>Note: all commentary below is in constant currenc</w:t>
      </w:r>
      <w:r w:rsidRPr="007C31A6">
        <w:rPr>
          <w:rFonts w:ascii="Arial" w:hAnsi="Arial" w:cs="Arial"/>
          <w:i/>
          <w:iCs/>
        </w:rPr>
        <w:t>y.</w:t>
      </w:r>
    </w:p>
    <w:p w14:paraId="1A8453DA" w14:textId="77777777" w:rsidR="00351421" w:rsidRPr="002F6DC3" w:rsidRDefault="00351421" w:rsidP="00351421">
      <w:pPr>
        <w:jc w:val="left"/>
        <w:rPr>
          <w:rFonts w:ascii="Arial" w:hAnsi="Arial" w:cs="Arial"/>
        </w:rPr>
      </w:pPr>
    </w:p>
    <w:p w14:paraId="61917FD3" w14:textId="77777777" w:rsidR="00351421" w:rsidRPr="00A845B7" w:rsidRDefault="00351421" w:rsidP="00351421">
      <w:pPr>
        <w:jc w:val="left"/>
        <w:rPr>
          <w:rFonts w:ascii="Arial" w:hAnsi="Arial" w:cs="Arial"/>
          <w:b/>
          <w:bCs/>
        </w:rPr>
      </w:pPr>
      <w:r w:rsidRPr="00A845B7">
        <w:rPr>
          <w:rFonts w:ascii="Arial" w:hAnsi="Arial" w:cs="Arial"/>
          <w:b/>
          <w:bCs/>
        </w:rPr>
        <w:t>UK &amp; IRELAND</w:t>
      </w:r>
    </w:p>
    <w:p w14:paraId="25E1B33F" w14:textId="77777777" w:rsidR="00351421" w:rsidRPr="002F6DC3" w:rsidRDefault="00351421" w:rsidP="00351421">
      <w:pPr>
        <w:jc w:val="left"/>
        <w:rPr>
          <w:rFonts w:ascii="Arial" w:hAnsi="Arial" w:cs="Arial"/>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1113"/>
        <w:gridCol w:w="1113"/>
        <w:gridCol w:w="1525"/>
        <w:gridCol w:w="1525"/>
        <w:gridCol w:w="1168"/>
        <w:gridCol w:w="1170"/>
      </w:tblGrid>
      <w:tr w:rsidR="00351421" w:rsidRPr="00A845B7" w14:paraId="1EC70CA9" w14:textId="77777777" w:rsidTr="007B244C">
        <w:tc>
          <w:tcPr>
            <w:tcW w:w="1265" w:type="pct"/>
            <w:tcBorders>
              <w:bottom w:val="single" w:sz="4" w:space="0" w:color="auto"/>
            </w:tcBorders>
          </w:tcPr>
          <w:p w14:paraId="5EA63973" w14:textId="77777777" w:rsidR="00351421" w:rsidRPr="005E1EE0" w:rsidRDefault="00351421" w:rsidP="007B244C">
            <w:pPr>
              <w:rPr>
                <w:rFonts w:ascii="Arial" w:hAnsi="Arial" w:cs="Arial"/>
                <w:b/>
                <w:bCs/>
              </w:rPr>
            </w:pPr>
            <w:r w:rsidRPr="005E1EE0">
              <w:rPr>
                <w:rFonts w:ascii="Arial" w:hAnsi="Arial" w:cs="Arial"/>
                <w:b/>
                <w:bCs/>
              </w:rPr>
              <w:t>£m</w:t>
            </w:r>
          </w:p>
        </w:tc>
        <w:tc>
          <w:tcPr>
            <w:tcW w:w="546" w:type="pct"/>
            <w:tcBorders>
              <w:bottom w:val="single" w:sz="4" w:space="0" w:color="auto"/>
            </w:tcBorders>
          </w:tcPr>
          <w:p w14:paraId="29F6C825" w14:textId="77777777" w:rsidR="00351421" w:rsidRPr="00A845B7" w:rsidRDefault="00351421" w:rsidP="007B244C">
            <w:pPr>
              <w:jc w:val="right"/>
              <w:rPr>
                <w:rFonts w:ascii="Arial" w:hAnsi="Arial" w:cs="Arial"/>
              </w:rPr>
            </w:pPr>
            <w:r>
              <w:rPr>
                <w:rFonts w:ascii="Arial" w:hAnsi="Arial" w:cs="Arial"/>
                <w:b/>
                <w:bCs/>
              </w:rPr>
              <w:t>2021/22</w:t>
            </w:r>
          </w:p>
        </w:tc>
        <w:tc>
          <w:tcPr>
            <w:tcW w:w="546" w:type="pct"/>
            <w:tcBorders>
              <w:bottom w:val="single" w:sz="4" w:space="0" w:color="auto"/>
            </w:tcBorders>
          </w:tcPr>
          <w:p w14:paraId="7B690556" w14:textId="77777777" w:rsidR="00351421" w:rsidRPr="00A845B7" w:rsidRDefault="00351421" w:rsidP="007B244C">
            <w:pPr>
              <w:jc w:val="right"/>
              <w:rPr>
                <w:rFonts w:ascii="Arial" w:hAnsi="Arial" w:cs="Arial"/>
                <w:b/>
                <w:bCs/>
              </w:rPr>
            </w:pPr>
            <w:r>
              <w:rPr>
                <w:rFonts w:ascii="Arial" w:hAnsi="Arial" w:cs="Arial"/>
                <w:b/>
                <w:bCs/>
              </w:rPr>
              <w:t>2020/21</w:t>
            </w:r>
          </w:p>
        </w:tc>
        <w:tc>
          <w:tcPr>
            <w:tcW w:w="748" w:type="pct"/>
            <w:tcBorders>
              <w:bottom w:val="single" w:sz="4" w:space="0" w:color="auto"/>
            </w:tcBorders>
          </w:tcPr>
          <w:p w14:paraId="06FEA28A" w14:textId="77777777" w:rsidR="00351421" w:rsidRPr="00A845B7" w:rsidRDefault="00351421" w:rsidP="007B244C">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14:paraId="71AE49FE" w14:textId="77777777" w:rsidR="00351421" w:rsidRPr="00A845B7" w:rsidRDefault="00351421" w:rsidP="007B244C">
            <w:pPr>
              <w:jc w:val="right"/>
              <w:rPr>
                <w:rFonts w:ascii="Arial" w:hAnsi="Arial" w:cs="Arial"/>
                <w:b/>
                <w:bCs/>
              </w:rPr>
            </w:pPr>
          </w:p>
        </w:tc>
        <w:tc>
          <w:tcPr>
            <w:tcW w:w="748" w:type="pct"/>
            <w:tcBorders>
              <w:bottom w:val="single" w:sz="4" w:space="0" w:color="auto"/>
            </w:tcBorders>
          </w:tcPr>
          <w:p w14:paraId="46598883" w14:textId="77777777" w:rsidR="00351421" w:rsidRPr="00A845B7" w:rsidRDefault="00351421" w:rsidP="007B244C">
            <w:pPr>
              <w:jc w:val="right"/>
              <w:rPr>
                <w:rFonts w:ascii="Arial" w:hAnsi="Arial" w:cs="Arial"/>
                <w:b/>
                <w:bCs/>
              </w:rPr>
            </w:pPr>
            <w:r w:rsidRPr="00A845B7">
              <w:rPr>
                <w:rFonts w:ascii="Arial" w:hAnsi="Arial" w:cs="Arial"/>
                <w:b/>
                <w:bCs/>
              </w:rPr>
              <w:t>% Constant</w:t>
            </w:r>
          </w:p>
          <w:p w14:paraId="73D6F183" w14:textId="77777777" w:rsidR="00351421" w:rsidRPr="00A845B7" w:rsidRDefault="00351421" w:rsidP="007B244C">
            <w:pPr>
              <w:jc w:val="right"/>
              <w:rPr>
                <w:rFonts w:ascii="Arial" w:hAnsi="Arial" w:cs="Arial"/>
                <w:b/>
                <w:bCs/>
              </w:rPr>
            </w:pPr>
            <w:r w:rsidRPr="00A845B7">
              <w:rPr>
                <w:rFonts w:ascii="Arial" w:hAnsi="Arial" w:cs="Arial"/>
                <w:b/>
                <w:bCs/>
              </w:rPr>
              <w:t>Currency</w:t>
            </w:r>
          </w:p>
          <w:p w14:paraId="17FC2C53" w14:textId="77777777" w:rsidR="00351421" w:rsidRPr="00A845B7" w:rsidRDefault="00351421" w:rsidP="007B244C">
            <w:pPr>
              <w:jc w:val="right"/>
              <w:rPr>
                <w:rFonts w:ascii="Arial" w:hAnsi="Arial" w:cs="Arial"/>
                <w:b/>
                <w:bCs/>
              </w:rPr>
            </w:pPr>
            <w:r w:rsidRPr="00A845B7">
              <w:rPr>
                <w:rFonts w:ascii="Arial" w:hAnsi="Arial" w:cs="Arial"/>
                <w:b/>
                <w:bCs/>
              </w:rPr>
              <w:t xml:space="preserve">Change  </w:t>
            </w:r>
          </w:p>
        </w:tc>
        <w:tc>
          <w:tcPr>
            <w:tcW w:w="573" w:type="pct"/>
            <w:tcBorders>
              <w:bottom w:val="single" w:sz="4" w:space="0" w:color="auto"/>
            </w:tcBorders>
          </w:tcPr>
          <w:p w14:paraId="403D17D6" w14:textId="77777777" w:rsidR="00351421" w:rsidRPr="00A845B7" w:rsidRDefault="00351421" w:rsidP="007B244C">
            <w:pPr>
              <w:ind w:hanging="108"/>
              <w:jc w:val="right"/>
              <w:rPr>
                <w:rFonts w:ascii="Arial" w:hAnsi="Arial" w:cs="Arial"/>
                <w:b/>
                <w:bCs/>
              </w:rPr>
            </w:pPr>
            <w:r w:rsidRPr="00A845B7">
              <w:rPr>
                <w:rFonts w:ascii="Arial" w:hAnsi="Arial" w:cs="Arial"/>
                <w:b/>
                <w:bCs/>
              </w:rPr>
              <w:t>% LFL</w:t>
            </w:r>
          </w:p>
          <w:p w14:paraId="02C8429D" w14:textId="77777777" w:rsidR="00351421" w:rsidRPr="00A845B7" w:rsidRDefault="00351421" w:rsidP="007B244C">
            <w:pPr>
              <w:ind w:hanging="108"/>
              <w:jc w:val="right"/>
              <w:rPr>
                <w:rFonts w:ascii="Arial" w:hAnsi="Arial" w:cs="Arial"/>
                <w:b/>
                <w:bCs/>
              </w:rPr>
            </w:pPr>
            <w:r w:rsidRPr="00A845B7">
              <w:rPr>
                <w:rFonts w:ascii="Arial" w:hAnsi="Arial" w:cs="Arial"/>
                <w:b/>
                <w:bCs/>
              </w:rPr>
              <w:t>Change</w:t>
            </w:r>
          </w:p>
        </w:tc>
        <w:tc>
          <w:tcPr>
            <w:tcW w:w="574" w:type="pct"/>
            <w:tcBorders>
              <w:bottom w:val="single" w:sz="4" w:space="0" w:color="auto"/>
            </w:tcBorders>
          </w:tcPr>
          <w:p w14:paraId="57B03AA7" w14:textId="77777777" w:rsidR="00351421" w:rsidRPr="00A845B7" w:rsidRDefault="00351421" w:rsidP="007B244C">
            <w:pPr>
              <w:ind w:hanging="108"/>
              <w:jc w:val="right"/>
              <w:rPr>
                <w:rFonts w:ascii="Arial" w:hAnsi="Arial" w:cs="Arial"/>
                <w:b/>
                <w:bCs/>
              </w:rPr>
            </w:pPr>
            <w:r>
              <w:rPr>
                <w:rFonts w:ascii="Arial" w:hAnsi="Arial" w:cs="Arial"/>
                <w:b/>
                <w:bCs/>
              </w:rPr>
              <w:t>% 2-year LFL Change</w:t>
            </w:r>
          </w:p>
        </w:tc>
      </w:tr>
      <w:tr w:rsidR="00351421" w:rsidRPr="00FB5693" w14:paraId="6D6D7EE3" w14:textId="77777777" w:rsidTr="007B244C">
        <w:trPr>
          <w:trHeight w:val="147"/>
        </w:trPr>
        <w:tc>
          <w:tcPr>
            <w:tcW w:w="1265" w:type="pct"/>
            <w:tcBorders>
              <w:bottom w:val="single" w:sz="4" w:space="0" w:color="auto"/>
            </w:tcBorders>
          </w:tcPr>
          <w:p w14:paraId="553D80C4" w14:textId="77777777" w:rsidR="00351421" w:rsidRPr="002F6DC3" w:rsidRDefault="00351421" w:rsidP="007B244C">
            <w:pPr>
              <w:rPr>
                <w:rFonts w:ascii="Arial" w:hAnsi="Arial" w:cs="Arial"/>
              </w:rPr>
            </w:pPr>
            <w:r w:rsidRPr="002F6DC3">
              <w:rPr>
                <w:rFonts w:ascii="Arial" w:hAnsi="Arial" w:cs="Arial"/>
              </w:rPr>
              <w:t>B&amp;Q</w:t>
            </w:r>
          </w:p>
        </w:tc>
        <w:tc>
          <w:tcPr>
            <w:tcW w:w="546" w:type="pct"/>
            <w:tcBorders>
              <w:bottom w:val="single" w:sz="4" w:space="0" w:color="auto"/>
            </w:tcBorders>
          </w:tcPr>
          <w:p w14:paraId="3381C315" w14:textId="77777777" w:rsidR="00351421" w:rsidRPr="00EA7C0B" w:rsidRDefault="00351421" w:rsidP="007B244C">
            <w:pPr>
              <w:jc w:val="right"/>
              <w:rPr>
                <w:rFonts w:ascii="Arial" w:hAnsi="Arial" w:cs="Arial"/>
              </w:rPr>
            </w:pPr>
            <w:r w:rsidRPr="00EA7C0B">
              <w:rPr>
                <w:rFonts w:ascii="Arial" w:hAnsi="Arial" w:cs="Arial"/>
              </w:rPr>
              <w:t>4,178</w:t>
            </w:r>
          </w:p>
        </w:tc>
        <w:tc>
          <w:tcPr>
            <w:tcW w:w="546" w:type="pct"/>
            <w:tcBorders>
              <w:bottom w:val="single" w:sz="4" w:space="0" w:color="auto"/>
            </w:tcBorders>
          </w:tcPr>
          <w:p w14:paraId="1425DB57" w14:textId="77777777" w:rsidR="00351421" w:rsidRPr="005810DF" w:rsidRDefault="00351421" w:rsidP="007B244C">
            <w:pPr>
              <w:jc w:val="right"/>
              <w:rPr>
                <w:rFonts w:ascii="Arial" w:hAnsi="Arial" w:cs="Arial"/>
              </w:rPr>
            </w:pPr>
            <w:r w:rsidRPr="005810DF">
              <w:rPr>
                <w:rFonts w:ascii="Arial" w:hAnsi="Arial" w:cs="Arial"/>
              </w:rPr>
              <w:t>3,707</w:t>
            </w:r>
          </w:p>
        </w:tc>
        <w:tc>
          <w:tcPr>
            <w:tcW w:w="748" w:type="pct"/>
            <w:tcBorders>
              <w:bottom w:val="single" w:sz="4" w:space="0" w:color="auto"/>
            </w:tcBorders>
          </w:tcPr>
          <w:p w14:paraId="0B5C62DD" w14:textId="77777777" w:rsidR="00351421" w:rsidRPr="00EA7C0B" w:rsidRDefault="00351421" w:rsidP="007B244C">
            <w:pPr>
              <w:jc w:val="right"/>
              <w:rPr>
                <w:rFonts w:ascii="Arial" w:hAnsi="Arial" w:cs="Arial"/>
              </w:rPr>
            </w:pPr>
            <w:r w:rsidRPr="00EA7C0B">
              <w:rPr>
                <w:rFonts w:ascii="Arial" w:hAnsi="Arial" w:cs="Arial"/>
              </w:rPr>
              <w:t>+12.7%</w:t>
            </w:r>
          </w:p>
        </w:tc>
        <w:tc>
          <w:tcPr>
            <w:tcW w:w="748" w:type="pct"/>
            <w:tcBorders>
              <w:bottom w:val="single" w:sz="4" w:space="0" w:color="auto"/>
            </w:tcBorders>
          </w:tcPr>
          <w:p w14:paraId="72496BFC" w14:textId="77777777" w:rsidR="00351421" w:rsidRPr="00EA7C0B" w:rsidRDefault="00351421" w:rsidP="007B244C">
            <w:pPr>
              <w:jc w:val="right"/>
              <w:rPr>
                <w:rFonts w:ascii="Arial" w:hAnsi="Arial" w:cs="Arial"/>
              </w:rPr>
            </w:pPr>
            <w:r w:rsidRPr="00EA7C0B">
              <w:rPr>
                <w:rFonts w:ascii="Arial" w:hAnsi="Arial" w:cs="Arial"/>
              </w:rPr>
              <w:t>+12.8%</w:t>
            </w:r>
          </w:p>
        </w:tc>
        <w:tc>
          <w:tcPr>
            <w:tcW w:w="573" w:type="pct"/>
            <w:tcBorders>
              <w:bottom w:val="single" w:sz="4" w:space="0" w:color="auto"/>
            </w:tcBorders>
            <w:shd w:val="clear" w:color="auto" w:fill="auto"/>
          </w:tcPr>
          <w:p w14:paraId="05C08921" w14:textId="77777777" w:rsidR="00351421" w:rsidRPr="00EA7C0B" w:rsidDel="00F76BE8" w:rsidRDefault="00351421" w:rsidP="007B244C">
            <w:pPr>
              <w:jc w:val="right"/>
              <w:rPr>
                <w:rFonts w:ascii="Arial" w:hAnsi="Arial" w:cs="Arial"/>
              </w:rPr>
            </w:pPr>
            <w:r w:rsidRPr="00EA7C0B">
              <w:rPr>
                <w:rFonts w:ascii="Arial" w:hAnsi="Arial" w:cs="Arial"/>
              </w:rPr>
              <w:t>+12.3%</w:t>
            </w:r>
          </w:p>
        </w:tc>
        <w:tc>
          <w:tcPr>
            <w:tcW w:w="574" w:type="pct"/>
            <w:tcBorders>
              <w:bottom w:val="single" w:sz="4" w:space="0" w:color="auto"/>
            </w:tcBorders>
          </w:tcPr>
          <w:p w14:paraId="46595DBA" w14:textId="77777777" w:rsidR="00351421" w:rsidRPr="00EA7C0B" w:rsidRDefault="00351421" w:rsidP="007B244C">
            <w:pPr>
              <w:jc w:val="right"/>
              <w:rPr>
                <w:rFonts w:ascii="Arial" w:hAnsi="Arial" w:cs="Arial"/>
              </w:rPr>
            </w:pPr>
            <w:r w:rsidRPr="00EA7C0B">
              <w:rPr>
                <w:rFonts w:ascii="Arial" w:hAnsi="Arial" w:cs="Arial"/>
              </w:rPr>
              <w:t>+26.9%</w:t>
            </w:r>
          </w:p>
        </w:tc>
      </w:tr>
      <w:tr w:rsidR="00351421" w:rsidRPr="00FB5693" w14:paraId="3579F01E" w14:textId="77777777" w:rsidTr="007B244C">
        <w:trPr>
          <w:trHeight w:val="147"/>
        </w:trPr>
        <w:tc>
          <w:tcPr>
            <w:tcW w:w="1265" w:type="pct"/>
            <w:tcBorders>
              <w:bottom w:val="single" w:sz="4" w:space="0" w:color="auto"/>
            </w:tcBorders>
          </w:tcPr>
          <w:p w14:paraId="1CA9ADE6" w14:textId="77777777" w:rsidR="00351421" w:rsidRPr="002F6DC3" w:rsidRDefault="00351421" w:rsidP="007B244C">
            <w:pPr>
              <w:rPr>
                <w:rFonts w:ascii="Arial" w:hAnsi="Arial" w:cs="Arial"/>
              </w:rPr>
            </w:pPr>
            <w:r w:rsidRPr="002F6DC3">
              <w:rPr>
                <w:rFonts w:ascii="Arial" w:hAnsi="Arial" w:cs="Arial"/>
              </w:rPr>
              <w:t>Screwfix</w:t>
            </w:r>
          </w:p>
        </w:tc>
        <w:tc>
          <w:tcPr>
            <w:tcW w:w="546" w:type="pct"/>
            <w:tcBorders>
              <w:bottom w:val="single" w:sz="4" w:space="0" w:color="auto"/>
            </w:tcBorders>
          </w:tcPr>
          <w:p w14:paraId="34810588" w14:textId="77777777" w:rsidR="00351421" w:rsidRPr="00EA7C0B" w:rsidRDefault="00351421" w:rsidP="007B244C">
            <w:pPr>
              <w:jc w:val="right"/>
              <w:rPr>
                <w:rFonts w:ascii="Arial" w:hAnsi="Arial" w:cs="Arial"/>
              </w:rPr>
            </w:pPr>
            <w:r w:rsidRPr="00EA7C0B">
              <w:rPr>
                <w:rFonts w:ascii="Arial" w:hAnsi="Arial" w:cs="Arial"/>
              </w:rPr>
              <w:t>2,327</w:t>
            </w:r>
          </w:p>
        </w:tc>
        <w:tc>
          <w:tcPr>
            <w:tcW w:w="546" w:type="pct"/>
            <w:tcBorders>
              <w:bottom w:val="single" w:sz="4" w:space="0" w:color="auto"/>
            </w:tcBorders>
          </w:tcPr>
          <w:p w14:paraId="54BDF5FE" w14:textId="77777777" w:rsidR="00351421" w:rsidRPr="005810DF" w:rsidRDefault="00351421" w:rsidP="007B244C">
            <w:pPr>
              <w:jc w:val="right"/>
              <w:rPr>
                <w:rFonts w:ascii="Arial" w:hAnsi="Arial" w:cs="Arial"/>
              </w:rPr>
            </w:pPr>
            <w:r w:rsidRPr="005810DF">
              <w:rPr>
                <w:rFonts w:ascii="Arial" w:hAnsi="Arial" w:cs="Arial"/>
              </w:rPr>
              <w:t>2,036</w:t>
            </w:r>
          </w:p>
        </w:tc>
        <w:tc>
          <w:tcPr>
            <w:tcW w:w="748" w:type="pct"/>
            <w:tcBorders>
              <w:bottom w:val="single" w:sz="4" w:space="0" w:color="auto"/>
            </w:tcBorders>
          </w:tcPr>
          <w:p w14:paraId="1692E4F9" w14:textId="77777777" w:rsidR="00351421" w:rsidRPr="00EA7C0B" w:rsidRDefault="00351421" w:rsidP="007B244C">
            <w:pPr>
              <w:jc w:val="right"/>
              <w:rPr>
                <w:rFonts w:ascii="Arial" w:hAnsi="Arial" w:cs="Arial"/>
              </w:rPr>
            </w:pPr>
            <w:r w:rsidRPr="00EA7C0B">
              <w:rPr>
                <w:rFonts w:ascii="Arial" w:hAnsi="Arial" w:cs="Arial"/>
              </w:rPr>
              <w:t>+14.3%</w:t>
            </w:r>
          </w:p>
        </w:tc>
        <w:tc>
          <w:tcPr>
            <w:tcW w:w="748" w:type="pct"/>
            <w:tcBorders>
              <w:bottom w:val="single" w:sz="4" w:space="0" w:color="auto"/>
            </w:tcBorders>
          </w:tcPr>
          <w:p w14:paraId="1C66D3D0" w14:textId="77777777" w:rsidR="00351421" w:rsidRPr="00EA7C0B" w:rsidRDefault="00351421" w:rsidP="007B244C">
            <w:pPr>
              <w:jc w:val="right"/>
              <w:rPr>
                <w:rFonts w:ascii="Arial" w:hAnsi="Arial" w:cs="Arial"/>
              </w:rPr>
            </w:pPr>
            <w:r w:rsidRPr="00EA7C0B">
              <w:rPr>
                <w:rFonts w:ascii="Arial" w:hAnsi="Arial" w:cs="Arial"/>
              </w:rPr>
              <w:t>+14.3%</w:t>
            </w:r>
          </w:p>
        </w:tc>
        <w:tc>
          <w:tcPr>
            <w:tcW w:w="573" w:type="pct"/>
            <w:tcBorders>
              <w:bottom w:val="single" w:sz="4" w:space="0" w:color="auto"/>
            </w:tcBorders>
            <w:shd w:val="clear" w:color="auto" w:fill="auto"/>
          </w:tcPr>
          <w:p w14:paraId="2FD8A49C" w14:textId="77777777" w:rsidR="00351421" w:rsidRPr="00EA7C0B" w:rsidDel="00F76BE8" w:rsidRDefault="00351421" w:rsidP="007B244C">
            <w:pPr>
              <w:jc w:val="right"/>
              <w:rPr>
                <w:rFonts w:ascii="Arial" w:hAnsi="Arial" w:cs="Arial"/>
              </w:rPr>
            </w:pPr>
            <w:r w:rsidRPr="00EA7C0B">
              <w:rPr>
                <w:rFonts w:ascii="Arial" w:hAnsi="Arial" w:cs="Arial"/>
              </w:rPr>
              <w:t>+10.9%</w:t>
            </w:r>
          </w:p>
        </w:tc>
        <w:tc>
          <w:tcPr>
            <w:tcW w:w="574" w:type="pct"/>
            <w:tcBorders>
              <w:bottom w:val="single" w:sz="4" w:space="0" w:color="auto"/>
            </w:tcBorders>
          </w:tcPr>
          <w:p w14:paraId="252FCA8B" w14:textId="77777777" w:rsidR="00351421" w:rsidRPr="00EA7C0B" w:rsidRDefault="00351421" w:rsidP="007B244C">
            <w:pPr>
              <w:jc w:val="right"/>
              <w:rPr>
                <w:rFonts w:ascii="Arial" w:hAnsi="Arial" w:cs="Arial"/>
              </w:rPr>
            </w:pPr>
            <w:r w:rsidRPr="00EA7C0B">
              <w:rPr>
                <w:rFonts w:ascii="Arial" w:hAnsi="Arial" w:cs="Arial"/>
              </w:rPr>
              <w:t>+18.2%</w:t>
            </w:r>
          </w:p>
        </w:tc>
      </w:tr>
      <w:tr w:rsidR="00351421" w:rsidRPr="00FB5693" w14:paraId="39739D72" w14:textId="77777777" w:rsidTr="007B244C">
        <w:trPr>
          <w:trHeight w:val="147"/>
        </w:trPr>
        <w:tc>
          <w:tcPr>
            <w:tcW w:w="1265" w:type="pct"/>
            <w:tcBorders>
              <w:bottom w:val="single" w:sz="4" w:space="0" w:color="auto"/>
            </w:tcBorders>
          </w:tcPr>
          <w:p w14:paraId="21FD7C87" w14:textId="77777777" w:rsidR="00351421" w:rsidRPr="00216D66" w:rsidRDefault="00351421" w:rsidP="007B244C">
            <w:pPr>
              <w:rPr>
                <w:rFonts w:ascii="Arial" w:hAnsi="Arial" w:cs="Arial"/>
                <w:b/>
              </w:rPr>
            </w:pPr>
            <w:r w:rsidRPr="00216D66">
              <w:rPr>
                <w:rFonts w:ascii="Arial" w:hAnsi="Arial" w:cs="Arial"/>
                <w:b/>
                <w:bCs/>
              </w:rPr>
              <w:t xml:space="preserve">Total sales </w:t>
            </w:r>
          </w:p>
        </w:tc>
        <w:tc>
          <w:tcPr>
            <w:tcW w:w="546" w:type="pct"/>
            <w:tcBorders>
              <w:bottom w:val="single" w:sz="4" w:space="0" w:color="auto"/>
            </w:tcBorders>
          </w:tcPr>
          <w:p w14:paraId="149F016A" w14:textId="77777777" w:rsidR="00351421" w:rsidRPr="00EA7C0B" w:rsidRDefault="00351421" w:rsidP="007B244C">
            <w:pPr>
              <w:jc w:val="right"/>
              <w:rPr>
                <w:rFonts w:ascii="Arial" w:hAnsi="Arial" w:cs="Arial"/>
                <w:b/>
                <w:bCs/>
              </w:rPr>
            </w:pPr>
            <w:r w:rsidRPr="00EA7C0B">
              <w:rPr>
                <w:rFonts w:ascii="Arial" w:hAnsi="Arial" w:cs="Arial"/>
                <w:b/>
                <w:bCs/>
              </w:rPr>
              <w:t>6,505</w:t>
            </w:r>
          </w:p>
        </w:tc>
        <w:tc>
          <w:tcPr>
            <w:tcW w:w="546" w:type="pct"/>
            <w:tcBorders>
              <w:bottom w:val="single" w:sz="4" w:space="0" w:color="auto"/>
            </w:tcBorders>
          </w:tcPr>
          <w:p w14:paraId="33060617" w14:textId="77777777" w:rsidR="00351421" w:rsidRPr="005810DF" w:rsidRDefault="00351421" w:rsidP="007B244C">
            <w:pPr>
              <w:jc w:val="right"/>
              <w:rPr>
                <w:rFonts w:ascii="Arial" w:hAnsi="Arial" w:cs="Arial"/>
                <w:b/>
                <w:bCs/>
              </w:rPr>
            </w:pPr>
            <w:r w:rsidRPr="005810DF">
              <w:rPr>
                <w:rFonts w:ascii="Arial" w:hAnsi="Arial" w:cs="Arial"/>
                <w:b/>
                <w:bCs/>
              </w:rPr>
              <w:t>5,743</w:t>
            </w:r>
          </w:p>
        </w:tc>
        <w:tc>
          <w:tcPr>
            <w:tcW w:w="748" w:type="pct"/>
            <w:tcBorders>
              <w:bottom w:val="single" w:sz="4" w:space="0" w:color="auto"/>
            </w:tcBorders>
          </w:tcPr>
          <w:p w14:paraId="09247E3F" w14:textId="77777777" w:rsidR="00351421" w:rsidRPr="00EA7C0B" w:rsidRDefault="00351421" w:rsidP="007B244C">
            <w:pPr>
              <w:jc w:val="right"/>
              <w:rPr>
                <w:rFonts w:ascii="Arial" w:hAnsi="Arial" w:cs="Arial"/>
                <w:b/>
                <w:bCs/>
              </w:rPr>
            </w:pPr>
            <w:r w:rsidRPr="00EA7C0B">
              <w:rPr>
                <w:rFonts w:ascii="Arial" w:hAnsi="Arial" w:cs="Arial"/>
                <w:b/>
                <w:bCs/>
              </w:rPr>
              <w:t>+13.</w:t>
            </w:r>
            <w:r>
              <w:rPr>
                <w:rFonts w:ascii="Arial" w:hAnsi="Arial" w:cs="Arial"/>
                <w:b/>
                <w:bCs/>
              </w:rPr>
              <w:t>3</w:t>
            </w:r>
            <w:r w:rsidRPr="00EA7C0B">
              <w:rPr>
                <w:rFonts w:ascii="Arial" w:hAnsi="Arial" w:cs="Arial"/>
                <w:b/>
                <w:bCs/>
              </w:rPr>
              <w:t>%</w:t>
            </w:r>
          </w:p>
        </w:tc>
        <w:tc>
          <w:tcPr>
            <w:tcW w:w="748" w:type="pct"/>
            <w:tcBorders>
              <w:bottom w:val="single" w:sz="4" w:space="0" w:color="auto"/>
            </w:tcBorders>
          </w:tcPr>
          <w:p w14:paraId="580BDADA" w14:textId="77777777" w:rsidR="00351421" w:rsidRPr="00EA7C0B" w:rsidRDefault="00351421" w:rsidP="007B244C">
            <w:pPr>
              <w:jc w:val="right"/>
              <w:rPr>
                <w:rFonts w:ascii="Arial" w:hAnsi="Arial" w:cs="Arial"/>
                <w:b/>
                <w:bCs/>
              </w:rPr>
            </w:pPr>
            <w:r w:rsidRPr="00EA7C0B">
              <w:rPr>
                <w:rFonts w:ascii="Arial" w:hAnsi="Arial" w:cs="Arial"/>
                <w:b/>
                <w:bCs/>
              </w:rPr>
              <w:t>+13.4%</w:t>
            </w:r>
          </w:p>
        </w:tc>
        <w:tc>
          <w:tcPr>
            <w:tcW w:w="573" w:type="pct"/>
            <w:tcBorders>
              <w:bottom w:val="single" w:sz="4" w:space="0" w:color="auto"/>
            </w:tcBorders>
            <w:shd w:val="clear" w:color="auto" w:fill="auto"/>
          </w:tcPr>
          <w:p w14:paraId="59D7BE3A" w14:textId="77777777" w:rsidR="00351421" w:rsidRPr="00EA7C0B" w:rsidRDefault="00351421" w:rsidP="007B244C">
            <w:pPr>
              <w:jc w:val="right"/>
              <w:rPr>
                <w:rFonts w:ascii="Arial" w:hAnsi="Arial" w:cs="Arial"/>
                <w:b/>
                <w:bCs/>
              </w:rPr>
            </w:pPr>
            <w:r w:rsidRPr="00EA7C0B">
              <w:rPr>
                <w:rFonts w:ascii="Arial" w:hAnsi="Arial" w:cs="Arial"/>
                <w:b/>
                <w:bCs/>
              </w:rPr>
              <w:t>+11.8%</w:t>
            </w:r>
          </w:p>
        </w:tc>
        <w:tc>
          <w:tcPr>
            <w:tcW w:w="574" w:type="pct"/>
            <w:tcBorders>
              <w:bottom w:val="single" w:sz="4" w:space="0" w:color="auto"/>
            </w:tcBorders>
          </w:tcPr>
          <w:p w14:paraId="44A99987" w14:textId="77777777" w:rsidR="00351421" w:rsidRPr="00EA7C0B" w:rsidRDefault="00351421" w:rsidP="007B244C">
            <w:pPr>
              <w:jc w:val="right"/>
              <w:rPr>
                <w:rFonts w:ascii="Arial" w:hAnsi="Arial" w:cs="Arial"/>
                <w:b/>
                <w:bCs/>
              </w:rPr>
            </w:pPr>
            <w:r w:rsidRPr="00EA7C0B">
              <w:rPr>
                <w:rFonts w:ascii="Arial" w:hAnsi="Arial" w:cs="Arial"/>
                <w:b/>
                <w:bCs/>
              </w:rPr>
              <w:t>+23.8%</w:t>
            </w:r>
          </w:p>
        </w:tc>
      </w:tr>
      <w:tr w:rsidR="00351421" w:rsidRPr="00FB5693" w14:paraId="29A87976" w14:textId="77777777" w:rsidTr="007B244C">
        <w:trPr>
          <w:gridAfter w:val="2"/>
          <w:wAfter w:w="1147" w:type="pct"/>
        </w:trPr>
        <w:tc>
          <w:tcPr>
            <w:tcW w:w="1265" w:type="pct"/>
            <w:tcBorders>
              <w:top w:val="nil"/>
              <w:left w:val="nil"/>
              <w:bottom w:val="single" w:sz="4" w:space="0" w:color="auto"/>
              <w:right w:val="nil"/>
            </w:tcBorders>
          </w:tcPr>
          <w:p w14:paraId="236BEA3E" w14:textId="77777777" w:rsidR="00351421" w:rsidRPr="00E83051" w:rsidRDefault="00351421" w:rsidP="007B244C">
            <w:pPr>
              <w:jc w:val="left"/>
              <w:rPr>
                <w:rFonts w:ascii="Arial" w:hAnsi="Arial" w:cs="Arial"/>
              </w:rPr>
            </w:pPr>
          </w:p>
        </w:tc>
        <w:tc>
          <w:tcPr>
            <w:tcW w:w="546" w:type="pct"/>
            <w:tcBorders>
              <w:top w:val="nil"/>
              <w:left w:val="nil"/>
              <w:bottom w:val="single" w:sz="4" w:space="0" w:color="auto"/>
              <w:right w:val="nil"/>
            </w:tcBorders>
          </w:tcPr>
          <w:p w14:paraId="7E061F77" w14:textId="77777777" w:rsidR="00351421" w:rsidRPr="009431DF" w:rsidRDefault="00351421" w:rsidP="007B244C">
            <w:pPr>
              <w:jc w:val="left"/>
              <w:rPr>
                <w:rFonts w:ascii="Arial" w:hAnsi="Arial" w:cs="Arial"/>
                <w:highlight w:val="yellow"/>
              </w:rPr>
            </w:pPr>
          </w:p>
        </w:tc>
        <w:tc>
          <w:tcPr>
            <w:tcW w:w="546" w:type="pct"/>
            <w:tcBorders>
              <w:top w:val="nil"/>
              <w:left w:val="nil"/>
              <w:bottom w:val="single" w:sz="4" w:space="0" w:color="auto"/>
              <w:right w:val="nil"/>
            </w:tcBorders>
          </w:tcPr>
          <w:p w14:paraId="4BF21B5B" w14:textId="77777777" w:rsidR="00351421" w:rsidRPr="00216D66" w:rsidRDefault="00351421" w:rsidP="007B244C">
            <w:pPr>
              <w:jc w:val="left"/>
              <w:rPr>
                <w:rFonts w:ascii="Arial" w:hAnsi="Arial" w:cs="Arial"/>
              </w:rPr>
            </w:pPr>
          </w:p>
        </w:tc>
        <w:tc>
          <w:tcPr>
            <w:tcW w:w="748" w:type="pct"/>
            <w:tcBorders>
              <w:top w:val="nil"/>
              <w:left w:val="nil"/>
              <w:bottom w:val="single" w:sz="4" w:space="0" w:color="auto"/>
              <w:right w:val="nil"/>
            </w:tcBorders>
          </w:tcPr>
          <w:p w14:paraId="2210471B" w14:textId="77777777" w:rsidR="00351421" w:rsidRPr="00FB5693" w:rsidRDefault="00351421" w:rsidP="007B244C">
            <w:pPr>
              <w:jc w:val="left"/>
              <w:rPr>
                <w:rFonts w:ascii="Arial" w:hAnsi="Arial" w:cs="Arial"/>
                <w:highlight w:val="yellow"/>
              </w:rPr>
            </w:pPr>
          </w:p>
        </w:tc>
        <w:tc>
          <w:tcPr>
            <w:tcW w:w="748" w:type="pct"/>
            <w:tcBorders>
              <w:top w:val="nil"/>
              <w:left w:val="nil"/>
              <w:bottom w:val="single" w:sz="4" w:space="0" w:color="auto"/>
              <w:right w:val="nil"/>
            </w:tcBorders>
          </w:tcPr>
          <w:p w14:paraId="65849080" w14:textId="77777777" w:rsidR="00351421" w:rsidRPr="00FB5693" w:rsidRDefault="00351421" w:rsidP="007B244C">
            <w:pPr>
              <w:jc w:val="left"/>
              <w:rPr>
                <w:rFonts w:ascii="Arial" w:hAnsi="Arial" w:cs="Arial"/>
                <w:highlight w:val="yellow"/>
              </w:rPr>
            </w:pPr>
          </w:p>
        </w:tc>
      </w:tr>
      <w:tr w:rsidR="00351421" w:rsidRPr="00FB5693" w14:paraId="40111D03" w14:textId="77777777" w:rsidTr="007B244C">
        <w:trPr>
          <w:gridAfter w:val="2"/>
          <w:wAfter w:w="1147" w:type="pct"/>
        </w:trPr>
        <w:tc>
          <w:tcPr>
            <w:tcW w:w="1265" w:type="pct"/>
            <w:tcBorders>
              <w:top w:val="single" w:sz="4" w:space="0" w:color="auto"/>
              <w:bottom w:val="single" w:sz="4" w:space="0" w:color="auto"/>
            </w:tcBorders>
          </w:tcPr>
          <w:p w14:paraId="3F485A1E" w14:textId="77777777" w:rsidR="00351421" w:rsidRPr="00216D66" w:rsidRDefault="00351421" w:rsidP="007B244C">
            <w:pPr>
              <w:jc w:val="left"/>
              <w:rPr>
                <w:rFonts w:ascii="Arial" w:hAnsi="Arial" w:cs="Arial"/>
                <w:b/>
              </w:rPr>
            </w:pPr>
            <w:r w:rsidRPr="00216D66">
              <w:rPr>
                <w:rFonts w:ascii="Arial" w:hAnsi="Arial" w:cs="Arial"/>
                <w:b/>
                <w:bCs/>
              </w:rPr>
              <w:t>Retail profit</w:t>
            </w:r>
          </w:p>
        </w:tc>
        <w:tc>
          <w:tcPr>
            <w:tcW w:w="546" w:type="pct"/>
            <w:tcBorders>
              <w:top w:val="single" w:sz="4" w:space="0" w:color="auto"/>
              <w:bottom w:val="single" w:sz="4" w:space="0" w:color="auto"/>
            </w:tcBorders>
          </w:tcPr>
          <w:p w14:paraId="55B5F7DB" w14:textId="77777777" w:rsidR="00351421" w:rsidRPr="00EA7C0B" w:rsidRDefault="00351421" w:rsidP="007B244C">
            <w:pPr>
              <w:jc w:val="right"/>
              <w:rPr>
                <w:rFonts w:ascii="Arial" w:hAnsi="Arial" w:cs="Arial"/>
                <w:b/>
                <w:bCs/>
              </w:rPr>
            </w:pPr>
            <w:r w:rsidRPr="00EA7C0B">
              <w:rPr>
                <w:rFonts w:ascii="Arial" w:hAnsi="Arial" w:cs="Arial"/>
                <w:b/>
                <w:bCs/>
              </w:rPr>
              <w:t>794</w:t>
            </w:r>
          </w:p>
        </w:tc>
        <w:tc>
          <w:tcPr>
            <w:tcW w:w="546" w:type="pct"/>
            <w:tcBorders>
              <w:top w:val="single" w:sz="4" w:space="0" w:color="auto"/>
              <w:bottom w:val="single" w:sz="4" w:space="0" w:color="auto"/>
            </w:tcBorders>
          </w:tcPr>
          <w:p w14:paraId="40F266EC" w14:textId="77777777" w:rsidR="00351421" w:rsidRPr="00606C1F" w:rsidRDefault="00351421" w:rsidP="007B244C">
            <w:pPr>
              <w:jc w:val="right"/>
              <w:rPr>
                <w:rFonts w:ascii="Arial" w:hAnsi="Arial" w:cs="Arial"/>
                <w:b/>
                <w:bCs/>
              </w:rPr>
            </w:pPr>
            <w:r w:rsidRPr="00606C1F">
              <w:rPr>
                <w:rFonts w:ascii="Arial" w:hAnsi="Arial" w:cs="Arial"/>
                <w:b/>
                <w:bCs/>
              </w:rPr>
              <w:t>681</w:t>
            </w:r>
          </w:p>
        </w:tc>
        <w:tc>
          <w:tcPr>
            <w:tcW w:w="748" w:type="pct"/>
            <w:tcBorders>
              <w:top w:val="single" w:sz="4" w:space="0" w:color="auto"/>
              <w:bottom w:val="single" w:sz="4" w:space="0" w:color="auto"/>
            </w:tcBorders>
          </w:tcPr>
          <w:p w14:paraId="2E6347D3" w14:textId="77777777" w:rsidR="00351421" w:rsidRPr="00EA7C0B" w:rsidRDefault="00351421" w:rsidP="007B244C">
            <w:pPr>
              <w:jc w:val="right"/>
              <w:rPr>
                <w:rFonts w:ascii="Arial" w:hAnsi="Arial" w:cs="Arial"/>
                <w:b/>
                <w:bCs/>
              </w:rPr>
            </w:pPr>
            <w:r w:rsidRPr="00EA7C0B">
              <w:rPr>
                <w:rFonts w:ascii="Arial" w:hAnsi="Arial" w:cs="Arial"/>
                <w:b/>
                <w:bCs/>
              </w:rPr>
              <w:t>+16.6%</w:t>
            </w:r>
          </w:p>
        </w:tc>
        <w:tc>
          <w:tcPr>
            <w:tcW w:w="748" w:type="pct"/>
            <w:tcBorders>
              <w:top w:val="single" w:sz="4" w:space="0" w:color="auto"/>
              <w:bottom w:val="single" w:sz="4" w:space="0" w:color="auto"/>
            </w:tcBorders>
          </w:tcPr>
          <w:p w14:paraId="31C72632" w14:textId="77777777" w:rsidR="00351421" w:rsidRPr="00EA7C0B" w:rsidRDefault="00351421" w:rsidP="007B244C">
            <w:pPr>
              <w:jc w:val="right"/>
              <w:rPr>
                <w:rFonts w:ascii="Arial" w:hAnsi="Arial" w:cs="Arial"/>
                <w:b/>
                <w:bCs/>
              </w:rPr>
            </w:pPr>
            <w:r w:rsidRPr="00EA7C0B">
              <w:rPr>
                <w:rFonts w:ascii="Arial" w:hAnsi="Arial" w:cs="Arial"/>
                <w:b/>
                <w:bCs/>
              </w:rPr>
              <w:t>+16.7%</w:t>
            </w:r>
          </w:p>
        </w:tc>
      </w:tr>
      <w:tr w:rsidR="00351421" w:rsidRPr="00FB5693" w14:paraId="26BE35E7" w14:textId="77777777" w:rsidTr="007B244C">
        <w:trPr>
          <w:gridAfter w:val="2"/>
          <w:wAfter w:w="1147" w:type="pct"/>
        </w:trPr>
        <w:tc>
          <w:tcPr>
            <w:tcW w:w="1265" w:type="pct"/>
            <w:tcBorders>
              <w:top w:val="single" w:sz="4" w:space="0" w:color="auto"/>
            </w:tcBorders>
          </w:tcPr>
          <w:p w14:paraId="6B92D58D" w14:textId="77777777" w:rsidR="00351421" w:rsidRPr="00216D66" w:rsidRDefault="00351421" w:rsidP="007B244C">
            <w:pPr>
              <w:jc w:val="left"/>
              <w:rPr>
                <w:rFonts w:ascii="Arial" w:hAnsi="Arial" w:cs="Arial"/>
                <w:b/>
                <w:bCs/>
              </w:rPr>
            </w:pPr>
            <w:r w:rsidRPr="00216D66">
              <w:rPr>
                <w:rFonts w:ascii="Arial" w:hAnsi="Arial" w:cs="Arial"/>
                <w:b/>
                <w:bCs/>
              </w:rPr>
              <w:t>Retail profit margin</w:t>
            </w:r>
            <w:r>
              <w:rPr>
                <w:rFonts w:ascii="Arial" w:hAnsi="Arial" w:cs="Arial"/>
                <w:b/>
                <w:bCs/>
              </w:rPr>
              <w:t xml:space="preserve"> %</w:t>
            </w:r>
          </w:p>
        </w:tc>
        <w:tc>
          <w:tcPr>
            <w:tcW w:w="546" w:type="pct"/>
            <w:tcBorders>
              <w:top w:val="single" w:sz="4" w:space="0" w:color="auto"/>
            </w:tcBorders>
          </w:tcPr>
          <w:p w14:paraId="7B177DC7" w14:textId="77777777" w:rsidR="00351421" w:rsidRPr="00EA7C0B" w:rsidRDefault="00351421" w:rsidP="007B244C">
            <w:pPr>
              <w:jc w:val="right"/>
              <w:rPr>
                <w:rFonts w:ascii="Arial" w:hAnsi="Arial" w:cs="Arial"/>
              </w:rPr>
            </w:pPr>
            <w:r w:rsidRPr="00EA7C0B">
              <w:rPr>
                <w:rFonts w:ascii="Arial" w:hAnsi="Arial" w:cs="Arial"/>
              </w:rPr>
              <w:t>12.2%</w:t>
            </w:r>
          </w:p>
        </w:tc>
        <w:tc>
          <w:tcPr>
            <w:tcW w:w="546" w:type="pct"/>
            <w:tcBorders>
              <w:top w:val="single" w:sz="4" w:space="0" w:color="auto"/>
            </w:tcBorders>
          </w:tcPr>
          <w:p w14:paraId="4F41295D" w14:textId="77777777" w:rsidR="00351421" w:rsidRPr="00606C1F" w:rsidRDefault="00351421" w:rsidP="007B244C">
            <w:pPr>
              <w:jc w:val="right"/>
              <w:rPr>
                <w:rFonts w:ascii="Arial" w:hAnsi="Arial" w:cs="Arial"/>
              </w:rPr>
            </w:pPr>
            <w:r w:rsidRPr="00606C1F">
              <w:rPr>
                <w:rFonts w:ascii="Arial" w:hAnsi="Arial" w:cs="Arial"/>
              </w:rPr>
              <w:t>11.9%</w:t>
            </w:r>
          </w:p>
        </w:tc>
        <w:tc>
          <w:tcPr>
            <w:tcW w:w="748" w:type="pct"/>
            <w:tcBorders>
              <w:top w:val="single" w:sz="4" w:space="0" w:color="auto"/>
            </w:tcBorders>
          </w:tcPr>
          <w:p w14:paraId="11DCA82F" w14:textId="77777777" w:rsidR="00351421" w:rsidRPr="00EA7C0B" w:rsidRDefault="00351421" w:rsidP="007B244C">
            <w:pPr>
              <w:jc w:val="right"/>
              <w:rPr>
                <w:rFonts w:ascii="Arial" w:hAnsi="Arial" w:cs="Arial"/>
              </w:rPr>
            </w:pPr>
            <w:r w:rsidRPr="00EA7C0B">
              <w:rPr>
                <w:rFonts w:ascii="Arial" w:hAnsi="Arial" w:cs="Arial"/>
              </w:rPr>
              <w:t>+30bps</w:t>
            </w:r>
          </w:p>
        </w:tc>
        <w:tc>
          <w:tcPr>
            <w:tcW w:w="748" w:type="pct"/>
            <w:tcBorders>
              <w:top w:val="single" w:sz="4" w:space="0" w:color="auto"/>
            </w:tcBorders>
          </w:tcPr>
          <w:p w14:paraId="592CCCEB" w14:textId="77777777" w:rsidR="00351421" w:rsidRPr="00EA7C0B" w:rsidRDefault="00351421" w:rsidP="007B244C">
            <w:pPr>
              <w:jc w:val="right"/>
              <w:rPr>
                <w:rFonts w:ascii="Arial" w:hAnsi="Arial" w:cs="Arial"/>
              </w:rPr>
            </w:pPr>
            <w:r w:rsidRPr="00EA7C0B">
              <w:rPr>
                <w:rFonts w:ascii="Arial" w:hAnsi="Arial" w:cs="Arial"/>
              </w:rPr>
              <w:t>+30bps</w:t>
            </w:r>
          </w:p>
        </w:tc>
      </w:tr>
    </w:tbl>
    <w:p w14:paraId="6A26B349" w14:textId="77777777" w:rsidR="00351421" w:rsidRPr="002E3169" w:rsidRDefault="00351421" w:rsidP="00351421">
      <w:pPr>
        <w:jc w:val="left"/>
        <w:rPr>
          <w:rFonts w:ascii="Arial" w:hAnsi="Arial" w:cs="Arial"/>
        </w:rPr>
      </w:pPr>
    </w:p>
    <w:p w14:paraId="48FE17B3" w14:textId="5B251E3E" w:rsidR="00D056D3" w:rsidRPr="00786D14" w:rsidRDefault="00351421" w:rsidP="00D056D3">
      <w:pPr>
        <w:jc w:val="left"/>
        <w:rPr>
          <w:rFonts w:ascii="Arial" w:hAnsi="Arial" w:cs="Arial"/>
        </w:rPr>
      </w:pPr>
      <w:bookmarkStart w:id="63" w:name="_Hlk508969362"/>
      <w:bookmarkStart w:id="64" w:name="_Hlk508967106"/>
      <w:r w:rsidRPr="002E3169">
        <w:rPr>
          <w:rFonts w:ascii="Arial" w:hAnsi="Arial" w:cs="Arial"/>
        </w:rPr>
        <w:t xml:space="preserve">Kingfisher UK &amp; Ireland sales increased </w:t>
      </w:r>
      <w:r>
        <w:rPr>
          <w:rFonts w:ascii="Arial" w:hAnsi="Arial" w:cs="Arial"/>
        </w:rPr>
        <w:t>by 13.4</w:t>
      </w:r>
      <w:r w:rsidRPr="002E3169">
        <w:rPr>
          <w:rFonts w:ascii="Arial" w:hAnsi="Arial" w:cs="Arial"/>
        </w:rPr>
        <w:t xml:space="preserve">% (LFL </w:t>
      </w:r>
      <w:r>
        <w:rPr>
          <w:rFonts w:ascii="Arial" w:hAnsi="Arial" w:cs="Arial"/>
        </w:rPr>
        <w:t>+11.8</w:t>
      </w:r>
      <w:r w:rsidRPr="002E3169">
        <w:rPr>
          <w:rFonts w:ascii="Arial" w:hAnsi="Arial" w:cs="Arial"/>
        </w:rPr>
        <w:t>%) to £</w:t>
      </w:r>
      <w:r>
        <w:rPr>
          <w:rFonts w:ascii="Arial" w:hAnsi="Arial" w:cs="Arial"/>
        </w:rPr>
        <w:t>6,505</w:t>
      </w:r>
      <w:r w:rsidR="000F2F06">
        <w:rPr>
          <w:rFonts w:ascii="Arial" w:hAnsi="Arial" w:cs="Arial"/>
        </w:rPr>
        <w:t>m</w:t>
      </w:r>
      <w:r w:rsidRPr="002E3169">
        <w:rPr>
          <w:rFonts w:ascii="Arial" w:hAnsi="Arial" w:cs="Arial"/>
        </w:rPr>
        <w:t>,</w:t>
      </w:r>
      <w:r>
        <w:rPr>
          <w:rFonts w:ascii="Arial" w:hAnsi="Arial" w:cs="Arial"/>
        </w:rPr>
        <w:t xml:space="preserve"> with 2-year LFL sales up 23.8%, </w:t>
      </w:r>
      <w:bookmarkStart w:id="65" w:name="_Hlk64969421"/>
      <w:r w:rsidRPr="002E3169">
        <w:rPr>
          <w:rFonts w:ascii="Arial" w:hAnsi="Arial" w:cs="Arial"/>
        </w:rPr>
        <w:t>reflecting</w:t>
      </w:r>
      <w:r>
        <w:rPr>
          <w:rFonts w:ascii="Arial" w:hAnsi="Arial" w:cs="Arial"/>
        </w:rPr>
        <w:t xml:space="preserve"> </w:t>
      </w:r>
      <w:r w:rsidR="00CC7A77">
        <w:rPr>
          <w:rFonts w:ascii="Arial" w:hAnsi="Arial" w:cs="Arial"/>
        </w:rPr>
        <w:t xml:space="preserve">strong </w:t>
      </w:r>
      <w:r>
        <w:rPr>
          <w:rFonts w:ascii="Arial" w:hAnsi="Arial" w:cs="Arial"/>
        </w:rPr>
        <w:t xml:space="preserve">demand throughout the year from both retail and trade customers. </w:t>
      </w:r>
      <w:bookmarkEnd w:id="65"/>
      <w:r w:rsidRPr="00714702">
        <w:rPr>
          <w:rFonts w:ascii="Arial" w:hAnsi="Arial" w:cs="Arial"/>
        </w:rPr>
        <w:t>Our banners</w:t>
      </w:r>
      <w:r>
        <w:rPr>
          <w:rFonts w:ascii="Arial" w:hAnsi="Arial" w:cs="Arial"/>
        </w:rPr>
        <w:t xml:space="preserve"> </w:t>
      </w:r>
      <w:r w:rsidRPr="00714702">
        <w:rPr>
          <w:rFonts w:ascii="Arial" w:hAnsi="Arial" w:cs="Arial"/>
        </w:rPr>
        <w:t xml:space="preserve">significantly improved their competitive position in the </w:t>
      </w:r>
      <w:r>
        <w:rPr>
          <w:rFonts w:ascii="Arial" w:hAnsi="Arial" w:cs="Arial"/>
        </w:rPr>
        <w:t xml:space="preserve">UK </w:t>
      </w:r>
      <w:r w:rsidRPr="00714702">
        <w:rPr>
          <w:rFonts w:ascii="Arial" w:hAnsi="Arial" w:cs="Arial"/>
        </w:rPr>
        <w:t xml:space="preserve">home </w:t>
      </w:r>
      <w:r w:rsidRPr="005B23E6">
        <w:rPr>
          <w:rFonts w:ascii="Arial" w:hAnsi="Arial" w:cs="Arial"/>
        </w:rPr>
        <w:t xml:space="preserve">improvement market, and engagement with new and existing customers was strong, with both store and website NPS significantly improving YoY. </w:t>
      </w:r>
      <w:bookmarkStart w:id="66" w:name="_Hlk97391968"/>
      <w:bookmarkStart w:id="67" w:name="_Hlk97195115"/>
      <w:r w:rsidRPr="005B23E6">
        <w:rPr>
          <w:rFonts w:ascii="Arial" w:hAnsi="Arial" w:cs="Arial"/>
        </w:rPr>
        <w:t>G</w:t>
      </w:r>
      <w:bookmarkStart w:id="68" w:name="_Hlk524514182"/>
      <w:r w:rsidRPr="005B23E6">
        <w:rPr>
          <w:rFonts w:ascii="Arial" w:hAnsi="Arial" w:cs="Arial"/>
        </w:rPr>
        <w:t xml:space="preserve">ross margin % decreased by 60 basis points, largely reflecting </w:t>
      </w:r>
      <w:r w:rsidR="00D056D3" w:rsidRPr="00786D14">
        <w:rPr>
          <w:rFonts w:ascii="Arial" w:hAnsi="Arial" w:cs="Arial"/>
        </w:rPr>
        <w:t xml:space="preserve">changes in </w:t>
      </w:r>
      <w:r w:rsidR="00282DF3">
        <w:rPr>
          <w:rFonts w:ascii="Arial" w:hAnsi="Arial" w:cs="Arial"/>
        </w:rPr>
        <w:t xml:space="preserve">category and </w:t>
      </w:r>
      <w:r w:rsidR="00D056D3" w:rsidRPr="00786D14">
        <w:rPr>
          <w:rFonts w:ascii="Arial" w:hAnsi="Arial" w:cs="Arial"/>
        </w:rPr>
        <w:t>channel mix</w:t>
      </w:r>
      <w:r w:rsidR="005B6E19">
        <w:rPr>
          <w:rFonts w:ascii="Arial" w:hAnsi="Arial" w:cs="Arial"/>
        </w:rPr>
        <w:t xml:space="preserve">, </w:t>
      </w:r>
      <w:r w:rsidR="00D056D3" w:rsidRPr="00786D14">
        <w:rPr>
          <w:rFonts w:ascii="Arial" w:hAnsi="Arial" w:cs="Arial"/>
        </w:rPr>
        <w:t xml:space="preserve">and </w:t>
      </w:r>
      <w:r w:rsidR="000B5BF6">
        <w:rPr>
          <w:rFonts w:ascii="Arial" w:hAnsi="Arial" w:cs="Arial"/>
        </w:rPr>
        <w:t xml:space="preserve">one-off </w:t>
      </w:r>
      <w:r w:rsidR="00D056D3">
        <w:rPr>
          <w:rFonts w:ascii="Arial" w:hAnsi="Arial" w:cs="Arial"/>
        </w:rPr>
        <w:t>spend on</w:t>
      </w:r>
      <w:r w:rsidR="00D056D3" w:rsidRPr="00786D14">
        <w:rPr>
          <w:rFonts w:ascii="Arial" w:hAnsi="Arial" w:cs="Arial"/>
        </w:rPr>
        <w:t xml:space="preserve"> </w:t>
      </w:r>
      <w:r w:rsidR="00F5644B">
        <w:rPr>
          <w:rFonts w:ascii="Arial" w:hAnsi="Arial" w:cs="Arial"/>
        </w:rPr>
        <w:t>securing</w:t>
      </w:r>
      <w:r w:rsidR="00D056D3">
        <w:rPr>
          <w:rFonts w:ascii="Arial" w:hAnsi="Arial" w:cs="Arial"/>
        </w:rPr>
        <w:t xml:space="preserve"> </w:t>
      </w:r>
      <w:r w:rsidR="00D056D3" w:rsidRPr="00786D14">
        <w:rPr>
          <w:rFonts w:ascii="Arial" w:hAnsi="Arial" w:cs="Arial"/>
        </w:rPr>
        <w:t>availability</w:t>
      </w:r>
      <w:r w:rsidR="00D056D3">
        <w:rPr>
          <w:rFonts w:ascii="Arial" w:hAnsi="Arial" w:cs="Arial"/>
        </w:rPr>
        <w:t>. This was</w:t>
      </w:r>
      <w:r w:rsidR="00D056D3" w:rsidRPr="00786D14">
        <w:rPr>
          <w:rFonts w:ascii="Arial" w:hAnsi="Arial" w:cs="Arial"/>
        </w:rPr>
        <w:t xml:space="preserve"> partially offset by </w:t>
      </w:r>
      <w:r w:rsidR="0048774D">
        <w:rPr>
          <w:rFonts w:ascii="Arial" w:hAnsi="Arial" w:cs="Arial"/>
        </w:rPr>
        <w:t xml:space="preserve">our </w:t>
      </w:r>
      <w:r w:rsidR="00D056D3" w:rsidRPr="00786D14">
        <w:rPr>
          <w:rFonts w:ascii="Arial" w:hAnsi="Arial" w:cs="Arial"/>
        </w:rPr>
        <w:t>effective management of inflation.</w:t>
      </w:r>
      <w:bookmarkEnd w:id="66"/>
    </w:p>
    <w:bookmarkEnd w:id="67"/>
    <w:bookmarkEnd w:id="68"/>
    <w:p w14:paraId="754CA52C" w14:textId="77777777" w:rsidR="00351421" w:rsidRPr="002E3169" w:rsidRDefault="00351421" w:rsidP="00351421">
      <w:pPr>
        <w:jc w:val="left"/>
        <w:rPr>
          <w:rFonts w:ascii="Arial" w:hAnsi="Arial" w:cs="Arial"/>
        </w:rPr>
      </w:pPr>
    </w:p>
    <w:p w14:paraId="18698897" w14:textId="466FCC65" w:rsidR="00351421" w:rsidRDefault="00351421" w:rsidP="00351421">
      <w:pPr>
        <w:jc w:val="left"/>
        <w:rPr>
          <w:rFonts w:ascii="Arial" w:hAnsi="Arial" w:cs="Arial"/>
        </w:rPr>
      </w:pPr>
      <w:r w:rsidRPr="003A18F1">
        <w:rPr>
          <w:rFonts w:ascii="Arial" w:hAnsi="Arial" w:cs="Arial"/>
        </w:rPr>
        <w:t>Retail profit increased by 16.7% to £794</w:t>
      </w:r>
      <w:r w:rsidR="000F2F06" w:rsidRPr="003A18F1">
        <w:rPr>
          <w:rFonts w:ascii="Arial" w:hAnsi="Arial" w:cs="Arial"/>
        </w:rPr>
        <w:t>m</w:t>
      </w:r>
      <w:r w:rsidRPr="003A18F1">
        <w:rPr>
          <w:rFonts w:ascii="Arial" w:hAnsi="Arial" w:cs="Arial"/>
        </w:rPr>
        <w:t xml:space="preserve">, with a strong performance from both B&amp;Q and Screwfix. </w:t>
      </w:r>
      <w:r w:rsidRPr="00FF3FFB">
        <w:rPr>
          <w:rFonts w:ascii="Arial" w:hAnsi="Arial" w:cs="Arial"/>
        </w:rPr>
        <w:t xml:space="preserve">Operating costs increased by 9.6% </w:t>
      </w:r>
      <w:r w:rsidRPr="00FF3FFB">
        <w:rPr>
          <w:rFonts w:ascii="Arial" w:hAnsi="Arial" w:cs="Arial"/>
          <w:bCs/>
        </w:rPr>
        <w:t xml:space="preserve">largely due to higher costs associated with strong trading (including headcount increases and higher staff incentives), </w:t>
      </w:r>
      <w:r w:rsidR="001E2E8B" w:rsidRPr="00FF3FFB">
        <w:rPr>
          <w:rFonts w:ascii="Arial" w:hAnsi="Arial" w:cs="Arial"/>
          <w:bCs/>
        </w:rPr>
        <w:t>79</w:t>
      </w:r>
      <w:r w:rsidRPr="00FF3FFB">
        <w:rPr>
          <w:rFonts w:ascii="Arial" w:hAnsi="Arial" w:cs="Arial"/>
          <w:bCs/>
        </w:rPr>
        <w:t xml:space="preserve"> net new store openings, operating cost inflation</w:t>
      </w:r>
      <w:r w:rsidR="00D056D3">
        <w:rPr>
          <w:rFonts w:ascii="Arial" w:hAnsi="Arial" w:cs="Arial"/>
          <w:bCs/>
        </w:rPr>
        <w:t xml:space="preserve">, </w:t>
      </w:r>
      <w:r w:rsidR="000B5BF6">
        <w:rPr>
          <w:rFonts w:ascii="Arial" w:hAnsi="Arial" w:cs="Arial"/>
        </w:rPr>
        <w:t xml:space="preserve">digital </w:t>
      </w:r>
      <w:r w:rsidR="00D056D3" w:rsidRPr="00786D14">
        <w:rPr>
          <w:rFonts w:ascii="Arial" w:hAnsi="Arial" w:cs="Arial"/>
        </w:rPr>
        <w:t>investments</w:t>
      </w:r>
      <w:r w:rsidR="0048774D">
        <w:rPr>
          <w:rFonts w:ascii="Arial" w:hAnsi="Arial" w:cs="Arial"/>
        </w:rPr>
        <w:t>,</w:t>
      </w:r>
      <w:r w:rsidRPr="00FF3FFB">
        <w:rPr>
          <w:rFonts w:ascii="Arial" w:hAnsi="Arial" w:cs="Arial"/>
          <w:bCs/>
        </w:rPr>
        <w:t xml:space="preserve"> and the reversal of some </w:t>
      </w:r>
      <w:r w:rsidRPr="00FF3FFB">
        <w:rPr>
          <w:rFonts w:ascii="Arial" w:hAnsi="Arial" w:cs="Arial"/>
        </w:rPr>
        <w:t>COVID-related temporary cost reduction measures</w:t>
      </w:r>
      <w:r w:rsidRPr="00FF3FFB">
        <w:rPr>
          <w:rFonts w:ascii="Arial" w:hAnsi="Arial" w:cs="Arial"/>
          <w:bCs/>
        </w:rPr>
        <w:t xml:space="preserve"> implemented in FY 20/21 (</w:t>
      </w:r>
      <w:r w:rsidR="00590787" w:rsidRPr="00FF3FFB">
        <w:rPr>
          <w:rFonts w:ascii="Arial" w:hAnsi="Arial" w:cs="Arial"/>
          <w:bCs/>
        </w:rPr>
        <w:t>e.g.,</w:t>
      </w:r>
      <w:r w:rsidRPr="00FF3FFB">
        <w:rPr>
          <w:rFonts w:ascii="Arial" w:hAnsi="Arial" w:cs="Arial"/>
          <w:bCs/>
        </w:rPr>
        <w:t xml:space="preserve"> advertising and marketing). Th</w:t>
      </w:r>
      <w:r w:rsidR="00986B6D">
        <w:rPr>
          <w:rFonts w:ascii="Arial" w:hAnsi="Arial" w:cs="Arial"/>
          <w:bCs/>
        </w:rPr>
        <w:t>e increase in operating costs</w:t>
      </w:r>
      <w:r w:rsidRPr="00FF3FFB">
        <w:rPr>
          <w:rFonts w:ascii="Arial" w:hAnsi="Arial" w:cs="Arial"/>
          <w:bCs/>
        </w:rPr>
        <w:t xml:space="preserve"> was </w:t>
      </w:r>
      <w:r w:rsidRPr="00FF3FFB">
        <w:rPr>
          <w:rFonts w:ascii="Arial" w:hAnsi="Arial" w:cs="Arial"/>
        </w:rPr>
        <w:t>partially offset by cost reductions achieved as part of our strategic cost reduction programme.</w:t>
      </w:r>
      <w:r w:rsidRPr="003A18F1">
        <w:rPr>
          <w:rFonts w:ascii="Arial" w:hAnsi="Arial" w:cs="Arial"/>
        </w:rPr>
        <w:t xml:space="preserve"> </w:t>
      </w:r>
      <w:r w:rsidR="00B16283" w:rsidRPr="003A18F1">
        <w:rPr>
          <w:rFonts w:ascii="Arial" w:hAnsi="Arial" w:cs="Arial"/>
        </w:rPr>
        <w:t>Retail profit margin % improved 30 basis points to 12.2%.</w:t>
      </w:r>
    </w:p>
    <w:p w14:paraId="23A9C939" w14:textId="77777777" w:rsidR="00351421" w:rsidRPr="00216D66" w:rsidRDefault="00351421" w:rsidP="00351421">
      <w:pPr>
        <w:jc w:val="left"/>
        <w:rPr>
          <w:rFonts w:ascii="Arial" w:hAnsi="Arial" w:cs="Arial"/>
        </w:rPr>
      </w:pPr>
    </w:p>
    <w:p w14:paraId="4399444F" w14:textId="459061C9" w:rsidR="00351421" w:rsidRPr="00216D66" w:rsidRDefault="00351421" w:rsidP="00351421">
      <w:pPr>
        <w:jc w:val="left"/>
        <w:rPr>
          <w:rFonts w:ascii="Arial" w:hAnsi="Arial" w:cs="Arial"/>
          <w:bCs/>
        </w:rPr>
      </w:pPr>
      <w:bookmarkStart w:id="69" w:name="_Hlk524463824"/>
      <w:r w:rsidRPr="00216D66">
        <w:rPr>
          <w:rFonts w:ascii="Arial" w:hAnsi="Arial" w:cs="Arial"/>
          <w:b/>
          <w:bCs/>
        </w:rPr>
        <w:t>B&amp;Q</w:t>
      </w:r>
      <w:r w:rsidRPr="00216D66">
        <w:rPr>
          <w:rFonts w:ascii="Arial" w:hAnsi="Arial" w:cs="Arial"/>
        </w:rPr>
        <w:t xml:space="preserve"> total sales </w:t>
      </w:r>
      <w:r w:rsidRPr="009431DF">
        <w:rPr>
          <w:rFonts w:ascii="Arial" w:hAnsi="Arial" w:cs="Arial"/>
          <w:bCs/>
        </w:rPr>
        <w:t xml:space="preserve">increased by </w:t>
      </w:r>
      <w:r>
        <w:rPr>
          <w:rFonts w:ascii="Arial" w:hAnsi="Arial" w:cs="Arial"/>
        </w:rPr>
        <w:t>12.8</w:t>
      </w:r>
      <w:r w:rsidRPr="00216D66">
        <w:rPr>
          <w:rFonts w:ascii="Arial" w:hAnsi="Arial" w:cs="Arial"/>
          <w:bCs/>
        </w:rPr>
        <w:t>% to £</w:t>
      </w:r>
      <w:r>
        <w:rPr>
          <w:rFonts w:ascii="Arial" w:hAnsi="Arial" w:cs="Arial"/>
        </w:rPr>
        <w:t>4,178</w:t>
      </w:r>
      <w:r w:rsidR="000F2F06">
        <w:rPr>
          <w:rFonts w:ascii="Arial" w:hAnsi="Arial" w:cs="Arial"/>
          <w:bCs/>
        </w:rPr>
        <w:t>m</w:t>
      </w:r>
      <w:r>
        <w:rPr>
          <w:rFonts w:ascii="Arial" w:hAnsi="Arial" w:cs="Arial"/>
          <w:bCs/>
        </w:rPr>
        <w:t xml:space="preserve"> (LFL </w:t>
      </w:r>
      <w:r w:rsidRPr="00EA7C0B">
        <w:rPr>
          <w:rFonts w:ascii="Arial" w:hAnsi="Arial" w:cs="Arial"/>
          <w:bCs/>
        </w:rPr>
        <w:t>+</w:t>
      </w:r>
      <w:r>
        <w:rPr>
          <w:rFonts w:ascii="Arial" w:hAnsi="Arial" w:cs="Arial"/>
          <w:bCs/>
        </w:rPr>
        <w:t xml:space="preserve">12.3%), with 2-year </w:t>
      </w:r>
      <w:r w:rsidRPr="00216D66">
        <w:rPr>
          <w:rFonts w:ascii="Arial" w:hAnsi="Arial" w:cs="Arial"/>
          <w:bCs/>
        </w:rPr>
        <w:t xml:space="preserve">LFL </w:t>
      </w:r>
      <w:r>
        <w:rPr>
          <w:rFonts w:ascii="Arial" w:hAnsi="Arial" w:cs="Arial"/>
          <w:bCs/>
        </w:rPr>
        <w:t xml:space="preserve">sales </w:t>
      </w:r>
      <w:r w:rsidRPr="009431DF">
        <w:rPr>
          <w:rFonts w:ascii="Arial" w:hAnsi="Arial" w:cs="Arial"/>
          <w:bCs/>
        </w:rPr>
        <w:t xml:space="preserve">up </w:t>
      </w:r>
      <w:r>
        <w:rPr>
          <w:rFonts w:ascii="Arial" w:hAnsi="Arial" w:cs="Arial"/>
          <w:bCs/>
        </w:rPr>
        <w:t xml:space="preserve">26.9% driven by double-digit </w:t>
      </w:r>
      <w:r w:rsidR="00893830">
        <w:rPr>
          <w:rFonts w:ascii="Arial" w:hAnsi="Arial" w:cs="Arial"/>
          <w:bCs/>
        </w:rPr>
        <w:t xml:space="preserve">growth </w:t>
      </w:r>
      <w:r>
        <w:rPr>
          <w:rFonts w:ascii="Arial" w:hAnsi="Arial" w:cs="Arial"/>
          <w:bCs/>
        </w:rPr>
        <w:t xml:space="preserve">across all categories. ‘Big-ticket’ items saw continued strong momentum, with showroom (kitchens and bathrooms) in </w:t>
      </w:r>
      <w:r w:rsidRPr="00C06937">
        <w:rPr>
          <w:rFonts w:ascii="Arial" w:hAnsi="Arial" w:cs="Arial"/>
          <w:bCs/>
        </w:rPr>
        <w:t xml:space="preserve">the top-performing categories. Our </w:t>
      </w:r>
      <w:r w:rsidR="008C2A11" w:rsidRPr="00C06937">
        <w:rPr>
          <w:rFonts w:ascii="Arial" w:hAnsi="Arial" w:cs="Arial"/>
          <w:bCs/>
        </w:rPr>
        <w:t xml:space="preserve">current </w:t>
      </w:r>
      <w:r w:rsidRPr="00C06937">
        <w:rPr>
          <w:rFonts w:ascii="Arial" w:hAnsi="Arial" w:cs="Arial"/>
          <w:bCs/>
        </w:rPr>
        <w:t>showroom order</w:t>
      </w:r>
      <w:r w:rsidR="008C2A11" w:rsidRPr="00C06937">
        <w:rPr>
          <w:rFonts w:ascii="Arial" w:hAnsi="Arial" w:cs="Arial"/>
          <w:bCs/>
        </w:rPr>
        <w:t xml:space="preserve"> </w:t>
      </w:r>
      <w:r w:rsidRPr="00C06937">
        <w:rPr>
          <w:rFonts w:ascii="Arial" w:hAnsi="Arial" w:cs="Arial"/>
          <w:bCs/>
        </w:rPr>
        <w:t xml:space="preserve">book is very strong, up </w:t>
      </w:r>
      <w:r w:rsidR="00C06937" w:rsidRPr="00987932">
        <w:rPr>
          <w:rFonts w:ascii="Arial" w:hAnsi="Arial" w:cs="Arial"/>
          <w:bCs/>
        </w:rPr>
        <w:t>93</w:t>
      </w:r>
      <w:r w:rsidRPr="00987932">
        <w:rPr>
          <w:rFonts w:ascii="Arial" w:hAnsi="Arial" w:cs="Arial"/>
          <w:bCs/>
        </w:rPr>
        <w:t>%</w:t>
      </w:r>
      <w:r w:rsidRPr="00C06937">
        <w:rPr>
          <w:rFonts w:ascii="Arial" w:hAnsi="Arial" w:cs="Arial"/>
          <w:bCs/>
        </w:rPr>
        <w:t xml:space="preserve"> </w:t>
      </w:r>
      <w:r w:rsidR="008C2A11" w:rsidRPr="00C06937">
        <w:rPr>
          <w:rFonts w:ascii="Arial" w:hAnsi="Arial" w:cs="Arial"/>
          <w:bCs/>
        </w:rPr>
        <w:t xml:space="preserve">versus the equivalent point </w:t>
      </w:r>
      <w:r w:rsidRPr="00C06937">
        <w:rPr>
          <w:rFonts w:ascii="Arial" w:hAnsi="Arial" w:cs="Arial"/>
          <w:bCs/>
        </w:rPr>
        <w:t xml:space="preserve">in the prior year, and up </w:t>
      </w:r>
      <w:r w:rsidR="00C06937" w:rsidRPr="00987932">
        <w:rPr>
          <w:rFonts w:ascii="Arial" w:hAnsi="Arial" w:cs="Arial"/>
          <w:bCs/>
        </w:rPr>
        <w:t>98</w:t>
      </w:r>
      <w:r w:rsidRPr="00987932">
        <w:rPr>
          <w:rFonts w:ascii="Arial" w:hAnsi="Arial" w:cs="Arial"/>
          <w:bCs/>
        </w:rPr>
        <w:t>%</w:t>
      </w:r>
      <w:r w:rsidRPr="00C06937">
        <w:rPr>
          <w:rFonts w:ascii="Arial" w:hAnsi="Arial" w:cs="Arial"/>
          <w:bCs/>
        </w:rPr>
        <w:t xml:space="preserve"> on a 2-year basis. LFL sales of weather-related categories increased</w:t>
      </w:r>
      <w:r w:rsidRPr="00216D66">
        <w:rPr>
          <w:rFonts w:ascii="Arial" w:hAnsi="Arial" w:cs="Arial"/>
          <w:bCs/>
        </w:rPr>
        <w:t xml:space="preserve"> by </w:t>
      </w:r>
      <w:r>
        <w:rPr>
          <w:rFonts w:ascii="Arial" w:hAnsi="Arial" w:cs="Arial"/>
        </w:rPr>
        <w:t>18</w:t>
      </w:r>
      <w:r w:rsidRPr="00216D66">
        <w:rPr>
          <w:rFonts w:ascii="Arial" w:hAnsi="Arial" w:cs="Arial"/>
          <w:bCs/>
        </w:rPr>
        <w:t>%</w:t>
      </w:r>
      <w:r>
        <w:rPr>
          <w:rFonts w:ascii="Arial" w:hAnsi="Arial" w:cs="Arial"/>
          <w:bCs/>
        </w:rPr>
        <w:t xml:space="preserve"> (increase of 43% on a 2-year LFL basis),</w:t>
      </w:r>
      <w:r w:rsidRPr="00216D66">
        <w:rPr>
          <w:rFonts w:ascii="Arial" w:hAnsi="Arial" w:cs="Arial"/>
          <w:bCs/>
        </w:rPr>
        <w:t xml:space="preserve"> while sales of non-weather-related categories, including showroom, </w:t>
      </w:r>
      <w:r>
        <w:rPr>
          <w:rFonts w:ascii="Arial" w:hAnsi="Arial" w:cs="Arial"/>
          <w:bCs/>
        </w:rPr>
        <w:t>increased by 10</w:t>
      </w:r>
      <w:r w:rsidRPr="00216D66">
        <w:rPr>
          <w:rFonts w:ascii="Arial" w:hAnsi="Arial" w:cs="Arial"/>
          <w:bCs/>
        </w:rPr>
        <w:t>%</w:t>
      </w:r>
      <w:r>
        <w:rPr>
          <w:rFonts w:ascii="Arial" w:hAnsi="Arial" w:cs="Arial"/>
          <w:bCs/>
        </w:rPr>
        <w:t xml:space="preserve"> (increase of 22% on a 2-year LFL basis)</w:t>
      </w:r>
      <w:r w:rsidRPr="00216D66">
        <w:rPr>
          <w:rFonts w:ascii="Arial" w:hAnsi="Arial" w:cs="Arial"/>
          <w:bCs/>
        </w:rPr>
        <w:t xml:space="preserve">. </w:t>
      </w:r>
      <w:bookmarkStart w:id="70" w:name="_Hlk491339533"/>
      <w:r w:rsidRPr="00216D66">
        <w:rPr>
          <w:rFonts w:ascii="Arial" w:hAnsi="Arial" w:cs="Arial"/>
          <w:bCs/>
        </w:rPr>
        <w:t>B&amp;Q’s e-commerce sales</w:t>
      </w:r>
      <w:r>
        <w:rPr>
          <w:rFonts w:ascii="Arial" w:hAnsi="Arial" w:cs="Arial"/>
          <w:bCs/>
        </w:rPr>
        <w:t xml:space="preserve"> continued to</w:t>
      </w:r>
      <w:r w:rsidRPr="00216D66">
        <w:rPr>
          <w:rFonts w:ascii="Arial" w:hAnsi="Arial" w:cs="Arial"/>
          <w:bCs/>
        </w:rPr>
        <w:t xml:space="preserve"> gr</w:t>
      </w:r>
      <w:r>
        <w:rPr>
          <w:rFonts w:ascii="Arial" w:hAnsi="Arial" w:cs="Arial"/>
          <w:bCs/>
        </w:rPr>
        <w:t>ow</w:t>
      </w:r>
      <w:r w:rsidRPr="00216D66">
        <w:rPr>
          <w:rFonts w:ascii="Arial" w:hAnsi="Arial" w:cs="Arial"/>
          <w:bCs/>
        </w:rPr>
        <w:t xml:space="preserve"> strongly in </w:t>
      </w:r>
      <w:r>
        <w:rPr>
          <w:rFonts w:ascii="Arial" w:hAnsi="Arial" w:cs="Arial"/>
          <w:bCs/>
        </w:rPr>
        <w:t>FY</w:t>
      </w:r>
      <w:r w:rsidRPr="00216D66">
        <w:rPr>
          <w:rFonts w:ascii="Arial" w:hAnsi="Arial" w:cs="Arial"/>
          <w:bCs/>
        </w:rPr>
        <w:t xml:space="preserve"> </w:t>
      </w:r>
      <w:r>
        <w:rPr>
          <w:rFonts w:ascii="Arial" w:hAnsi="Arial" w:cs="Arial"/>
          <w:bCs/>
        </w:rPr>
        <w:t>21</w:t>
      </w:r>
      <w:r w:rsidRPr="00216D66">
        <w:rPr>
          <w:rFonts w:ascii="Arial" w:hAnsi="Arial" w:cs="Arial"/>
          <w:bCs/>
        </w:rPr>
        <w:t>/</w:t>
      </w:r>
      <w:r>
        <w:rPr>
          <w:rFonts w:ascii="Arial" w:hAnsi="Arial" w:cs="Arial"/>
          <w:bCs/>
        </w:rPr>
        <w:t>22</w:t>
      </w:r>
      <w:r w:rsidRPr="00216D66">
        <w:rPr>
          <w:rFonts w:ascii="Arial" w:hAnsi="Arial" w:cs="Arial"/>
          <w:bCs/>
        </w:rPr>
        <w:t xml:space="preserve">, increasing by </w:t>
      </w:r>
      <w:r>
        <w:rPr>
          <w:rFonts w:ascii="Arial" w:hAnsi="Arial" w:cs="Arial"/>
          <w:bCs/>
        </w:rPr>
        <w:t>13</w:t>
      </w:r>
      <w:r w:rsidRPr="00216D66">
        <w:rPr>
          <w:rFonts w:ascii="Arial" w:hAnsi="Arial" w:cs="Arial"/>
          <w:bCs/>
        </w:rPr>
        <w:t>%</w:t>
      </w:r>
      <w:r>
        <w:rPr>
          <w:rFonts w:ascii="Arial" w:hAnsi="Arial" w:cs="Arial"/>
          <w:bCs/>
        </w:rPr>
        <w:t xml:space="preserve"> YoY and 146% on a 2-year basis,</w:t>
      </w:r>
      <w:r w:rsidRPr="00216D66">
        <w:rPr>
          <w:rFonts w:ascii="Arial" w:hAnsi="Arial" w:cs="Arial"/>
          <w:bCs/>
        </w:rPr>
        <w:t xml:space="preserve"> and representing </w:t>
      </w:r>
      <w:r w:rsidRPr="00EA7C0B">
        <w:rPr>
          <w:rFonts w:ascii="Arial" w:hAnsi="Arial" w:cs="Arial"/>
          <w:bCs/>
        </w:rPr>
        <w:t>11</w:t>
      </w:r>
      <w:r w:rsidRPr="00216D66">
        <w:rPr>
          <w:rFonts w:ascii="Arial" w:hAnsi="Arial" w:cs="Arial"/>
          <w:bCs/>
        </w:rPr>
        <w:t>% of total sales (</w:t>
      </w:r>
      <w:r>
        <w:rPr>
          <w:rFonts w:ascii="Arial" w:hAnsi="Arial" w:cs="Arial"/>
          <w:bCs/>
        </w:rPr>
        <w:t>FY</w:t>
      </w:r>
      <w:r w:rsidRPr="00216D66">
        <w:rPr>
          <w:rFonts w:ascii="Arial" w:hAnsi="Arial" w:cs="Arial"/>
          <w:bCs/>
        </w:rPr>
        <w:t xml:space="preserve"> </w:t>
      </w:r>
      <w:r>
        <w:rPr>
          <w:rFonts w:ascii="Arial" w:hAnsi="Arial" w:cs="Arial"/>
          <w:bCs/>
        </w:rPr>
        <w:t>20/21</w:t>
      </w:r>
      <w:r w:rsidRPr="00216D66">
        <w:rPr>
          <w:rFonts w:ascii="Arial" w:hAnsi="Arial" w:cs="Arial"/>
          <w:bCs/>
        </w:rPr>
        <w:t>:</w:t>
      </w:r>
      <w:r>
        <w:rPr>
          <w:rFonts w:ascii="Arial" w:hAnsi="Arial" w:cs="Arial"/>
          <w:bCs/>
        </w:rPr>
        <w:t xml:space="preserve"> 10</w:t>
      </w:r>
      <w:r w:rsidRPr="00216D66">
        <w:rPr>
          <w:rFonts w:ascii="Arial" w:hAnsi="Arial" w:cs="Arial"/>
          <w:bCs/>
        </w:rPr>
        <w:t>%</w:t>
      </w:r>
      <w:r>
        <w:rPr>
          <w:rFonts w:ascii="Arial" w:hAnsi="Arial" w:cs="Arial"/>
          <w:bCs/>
        </w:rPr>
        <w:t>; FY 19/20: 5%</w:t>
      </w:r>
      <w:r w:rsidRPr="00216D66">
        <w:rPr>
          <w:rFonts w:ascii="Arial" w:hAnsi="Arial" w:cs="Arial"/>
          <w:bCs/>
        </w:rPr>
        <w:t xml:space="preserve">). </w:t>
      </w:r>
    </w:p>
    <w:p w14:paraId="69DE51CE" w14:textId="77777777" w:rsidR="00351421" w:rsidRPr="00E83051" w:rsidRDefault="00351421" w:rsidP="00351421">
      <w:pPr>
        <w:jc w:val="left"/>
        <w:rPr>
          <w:rFonts w:ascii="Arial" w:hAnsi="Arial" w:cs="Arial"/>
        </w:rPr>
      </w:pPr>
    </w:p>
    <w:p w14:paraId="10F53424" w14:textId="26F18CC3" w:rsidR="00351421" w:rsidRPr="00216D66" w:rsidRDefault="00351421" w:rsidP="00351421">
      <w:pPr>
        <w:jc w:val="left"/>
        <w:rPr>
          <w:rFonts w:ascii="Arial" w:hAnsi="Arial" w:cs="Arial"/>
          <w:bCs/>
        </w:rPr>
      </w:pPr>
      <w:r w:rsidRPr="00216D66">
        <w:rPr>
          <w:rFonts w:ascii="Arial" w:hAnsi="Arial" w:cs="Arial"/>
          <w:bCs/>
        </w:rPr>
        <w:t>B&amp;Q’s trade-focused banner</w:t>
      </w:r>
      <w:r>
        <w:rPr>
          <w:rFonts w:ascii="Arial" w:hAnsi="Arial" w:cs="Arial"/>
          <w:bCs/>
        </w:rPr>
        <w:t xml:space="preserve">, </w:t>
      </w:r>
      <w:r w:rsidR="00A35D52" w:rsidRPr="006957EC">
        <w:rPr>
          <w:rFonts w:ascii="Arial" w:hAnsi="Arial" w:cs="Arial"/>
          <w:b/>
        </w:rPr>
        <w:t>TradePoint</w:t>
      </w:r>
      <w:r w:rsidR="00A35D52">
        <w:rPr>
          <w:rFonts w:ascii="Arial" w:hAnsi="Arial" w:cs="Arial"/>
          <w:bCs/>
        </w:rPr>
        <w:t xml:space="preserve">, </w:t>
      </w:r>
      <w:r>
        <w:rPr>
          <w:rFonts w:ascii="Arial" w:hAnsi="Arial" w:cs="Arial"/>
          <w:bCs/>
        </w:rPr>
        <w:t>continues to perform ahead of expectations.</w:t>
      </w:r>
      <w:r w:rsidRPr="00216D66">
        <w:rPr>
          <w:rFonts w:ascii="Arial" w:hAnsi="Arial" w:cs="Arial"/>
          <w:bCs/>
        </w:rPr>
        <w:t xml:space="preserve"> </w:t>
      </w:r>
      <w:r>
        <w:rPr>
          <w:rFonts w:ascii="Arial" w:hAnsi="Arial" w:cs="Arial"/>
          <w:bCs/>
        </w:rPr>
        <w:t xml:space="preserve">The business </w:t>
      </w:r>
      <w:r w:rsidRPr="00216D66">
        <w:rPr>
          <w:rFonts w:ascii="Arial" w:hAnsi="Arial" w:cs="Arial"/>
          <w:bCs/>
        </w:rPr>
        <w:t xml:space="preserve">continues to be a significant part of B&amp;Q at </w:t>
      </w:r>
      <w:r w:rsidRPr="00A3667E">
        <w:rPr>
          <w:rFonts w:ascii="Arial" w:hAnsi="Arial" w:cs="Arial"/>
          <w:bCs/>
        </w:rPr>
        <w:t>20</w:t>
      </w:r>
      <w:r w:rsidRPr="00216D66">
        <w:rPr>
          <w:rFonts w:ascii="Arial" w:hAnsi="Arial" w:cs="Arial"/>
          <w:bCs/>
        </w:rPr>
        <w:t xml:space="preserve">% of </w:t>
      </w:r>
      <w:r>
        <w:rPr>
          <w:rFonts w:ascii="Arial" w:hAnsi="Arial" w:cs="Arial"/>
          <w:bCs/>
        </w:rPr>
        <w:t xml:space="preserve">its </w:t>
      </w:r>
      <w:r w:rsidRPr="00216D66">
        <w:rPr>
          <w:rFonts w:ascii="Arial" w:hAnsi="Arial" w:cs="Arial"/>
          <w:bCs/>
        </w:rPr>
        <w:t>sales</w:t>
      </w:r>
      <w:r w:rsidR="003C26F8">
        <w:rPr>
          <w:rFonts w:ascii="Arial" w:hAnsi="Arial" w:cs="Arial"/>
          <w:bCs/>
        </w:rPr>
        <w:t xml:space="preserve"> (FY 20/21: 19%)</w:t>
      </w:r>
      <w:r>
        <w:rPr>
          <w:rFonts w:ascii="Arial" w:hAnsi="Arial" w:cs="Arial"/>
          <w:bCs/>
        </w:rPr>
        <w:t xml:space="preserve">. LFL sales for TradePoint outperformed the rest of B&amp;Q, growing </w:t>
      </w:r>
      <w:r w:rsidR="003C26F8">
        <w:rPr>
          <w:rFonts w:ascii="Arial" w:hAnsi="Arial" w:cs="Arial"/>
          <w:bCs/>
        </w:rPr>
        <w:t xml:space="preserve">by </w:t>
      </w:r>
      <w:r>
        <w:rPr>
          <w:rFonts w:ascii="Arial" w:hAnsi="Arial" w:cs="Arial"/>
          <w:bCs/>
        </w:rPr>
        <w:t>20</w:t>
      </w:r>
      <w:r w:rsidRPr="006C7FB5">
        <w:rPr>
          <w:rFonts w:ascii="Arial" w:hAnsi="Arial" w:cs="Arial"/>
          <w:bCs/>
        </w:rPr>
        <w:t>%</w:t>
      </w:r>
      <w:r>
        <w:rPr>
          <w:rFonts w:ascii="Arial" w:hAnsi="Arial" w:cs="Arial"/>
          <w:bCs/>
        </w:rPr>
        <w:t xml:space="preserve"> in FY 21/22, with 2-year LFL sales up 33%</w:t>
      </w:r>
      <w:r w:rsidRPr="00216D66">
        <w:rPr>
          <w:rFonts w:ascii="Arial" w:hAnsi="Arial" w:cs="Arial"/>
          <w:bCs/>
        </w:rPr>
        <w:t>.</w:t>
      </w:r>
      <w:r>
        <w:rPr>
          <w:rFonts w:ascii="Arial" w:hAnsi="Arial" w:cs="Arial"/>
          <w:bCs/>
        </w:rPr>
        <w:t xml:space="preserve"> TradePoint’s higher weighting towards building materials and overall strong availability helped drive outperformance. Engagement with trade customers continues to be high, with the introduction of trade-only deals and campaigns in H2 21/22. Going forward, the </w:t>
      </w:r>
      <w:r w:rsidRPr="00FE3083">
        <w:rPr>
          <w:rFonts w:ascii="Arial" w:hAnsi="Arial" w:cs="Arial"/>
          <w:bCs/>
        </w:rPr>
        <w:t xml:space="preserve">loyalty scheme </w:t>
      </w:r>
      <w:r>
        <w:rPr>
          <w:rFonts w:ascii="Arial" w:hAnsi="Arial" w:cs="Arial"/>
          <w:bCs/>
        </w:rPr>
        <w:t xml:space="preserve">will be </w:t>
      </w:r>
      <w:r w:rsidRPr="00FE3083">
        <w:rPr>
          <w:rFonts w:ascii="Arial" w:hAnsi="Arial" w:cs="Arial"/>
          <w:bCs/>
        </w:rPr>
        <w:t>integrat</w:t>
      </w:r>
      <w:r>
        <w:rPr>
          <w:rFonts w:ascii="Arial" w:hAnsi="Arial" w:cs="Arial"/>
          <w:bCs/>
        </w:rPr>
        <w:t>ed</w:t>
      </w:r>
      <w:r w:rsidRPr="00FE3083">
        <w:rPr>
          <w:rFonts w:ascii="Arial" w:hAnsi="Arial" w:cs="Arial"/>
          <w:bCs/>
        </w:rPr>
        <w:t xml:space="preserve"> into </w:t>
      </w:r>
      <w:r>
        <w:rPr>
          <w:rFonts w:ascii="Arial" w:hAnsi="Arial" w:cs="Arial"/>
          <w:bCs/>
        </w:rPr>
        <w:t xml:space="preserve">our </w:t>
      </w:r>
      <w:r w:rsidRPr="00FE3083">
        <w:rPr>
          <w:rFonts w:ascii="Arial" w:hAnsi="Arial" w:cs="Arial"/>
          <w:bCs/>
        </w:rPr>
        <w:t>digital platforms, giving customers the ability to</w:t>
      </w:r>
      <w:r>
        <w:rPr>
          <w:rFonts w:ascii="Arial" w:hAnsi="Arial" w:cs="Arial"/>
          <w:bCs/>
        </w:rPr>
        <w:t xml:space="preserve"> </w:t>
      </w:r>
      <w:r w:rsidR="00303E19">
        <w:rPr>
          <w:rFonts w:ascii="Arial" w:hAnsi="Arial" w:cs="Arial"/>
          <w:bCs/>
        </w:rPr>
        <w:t xml:space="preserve">better monitor </w:t>
      </w:r>
      <w:r w:rsidRPr="00FE3083">
        <w:rPr>
          <w:rFonts w:ascii="Arial" w:hAnsi="Arial" w:cs="Arial"/>
          <w:bCs/>
        </w:rPr>
        <w:t>current spend levels, and additional spend</w:t>
      </w:r>
      <w:r>
        <w:rPr>
          <w:rFonts w:ascii="Arial" w:hAnsi="Arial" w:cs="Arial"/>
          <w:bCs/>
        </w:rPr>
        <w:t xml:space="preserve"> </w:t>
      </w:r>
      <w:r w:rsidRPr="00FE3083">
        <w:rPr>
          <w:rFonts w:ascii="Arial" w:hAnsi="Arial" w:cs="Arial"/>
          <w:bCs/>
        </w:rPr>
        <w:t>requirements to</w:t>
      </w:r>
      <w:r>
        <w:rPr>
          <w:rFonts w:ascii="Arial" w:hAnsi="Arial" w:cs="Arial"/>
          <w:bCs/>
        </w:rPr>
        <w:t xml:space="preserve"> </w:t>
      </w:r>
      <w:r w:rsidRPr="00FE3083">
        <w:rPr>
          <w:rFonts w:ascii="Arial" w:hAnsi="Arial" w:cs="Arial"/>
          <w:bCs/>
        </w:rPr>
        <w:t>trigger higher discount bands</w:t>
      </w:r>
      <w:r>
        <w:rPr>
          <w:rFonts w:ascii="Arial" w:hAnsi="Arial" w:cs="Arial"/>
          <w:bCs/>
        </w:rPr>
        <w:t xml:space="preserve"> (up to 10%)</w:t>
      </w:r>
      <w:r w:rsidRPr="00FE3083">
        <w:rPr>
          <w:rFonts w:ascii="Arial" w:hAnsi="Arial" w:cs="Arial"/>
          <w:bCs/>
        </w:rPr>
        <w:t>.</w:t>
      </w:r>
    </w:p>
    <w:bookmarkEnd w:id="69"/>
    <w:bookmarkEnd w:id="70"/>
    <w:p w14:paraId="29DDF690" w14:textId="77777777" w:rsidR="00351421" w:rsidRPr="00E83051" w:rsidRDefault="00351421" w:rsidP="00351421">
      <w:pPr>
        <w:jc w:val="left"/>
        <w:rPr>
          <w:rFonts w:ascii="Arial" w:hAnsi="Arial" w:cs="Arial"/>
        </w:rPr>
      </w:pPr>
    </w:p>
    <w:p w14:paraId="4348AF9B" w14:textId="5AEE1F3E" w:rsidR="00351421" w:rsidRPr="00216D66" w:rsidRDefault="00351421" w:rsidP="00351421">
      <w:pPr>
        <w:jc w:val="left"/>
        <w:rPr>
          <w:rFonts w:ascii="Arial" w:hAnsi="Arial" w:cs="Arial"/>
          <w:bCs/>
        </w:rPr>
      </w:pPr>
      <w:r>
        <w:rPr>
          <w:rFonts w:ascii="Arial" w:hAnsi="Arial" w:cs="Arial"/>
          <w:bCs/>
        </w:rPr>
        <w:t xml:space="preserve">B&amp;Q </w:t>
      </w:r>
      <w:r w:rsidRPr="001A2EF0">
        <w:rPr>
          <w:rFonts w:ascii="Arial" w:hAnsi="Arial" w:cs="Arial"/>
          <w:bCs/>
        </w:rPr>
        <w:t xml:space="preserve">opened </w:t>
      </w:r>
      <w:r w:rsidR="009640FA" w:rsidRPr="00A3667E">
        <w:rPr>
          <w:rFonts w:ascii="Arial" w:hAnsi="Arial" w:cs="Arial"/>
          <w:bCs/>
        </w:rPr>
        <w:t>1</w:t>
      </w:r>
      <w:r w:rsidR="009640FA">
        <w:rPr>
          <w:rFonts w:ascii="Arial" w:hAnsi="Arial" w:cs="Arial"/>
          <w:bCs/>
        </w:rPr>
        <w:t xml:space="preserve">1 </w:t>
      </w:r>
      <w:r w:rsidRPr="00216D66">
        <w:rPr>
          <w:rFonts w:ascii="Arial" w:hAnsi="Arial" w:cs="Arial"/>
          <w:bCs/>
        </w:rPr>
        <w:t>new store</w:t>
      </w:r>
      <w:r>
        <w:rPr>
          <w:rFonts w:ascii="Arial" w:hAnsi="Arial" w:cs="Arial"/>
          <w:bCs/>
        </w:rPr>
        <w:t>s</w:t>
      </w:r>
      <w:r w:rsidRPr="00216D66">
        <w:rPr>
          <w:rFonts w:ascii="Arial" w:hAnsi="Arial" w:cs="Arial"/>
          <w:bCs/>
        </w:rPr>
        <w:t xml:space="preserve"> in </w:t>
      </w:r>
      <w:r>
        <w:rPr>
          <w:rFonts w:ascii="Arial" w:hAnsi="Arial" w:cs="Arial"/>
          <w:bCs/>
        </w:rPr>
        <w:t>FY</w:t>
      </w:r>
      <w:r w:rsidRPr="00216D66">
        <w:rPr>
          <w:rFonts w:ascii="Arial" w:hAnsi="Arial" w:cs="Arial"/>
          <w:bCs/>
        </w:rPr>
        <w:t xml:space="preserve"> 2</w:t>
      </w:r>
      <w:r>
        <w:rPr>
          <w:rFonts w:ascii="Arial" w:hAnsi="Arial" w:cs="Arial"/>
          <w:bCs/>
        </w:rPr>
        <w:t>1/22</w:t>
      </w:r>
      <w:r w:rsidRPr="00216D66">
        <w:rPr>
          <w:rFonts w:ascii="Arial" w:hAnsi="Arial" w:cs="Arial"/>
          <w:bCs/>
        </w:rPr>
        <w:t xml:space="preserve">, </w:t>
      </w:r>
      <w:r>
        <w:rPr>
          <w:rFonts w:ascii="Arial" w:hAnsi="Arial" w:cs="Arial"/>
          <w:bCs/>
        </w:rPr>
        <w:t xml:space="preserve">including </w:t>
      </w:r>
      <w:r w:rsidR="00EB33C4">
        <w:rPr>
          <w:rFonts w:ascii="Arial" w:hAnsi="Arial" w:cs="Arial"/>
          <w:bCs/>
        </w:rPr>
        <w:t>five</w:t>
      </w:r>
      <w:r w:rsidR="00EB33C4" w:rsidRPr="00216D66">
        <w:rPr>
          <w:rFonts w:ascii="Arial" w:hAnsi="Arial" w:cs="Arial"/>
          <w:bCs/>
        </w:rPr>
        <w:t xml:space="preserve"> </w:t>
      </w:r>
      <w:r>
        <w:rPr>
          <w:rFonts w:ascii="Arial" w:hAnsi="Arial" w:cs="Arial"/>
          <w:bCs/>
        </w:rPr>
        <w:t xml:space="preserve">compact </w:t>
      </w:r>
      <w:r w:rsidRPr="00216D66">
        <w:rPr>
          <w:rFonts w:ascii="Arial" w:hAnsi="Arial" w:cs="Arial"/>
          <w:bCs/>
        </w:rPr>
        <w:t>store</w:t>
      </w:r>
      <w:r>
        <w:rPr>
          <w:rFonts w:ascii="Arial" w:hAnsi="Arial" w:cs="Arial"/>
          <w:bCs/>
        </w:rPr>
        <w:t xml:space="preserve">s </w:t>
      </w:r>
      <w:r w:rsidRPr="0089769D">
        <w:rPr>
          <w:rFonts w:ascii="Arial" w:hAnsi="Arial" w:cs="Arial"/>
          <w:bCs/>
        </w:rPr>
        <w:t xml:space="preserve">and </w:t>
      </w:r>
      <w:r>
        <w:rPr>
          <w:rFonts w:ascii="Arial" w:hAnsi="Arial" w:cs="Arial"/>
          <w:bCs/>
        </w:rPr>
        <w:t>six further store-in-store concessions within ASDA supermarkets.</w:t>
      </w:r>
    </w:p>
    <w:p w14:paraId="5685971D" w14:textId="77777777" w:rsidR="00351421" w:rsidRPr="00E83051" w:rsidRDefault="00351421" w:rsidP="00351421">
      <w:pPr>
        <w:jc w:val="left"/>
        <w:rPr>
          <w:rFonts w:ascii="Arial" w:hAnsi="Arial" w:cs="Arial"/>
        </w:rPr>
      </w:pPr>
    </w:p>
    <w:p w14:paraId="5E030A27" w14:textId="3225B103" w:rsidR="00351421" w:rsidRPr="00216D66" w:rsidRDefault="00351421" w:rsidP="00351421">
      <w:pPr>
        <w:jc w:val="left"/>
        <w:rPr>
          <w:rFonts w:ascii="Arial" w:hAnsi="Arial" w:cs="Arial"/>
        </w:rPr>
      </w:pPr>
      <w:r w:rsidRPr="00216D66">
        <w:rPr>
          <w:rFonts w:ascii="Arial" w:hAnsi="Arial" w:cs="Arial"/>
          <w:b/>
        </w:rPr>
        <w:t>Screwfix</w:t>
      </w:r>
      <w:r w:rsidRPr="00216D66">
        <w:rPr>
          <w:rFonts w:ascii="Arial" w:hAnsi="Arial" w:cs="Arial"/>
        </w:rPr>
        <w:t xml:space="preserve"> total sales increased by </w:t>
      </w:r>
      <w:r>
        <w:rPr>
          <w:rFonts w:ascii="Arial" w:hAnsi="Arial" w:cs="Arial"/>
        </w:rPr>
        <w:t>14.3</w:t>
      </w:r>
      <w:r w:rsidRPr="00216D66">
        <w:rPr>
          <w:rFonts w:ascii="Arial" w:hAnsi="Arial" w:cs="Arial"/>
        </w:rPr>
        <w:t xml:space="preserve">% (LFL </w:t>
      </w:r>
      <w:r>
        <w:rPr>
          <w:rFonts w:ascii="Arial" w:hAnsi="Arial" w:cs="Arial"/>
        </w:rPr>
        <w:t>+10.9</w:t>
      </w:r>
      <w:r w:rsidRPr="00216D66">
        <w:rPr>
          <w:rFonts w:ascii="Arial" w:hAnsi="Arial" w:cs="Arial"/>
        </w:rPr>
        <w:t>%) to £</w:t>
      </w:r>
      <w:r>
        <w:rPr>
          <w:rFonts w:ascii="Arial" w:hAnsi="Arial" w:cs="Arial"/>
        </w:rPr>
        <w:t>2,327</w:t>
      </w:r>
      <w:r w:rsidR="000F2F06">
        <w:rPr>
          <w:rFonts w:ascii="Arial" w:hAnsi="Arial" w:cs="Arial"/>
        </w:rPr>
        <w:t>m</w:t>
      </w:r>
      <w:r w:rsidRPr="00216D66">
        <w:rPr>
          <w:rFonts w:ascii="Arial" w:hAnsi="Arial" w:cs="Arial"/>
        </w:rPr>
        <w:t xml:space="preserve">, </w:t>
      </w:r>
      <w:bookmarkStart w:id="71" w:name="_Hlk64969429"/>
      <w:r>
        <w:rPr>
          <w:rFonts w:ascii="Arial" w:hAnsi="Arial" w:cs="Arial"/>
          <w:bCs/>
        </w:rPr>
        <w:t xml:space="preserve">with 2-year </w:t>
      </w:r>
      <w:r w:rsidRPr="00216D66">
        <w:rPr>
          <w:rFonts w:ascii="Arial" w:hAnsi="Arial" w:cs="Arial"/>
          <w:bCs/>
        </w:rPr>
        <w:t xml:space="preserve">LFL </w:t>
      </w:r>
      <w:r>
        <w:rPr>
          <w:rFonts w:ascii="Arial" w:hAnsi="Arial" w:cs="Arial"/>
          <w:bCs/>
        </w:rPr>
        <w:t xml:space="preserve">sales up 18.2%, </w:t>
      </w:r>
      <w:r w:rsidRPr="00472F78">
        <w:rPr>
          <w:rFonts w:ascii="Arial" w:hAnsi="Arial" w:cs="Arial"/>
          <w:bCs/>
        </w:rPr>
        <w:t>reflecting continued strong</w:t>
      </w:r>
      <w:r>
        <w:rPr>
          <w:rFonts w:ascii="Arial" w:hAnsi="Arial" w:cs="Arial"/>
          <w:bCs/>
        </w:rPr>
        <w:t xml:space="preserve"> demand</w:t>
      </w:r>
      <w:r w:rsidR="003C26F8">
        <w:rPr>
          <w:rFonts w:ascii="Arial" w:hAnsi="Arial" w:cs="Arial"/>
          <w:bCs/>
        </w:rPr>
        <w:t xml:space="preserve"> </w:t>
      </w:r>
      <w:r w:rsidRPr="00472F78">
        <w:rPr>
          <w:rFonts w:ascii="Arial" w:hAnsi="Arial" w:cs="Arial"/>
          <w:bCs/>
        </w:rPr>
        <w:t>from trade customers.</w:t>
      </w:r>
      <w:r>
        <w:rPr>
          <w:rFonts w:ascii="Arial" w:hAnsi="Arial" w:cs="Arial"/>
          <w:bCs/>
        </w:rPr>
        <w:t xml:space="preserve"> </w:t>
      </w:r>
      <w:r>
        <w:rPr>
          <w:rFonts w:ascii="Arial" w:hAnsi="Arial" w:cs="Arial"/>
        </w:rPr>
        <w:t>S</w:t>
      </w:r>
      <w:r w:rsidRPr="00251A68">
        <w:rPr>
          <w:rFonts w:ascii="Arial" w:hAnsi="Arial" w:cs="Arial"/>
        </w:rPr>
        <w:t xml:space="preserve">pace growth </w:t>
      </w:r>
      <w:r>
        <w:rPr>
          <w:rFonts w:ascii="Arial" w:hAnsi="Arial" w:cs="Arial"/>
        </w:rPr>
        <w:t>contributed c.3% to total sales.</w:t>
      </w:r>
      <w:r>
        <w:rPr>
          <w:rFonts w:ascii="Arial" w:hAnsi="Arial" w:cs="Arial"/>
          <w:bCs/>
        </w:rPr>
        <w:t xml:space="preserve"> </w:t>
      </w:r>
      <w:bookmarkEnd w:id="71"/>
      <w:r w:rsidRPr="00216D66">
        <w:rPr>
          <w:rFonts w:ascii="Arial" w:hAnsi="Arial" w:cs="Arial"/>
        </w:rPr>
        <w:t xml:space="preserve">E-commerce sales </w:t>
      </w:r>
      <w:r>
        <w:rPr>
          <w:rFonts w:ascii="Arial" w:hAnsi="Arial" w:cs="Arial"/>
        </w:rPr>
        <w:t>decreased</w:t>
      </w:r>
      <w:r w:rsidRPr="00216D66">
        <w:rPr>
          <w:rFonts w:ascii="Arial" w:hAnsi="Arial" w:cs="Arial"/>
        </w:rPr>
        <w:t xml:space="preserve"> by </w:t>
      </w:r>
      <w:r>
        <w:rPr>
          <w:rFonts w:ascii="Arial" w:hAnsi="Arial" w:cs="Arial"/>
        </w:rPr>
        <w:t>2</w:t>
      </w:r>
      <w:r w:rsidRPr="00216D66">
        <w:rPr>
          <w:rFonts w:ascii="Arial" w:hAnsi="Arial" w:cs="Arial"/>
        </w:rPr>
        <w:t>%</w:t>
      </w:r>
      <w:r w:rsidR="00303E19">
        <w:rPr>
          <w:rFonts w:ascii="Arial" w:hAnsi="Arial" w:cs="Arial"/>
        </w:rPr>
        <w:t xml:space="preserve"> given exceptional ‘digital only’ trading periods in the prior year</w:t>
      </w:r>
      <w:r w:rsidRPr="00216D66">
        <w:rPr>
          <w:rFonts w:ascii="Arial" w:hAnsi="Arial" w:cs="Arial"/>
        </w:rPr>
        <w:t>,</w:t>
      </w:r>
      <w:r>
        <w:rPr>
          <w:rFonts w:ascii="Arial" w:hAnsi="Arial" w:cs="Arial"/>
        </w:rPr>
        <w:t xml:space="preserve"> with 2-year sales up 161%</w:t>
      </w:r>
      <w:r w:rsidR="00303E19">
        <w:rPr>
          <w:rFonts w:ascii="Arial" w:hAnsi="Arial" w:cs="Arial"/>
        </w:rPr>
        <w:t>,</w:t>
      </w:r>
      <w:r w:rsidRPr="00216D66">
        <w:rPr>
          <w:rFonts w:ascii="Arial" w:hAnsi="Arial" w:cs="Arial"/>
        </w:rPr>
        <w:t xml:space="preserve"> representing </w:t>
      </w:r>
      <w:r>
        <w:rPr>
          <w:rFonts w:ascii="Arial" w:hAnsi="Arial" w:cs="Arial"/>
        </w:rPr>
        <w:t>67</w:t>
      </w:r>
      <w:r w:rsidRPr="00216D66">
        <w:rPr>
          <w:rFonts w:ascii="Arial" w:hAnsi="Arial" w:cs="Arial"/>
        </w:rPr>
        <w:t>% of total sales (</w:t>
      </w:r>
      <w:r>
        <w:rPr>
          <w:rFonts w:ascii="Arial" w:hAnsi="Arial" w:cs="Arial"/>
        </w:rPr>
        <w:t>FY</w:t>
      </w:r>
      <w:r w:rsidRPr="00216D66">
        <w:rPr>
          <w:rFonts w:ascii="Arial" w:hAnsi="Arial" w:cs="Arial"/>
        </w:rPr>
        <w:t xml:space="preserve"> 20</w:t>
      </w:r>
      <w:r>
        <w:rPr>
          <w:rFonts w:ascii="Arial" w:hAnsi="Arial" w:cs="Arial"/>
        </w:rPr>
        <w:t>/21</w:t>
      </w:r>
      <w:r w:rsidRPr="00216D66">
        <w:rPr>
          <w:rFonts w:ascii="Arial" w:hAnsi="Arial" w:cs="Arial"/>
        </w:rPr>
        <w:t xml:space="preserve">: </w:t>
      </w:r>
      <w:r>
        <w:rPr>
          <w:rFonts w:ascii="Arial" w:hAnsi="Arial" w:cs="Arial"/>
        </w:rPr>
        <w:t>78</w:t>
      </w:r>
      <w:r w:rsidRPr="00216D66">
        <w:rPr>
          <w:rFonts w:ascii="Arial" w:hAnsi="Arial" w:cs="Arial"/>
        </w:rPr>
        <w:t>%</w:t>
      </w:r>
      <w:r>
        <w:rPr>
          <w:rFonts w:ascii="Arial" w:hAnsi="Arial" w:cs="Arial"/>
          <w:bCs/>
        </w:rPr>
        <w:t>; FY 19/20: 33</w:t>
      </w:r>
      <w:r w:rsidRPr="009D1D26">
        <w:rPr>
          <w:rFonts w:ascii="Arial" w:hAnsi="Arial" w:cs="Arial"/>
          <w:bCs/>
        </w:rPr>
        <w:t>%</w:t>
      </w:r>
      <w:r w:rsidRPr="00281622">
        <w:rPr>
          <w:rFonts w:ascii="Arial" w:hAnsi="Arial" w:cs="Arial"/>
        </w:rPr>
        <w:t xml:space="preserve">). </w:t>
      </w:r>
      <w:r w:rsidRPr="00472F78">
        <w:rPr>
          <w:rFonts w:ascii="Arial" w:hAnsi="Arial" w:cs="Arial"/>
        </w:rPr>
        <w:t>The business continued to strengthen its digital</w:t>
      </w:r>
      <w:r>
        <w:rPr>
          <w:rFonts w:ascii="Arial" w:hAnsi="Arial" w:cs="Arial"/>
        </w:rPr>
        <w:t xml:space="preserve"> </w:t>
      </w:r>
      <w:r w:rsidRPr="00472F78">
        <w:rPr>
          <w:rFonts w:ascii="Arial" w:hAnsi="Arial" w:cs="Arial"/>
        </w:rPr>
        <w:t xml:space="preserve">proposition, launching </w:t>
      </w:r>
      <w:r w:rsidR="00CD7D0E">
        <w:rPr>
          <w:rFonts w:ascii="Arial" w:hAnsi="Arial" w:cs="Arial"/>
        </w:rPr>
        <w:t xml:space="preserve">its </w:t>
      </w:r>
      <w:r>
        <w:rPr>
          <w:rFonts w:ascii="Arial" w:hAnsi="Arial" w:cs="Arial"/>
        </w:rPr>
        <w:t xml:space="preserve">innovative new </w:t>
      </w:r>
      <w:r w:rsidRPr="00472F78">
        <w:rPr>
          <w:rFonts w:ascii="Arial" w:hAnsi="Arial" w:cs="Arial"/>
        </w:rPr>
        <w:t xml:space="preserve">mobile app which has been </w:t>
      </w:r>
      <w:r w:rsidRPr="00472F78">
        <w:rPr>
          <w:rFonts w:ascii="Arial" w:hAnsi="Arial" w:cs="Arial"/>
        </w:rPr>
        <w:lastRenderedPageBreak/>
        <w:t>very well</w:t>
      </w:r>
      <w:r>
        <w:rPr>
          <w:rFonts w:ascii="Arial" w:hAnsi="Arial" w:cs="Arial"/>
        </w:rPr>
        <w:t xml:space="preserve"> </w:t>
      </w:r>
      <w:r w:rsidRPr="00472F78">
        <w:rPr>
          <w:rFonts w:ascii="Arial" w:hAnsi="Arial" w:cs="Arial"/>
        </w:rPr>
        <w:t>received by customers, with mobile remaining the dominant channel of ordering online.</w:t>
      </w:r>
      <w:r>
        <w:rPr>
          <w:rFonts w:ascii="Arial" w:hAnsi="Arial" w:cs="Arial"/>
        </w:rPr>
        <w:t xml:space="preserve"> During the year we launched </w:t>
      </w:r>
      <w:r w:rsidRPr="00102681">
        <w:rPr>
          <w:rFonts w:ascii="Arial" w:hAnsi="Arial" w:cs="Arial"/>
        </w:rPr>
        <w:t>ou</w:t>
      </w:r>
      <w:r>
        <w:rPr>
          <w:rFonts w:ascii="Arial" w:hAnsi="Arial" w:cs="Arial"/>
        </w:rPr>
        <w:t>r</w:t>
      </w:r>
      <w:r w:rsidRPr="00102681">
        <w:rPr>
          <w:rFonts w:ascii="Arial" w:hAnsi="Arial" w:cs="Arial"/>
        </w:rPr>
        <w:t xml:space="preserve"> Screwfix ‘Sprint’</w:t>
      </w:r>
      <w:r w:rsidR="00CD7D0E">
        <w:rPr>
          <w:rFonts w:ascii="Arial" w:hAnsi="Arial" w:cs="Arial"/>
        </w:rPr>
        <w:t xml:space="preserve"> service</w:t>
      </w:r>
      <w:r w:rsidRPr="00102681">
        <w:rPr>
          <w:rFonts w:ascii="Arial" w:hAnsi="Arial" w:cs="Arial"/>
        </w:rPr>
        <w:t xml:space="preserve">, with strong early results. ‘Sprint’ offers customers an industry-leading 60-minute home delivery service (average delivery time c.45 minutes), currently covering </w:t>
      </w:r>
      <w:r w:rsidR="00CD7D0E">
        <w:rPr>
          <w:rFonts w:ascii="Arial" w:hAnsi="Arial" w:cs="Arial"/>
        </w:rPr>
        <w:t xml:space="preserve">over one third </w:t>
      </w:r>
      <w:r w:rsidRPr="00102681">
        <w:rPr>
          <w:rFonts w:ascii="Arial" w:hAnsi="Arial" w:cs="Arial"/>
        </w:rPr>
        <w:t xml:space="preserve">of UK </w:t>
      </w:r>
      <w:r>
        <w:rPr>
          <w:rFonts w:ascii="Arial" w:hAnsi="Arial" w:cs="Arial"/>
        </w:rPr>
        <w:t>postcodes. We also launched Screwfix in France as an online-only proposition with the goal of opening stores in H2 22/23. Results so far have been very encouraging.</w:t>
      </w:r>
      <w:r w:rsidR="00643B5D">
        <w:rPr>
          <w:rFonts w:ascii="Arial" w:hAnsi="Arial" w:cs="Arial"/>
        </w:rPr>
        <w:t xml:space="preserve"> The results for Screwfix International are captured in </w:t>
      </w:r>
      <w:r w:rsidR="00643B5D" w:rsidRPr="005E1EE0">
        <w:rPr>
          <w:rFonts w:ascii="Arial" w:hAnsi="Arial" w:cs="Arial"/>
          <w:i/>
          <w:iCs/>
        </w:rPr>
        <w:t>‘Other International’</w:t>
      </w:r>
      <w:r w:rsidR="00643B5D">
        <w:rPr>
          <w:rFonts w:ascii="Arial" w:hAnsi="Arial" w:cs="Arial"/>
        </w:rPr>
        <w:t xml:space="preserve"> – see below for further information.</w:t>
      </w:r>
    </w:p>
    <w:p w14:paraId="35A9531C" w14:textId="77777777" w:rsidR="00351421" w:rsidRPr="00216D66" w:rsidRDefault="00351421" w:rsidP="00351421">
      <w:pPr>
        <w:jc w:val="left"/>
        <w:rPr>
          <w:rFonts w:ascii="Arial" w:hAnsi="Arial" w:cs="Arial"/>
        </w:rPr>
      </w:pPr>
    </w:p>
    <w:p w14:paraId="3BE623F3" w14:textId="7B6BB411" w:rsidR="00351421" w:rsidRDefault="00351421" w:rsidP="00351421">
      <w:pPr>
        <w:pStyle w:val="PlainText"/>
        <w:rPr>
          <w:rFonts w:ascii="Arial" w:hAnsi="Arial" w:cs="Arial"/>
          <w:sz w:val="22"/>
          <w:szCs w:val="22"/>
        </w:rPr>
      </w:pPr>
      <w:r w:rsidRPr="00216D66">
        <w:rPr>
          <w:rFonts w:ascii="Arial" w:hAnsi="Arial" w:cs="Arial"/>
          <w:sz w:val="22"/>
          <w:szCs w:val="22"/>
        </w:rPr>
        <w:t xml:space="preserve">In </w:t>
      </w:r>
      <w:r>
        <w:rPr>
          <w:rFonts w:ascii="Arial" w:hAnsi="Arial" w:cs="Arial"/>
          <w:sz w:val="22"/>
          <w:szCs w:val="22"/>
        </w:rPr>
        <w:t>FY</w:t>
      </w:r>
      <w:r w:rsidRPr="00216D66">
        <w:rPr>
          <w:rFonts w:ascii="Arial" w:hAnsi="Arial" w:cs="Arial"/>
          <w:sz w:val="22"/>
          <w:szCs w:val="22"/>
        </w:rPr>
        <w:t xml:space="preserve"> 21</w:t>
      </w:r>
      <w:r>
        <w:rPr>
          <w:rFonts w:ascii="Arial" w:hAnsi="Arial" w:cs="Arial"/>
          <w:sz w:val="22"/>
          <w:szCs w:val="22"/>
        </w:rPr>
        <w:t>/22,</w:t>
      </w:r>
      <w:r w:rsidRPr="00216D66">
        <w:rPr>
          <w:rFonts w:ascii="Arial" w:hAnsi="Arial" w:cs="Arial"/>
          <w:sz w:val="22"/>
          <w:szCs w:val="22"/>
        </w:rPr>
        <w:t xml:space="preserve"> </w:t>
      </w:r>
      <w:r w:rsidRPr="009775EA">
        <w:rPr>
          <w:rFonts w:ascii="Arial" w:hAnsi="Arial" w:cs="Arial"/>
          <w:sz w:val="22"/>
          <w:szCs w:val="22"/>
        </w:rPr>
        <w:t xml:space="preserve">Screwfix opened </w:t>
      </w:r>
      <w:r>
        <w:rPr>
          <w:rFonts w:ascii="Arial" w:hAnsi="Arial" w:cs="Arial"/>
          <w:sz w:val="22"/>
          <w:szCs w:val="22"/>
        </w:rPr>
        <w:t>68</w:t>
      </w:r>
      <w:r w:rsidRPr="009775EA">
        <w:rPr>
          <w:rFonts w:ascii="Arial" w:hAnsi="Arial" w:cs="Arial"/>
          <w:sz w:val="22"/>
          <w:szCs w:val="22"/>
        </w:rPr>
        <w:t xml:space="preserve"> net new stores (including </w:t>
      </w:r>
      <w:r>
        <w:rPr>
          <w:rFonts w:ascii="Arial" w:hAnsi="Arial" w:cs="Arial"/>
          <w:sz w:val="22"/>
          <w:szCs w:val="22"/>
        </w:rPr>
        <w:t>12</w:t>
      </w:r>
      <w:r w:rsidRPr="009775EA">
        <w:rPr>
          <w:rFonts w:ascii="Arial" w:hAnsi="Arial" w:cs="Arial"/>
          <w:sz w:val="22"/>
          <w:szCs w:val="22"/>
        </w:rPr>
        <w:t xml:space="preserve"> in Ireland). The total number of stores </w:t>
      </w:r>
      <w:r>
        <w:rPr>
          <w:rFonts w:ascii="Arial" w:hAnsi="Arial" w:cs="Arial"/>
          <w:sz w:val="22"/>
          <w:szCs w:val="22"/>
        </w:rPr>
        <w:t>as of 31 January 202</w:t>
      </w:r>
      <w:r w:rsidR="000A1298">
        <w:rPr>
          <w:rFonts w:ascii="Arial" w:hAnsi="Arial" w:cs="Arial"/>
          <w:sz w:val="22"/>
          <w:szCs w:val="22"/>
        </w:rPr>
        <w:t>2</w:t>
      </w:r>
      <w:r w:rsidRPr="009775EA">
        <w:rPr>
          <w:rFonts w:ascii="Arial" w:hAnsi="Arial" w:cs="Arial"/>
          <w:sz w:val="22"/>
          <w:szCs w:val="22"/>
        </w:rPr>
        <w:t xml:space="preserve"> is </w:t>
      </w:r>
      <w:r w:rsidR="000A1298">
        <w:rPr>
          <w:rFonts w:ascii="Arial" w:hAnsi="Arial" w:cs="Arial"/>
          <w:sz w:val="22"/>
          <w:szCs w:val="22"/>
        </w:rPr>
        <w:t>790</w:t>
      </w:r>
      <w:r w:rsidRPr="009775EA">
        <w:rPr>
          <w:rFonts w:ascii="Arial" w:hAnsi="Arial" w:cs="Arial"/>
          <w:sz w:val="22"/>
          <w:szCs w:val="22"/>
        </w:rPr>
        <w:t xml:space="preserve">, including </w:t>
      </w:r>
      <w:r w:rsidR="000A1298">
        <w:rPr>
          <w:rFonts w:ascii="Arial" w:hAnsi="Arial" w:cs="Arial"/>
          <w:sz w:val="22"/>
          <w:szCs w:val="22"/>
        </w:rPr>
        <w:t xml:space="preserve">24 </w:t>
      </w:r>
      <w:r w:rsidRPr="009775EA">
        <w:rPr>
          <w:rFonts w:ascii="Arial" w:hAnsi="Arial" w:cs="Arial"/>
          <w:sz w:val="22"/>
          <w:szCs w:val="22"/>
        </w:rPr>
        <w:t xml:space="preserve">in Ireland. The business has a </w:t>
      </w:r>
      <w:proofErr w:type="gramStart"/>
      <w:r>
        <w:rPr>
          <w:rFonts w:ascii="Arial" w:hAnsi="Arial" w:cs="Arial"/>
          <w:sz w:val="22"/>
          <w:szCs w:val="22"/>
        </w:rPr>
        <w:t xml:space="preserve">medium </w:t>
      </w:r>
      <w:r w:rsidRPr="009775EA">
        <w:rPr>
          <w:rFonts w:ascii="Arial" w:hAnsi="Arial" w:cs="Arial"/>
          <w:sz w:val="22"/>
          <w:szCs w:val="22"/>
        </w:rPr>
        <w:t>term</w:t>
      </w:r>
      <w:proofErr w:type="gramEnd"/>
      <w:r w:rsidRPr="009775EA">
        <w:rPr>
          <w:rFonts w:ascii="Arial" w:hAnsi="Arial" w:cs="Arial"/>
          <w:sz w:val="22"/>
          <w:szCs w:val="22"/>
        </w:rPr>
        <w:t xml:space="preserve"> target of over </w:t>
      </w:r>
      <w:r>
        <w:rPr>
          <w:rFonts w:ascii="Arial" w:hAnsi="Arial" w:cs="Arial"/>
          <w:sz w:val="22"/>
          <w:szCs w:val="22"/>
        </w:rPr>
        <w:t>1,0</w:t>
      </w:r>
      <w:r w:rsidRPr="009775EA">
        <w:rPr>
          <w:rFonts w:ascii="Arial" w:hAnsi="Arial" w:cs="Arial"/>
          <w:sz w:val="22"/>
          <w:szCs w:val="22"/>
        </w:rPr>
        <w:t xml:space="preserve">00 stores in the UK </w:t>
      </w:r>
      <w:r w:rsidR="001E38B3">
        <w:rPr>
          <w:rFonts w:ascii="Arial" w:hAnsi="Arial" w:cs="Arial"/>
          <w:sz w:val="22"/>
          <w:szCs w:val="22"/>
        </w:rPr>
        <w:t xml:space="preserve">&amp; </w:t>
      </w:r>
      <w:r w:rsidRPr="00F230E2">
        <w:rPr>
          <w:rFonts w:ascii="Arial" w:hAnsi="Arial" w:cs="Arial"/>
          <w:sz w:val="22"/>
          <w:szCs w:val="22"/>
        </w:rPr>
        <w:t xml:space="preserve">Ireland. </w:t>
      </w:r>
    </w:p>
    <w:p w14:paraId="06FE05C3" w14:textId="77777777" w:rsidR="00351421" w:rsidRPr="009A7235" w:rsidRDefault="00351421" w:rsidP="00351421">
      <w:pPr>
        <w:pStyle w:val="PlainText"/>
        <w:rPr>
          <w:rFonts w:ascii="Arial" w:hAnsi="Arial" w:cs="Arial"/>
          <w:sz w:val="22"/>
          <w:szCs w:val="22"/>
        </w:rPr>
      </w:pPr>
    </w:p>
    <w:bookmarkEnd w:id="63"/>
    <w:bookmarkEnd w:id="64"/>
    <w:p w14:paraId="5A2FAD34" w14:textId="77777777" w:rsidR="00351421" w:rsidRPr="00A845B7" w:rsidRDefault="00351421" w:rsidP="00351421">
      <w:pPr>
        <w:jc w:val="left"/>
        <w:rPr>
          <w:rFonts w:ascii="Arial" w:hAnsi="Arial" w:cs="Arial"/>
        </w:rPr>
      </w:pPr>
      <w:r w:rsidRPr="00A845B7">
        <w:rPr>
          <w:rFonts w:ascii="Arial" w:hAnsi="Arial" w:cs="Arial"/>
          <w:b/>
          <w:bCs/>
        </w:rPr>
        <w:t>FRANCE</w:t>
      </w:r>
    </w:p>
    <w:p w14:paraId="721499E6" w14:textId="77777777" w:rsidR="00351421" w:rsidRPr="00E83051" w:rsidRDefault="00351421" w:rsidP="00351421">
      <w:pPr>
        <w:jc w:val="left"/>
        <w:rPr>
          <w:rFonts w:ascii="Arial" w:hAnsi="Arial" w:cs="Arial"/>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1115"/>
        <w:gridCol w:w="1115"/>
        <w:gridCol w:w="1523"/>
        <w:gridCol w:w="1523"/>
        <w:gridCol w:w="1170"/>
        <w:gridCol w:w="1168"/>
      </w:tblGrid>
      <w:tr w:rsidR="00351421" w:rsidRPr="00216D66" w14:paraId="5AE3D7A4" w14:textId="77777777" w:rsidTr="007B244C">
        <w:tc>
          <w:tcPr>
            <w:tcW w:w="1265" w:type="pct"/>
            <w:tcBorders>
              <w:bottom w:val="single" w:sz="4" w:space="0" w:color="auto"/>
            </w:tcBorders>
          </w:tcPr>
          <w:p w14:paraId="1B610FFB" w14:textId="77777777" w:rsidR="00351421" w:rsidRPr="005E1EE0" w:rsidRDefault="00351421" w:rsidP="007B244C">
            <w:pPr>
              <w:rPr>
                <w:rFonts w:ascii="Arial" w:hAnsi="Arial" w:cs="Arial"/>
                <w:b/>
                <w:bCs/>
              </w:rPr>
            </w:pPr>
            <w:r w:rsidRPr="005E1EE0">
              <w:rPr>
                <w:rFonts w:ascii="Arial" w:hAnsi="Arial" w:cs="Arial"/>
                <w:b/>
                <w:bCs/>
              </w:rPr>
              <w:t>£m</w:t>
            </w:r>
          </w:p>
        </w:tc>
        <w:tc>
          <w:tcPr>
            <w:tcW w:w="547" w:type="pct"/>
            <w:tcBorders>
              <w:bottom w:val="single" w:sz="4" w:space="0" w:color="auto"/>
            </w:tcBorders>
          </w:tcPr>
          <w:p w14:paraId="75AEDABC" w14:textId="77777777" w:rsidR="00351421" w:rsidRPr="00216D66" w:rsidRDefault="00351421" w:rsidP="007B244C">
            <w:pPr>
              <w:jc w:val="right"/>
              <w:rPr>
                <w:rFonts w:ascii="Arial" w:hAnsi="Arial" w:cs="Arial"/>
              </w:rPr>
            </w:pPr>
            <w:r>
              <w:rPr>
                <w:rFonts w:ascii="Arial" w:hAnsi="Arial" w:cs="Arial"/>
                <w:b/>
                <w:bCs/>
              </w:rPr>
              <w:t>2021/22</w:t>
            </w:r>
          </w:p>
        </w:tc>
        <w:tc>
          <w:tcPr>
            <w:tcW w:w="547" w:type="pct"/>
            <w:tcBorders>
              <w:bottom w:val="single" w:sz="4" w:space="0" w:color="auto"/>
            </w:tcBorders>
          </w:tcPr>
          <w:p w14:paraId="500A543C" w14:textId="77777777" w:rsidR="00351421" w:rsidRPr="00216D66" w:rsidRDefault="00351421" w:rsidP="007B244C">
            <w:pPr>
              <w:jc w:val="right"/>
              <w:rPr>
                <w:rFonts w:ascii="Arial" w:hAnsi="Arial" w:cs="Arial"/>
                <w:b/>
                <w:bCs/>
              </w:rPr>
            </w:pPr>
            <w:r>
              <w:rPr>
                <w:rFonts w:ascii="Arial" w:hAnsi="Arial" w:cs="Arial"/>
                <w:b/>
                <w:bCs/>
              </w:rPr>
              <w:t>2020/21</w:t>
            </w:r>
          </w:p>
        </w:tc>
        <w:tc>
          <w:tcPr>
            <w:tcW w:w="747" w:type="pct"/>
            <w:tcBorders>
              <w:bottom w:val="single" w:sz="4" w:space="0" w:color="auto"/>
            </w:tcBorders>
          </w:tcPr>
          <w:p w14:paraId="374E580A" w14:textId="77777777" w:rsidR="00351421" w:rsidRPr="00216D66" w:rsidRDefault="00351421" w:rsidP="007B244C">
            <w:pPr>
              <w:jc w:val="right"/>
              <w:rPr>
                <w:rFonts w:ascii="Arial" w:hAnsi="Arial" w:cs="Arial"/>
                <w:b/>
                <w:bCs/>
              </w:rPr>
            </w:pPr>
            <w:r w:rsidRPr="00216D66">
              <w:rPr>
                <w:rFonts w:ascii="Arial" w:hAnsi="Arial" w:cs="Arial"/>
                <w:b/>
                <w:bCs/>
              </w:rPr>
              <w:t>% Reported</w:t>
            </w:r>
            <w:r w:rsidRPr="00216D66" w:rsidDel="00197636">
              <w:rPr>
                <w:rFonts w:ascii="Arial" w:hAnsi="Arial" w:cs="Arial"/>
                <w:b/>
                <w:bCs/>
              </w:rPr>
              <w:t xml:space="preserve"> </w:t>
            </w:r>
            <w:r w:rsidRPr="00216D66">
              <w:rPr>
                <w:rFonts w:ascii="Arial" w:hAnsi="Arial" w:cs="Arial"/>
                <w:b/>
                <w:bCs/>
              </w:rPr>
              <w:t>Change</w:t>
            </w:r>
          </w:p>
          <w:p w14:paraId="53945418" w14:textId="77777777" w:rsidR="00351421" w:rsidRPr="00216D66" w:rsidRDefault="00351421" w:rsidP="007B244C">
            <w:pPr>
              <w:jc w:val="right"/>
              <w:rPr>
                <w:rFonts w:ascii="Arial" w:hAnsi="Arial" w:cs="Arial"/>
                <w:b/>
                <w:bCs/>
              </w:rPr>
            </w:pPr>
          </w:p>
        </w:tc>
        <w:tc>
          <w:tcPr>
            <w:tcW w:w="747" w:type="pct"/>
            <w:tcBorders>
              <w:bottom w:val="single" w:sz="4" w:space="0" w:color="auto"/>
            </w:tcBorders>
          </w:tcPr>
          <w:p w14:paraId="7C6AFC19" w14:textId="77777777" w:rsidR="00351421" w:rsidRPr="00216D66" w:rsidRDefault="00351421" w:rsidP="007B244C">
            <w:pPr>
              <w:jc w:val="right"/>
              <w:rPr>
                <w:rFonts w:ascii="Arial" w:hAnsi="Arial" w:cs="Arial"/>
                <w:b/>
                <w:bCs/>
              </w:rPr>
            </w:pPr>
            <w:r w:rsidRPr="00216D66">
              <w:rPr>
                <w:rFonts w:ascii="Arial" w:hAnsi="Arial" w:cs="Arial"/>
                <w:b/>
                <w:bCs/>
              </w:rPr>
              <w:t>% Constant</w:t>
            </w:r>
          </w:p>
          <w:p w14:paraId="2F56540D" w14:textId="77777777" w:rsidR="00351421" w:rsidRPr="00216D66" w:rsidRDefault="00351421" w:rsidP="007B244C">
            <w:pPr>
              <w:jc w:val="right"/>
              <w:rPr>
                <w:rFonts w:ascii="Arial" w:hAnsi="Arial" w:cs="Arial"/>
                <w:b/>
                <w:bCs/>
              </w:rPr>
            </w:pPr>
            <w:r w:rsidRPr="00216D66">
              <w:rPr>
                <w:rFonts w:ascii="Arial" w:hAnsi="Arial" w:cs="Arial"/>
                <w:b/>
                <w:bCs/>
              </w:rPr>
              <w:t>Currency</w:t>
            </w:r>
          </w:p>
          <w:p w14:paraId="1DE35210" w14:textId="77777777" w:rsidR="00351421" w:rsidRPr="00216D66" w:rsidRDefault="00351421" w:rsidP="007B244C">
            <w:pPr>
              <w:jc w:val="right"/>
              <w:rPr>
                <w:rFonts w:ascii="Arial" w:hAnsi="Arial" w:cs="Arial"/>
                <w:b/>
                <w:bCs/>
              </w:rPr>
            </w:pPr>
            <w:r w:rsidRPr="00216D66">
              <w:rPr>
                <w:rFonts w:ascii="Arial" w:hAnsi="Arial" w:cs="Arial"/>
                <w:b/>
                <w:bCs/>
              </w:rPr>
              <w:t xml:space="preserve">Change  </w:t>
            </w:r>
          </w:p>
        </w:tc>
        <w:tc>
          <w:tcPr>
            <w:tcW w:w="574" w:type="pct"/>
            <w:tcBorders>
              <w:bottom w:val="single" w:sz="4" w:space="0" w:color="auto"/>
            </w:tcBorders>
          </w:tcPr>
          <w:p w14:paraId="34CFF366" w14:textId="77777777" w:rsidR="00351421" w:rsidRPr="00216D66" w:rsidRDefault="00351421" w:rsidP="007B244C">
            <w:pPr>
              <w:ind w:hanging="108"/>
              <w:jc w:val="right"/>
              <w:rPr>
                <w:rFonts w:ascii="Arial" w:hAnsi="Arial" w:cs="Arial"/>
                <w:b/>
                <w:bCs/>
              </w:rPr>
            </w:pPr>
            <w:r w:rsidRPr="00216D66">
              <w:rPr>
                <w:rFonts w:ascii="Arial" w:hAnsi="Arial" w:cs="Arial"/>
                <w:b/>
                <w:bCs/>
              </w:rPr>
              <w:t>% LFL</w:t>
            </w:r>
          </w:p>
          <w:p w14:paraId="28B963C0" w14:textId="77777777" w:rsidR="00351421" w:rsidRPr="00216D66" w:rsidRDefault="00351421" w:rsidP="007B244C">
            <w:pPr>
              <w:ind w:hanging="108"/>
              <w:jc w:val="right"/>
              <w:rPr>
                <w:rFonts w:ascii="Arial" w:hAnsi="Arial" w:cs="Arial"/>
                <w:b/>
                <w:bCs/>
              </w:rPr>
            </w:pPr>
            <w:r w:rsidRPr="00216D66">
              <w:rPr>
                <w:rFonts w:ascii="Arial" w:hAnsi="Arial" w:cs="Arial"/>
                <w:b/>
                <w:bCs/>
              </w:rPr>
              <w:t>Change</w:t>
            </w:r>
          </w:p>
        </w:tc>
        <w:tc>
          <w:tcPr>
            <w:tcW w:w="573" w:type="pct"/>
            <w:tcBorders>
              <w:bottom w:val="single" w:sz="4" w:space="0" w:color="auto"/>
            </w:tcBorders>
          </w:tcPr>
          <w:p w14:paraId="6B349277" w14:textId="77777777" w:rsidR="00351421" w:rsidRPr="00216D66" w:rsidRDefault="00351421" w:rsidP="007B244C">
            <w:pPr>
              <w:ind w:hanging="108"/>
              <w:jc w:val="right"/>
              <w:rPr>
                <w:rFonts w:ascii="Arial" w:hAnsi="Arial" w:cs="Arial"/>
                <w:b/>
                <w:bCs/>
              </w:rPr>
            </w:pPr>
            <w:r>
              <w:rPr>
                <w:rFonts w:ascii="Arial" w:hAnsi="Arial" w:cs="Arial"/>
                <w:b/>
                <w:bCs/>
              </w:rPr>
              <w:t>% 2-year LFL Change</w:t>
            </w:r>
          </w:p>
        </w:tc>
      </w:tr>
      <w:tr w:rsidR="00351421" w:rsidRPr="00375CE2" w14:paraId="61FB1510" w14:textId="77777777" w:rsidTr="007B244C">
        <w:trPr>
          <w:trHeight w:val="147"/>
        </w:trPr>
        <w:tc>
          <w:tcPr>
            <w:tcW w:w="1265" w:type="pct"/>
            <w:tcBorders>
              <w:bottom w:val="single" w:sz="4" w:space="0" w:color="auto"/>
            </w:tcBorders>
          </w:tcPr>
          <w:p w14:paraId="71D48485" w14:textId="77777777" w:rsidR="00351421" w:rsidRPr="002F6DC3" w:rsidRDefault="00351421" w:rsidP="007B244C">
            <w:pPr>
              <w:rPr>
                <w:rFonts w:ascii="Arial" w:hAnsi="Arial" w:cs="Arial"/>
              </w:rPr>
            </w:pPr>
            <w:r w:rsidRPr="002F6DC3">
              <w:rPr>
                <w:rFonts w:ascii="Arial" w:hAnsi="Arial" w:cs="Arial"/>
              </w:rPr>
              <w:t>Castorama</w:t>
            </w:r>
          </w:p>
        </w:tc>
        <w:tc>
          <w:tcPr>
            <w:tcW w:w="547" w:type="pct"/>
            <w:tcBorders>
              <w:bottom w:val="single" w:sz="4" w:space="0" w:color="auto"/>
            </w:tcBorders>
          </w:tcPr>
          <w:p w14:paraId="00ECC946" w14:textId="77777777" w:rsidR="00351421" w:rsidRPr="00EA7C0B" w:rsidDel="00F2650F" w:rsidRDefault="00351421" w:rsidP="007B244C">
            <w:pPr>
              <w:jc w:val="right"/>
              <w:rPr>
                <w:rFonts w:ascii="Arial" w:hAnsi="Arial" w:cs="Arial"/>
              </w:rPr>
            </w:pPr>
            <w:r w:rsidRPr="00EA7C0B">
              <w:rPr>
                <w:rFonts w:ascii="Arial" w:hAnsi="Arial" w:cs="Arial"/>
              </w:rPr>
              <w:t>2,296</w:t>
            </w:r>
          </w:p>
        </w:tc>
        <w:tc>
          <w:tcPr>
            <w:tcW w:w="547" w:type="pct"/>
            <w:tcBorders>
              <w:bottom w:val="single" w:sz="4" w:space="0" w:color="auto"/>
            </w:tcBorders>
          </w:tcPr>
          <w:p w14:paraId="16F225B9" w14:textId="77777777" w:rsidR="00351421" w:rsidRPr="005810DF" w:rsidRDefault="00351421" w:rsidP="007B244C">
            <w:pPr>
              <w:jc w:val="right"/>
              <w:rPr>
                <w:rFonts w:ascii="Arial" w:hAnsi="Arial" w:cs="Arial"/>
              </w:rPr>
            </w:pPr>
            <w:r w:rsidRPr="005810DF">
              <w:rPr>
                <w:rFonts w:ascii="Arial" w:hAnsi="Arial" w:cs="Arial"/>
              </w:rPr>
              <w:t>2,265</w:t>
            </w:r>
          </w:p>
        </w:tc>
        <w:tc>
          <w:tcPr>
            <w:tcW w:w="747" w:type="pct"/>
            <w:tcBorders>
              <w:bottom w:val="single" w:sz="4" w:space="0" w:color="auto"/>
            </w:tcBorders>
          </w:tcPr>
          <w:p w14:paraId="629DF2E3" w14:textId="77777777" w:rsidR="00351421" w:rsidRPr="00EA7C0B" w:rsidDel="00330E93" w:rsidRDefault="00351421" w:rsidP="007B244C">
            <w:pPr>
              <w:jc w:val="right"/>
              <w:rPr>
                <w:rFonts w:ascii="Arial" w:hAnsi="Arial" w:cs="Arial"/>
              </w:rPr>
            </w:pPr>
            <w:r w:rsidRPr="00EA7C0B">
              <w:rPr>
                <w:rFonts w:ascii="Arial" w:hAnsi="Arial" w:cs="Arial"/>
              </w:rPr>
              <w:t>+1.4%</w:t>
            </w:r>
          </w:p>
        </w:tc>
        <w:tc>
          <w:tcPr>
            <w:tcW w:w="747" w:type="pct"/>
            <w:tcBorders>
              <w:bottom w:val="single" w:sz="4" w:space="0" w:color="auto"/>
            </w:tcBorders>
          </w:tcPr>
          <w:p w14:paraId="607BDB26" w14:textId="77777777" w:rsidR="00351421" w:rsidRPr="00EA7C0B" w:rsidDel="00330E93" w:rsidRDefault="00351421" w:rsidP="007B244C">
            <w:pPr>
              <w:jc w:val="right"/>
              <w:rPr>
                <w:rFonts w:ascii="Arial" w:hAnsi="Arial" w:cs="Arial"/>
              </w:rPr>
            </w:pPr>
            <w:r w:rsidRPr="00EA7C0B">
              <w:rPr>
                <w:rFonts w:ascii="Arial" w:hAnsi="Arial" w:cs="Arial"/>
              </w:rPr>
              <w:t>+5.9%</w:t>
            </w:r>
          </w:p>
        </w:tc>
        <w:tc>
          <w:tcPr>
            <w:tcW w:w="574" w:type="pct"/>
            <w:tcBorders>
              <w:bottom w:val="single" w:sz="4" w:space="0" w:color="auto"/>
            </w:tcBorders>
          </w:tcPr>
          <w:p w14:paraId="0A931986" w14:textId="77777777" w:rsidR="00351421" w:rsidRPr="00EA7C0B" w:rsidDel="00F2650F" w:rsidRDefault="00351421" w:rsidP="007B244C">
            <w:pPr>
              <w:jc w:val="right"/>
              <w:rPr>
                <w:rFonts w:ascii="Arial" w:hAnsi="Arial" w:cs="Arial"/>
              </w:rPr>
            </w:pPr>
            <w:r w:rsidRPr="00EA7C0B">
              <w:rPr>
                <w:rFonts w:ascii="Arial" w:hAnsi="Arial" w:cs="Arial"/>
              </w:rPr>
              <w:t>+7.2%</w:t>
            </w:r>
          </w:p>
        </w:tc>
        <w:tc>
          <w:tcPr>
            <w:tcW w:w="573" w:type="pct"/>
            <w:tcBorders>
              <w:bottom w:val="single" w:sz="4" w:space="0" w:color="auto"/>
            </w:tcBorders>
          </w:tcPr>
          <w:p w14:paraId="4846DF8E" w14:textId="77777777" w:rsidR="00351421" w:rsidRPr="00EA7C0B" w:rsidRDefault="00351421" w:rsidP="007B244C">
            <w:pPr>
              <w:jc w:val="right"/>
              <w:rPr>
                <w:rFonts w:ascii="Arial" w:hAnsi="Arial" w:cs="Arial"/>
              </w:rPr>
            </w:pPr>
            <w:r w:rsidRPr="00EA7C0B">
              <w:rPr>
                <w:rFonts w:ascii="Arial" w:hAnsi="Arial" w:cs="Arial"/>
              </w:rPr>
              <w:t>+13.9%</w:t>
            </w:r>
          </w:p>
        </w:tc>
      </w:tr>
      <w:tr w:rsidR="00351421" w:rsidRPr="00375CE2" w14:paraId="54D80091" w14:textId="77777777" w:rsidTr="007B244C">
        <w:trPr>
          <w:trHeight w:val="147"/>
        </w:trPr>
        <w:tc>
          <w:tcPr>
            <w:tcW w:w="1265" w:type="pct"/>
            <w:tcBorders>
              <w:bottom w:val="single" w:sz="4" w:space="0" w:color="auto"/>
            </w:tcBorders>
          </w:tcPr>
          <w:p w14:paraId="7863F5C7" w14:textId="77777777" w:rsidR="00351421" w:rsidRPr="002F6DC3" w:rsidRDefault="00351421" w:rsidP="007B244C">
            <w:pPr>
              <w:rPr>
                <w:rFonts w:ascii="Arial" w:hAnsi="Arial" w:cs="Arial"/>
              </w:rPr>
            </w:pPr>
            <w:r w:rsidRPr="002F6DC3">
              <w:rPr>
                <w:rFonts w:ascii="Arial" w:hAnsi="Arial" w:cs="Arial"/>
              </w:rPr>
              <w:t>Brico Dépôt</w:t>
            </w:r>
          </w:p>
        </w:tc>
        <w:tc>
          <w:tcPr>
            <w:tcW w:w="547" w:type="pct"/>
            <w:tcBorders>
              <w:bottom w:val="single" w:sz="4" w:space="0" w:color="auto"/>
            </w:tcBorders>
          </w:tcPr>
          <w:p w14:paraId="2DD8D3DF" w14:textId="77777777" w:rsidR="00351421" w:rsidRPr="00EA7C0B" w:rsidDel="00F2650F" w:rsidRDefault="00351421" w:rsidP="007B244C">
            <w:pPr>
              <w:jc w:val="right"/>
              <w:rPr>
                <w:rFonts w:ascii="Arial" w:hAnsi="Arial" w:cs="Arial"/>
              </w:rPr>
            </w:pPr>
            <w:r w:rsidRPr="00EA7C0B">
              <w:rPr>
                <w:rFonts w:ascii="Arial" w:hAnsi="Arial" w:cs="Arial"/>
              </w:rPr>
              <w:t>2,202</w:t>
            </w:r>
          </w:p>
        </w:tc>
        <w:tc>
          <w:tcPr>
            <w:tcW w:w="547" w:type="pct"/>
            <w:tcBorders>
              <w:bottom w:val="single" w:sz="4" w:space="0" w:color="auto"/>
            </w:tcBorders>
          </w:tcPr>
          <w:p w14:paraId="7244E029" w14:textId="77777777" w:rsidR="00351421" w:rsidRPr="005810DF" w:rsidRDefault="00351421" w:rsidP="007B244C">
            <w:pPr>
              <w:jc w:val="right"/>
              <w:rPr>
                <w:rFonts w:ascii="Arial" w:hAnsi="Arial" w:cs="Arial"/>
              </w:rPr>
            </w:pPr>
            <w:r w:rsidRPr="005810DF">
              <w:rPr>
                <w:rFonts w:ascii="Arial" w:hAnsi="Arial" w:cs="Arial"/>
              </w:rPr>
              <w:t>2,044</w:t>
            </w:r>
          </w:p>
        </w:tc>
        <w:tc>
          <w:tcPr>
            <w:tcW w:w="747" w:type="pct"/>
            <w:tcBorders>
              <w:bottom w:val="single" w:sz="4" w:space="0" w:color="auto"/>
            </w:tcBorders>
          </w:tcPr>
          <w:p w14:paraId="5758700A" w14:textId="77777777" w:rsidR="00351421" w:rsidRPr="00EA7C0B" w:rsidDel="00330E93" w:rsidRDefault="00351421" w:rsidP="007B244C">
            <w:pPr>
              <w:jc w:val="right"/>
              <w:rPr>
                <w:rFonts w:ascii="Arial" w:hAnsi="Arial" w:cs="Arial"/>
              </w:rPr>
            </w:pPr>
            <w:r w:rsidRPr="00EA7C0B">
              <w:rPr>
                <w:rFonts w:ascii="Arial" w:hAnsi="Arial" w:cs="Arial"/>
              </w:rPr>
              <w:t>+7.</w:t>
            </w:r>
            <w:r>
              <w:rPr>
                <w:rFonts w:ascii="Arial" w:hAnsi="Arial" w:cs="Arial"/>
              </w:rPr>
              <w:t>7</w:t>
            </w:r>
            <w:r w:rsidRPr="00EA7C0B">
              <w:rPr>
                <w:rFonts w:ascii="Arial" w:hAnsi="Arial" w:cs="Arial"/>
              </w:rPr>
              <w:t>%</w:t>
            </w:r>
          </w:p>
        </w:tc>
        <w:tc>
          <w:tcPr>
            <w:tcW w:w="747" w:type="pct"/>
            <w:tcBorders>
              <w:bottom w:val="single" w:sz="4" w:space="0" w:color="auto"/>
            </w:tcBorders>
          </w:tcPr>
          <w:p w14:paraId="76CF263E" w14:textId="77777777" w:rsidR="00351421" w:rsidRPr="00EA7C0B" w:rsidDel="00330E93" w:rsidRDefault="00351421" w:rsidP="007B244C">
            <w:pPr>
              <w:jc w:val="right"/>
              <w:rPr>
                <w:rFonts w:ascii="Arial" w:hAnsi="Arial" w:cs="Arial"/>
              </w:rPr>
            </w:pPr>
            <w:r w:rsidRPr="00EA7C0B">
              <w:rPr>
                <w:rFonts w:ascii="Arial" w:hAnsi="Arial" w:cs="Arial"/>
              </w:rPr>
              <w:t>+12.5%</w:t>
            </w:r>
          </w:p>
        </w:tc>
        <w:tc>
          <w:tcPr>
            <w:tcW w:w="574" w:type="pct"/>
            <w:tcBorders>
              <w:bottom w:val="single" w:sz="4" w:space="0" w:color="auto"/>
            </w:tcBorders>
          </w:tcPr>
          <w:p w14:paraId="03FB06F9" w14:textId="77777777" w:rsidR="00351421" w:rsidRPr="00EA7C0B" w:rsidDel="00F2650F" w:rsidRDefault="00351421" w:rsidP="007B244C">
            <w:pPr>
              <w:jc w:val="right"/>
              <w:rPr>
                <w:rFonts w:ascii="Arial" w:hAnsi="Arial" w:cs="Arial"/>
              </w:rPr>
            </w:pPr>
            <w:r w:rsidRPr="00EA7C0B">
              <w:rPr>
                <w:rFonts w:ascii="Arial" w:hAnsi="Arial" w:cs="Arial"/>
              </w:rPr>
              <w:t>+11.6%</w:t>
            </w:r>
          </w:p>
        </w:tc>
        <w:tc>
          <w:tcPr>
            <w:tcW w:w="573" w:type="pct"/>
            <w:tcBorders>
              <w:bottom w:val="single" w:sz="4" w:space="0" w:color="auto"/>
            </w:tcBorders>
          </w:tcPr>
          <w:p w14:paraId="5047280B" w14:textId="77777777" w:rsidR="00351421" w:rsidRPr="00EA7C0B" w:rsidRDefault="00351421" w:rsidP="007B244C">
            <w:pPr>
              <w:jc w:val="right"/>
              <w:rPr>
                <w:rFonts w:ascii="Arial" w:hAnsi="Arial" w:cs="Arial"/>
              </w:rPr>
            </w:pPr>
            <w:r w:rsidRPr="00EA7C0B">
              <w:rPr>
                <w:rFonts w:ascii="Arial" w:hAnsi="Arial" w:cs="Arial"/>
              </w:rPr>
              <w:t>+15.9%</w:t>
            </w:r>
          </w:p>
        </w:tc>
      </w:tr>
      <w:tr w:rsidR="00351421" w:rsidRPr="00375CE2" w14:paraId="37282C35" w14:textId="77777777" w:rsidTr="007B244C">
        <w:trPr>
          <w:trHeight w:val="147"/>
        </w:trPr>
        <w:tc>
          <w:tcPr>
            <w:tcW w:w="1265" w:type="pct"/>
            <w:tcBorders>
              <w:bottom w:val="single" w:sz="4" w:space="0" w:color="auto"/>
            </w:tcBorders>
          </w:tcPr>
          <w:p w14:paraId="7D9A9AF5" w14:textId="77777777" w:rsidR="00351421" w:rsidRPr="00216D66" w:rsidRDefault="00351421" w:rsidP="007B244C">
            <w:pPr>
              <w:rPr>
                <w:rFonts w:ascii="Arial" w:hAnsi="Arial" w:cs="Arial"/>
                <w:b/>
              </w:rPr>
            </w:pPr>
            <w:r w:rsidRPr="00216D66">
              <w:rPr>
                <w:rFonts w:ascii="Arial" w:hAnsi="Arial" w:cs="Arial"/>
                <w:b/>
                <w:bCs/>
              </w:rPr>
              <w:t>Total sales</w:t>
            </w:r>
          </w:p>
        </w:tc>
        <w:tc>
          <w:tcPr>
            <w:tcW w:w="547" w:type="pct"/>
            <w:tcBorders>
              <w:bottom w:val="single" w:sz="4" w:space="0" w:color="auto"/>
            </w:tcBorders>
          </w:tcPr>
          <w:p w14:paraId="2F379281" w14:textId="77777777" w:rsidR="00351421" w:rsidRPr="00EA7C0B" w:rsidRDefault="00351421" w:rsidP="007B244C">
            <w:pPr>
              <w:jc w:val="right"/>
              <w:rPr>
                <w:rFonts w:ascii="Arial" w:hAnsi="Arial" w:cs="Arial"/>
                <w:b/>
                <w:bCs/>
              </w:rPr>
            </w:pPr>
            <w:r w:rsidRPr="00EA7C0B">
              <w:rPr>
                <w:rFonts w:ascii="Arial" w:hAnsi="Arial" w:cs="Arial"/>
                <w:b/>
                <w:bCs/>
              </w:rPr>
              <w:t>4,498</w:t>
            </w:r>
          </w:p>
        </w:tc>
        <w:tc>
          <w:tcPr>
            <w:tcW w:w="547" w:type="pct"/>
            <w:tcBorders>
              <w:bottom w:val="single" w:sz="4" w:space="0" w:color="auto"/>
            </w:tcBorders>
          </w:tcPr>
          <w:p w14:paraId="01FC2F1E" w14:textId="77777777" w:rsidR="00351421" w:rsidRPr="005810DF" w:rsidRDefault="00351421" w:rsidP="007B244C">
            <w:pPr>
              <w:jc w:val="right"/>
              <w:rPr>
                <w:rFonts w:ascii="Arial" w:hAnsi="Arial" w:cs="Arial"/>
                <w:b/>
                <w:bCs/>
              </w:rPr>
            </w:pPr>
            <w:r w:rsidRPr="005810DF">
              <w:rPr>
                <w:rFonts w:ascii="Arial" w:hAnsi="Arial" w:cs="Arial"/>
                <w:b/>
                <w:bCs/>
              </w:rPr>
              <w:t>4,309</w:t>
            </w:r>
          </w:p>
        </w:tc>
        <w:tc>
          <w:tcPr>
            <w:tcW w:w="747" w:type="pct"/>
            <w:tcBorders>
              <w:bottom w:val="single" w:sz="4" w:space="0" w:color="auto"/>
            </w:tcBorders>
          </w:tcPr>
          <w:p w14:paraId="42A8339E" w14:textId="77777777" w:rsidR="00351421" w:rsidRPr="00EA7C0B" w:rsidRDefault="00351421" w:rsidP="007B244C">
            <w:pPr>
              <w:jc w:val="right"/>
              <w:rPr>
                <w:rFonts w:ascii="Arial" w:hAnsi="Arial" w:cs="Arial"/>
                <w:b/>
                <w:bCs/>
              </w:rPr>
            </w:pPr>
            <w:r w:rsidRPr="00EA7C0B">
              <w:rPr>
                <w:rFonts w:ascii="Arial" w:hAnsi="Arial" w:cs="Arial"/>
                <w:b/>
                <w:bCs/>
              </w:rPr>
              <w:t>+4.4%</w:t>
            </w:r>
          </w:p>
        </w:tc>
        <w:tc>
          <w:tcPr>
            <w:tcW w:w="747" w:type="pct"/>
            <w:tcBorders>
              <w:bottom w:val="single" w:sz="4" w:space="0" w:color="auto"/>
            </w:tcBorders>
          </w:tcPr>
          <w:p w14:paraId="49D10433" w14:textId="77777777" w:rsidR="00351421" w:rsidRPr="00EA7C0B" w:rsidRDefault="00351421" w:rsidP="007B244C">
            <w:pPr>
              <w:jc w:val="right"/>
              <w:rPr>
                <w:rFonts w:ascii="Arial" w:hAnsi="Arial" w:cs="Arial"/>
                <w:b/>
                <w:bCs/>
              </w:rPr>
            </w:pPr>
            <w:r w:rsidRPr="00EA7C0B">
              <w:rPr>
                <w:rFonts w:ascii="Arial" w:hAnsi="Arial" w:cs="Arial"/>
                <w:b/>
                <w:bCs/>
              </w:rPr>
              <w:t>+9.0%</w:t>
            </w:r>
          </w:p>
        </w:tc>
        <w:tc>
          <w:tcPr>
            <w:tcW w:w="574" w:type="pct"/>
            <w:tcBorders>
              <w:bottom w:val="single" w:sz="4" w:space="0" w:color="auto"/>
            </w:tcBorders>
          </w:tcPr>
          <w:p w14:paraId="729AF429" w14:textId="77777777" w:rsidR="00351421" w:rsidRPr="00EA7C0B" w:rsidRDefault="00351421" w:rsidP="007B244C">
            <w:pPr>
              <w:jc w:val="right"/>
              <w:rPr>
                <w:rFonts w:ascii="Arial" w:hAnsi="Arial" w:cs="Arial"/>
                <w:b/>
                <w:bCs/>
              </w:rPr>
            </w:pPr>
            <w:r w:rsidRPr="00EA7C0B">
              <w:rPr>
                <w:rFonts w:ascii="Arial" w:hAnsi="Arial" w:cs="Arial"/>
                <w:b/>
                <w:bCs/>
              </w:rPr>
              <w:t>+9.3%</w:t>
            </w:r>
          </w:p>
        </w:tc>
        <w:tc>
          <w:tcPr>
            <w:tcW w:w="573" w:type="pct"/>
            <w:tcBorders>
              <w:bottom w:val="single" w:sz="4" w:space="0" w:color="auto"/>
            </w:tcBorders>
          </w:tcPr>
          <w:p w14:paraId="3D95CEB8" w14:textId="77777777" w:rsidR="00351421" w:rsidRPr="00EA7C0B" w:rsidRDefault="00351421" w:rsidP="007B244C">
            <w:pPr>
              <w:jc w:val="right"/>
              <w:rPr>
                <w:rFonts w:ascii="Arial" w:hAnsi="Arial" w:cs="Arial"/>
                <w:b/>
                <w:bCs/>
              </w:rPr>
            </w:pPr>
            <w:r w:rsidRPr="00EA7C0B">
              <w:rPr>
                <w:rFonts w:ascii="Arial" w:hAnsi="Arial" w:cs="Arial"/>
                <w:b/>
                <w:bCs/>
              </w:rPr>
              <w:t>+14.8%</w:t>
            </w:r>
          </w:p>
        </w:tc>
      </w:tr>
      <w:tr w:rsidR="00351421" w:rsidRPr="00375CE2" w14:paraId="21898D00" w14:textId="77777777" w:rsidTr="007B244C">
        <w:trPr>
          <w:gridAfter w:val="2"/>
          <w:wAfter w:w="1147" w:type="pct"/>
        </w:trPr>
        <w:tc>
          <w:tcPr>
            <w:tcW w:w="1265" w:type="pct"/>
            <w:tcBorders>
              <w:top w:val="nil"/>
              <w:left w:val="nil"/>
              <w:bottom w:val="single" w:sz="4" w:space="0" w:color="auto"/>
              <w:right w:val="nil"/>
            </w:tcBorders>
          </w:tcPr>
          <w:p w14:paraId="1B34AC0C" w14:textId="77777777" w:rsidR="00351421" w:rsidRPr="00E83051" w:rsidRDefault="00351421" w:rsidP="007B244C">
            <w:pPr>
              <w:jc w:val="left"/>
              <w:rPr>
                <w:rFonts w:ascii="Arial" w:hAnsi="Arial" w:cs="Arial"/>
              </w:rPr>
            </w:pPr>
          </w:p>
        </w:tc>
        <w:tc>
          <w:tcPr>
            <w:tcW w:w="547" w:type="pct"/>
            <w:tcBorders>
              <w:top w:val="nil"/>
              <w:left w:val="nil"/>
              <w:bottom w:val="single" w:sz="4" w:space="0" w:color="auto"/>
              <w:right w:val="nil"/>
            </w:tcBorders>
          </w:tcPr>
          <w:p w14:paraId="4EB90414" w14:textId="77777777" w:rsidR="00351421" w:rsidRPr="00375CE2" w:rsidRDefault="00351421" w:rsidP="007B244C">
            <w:pPr>
              <w:jc w:val="left"/>
              <w:rPr>
                <w:rFonts w:ascii="Arial" w:hAnsi="Arial" w:cs="Arial"/>
                <w:highlight w:val="yellow"/>
              </w:rPr>
            </w:pPr>
          </w:p>
        </w:tc>
        <w:tc>
          <w:tcPr>
            <w:tcW w:w="547" w:type="pct"/>
            <w:tcBorders>
              <w:top w:val="nil"/>
              <w:left w:val="nil"/>
              <w:bottom w:val="single" w:sz="4" w:space="0" w:color="auto"/>
              <w:right w:val="nil"/>
            </w:tcBorders>
          </w:tcPr>
          <w:p w14:paraId="2ADE4431" w14:textId="77777777" w:rsidR="00351421" w:rsidRPr="00216D66" w:rsidRDefault="00351421" w:rsidP="007B244C">
            <w:pPr>
              <w:jc w:val="left"/>
              <w:rPr>
                <w:rFonts w:ascii="Arial" w:hAnsi="Arial" w:cs="Arial"/>
              </w:rPr>
            </w:pPr>
          </w:p>
        </w:tc>
        <w:tc>
          <w:tcPr>
            <w:tcW w:w="747" w:type="pct"/>
            <w:tcBorders>
              <w:top w:val="nil"/>
              <w:left w:val="nil"/>
              <w:bottom w:val="single" w:sz="4" w:space="0" w:color="auto"/>
              <w:right w:val="nil"/>
            </w:tcBorders>
          </w:tcPr>
          <w:p w14:paraId="2BEAC5DF" w14:textId="77777777" w:rsidR="00351421" w:rsidRPr="00375CE2" w:rsidRDefault="00351421" w:rsidP="007B244C">
            <w:pPr>
              <w:jc w:val="left"/>
              <w:rPr>
                <w:rFonts w:ascii="Arial" w:hAnsi="Arial" w:cs="Arial"/>
                <w:highlight w:val="yellow"/>
              </w:rPr>
            </w:pPr>
          </w:p>
        </w:tc>
        <w:tc>
          <w:tcPr>
            <w:tcW w:w="747" w:type="pct"/>
            <w:tcBorders>
              <w:top w:val="nil"/>
              <w:left w:val="nil"/>
              <w:bottom w:val="single" w:sz="4" w:space="0" w:color="auto"/>
              <w:right w:val="nil"/>
            </w:tcBorders>
          </w:tcPr>
          <w:p w14:paraId="68B5CD15" w14:textId="77777777" w:rsidR="00351421" w:rsidRPr="00375CE2" w:rsidRDefault="00351421" w:rsidP="007B244C">
            <w:pPr>
              <w:jc w:val="left"/>
              <w:rPr>
                <w:rFonts w:ascii="Arial" w:hAnsi="Arial" w:cs="Arial"/>
                <w:highlight w:val="yellow"/>
              </w:rPr>
            </w:pPr>
          </w:p>
        </w:tc>
      </w:tr>
      <w:tr w:rsidR="00351421" w:rsidRPr="00375CE2" w14:paraId="16AEF64A" w14:textId="77777777" w:rsidTr="007B244C">
        <w:trPr>
          <w:gridAfter w:val="2"/>
          <w:wAfter w:w="1147" w:type="pct"/>
        </w:trPr>
        <w:tc>
          <w:tcPr>
            <w:tcW w:w="1265" w:type="pct"/>
            <w:tcBorders>
              <w:top w:val="single" w:sz="4" w:space="0" w:color="auto"/>
              <w:bottom w:val="single" w:sz="4" w:space="0" w:color="auto"/>
            </w:tcBorders>
          </w:tcPr>
          <w:p w14:paraId="34F301D5" w14:textId="77777777" w:rsidR="00351421" w:rsidRPr="00216D66" w:rsidRDefault="00351421" w:rsidP="007B244C">
            <w:pPr>
              <w:jc w:val="left"/>
              <w:rPr>
                <w:rFonts w:ascii="Arial" w:hAnsi="Arial" w:cs="Arial"/>
                <w:b/>
              </w:rPr>
            </w:pPr>
            <w:r w:rsidRPr="00216D66">
              <w:rPr>
                <w:rFonts w:ascii="Arial" w:hAnsi="Arial" w:cs="Arial"/>
                <w:b/>
                <w:bCs/>
              </w:rPr>
              <w:t>Retail profit</w:t>
            </w:r>
          </w:p>
        </w:tc>
        <w:tc>
          <w:tcPr>
            <w:tcW w:w="547" w:type="pct"/>
            <w:tcBorders>
              <w:top w:val="single" w:sz="4" w:space="0" w:color="auto"/>
              <w:bottom w:val="single" w:sz="4" w:space="0" w:color="auto"/>
            </w:tcBorders>
          </w:tcPr>
          <w:p w14:paraId="699A1122" w14:textId="77777777" w:rsidR="00351421" w:rsidRPr="00EA7C0B" w:rsidRDefault="00351421" w:rsidP="007B244C">
            <w:pPr>
              <w:jc w:val="right"/>
              <w:rPr>
                <w:rFonts w:ascii="Arial" w:hAnsi="Arial" w:cs="Arial"/>
                <w:b/>
                <w:bCs/>
              </w:rPr>
            </w:pPr>
            <w:r w:rsidRPr="00EA7C0B">
              <w:rPr>
                <w:rFonts w:ascii="Arial" w:hAnsi="Arial" w:cs="Arial"/>
                <w:b/>
                <w:bCs/>
              </w:rPr>
              <w:t>221</w:t>
            </w:r>
          </w:p>
        </w:tc>
        <w:tc>
          <w:tcPr>
            <w:tcW w:w="547" w:type="pct"/>
            <w:tcBorders>
              <w:top w:val="single" w:sz="4" w:space="0" w:color="auto"/>
              <w:bottom w:val="single" w:sz="4" w:space="0" w:color="auto"/>
            </w:tcBorders>
          </w:tcPr>
          <w:p w14:paraId="56902D80" w14:textId="77777777" w:rsidR="00351421" w:rsidRPr="00993D91" w:rsidRDefault="00351421" w:rsidP="007B244C">
            <w:pPr>
              <w:jc w:val="right"/>
              <w:rPr>
                <w:rFonts w:ascii="Arial" w:hAnsi="Arial" w:cs="Arial"/>
                <w:b/>
                <w:bCs/>
              </w:rPr>
            </w:pPr>
            <w:r w:rsidRPr="00993D91">
              <w:rPr>
                <w:rFonts w:ascii="Arial" w:hAnsi="Arial" w:cs="Arial"/>
                <w:b/>
                <w:bCs/>
              </w:rPr>
              <w:t>181</w:t>
            </w:r>
          </w:p>
        </w:tc>
        <w:tc>
          <w:tcPr>
            <w:tcW w:w="747" w:type="pct"/>
            <w:tcBorders>
              <w:top w:val="single" w:sz="4" w:space="0" w:color="auto"/>
              <w:bottom w:val="single" w:sz="4" w:space="0" w:color="auto"/>
            </w:tcBorders>
          </w:tcPr>
          <w:p w14:paraId="742E73C5" w14:textId="77777777" w:rsidR="00351421" w:rsidRPr="00EA7C0B" w:rsidRDefault="00351421" w:rsidP="007B244C">
            <w:pPr>
              <w:jc w:val="right"/>
              <w:rPr>
                <w:rFonts w:ascii="Arial" w:hAnsi="Arial" w:cs="Arial"/>
                <w:b/>
                <w:bCs/>
              </w:rPr>
            </w:pPr>
            <w:r w:rsidRPr="00EA7C0B">
              <w:rPr>
                <w:rFonts w:ascii="Arial" w:hAnsi="Arial" w:cs="Arial"/>
                <w:b/>
                <w:bCs/>
              </w:rPr>
              <w:t>+22.5%</w:t>
            </w:r>
          </w:p>
        </w:tc>
        <w:tc>
          <w:tcPr>
            <w:tcW w:w="747" w:type="pct"/>
            <w:tcBorders>
              <w:top w:val="single" w:sz="4" w:space="0" w:color="auto"/>
              <w:bottom w:val="single" w:sz="4" w:space="0" w:color="auto"/>
            </w:tcBorders>
          </w:tcPr>
          <w:p w14:paraId="351C3877" w14:textId="77777777" w:rsidR="00351421" w:rsidRPr="00EA7C0B" w:rsidRDefault="00351421" w:rsidP="007B244C">
            <w:pPr>
              <w:jc w:val="right"/>
              <w:rPr>
                <w:rFonts w:ascii="Arial" w:hAnsi="Arial" w:cs="Arial"/>
                <w:b/>
                <w:bCs/>
              </w:rPr>
            </w:pPr>
            <w:r w:rsidRPr="00EA7C0B">
              <w:rPr>
                <w:rFonts w:ascii="Arial" w:hAnsi="Arial" w:cs="Arial"/>
                <w:b/>
                <w:bCs/>
              </w:rPr>
              <w:t>+28.0%</w:t>
            </w:r>
          </w:p>
        </w:tc>
      </w:tr>
      <w:tr w:rsidR="00351421" w:rsidRPr="00375CE2" w14:paraId="6D031D92" w14:textId="77777777" w:rsidTr="007B244C">
        <w:trPr>
          <w:gridAfter w:val="2"/>
          <w:wAfter w:w="1147" w:type="pct"/>
        </w:trPr>
        <w:tc>
          <w:tcPr>
            <w:tcW w:w="1265" w:type="pct"/>
            <w:tcBorders>
              <w:top w:val="single" w:sz="4" w:space="0" w:color="auto"/>
              <w:bottom w:val="single" w:sz="4" w:space="0" w:color="auto"/>
            </w:tcBorders>
          </w:tcPr>
          <w:p w14:paraId="512B2C2E" w14:textId="77777777" w:rsidR="00351421" w:rsidRPr="00216D66" w:rsidRDefault="00351421" w:rsidP="007B244C">
            <w:pPr>
              <w:jc w:val="left"/>
              <w:rPr>
                <w:rFonts w:ascii="Arial" w:hAnsi="Arial" w:cs="Arial"/>
                <w:b/>
                <w:bCs/>
              </w:rPr>
            </w:pPr>
            <w:r w:rsidRPr="00216D66">
              <w:rPr>
                <w:rFonts w:ascii="Arial" w:hAnsi="Arial" w:cs="Arial"/>
                <w:b/>
                <w:bCs/>
              </w:rPr>
              <w:t>Retail profit margin %</w:t>
            </w:r>
          </w:p>
        </w:tc>
        <w:tc>
          <w:tcPr>
            <w:tcW w:w="547" w:type="pct"/>
            <w:tcBorders>
              <w:top w:val="single" w:sz="4" w:space="0" w:color="auto"/>
              <w:bottom w:val="single" w:sz="4" w:space="0" w:color="auto"/>
            </w:tcBorders>
          </w:tcPr>
          <w:p w14:paraId="004ABC81" w14:textId="77777777" w:rsidR="00351421" w:rsidRPr="00EA7C0B" w:rsidRDefault="00351421" w:rsidP="007B244C">
            <w:pPr>
              <w:jc w:val="right"/>
              <w:rPr>
                <w:rFonts w:ascii="Arial" w:hAnsi="Arial" w:cs="Arial"/>
              </w:rPr>
            </w:pPr>
            <w:r w:rsidRPr="00EA7C0B">
              <w:rPr>
                <w:rFonts w:ascii="Arial" w:hAnsi="Arial" w:cs="Arial"/>
              </w:rPr>
              <w:t>4.9%</w:t>
            </w:r>
          </w:p>
        </w:tc>
        <w:tc>
          <w:tcPr>
            <w:tcW w:w="547" w:type="pct"/>
            <w:tcBorders>
              <w:top w:val="single" w:sz="4" w:space="0" w:color="auto"/>
              <w:bottom w:val="single" w:sz="4" w:space="0" w:color="auto"/>
            </w:tcBorders>
          </w:tcPr>
          <w:p w14:paraId="4E2E4188" w14:textId="77777777" w:rsidR="00351421" w:rsidRPr="00993D91" w:rsidRDefault="00351421" w:rsidP="007B244C">
            <w:pPr>
              <w:jc w:val="right"/>
              <w:rPr>
                <w:rFonts w:ascii="Arial" w:hAnsi="Arial" w:cs="Arial"/>
              </w:rPr>
            </w:pPr>
            <w:r w:rsidRPr="00993D91">
              <w:rPr>
                <w:rFonts w:ascii="Arial" w:hAnsi="Arial" w:cs="Arial"/>
              </w:rPr>
              <w:t>4.2%</w:t>
            </w:r>
          </w:p>
        </w:tc>
        <w:tc>
          <w:tcPr>
            <w:tcW w:w="747" w:type="pct"/>
            <w:tcBorders>
              <w:top w:val="single" w:sz="4" w:space="0" w:color="auto"/>
              <w:bottom w:val="single" w:sz="4" w:space="0" w:color="auto"/>
            </w:tcBorders>
          </w:tcPr>
          <w:p w14:paraId="5F94DFBD" w14:textId="77777777" w:rsidR="00351421" w:rsidRPr="00EA7C0B" w:rsidRDefault="00351421" w:rsidP="007B244C">
            <w:pPr>
              <w:jc w:val="right"/>
              <w:rPr>
                <w:rFonts w:ascii="Arial" w:hAnsi="Arial" w:cs="Arial"/>
              </w:rPr>
            </w:pPr>
            <w:r w:rsidRPr="00EA7C0B">
              <w:rPr>
                <w:rFonts w:ascii="Arial" w:hAnsi="Arial" w:cs="Arial"/>
              </w:rPr>
              <w:t>+70bps</w:t>
            </w:r>
          </w:p>
        </w:tc>
        <w:tc>
          <w:tcPr>
            <w:tcW w:w="747" w:type="pct"/>
            <w:tcBorders>
              <w:top w:val="single" w:sz="4" w:space="0" w:color="auto"/>
              <w:bottom w:val="single" w:sz="4" w:space="0" w:color="auto"/>
            </w:tcBorders>
          </w:tcPr>
          <w:p w14:paraId="6D583C02" w14:textId="77777777" w:rsidR="00351421" w:rsidRPr="00EA7C0B" w:rsidRDefault="00351421" w:rsidP="007B244C">
            <w:pPr>
              <w:jc w:val="right"/>
              <w:rPr>
                <w:rFonts w:ascii="Arial" w:hAnsi="Arial" w:cs="Arial"/>
              </w:rPr>
            </w:pPr>
            <w:r w:rsidRPr="00EA7C0B">
              <w:rPr>
                <w:rFonts w:ascii="Arial" w:hAnsi="Arial" w:cs="Arial"/>
              </w:rPr>
              <w:t>+70bps</w:t>
            </w:r>
          </w:p>
        </w:tc>
      </w:tr>
    </w:tbl>
    <w:p w14:paraId="2B926C31" w14:textId="77777777" w:rsidR="00351421" w:rsidRPr="00E83051" w:rsidRDefault="00351421" w:rsidP="00351421">
      <w:pPr>
        <w:jc w:val="left"/>
        <w:rPr>
          <w:rFonts w:ascii="Arial" w:hAnsi="Arial" w:cs="Arial"/>
        </w:rPr>
      </w:pPr>
    </w:p>
    <w:p w14:paraId="2B4D5AE9" w14:textId="5C4ADB73" w:rsidR="00351421" w:rsidRDefault="00351421" w:rsidP="00351421">
      <w:pPr>
        <w:jc w:val="left"/>
        <w:rPr>
          <w:rFonts w:ascii="Arial" w:hAnsi="Arial" w:cs="Arial"/>
        </w:rPr>
      </w:pPr>
      <w:bookmarkStart w:id="72" w:name="_Hlk508895102"/>
      <w:r w:rsidRPr="00216D66">
        <w:rPr>
          <w:rFonts w:ascii="Arial" w:hAnsi="Arial" w:cs="Arial"/>
          <w:bCs/>
        </w:rPr>
        <w:t xml:space="preserve">Kingfisher France sales increased by </w:t>
      </w:r>
      <w:r>
        <w:rPr>
          <w:rFonts w:ascii="Arial" w:hAnsi="Arial" w:cs="Arial"/>
          <w:bCs/>
        </w:rPr>
        <w:t>9.0</w:t>
      </w:r>
      <w:r w:rsidRPr="00216D66">
        <w:rPr>
          <w:rFonts w:ascii="Arial" w:hAnsi="Arial" w:cs="Arial"/>
          <w:bCs/>
        </w:rPr>
        <w:t xml:space="preserve">% (LFL </w:t>
      </w:r>
      <w:r>
        <w:rPr>
          <w:rFonts w:ascii="Arial" w:hAnsi="Arial" w:cs="Arial"/>
          <w:bCs/>
        </w:rPr>
        <w:t>+9.3</w:t>
      </w:r>
      <w:r w:rsidRPr="00216D66">
        <w:rPr>
          <w:rFonts w:ascii="Arial" w:hAnsi="Arial" w:cs="Arial"/>
          <w:bCs/>
        </w:rPr>
        <w:t>%) to £</w:t>
      </w:r>
      <w:r>
        <w:rPr>
          <w:rFonts w:ascii="Arial" w:hAnsi="Arial" w:cs="Arial"/>
          <w:szCs w:val="24"/>
        </w:rPr>
        <w:t>4,498</w:t>
      </w:r>
      <w:r w:rsidR="000F2F06">
        <w:rPr>
          <w:rFonts w:ascii="Arial" w:hAnsi="Arial" w:cs="Arial"/>
          <w:bCs/>
        </w:rPr>
        <w:t>m</w:t>
      </w:r>
      <w:r w:rsidRPr="00216D66">
        <w:rPr>
          <w:rFonts w:ascii="Arial" w:hAnsi="Arial" w:cs="Arial"/>
          <w:bCs/>
        </w:rPr>
        <w:t>,</w:t>
      </w:r>
      <w:r>
        <w:rPr>
          <w:rFonts w:ascii="Arial" w:hAnsi="Arial" w:cs="Arial"/>
          <w:bCs/>
        </w:rPr>
        <w:t xml:space="preserve"> with 2-year LFL sales up 14.8%, </w:t>
      </w:r>
      <w:r w:rsidRPr="003F4B8A">
        <w:rPr>
          <w:rFonts w:ascii="Arial" w:hAnsi="Arial" w:cs="Arial"/>
          <w:bCs/>
        </w:rPr>
        <w:t xml:space="preserve">reflecting strong </w:t>
      </w:r>
      <w:r>
        <w:rPr>
          <w:rFonts w:ascii="Arial" w:hAnsi="Arial" w:cs="Arial"/>
          <w:bCs/>
        </w:rPr>
        <w:t>demand in outdoor, kitchens and building &amp; joinery categories</w:t>
      </w:r>
      <w:r>
        <w:rPr>
          <w:rFonts w:ascii="Arial" w:hAnsi="Arial" w:cs="Arial"/>
        </w:rPr>
        <w:t xml:space="preserve">. </w:t>
      </w:r>
      <w:r w:rsidRPr="00FA1244">
        <w:rPr>
          <w:rFonts w:ascii="Arial" w:hAnsi="Arial" w:cs="Arial"/>
        </w:rPr>
        <w:t>COVID</w:t>
      </w:r>
      <w:r>
        <w:rPr>
          <w:rFonts w:ascii="Arial" w:hAnsi="Arial" w:cs="Arial"/>
        </w:rPr>
        <w:t>-</w:t>
      </w:r>
      <w:r w:rsidRPr="00FA1244">
        <w:rPr>
          <w:rFonts w:ascii="Arial" w:hAnsi="Arial" w:cs="Arial"/>
        </w:rPr>
        <w:t xml:space="preserve">related restrictions </w:t>
      </w:r>
      <w:r>
        <w:rPr>
          <w:rFonts w:ascii="Arial" w:hAnsi="Arial" w:cs="Arial"/>
        </w:rPr>
        <w:t xml:space="preserve">in France </w:t>
      </w:r>
      <w:r w:rsidRPr="00FA1244">
        <w:rPr>
          <w:rFonts w:ascii="Arial" w:hAnsi="Arial" w:cs="Arial"/>
        </w:rPr>
        <w:t>led to some temporary store</w:t>
      </w:r>
      <w:r>
        <w:rPr>
          <w:rFonts w:ascii="Arial" w:hAnsi="Arial" w:cs="Arial"/>
        </w:rPr>
        <w:t xml:space="preserve"> </w:t>
      </w:r>
      <w:r w:rsidR="00303E19">
        <w:rPr>
          <w:rFonts w:ascii="Arial" w:hAnsi="Arial" w:cs="Arial"/>
        </w:rPr>
        <w:t xml:space="preserve">and non-essential range </w:t>
      </w:r>
      <w:r w:rsidRPr="00FA1244">
        <w:rPr>
          <w:rFonts w:ascii="Arial" w:hAnsi="Arial" w:cs="Arial"/>
        </w:rPr>
        <w:t xml:space="preserve">closures throughout the </w:t>
      </w:r>
      <w:r>
        <w:rPr>
          <w:rFonts w:ascii="Arial" w:hAnsi="Arial" w:cs="Arial"/>
        </w:rPr>
        <w:t xml:space="preserve">first </w:t>
      </w:r>
      <w:r w:rsidRPr="00FA1244">
        <w:rPr>
          <w:rFonts w:ascii="Arial" w:hAnsi="Arial" w:cs="Arial"/>
        </w:rPr>
        <w:t>quarter</w:t>
      </w:r>
      <w:r>
        <w:rPr>
          <w:rFonts w:ascii="Arial" w:hAnsi="Arial" w:cs="Arial"/>
        </w:rPr>
        <w:t xml:space="preserve"> (and part of the second quarter), impacting </w:t>
      </w:r>
      <w:r w:rsidRPr="00FA1244">
        <w:rPr>
          <w:rFonts w:ascii="Arial" w:hAnsi="Arial" w:cs="Arial"/>
        </w:rPr>
        <w:t xml:space="preserve">total </w:t>
      </w:r>
      <w:r>
        <w:rPr>
          <w:rFonts w:ascii="Arial" w:hAnsi="Arial" w:cs="Arial"/>
        </w:rPr>
        <w:t xml:space="preserve">FY 21/22 LFL </w:t>
      </w:r>
      <w:r w:rsidRPr="00FA1244">
        <w:rPr>
          <w:rFonts w:ascii="Arial" w:hAnsi="Arial" w:cs="Arial"/>
        </w:rPr>
        <w:t xml:space="preserve">sales </w:t>
      </w:r>
      <w:r w:rsidRPr="003E0692">
        <w:rPr>
          <w:rFonts w:ascii="Arial" w:hAnsi="Arial" w:cs="Arial"/>
        </w:rPr>
        <w:t xml:space="preserve">by </w:t>
      </w:r>
      <w:r w:rsidRPr="001E3E53">
        <w:rPr>
          <w:rFonts w:ascii="Arial" w:hAnsi="Arial" w:cs="Arial"/>
        </w:rPr>
        <w:t>c</w:t>
      </w:r>
      <w:r w:rsidRPr="006A5B9A">
        <w:rPr>
          <w:rFonts w:ascii="Arial" w:hAnsi="Arial" w:cs="Arial"/>
        </w:rPr>
        <w:t>.-</w:t>
      </w:r>
      <w:r>
        <w:rPr>
          <w:rFonts w:ascii="Arial" w:hAnsi="Arial" w:cs="Arial"/>
        </w:rPr>
        <w:t>1</w:t>
      </w:r>
      <w:r w:rsidRPr="001E3E53">
        <w:rPr>
          <w:rFonts w:ascii="Arial" w:hAnsi="Arial" w:cs="Arial"/>
        </w:rPr>
        <w:t>%.</w:t>
      </w:r>
      <w:r w:rsidRPr="003E0692">
        <w:rPr>
          <w:rFonts w:ascii="Arial" w:hAnsi="Arial" w:cs="Arial"/>
        </w:rPr>
        <w:t xml:space="preserve"> These trading restrictions</w:t>
      </w:r>
      <w:r>
        <w:rPr>
          <w:rFonts w:ascii="Arial" w:hAnsi="Arial" w:cs="Arial"/>
        </w:rPr>
        <w:t xml:space="preserve"> mostly impacted Castorama’s larger stores, </w:t>
      </w:r>
      <w:r w:rsidR="00303E19">
        <w:rPr>
          <w:rFonts w:ascii="Arial" w:hAnsi="Arial" w:cs="Arial"/>
        </w:rPr>
        <w:t xml:space="preserve">but </w:t>
      </w:r>
      <w:r>
        <w:rPr>
          <w:rFonts w:ascii="Arial" w:hAnsi="Arial" w:cs="Arial"/>
        </w:rPr>
        <w:t>contribut</w:t>
      </w:r>
      <w:r w:rsidR="00303E19">
        <w:rPr>
          <w:rFonts w:ascii="Arial" w:hAnsi="Arial" w:cs="Arial"/>
        </w:rPr>
        <w:t>ed</w:t>
      </w:r>
      <w:r>
        <w:rPr>
          <w:rFonts w:ascii="Arial" w:hAnsi="Arial" w:cs="Arial"/>
        </w:rPr>
        <w:t xml:space="preserve"> to Brico D</w:t>
      </w:r>
      <w:r w:rsidRPr="00007C96">
        <w:rPr>
          <w:rFonts w:ascii="Arial" w:hAnsi="Arial" w:cs="Arial"/>
        </w:rPr>
        <w:t>épô</w:t>
      </w:r>
      <w:r>
        <w:rPr>
          <w:rFonts w:ascii="Arial" w:hAnsi="Arial" w:cs="Arial"/>
        </w:rPr>
        <w:t>t’s relative outperformance in H1 21/22 (</w:t>
      </w:r>
      <w:r w:rsidRPr="00007C96">
        <w:rPr>
          <w:rFonts w:ascii="Arial" w:hAnsi="Arial" w:cs="Arial"/>
        </w:rPr>
        <w:t>Brico Dépôt</w:t>
      </w:r>
      <w:r>
        <w:rPr>
          <w:rFonts w:ascii="Arial" w:hAnsi="Arial" w:cs="Arial"/>
        </w:rPr>
        <w:t xml:space="preserve">’s store estate consists of mainly medium-sized stores, which were not required to close). </w:t>
      </w:r>
      <w:r w:rsidRPr="00FA1244">
        <w:rPr>
          <w:rFonts w:ascii="Arial" w:hAnsi="Arial" w:cs="Arial"/>
        </w:rPr>
        <w:t xml:space="preserve">LFL sales growth also benefited from our decision to gradually open more stores on Sundays </w:t>
      </w:r>
      <w:r>
        <w:rPr>
          <w:rFonts w:ascii="Arial" w:hAnsi="Arial" w:cs="Arial"/>
        </w:rPr>
        <w:t>since</w:t>
      </w:r>
      <w:r w:rsidRPr="00FA1244">
        <w:rPr>
          <w:rFonts w:ascii="Arial" w:hAnsi="Arial" w:cs="Arial"/>
        </w:rPr>
        <w:t xml:space="preserve"> Q3 </w:t>
      </w:r>
      <w:r>
        <w:rPr>
          <w:rFonts w:ascii="Arial" w:hAnsi="Arial" w:cs="Arial"/>
        </w:rPr>
        <w:t>20</w:t>
      </w:r>
      <w:r w:rsidRPr="00FA1244">
        <w:rPr>
          <w:rFonts w:ascii="Arial" w:hAnsi="Arial" w:cs="Arial"/>
        </w:rPr>
        <w:t>/</w:t>
      </w:r>
      <w:r>
        <w:rPr>
          <w:rFonts w:ascii="Arial" w:hAnsi="Arial" w:cs="Arial"/>
        </w:rPr>
        <w:t>21</w:t>
      </w:r>
      <w:r w:rsidRPr="00FA1244">
        <w:rPr>
          <w:rFonts w:ascii="Arial" w:hAnsi="Arial" w:cs="Arial"/>
        </w:rPr>
        <w:t xml:space="preserve">, to satisfy higher demand. </w:t>
      </w:r>
    </w:p>
    <w:p w14:paraId="51A55E95" w14:textId="77777777" w:rsidR="00351421" w:rsidRDefault="00351421" w:rsidP="00351421">
      <w:pPr>
        <w:jc w:val="left"/>
        <w:rPr>
          <w:rFonts w:ascii="Arial" w:hAnsi="Arial" w:cs="Arial"/>
        </w:rPr>
      </w:pPr>
    </w:p>
    <w:p w14:paraId="502A4DF9" w14:textId="2F032737" w:rsidR="00351421" w:rsidRPr="00216D66" w:rsidRDefault="00351421" w:rsidP="00351421">
      <w:pPr>
        <w:jc w:val="left"/>
        <w:rPr>
          <w:rFonts w:ascii="Arial" w:hAnsi="Arial" w:cs="Arial"/>
        </w:rPr>
      </w:pPr>
      <w:r w:rsidRPr="00316884">
        <w:rPr>
          <w:rFonts w:ascii="Arial" w:hAnsi="Arial" w:cs="Arial"/>
          <w:bCs/>
        </w:rPr>
        <w:t>Our</w:t>
      </w:r>
      <w:r>
        <w:rPr>
          <w:rFonts w:ascii="Arial" w:hAnsi="Arial" w:cs="Arial"/>
          <w:bCs/>
        </w:rPr>
        <w:t xml:space="preserve"> banners continue to improve their competitive position in the French home improvement market. In </w:t>
      </w:r>
      <w:r w:rsidR="00F92C52">
        <w:rPr>
          <w:rFonts w:ascii="Arial" w:hAnsi="Arial" w:cs="Arial"/>
          <w:bCs/>
        </w:rPr>
        <w:t xml:space="preserve">FY </w:t>
      </w:r>
      <w:r>
        <w:rPr>
          <w:rFonts w:ascii="Arial" w:hAnsi="Arial" w:cs="Arial"/>
          <w:bCs/>
        </w:rPr>
        <w:t xml:space="preserve">21/22, Kingfisher </w:t>
      </w:r>
      <w:r w:rsidRPr="005A4C06">
        <w:rPr>
          <w:rFonts w:ascii="Arial" w:hAnsi="Arial" w:cs="Arial"/>
          <w:bCs/>
        </w:rPr>
        <w:t xml:space="preserve">France outperformed the market on a 2-year </w:t>
      </w:r>
      <w:r>
        <w:rPr>
          <w:rFonts w:ascii="Arial" w:hAnsi="Arial" w:cs="Arial"/>
          <w:bCs/>
        </w:rPr>
        <w:t xml:space="preserve">LFL sales </w:t>
      </w:r>
      <w:r w:rsidRPr="005A4C06">
        <w:rPr>
          <w:rFonts w:ascii="Arial" w:hAnsi="Arial" w:cs="Arial"/>
          <w:bCs/>
        </w:rPr>
        <w:t xml:space="preserve">basis (based on </w:t>
      </w:r>
      <w:r w:rsidRPr="00281622">
        <w:rPr>
          <w:rFonts w:ascii="Arial" w:hAnsi="Arial" w:cs="Arial"/>
          <w:bCs/>
          <w:i/>
          <w:iCs/>
        </w:rPr>
        <w:t>Banque de France</w:t>
      </w:r>
      <w:r w:rsidRPr="005A4C06">
        <w:rPr>
          <w:rFonts w:ascii="Arial" w:hAnsi="Arial" w:cs="Arial"/>
          <w:bCs/>
        </w:rPr>
        <w:t xml:space="preserve"> data)</w:t>
      </w:r>
      <w:r w:rsidR="00F92C52">
        <w:rPr>
          <w:rFonts w:ascii="Arial" w:hAnsi="Arial" w:cs="Arial"/>
          <w:bCs/>
        </w:rPr>
        <w:t xml:space="preserve">, excluding the impacts on trading from COVID-related restrictions in </w:t>
      </w:r>
      <w:r w:rsidR="00A76262">
        <w:rPr>
          <w:rFonts w:ascii="Arial" w:hAnsi="Arial" w:cs="Arial"/>
          <w:bCs/>
        </w:rPr>
        <w:t>H1 21/22</w:t>
      </w:r>
      <w:r w:rsidR="00F92C52">
        <w:rPr>
          <w:rFonts w:ascii="Arial" w:hAnsi="Arial" w:cs="Arial"/>
          <w:bCs/>
        </w:rPr>
        <w:t>.</w:t>
      </w:r>
      <w:r>
        <w:rPr>
          <w:rFonts w:ascii="Arial" w:hAnsi="Arial" w:cs="Arial"/>
          <w:bCs/>
        </w:rPr>
        <w:t xml:space="preserve"> </w:t>
      </w:r>
    </w:p>
    <w:p w14:paraId="01FE2D1E" w14:textId="77777777" w:rsidR="00351421" w:rsidRPr="00216D66" w:rsidRDefault="00351421" w:rsidP="00351421">
      <w:pPr>
        <w:jc w:val="left"/>
        <w:rPr>
          <w:rFonts w:ascii="Arial" w:hAnsi="Arial" w:cs="Arial"/>
        </w:rPr>
      </w:pPr>
    </w:p>
    <w:p w14:paraId="0F157B58" w14:textId="7ECD608F" w:rsidR="00351421" w:rsidRDefault="00351421" w:rsidP="00351421">
      <w:pPr>
        <w:jc w:val="left"/>
        <w:rPr>
          <w:rFonts w:ascii="Arial" w:hAnsi="Arial" w:cs="Arial"/>
          <w:bCs/>
        </w:rPr>
      </w:pPr>
      <w:bookmarkStart w:id="73" w:name="_Hlk97197529"/>
      <w:bookmarkStart w:id="74" w:name="_Hlk97195382"/>
      <w:r w:rsidRPr="00D75702">
        <w:rPr>
          <w:rFonts w:ascii="Arial" w:hAnsi="Arial" w:cs="Arial"/>
        </w:rPr>
        <w:t>G</w:t>
      </w:r>
      <w:r w:rsidRPr="00D75702">
        <w:rPr>
          <w:rFonts w:ascii="Arial" w:hAnsi="Arial" w:cs="Arial"/>
          <w:bCs/>
        </w:rPr>
        <w:t xml:space="preserve">ross margin % increased by 60 basis points, largely reflecting </w:t>
      </w:r>
      <w:r w:rsidR="00D056D3">
        <w:rPr>
          <w:rFonts w:ascii="Arial" w:hAnsi="Arial" w:cs="Arial"/>
        </w:rPr>
        <w:t xml:space="preserve">reductions in </w:t>
      </w:r>
      <w:r w:rsidR="00D056D3" w:rsidRPr="00D056D3">
        <w:rPr>
          <w:rFonts w:ascii="Arial" w:hAnsi="Arial" w:cs="Arial"/>
        </w:rPr>
        <w:t xml:space="preserve">logistics and </w:t>
      </w:r>
      <w:r w:rsidR="00F5644B">
        <w:rPr>
          <w:rFonts w:ascii="Arial" w:hAnsi="Arial" w:cs="Arial"/>
        </w:rPr>
        <w:t>inventory</w:t>
      </w:r>
      <w:r w:rsidR="00D056D3" w:rsidRPr="00D056D3">
        <w:rPr>
          <w:rFonts w:ascii="Arial" w:hAnsi="Arial" w:cs="Arial"/>
        </w:rPr>
        <w:t xml:space="preserve"> holding costs</w:t>
      </w:r>
      <w:r w:rsidR="00F92C52" w:rsidRPr="00B31068">
        <w:rPr>
          <w:rFonts w:ascii="Arial" w:hAnsi="Arial" w:cs="Arial"/>
          <w:bCs/>
        </w:rPr>
        <w:t>,</w:t>
      </w:r>
      <w:r w:rsidRPr="00B31068">
        <w:rPr>
          <w:rFonts w:ascii="Arial" w:hAnsi="Arial" w:cs="Arial"/>
          <w:bCs/>
        </w:rPr>
        <w:t xml:space="preserve"> </w:t>
      </w:r>
      <w:r w:rsidR="00D75702" w:rsidRPr="00B31068">
        <w:rPr>
          <w:rFonts w:ascii="Arial" w:hAnsi="Arial" w:cs="Arial"/>
          <w:bCs/>
        </w:rPr>
        <w:t xml:space="preserve">higher OEB weighting at Brico Dépôt, </w:t>
      </w:r>
      <w:r w:rsidRPr="00B31068">
        <w:rPr>
          <w:rFonts w:ascii="Arial" w:hAnsi="Arial" w:cs="Arial"/>
          <w:bCs/>
        </w:rPr>
        <w:t xml:space="preserve">and </w:t>
      </w:r>
      <w:r w:rsidR="00D75702" w:rsidRPr="00B31068">
        <w:rPr>
          <w:rFonts w:ascii="Arial" w:hAnsi="Arial" w:cs="Arial"/>
          <w:bCs/>
        </w:rPr>
        <w:t xml:space="preserve">our </w:t>
      </w:r>
      <w:r w:rsidRPr="00B31068">
        <w:rPr>
          <w:rFonts w:ascii="Arial" w:hAnsi="Arial" w:cs="Arial"/>
          <w:bCs/>
        </w:rPr>
        <w:t>effective management of inflation</w:t>
      </w:r>
      <w:r w:rsidRPr="00D75702">
        <w:rPr>
          <w:rFonts w:ascii="Arial" w:hAnsi="Arial" w:cs="Arial"/>
          <w:bCs/>
        </w:rPr>
        <w:t xml:space="preserve">. </w:t>
      </w:r>
      <w:r w:rsidRPr="00D75702">
        <w:rPr>
          <w:rFonts w:ascii="Arial" w:hAnsi="Arial" w:cs="Arial"/>
        </w:rPr>
        <w:t xml:space="preserve">This was partially offset by </w:t>
      </w:r>
      <w:r w:rsidRPr="00D75702">
        <w:rPr>
          <w:rFonts w:ascii="Arial" w:hAnsi="Arial" w:cs="Arial"/>
          <w:bCs/>
        </w:rPr>
        <w:t xml:space="preserve">an upweighting of special promotions </w:t>
      </w:r>
      <w:r w:rsidRPr="00D75702">
        <w:rPr>
          <w:rFonts w:ascii="Arial" w:hAnsi="Arial" w:cs="Arial"/>
          <w:bCs/>
          <w:i/>
          <w:iCs/>
        </w:rPr>
        <w:t>(arrivages)</w:t>
      </w:r>
      <w:r w:rsidR="00D75702">
        <w:rPr>
          <w:rFonts w:ascii="Arial" w:hAnsi="Arial" w:cs="Arial"/>
          <w:bCs/>
        </w:rPr>
        <w:t>, more trading events</w:t>
      </w:r>
      <w:r w:rsidR="00FB0576">
        <w:rPr>
          <w:rFonts w:ascii="Arial" w:hAnsi="Arial" w:cs="Arial"/>
          <w:bCs/>
        </w:rPr>
        <w:t>,</w:t>
      </w:r>
      <w:r w:rsidR="00D75702">
        <w:rPr>
          <w:rFonts w:ascii="Arial" w:hAnsi="Arial" w:cs="Arial"/>
          <w:bCs/>
        </w:rPr>
        <w:t xml:space="preserve"> </w:t>
      </w:r>
      <w:r w:rsidRPr="00D75702">
        <w:rPr>
          <w:rFonts w:ascii="Arial" w:hAnsi="Arial" w:cs="Arial"/>
          <w:bCs/>
        </w:rPr>
        <w:t>and category mix.</w:t>
      </w:r>
      <w:bookmarkEnd w:id="73"/>
    </w:p>
    <w:bookmarkEnd w:id="74"/>
    <w:p w14:paraId="46298F3A" w14:textId="77777777" w:rsidR="00351421" w:rsidRPr="00091A8B" w:rsidRDefault="00351421" w:rsidP="00351421">
      <w:pPr>
        <w:jc w:val="left"/>
        <w:rPr>
          <w:rFonts w:ascii="Arial" w:hAnsi="Arial" w:cs="Arial"/>
        </w:rPr>
      </w:pPr>
    </w:p>
    <w:p w14:paraId="43686DA6" w14:textId="279A3C4D" w:rsidR="00351421" w:rsidRDefault="00351421" w:rsidP="00351421">
      <w:pPr>
        <w:jc w:val="left"/>
        <w:rPr>
          <w:rFonts w:ascii="Arial" w:hAnsi="Arial" w:cs="Arial"/>
        </w:rPr>
      </w:pPr>
      <w:bookmarkStart w:id="75" w:name="_Hlk65313871"/>
      <w:r w:rsidRPr="00243678">
        <w:rPr>
          <w:rFonts w:ascii="Arial" w:hAnsi="Arial" w:cs="Arial"/>
        </w:rPr>
        <w:t>Retail profit increased by 28.0% to £221</w:t>
      </w:r>
      <w:r w:rsidR="000F2F06" w:rsidRPr="00243678">
        <w:rPr>
          <w:rFonts w:ascii="Arial" w:hAnsi="Arial" w:cs="Arial"/>
        </w:rPr>
        <w:t>m</w:t>
      </w:r>
      <w:r w:rsidRPr="00243678">
        <w:rPr>
          <w:rFonts w:ascii="Arial" w:hAnsi="Arial" w:cs="Arial"/>
        </w:rPr>
        <w:t xml:space="preserve">, reflecting strong growth in gross profit, partially offset by an increase in operating costs of 8.5%. </w:t>
      </w:r>
      <w:r w:rsidRPr="00FF3FFB">
        <w:rPr>
          <w:rFonts w:ascii="Arial" w:hAnsi="Arial" w:cs="Arial"/>
        </w:rPr>
        <w:t xml:space="preserve">Operating costs </w:t>
      </w:r>
      <w:r w:rsidR="00F5644B">
        <w:rPr>
          <w:rFonts w:ascii="Arial" w:hAnsi="Arial" w:cs="Arial"/>
        </w:rPr>
        <w:t>increased</w:t>
      </w:r>
      <w:r w:rsidR="00F5644B">
        <w:rPr>
          <w:rFonts w:ascii="Arial" w:hAnsi="Arial" w:cs="Arial"/>
          <w:bCs/>
        </w:rPr>
        <w:t xml:space="preserve"> </w:t>
      </w:r>
      <w:r w:rsidR="00F5644B">
        <w:rPr>
          <w:rFonts w:ascii="Arial" w:hAnsi="Arial" w:cs="Arial"/>
        </w:rPr>
        <w:t>due to</w:t>
      </w:r>
      <w:r w:rsidRPr="00FF3FFB">
        <w:rPr>
          <w:rFonts w:ascii="Arial" w:hAnsi="Arial" w:cs="Arial"/>
          <w:bCs/>
        </w:rPr>
        <w:t xml:space="preserve"> strong trading and additional Sunday openings</w:t>
      </w:r>
      <w:r w:rsidR="00055764">
        <w:rPr>
          <w:rFonts w:ascii="Arial" w:hAnsi="Arial" w:cs="Arial"/>
          <w:bCs/>
        </w:rPr>
        <w:t>,</w:t>
      </w:r>
      <w:r w:rsidR="00F5644B">
        <w:rPr>
          <w:rFonts w:ascii="Arial" w:hAnsi="Arial" w:cs="Arial"/>
          <w:bCs/>
        </w:rPr>
        <w:t xml:space="preserve"> leading to</w:t>
      </w:r>
      <w:r w:rsidRPr="00FF3FFB">
        <w:rPr>
          <w:rFonts w:ascii="Arial" w:hAnsi="Arial" w:cs="Arial"/>
        </w:rPr>
        <w:t xml:space="preserve"> higher staff costs (headcount and staff incentives) and store-related costs (increased security and marshalling). </w:t>
      </w:r>
      <w:r w:rsidR="00A76262" w:rsidRPr="00FF3FFB">
        <w:rPr>
          <w:rFonts w:ascii="Arial" w:hAnsi="Arial" w:cs="Arial"/>
        </w:rPr>
        <w:t xml:space="preserve">The prior year </w:t>
      </w:r>
      <w:r w:rsidRPr="00FF3FFB">
        <w:rPr>
          <w:rFonts w:ascii="Arial" w:hAnsi="Arial" w:cs="Arial"/>
        </w:rPr>
        <w:t>benefitted from COVID-related temporary cost reduction measures</w:t>
      </w:r>
      <w:r w:rsidRPr="00FF3FFB" w:rsidDel="005B372A">
        <w:rPr>
          <w:rFonts w:ascii="Arial" w:hAnsi="Arial" w:cs="Arial"/>
        </w:rPr>
        <w:t xml:space="preserve"> </w:t>
      </w:r>
      <w:r w:rsidRPr="00FF3FFB">
        <w:rPr>
          <w:rFonts w:ascii="Arial" w:hAnsi="Arial" w:cs="Arial"/>
        </w:rPr>
        <w:t>(</w:t>
      </w:r>
      <w:r w:rsidR="00590787" w:rsidRPr="00FF3FFB">
        <w:rPr>
          <w:rFonts w:ascii="Arial" w:hAnsi="Arial" w:cs="Arial"/>
        </w:rPr>
        <w:t>e.g.,</w:t>
      </w:r>
      <w:r w:rsidRPr="00FF3FFB">
        <w:rPr>
          <w:rFonts w:ascii="Arial" w:hAnsi="Arial" w:cs="Arial"/>
        </w:rPr>
        <w:t xml:space="preserve"> advertising and marketing) and </w:t>
      </w:r>
      <w:r w:rsidR="00A76262" w:rsidRPr="00FF3FFB">
        <w:rPr>
          <w:rFonts w:ascii="Arial" w:hAnsi="Arial" w:cs="Arial"/>
        </w:rPr>
        <w:t>furlough</w:t>
      </w:r>
      <w:r w:rsidRPr="00FF3FFB">
        <w:rPr>
          <w:rFonts w:ascii="Arial" w:hAnsi="Arial" w:cs="Arial"/>
        </w:rPr>
        <w:t xml:space="preserve"> relief</w:t>
      </w:r>
      <w:r w:rsidRPr="00FF3FFB" w:rsidDel="00B90B30">
        <w:rPr>
          <w:rFonts w:ascii="Arial" w:hAnsi="Arial" w:cs="Arial"/>
        </w:rPr>
        <w:t xml:space="preserve"> </w:t>
      </w:r>
      <w:r w:rsidRPr="00FF3FFB">
        <w:rPr>
          <w:rFonts w:ascii="Arial" w:hAnsi="Arial" w:cs="Arial"/>
        </w:rPr>
        <w:t xml:space="preserve">related to temporary store closures. The increase in operating costs </w:t>
      </w:r>
      <w:r w:rsidR="007439EE">
        <w:rPr>
          <w:rFonts w:ascii="Arial" w:hAnsi="Arial" w:cs="Arial"/>
        </w:rPr>
        <w:t>was</w:t>
      </w:r>
      <w:r w:rsidR="007439EE" w:rsidRPr="00FF3FFB">
        <w:rPr>
          <w:rFonts w:ascii="Arial" w:hAnsi="Arial" w:cs="Arial"/>
        </w:rPr>
        <w:t xml:space="preserve"> </w:t>
      </w:r>
      <w:r w:rsidRPr="00FF3FFB">
        <w:rPr>
          <w:rFonts w:ascii="Arial" w:hAnsi="Arial" w:cs="Arial"/>
        </w:rPr>
        <w:t xml:space="preserve">partially offset by </w:t>
      </w:r>
      <w:r w:rsidR="00243678" w:rsidRPr="00243678">
        <w:rPr>
          <w:rFonts w:ascii="Arial" w:hAnsi="Arial" w:cs="Arial"/>
        </w:rPr>
        <w:t xml:space="preserve">cost reductions achieved as part of our strategic cost reduction programme, as well as </w:t>
      </w:r>
      <w:r w:rsidRPr="00FF3FFB">
        <w:rPr>
          <w:rFonts w:ascii="Arial" w:hAnsi="Arial" w:cs="Arial"/>
        </w:rPr>
        <w:t>the annualisation of cost benefits from the permanent closure of eight Castorama stores in FY 20/21.</w:t>
      </w:r>
      <w:r w:rsidR="00B16283" w:rsidRPr="00243678">
        <w:rPr>
          <w:rFonts w:ascii="Arial" w:hAnsi="Arial" w:cs="Arial"/>
        </w:rPr>
        <w:t xml:space="preserve"> Retail profit margin % improved 70 basis points to 4.9%.</w:t>
      </w:r>
    </w:p>
    <w:bookmarkEnd w:id="75"/>
    <w:p w14:paraId="18436162" w14:textId="77777777" w:rsidR="00351421" w:rsidRPr="00E83051" w:rsidRDefault="00351421" w:rsidP="00351421">
      <w:pPr>
        <w:jc w:val="left"/>
        <w:rPr>
          <w:rFonts w:ascii="Arial" w:hAnsi="Arial" w:cs="Arial"/>
        </w:rPr>
      </w:pPr>
    </w:p>
    <w:p w14:paraId="1CB09342" w14:textId="3ECA41AF" w:rsidR="00634BA1" w:rsidRDefault="00351421" w:rsidP="00351421">
      <w:pPr>
        <w:jc w:val="left"/>
        <w:rPr>
          <w:rFonts w:ascii="Arial" w:hAnsi="Arial" w:cs="Arial"/>
        </w:rPr>
      </w:pPr>
      <w:r w:rsidRPr="00216D66">
        <w:rPr>
          <w:rFonts w:ascii="Arial" w:hAnsi="Arial" w:cs="Arial"/>
          <w:b/>
          <w:bCs/>
        </w:rPr>
        <w:t>Castorama</w:t>
      </w:r>
      <w:r w:rsidRPr="00216D66">
        <w:rPr>
          <w:rFonts w:ascii="Arial" w:hAnsi="Arial" w:cs="Arial"/>
        </w:rPr>
        <w:t xml:space="preserve"> total sales increased by </w:t>
      </w:r>
      <w:r>
        <w:rPr>
          <w:rFonts w:ascii="Arial" w:hAnsi="Arial" w:cs="Arial"/>
          <w:bCs/>
        </w:rPr>
        <w:t>5.9</w:t>
      </w:r>
      <w:r w:rsidRPr="00216D66">
        <w:rPr>
          <w:rFonts w:ascii="Arial" w:hAnsi="Arial" w:cs="Arial"/>
        </w:rPr>
        <w:t xml:space="preserve">% (LFL </w:t>
      </w:r>
      <w:r>
        <w:rPr>
          <w:rFonts w:ascii="Arial" w:hAnsi="Arial" w:cs="Arial"/>
        </w:rPr>
        <w:t>+7.2</w:t>
      </w:r>
      <w:r w:rsidRPr="00216D66">
        <w:rPr>
          <w:rFonts w:ascii="Arial" w:hAnsi="Arial" w:cs="Arial"/>
        </w:rPr>
        <w:t>%) to £</w:t>
      </w:r>
      <w:r w:rsidRPr="00EA7C0B">
        <w:rPr>
          <w:rFonts w:ascii="Arial" w:hAnsi="Arial" w:cs="Arial"/>
          <w:bCs/>
        </w:rPr>
        <w:t>2,</w:t>
      </w:r>
      <w:r w:rsidRPr="00643B5D">
        <w:rPr>
          <w:rFonts w:ascii="Arial" w:hAnsi="Arial" w:cs="Arial"/>
          <w:bCs/>
        </w:rPr>
        <w:t>296</w:t>
      </w:r>
      <w:r w:rsidR="000F2F06" w:rsidRPr="00FB72E5">
        <w:rPr>
          <w:rFonts w:ascii="Arial" w:hAnsi="Arial" w:cs="Arial"/>
          <w:bCs/>
          <w:szCs w:val="24"/>
        </w:rPr>
        <w:t>m</w:t>
      </w:r>
      <w:r w:rsidRPr="00643B5D">
        <w:rPr>
          <w:rFonts w:ascii="Arial" w:hAnsi="Arial" w:cs="Arial"/>
          <w:bCs/>
        </w:rPr>
        <w:t>, with</w:t>
      </w:r>
      <w:r>
        <w:rPr>
          <w:rFonts w:ascii="Arial" w:hAnsi="Arial" w:cs="Arial"/>
          <w:bCs/>
        </w:rPr>
        <w:t xml:space="preserve"> 2-year LFL sales up 13.9%</w:t>
      </w:r>
      <w:r>
        <w:rPr>
          <w:rFonts w:ascii="Arial" w:hAnsi="Arial" w:cs="Arial"/>
        </w:rPr>
        <w:t xml:space="preserve"> reflecting resilient demand against the backdrop of </w:t>
      </w:r>
      <w:r w:rsidRPr="008733A4">
        <w:rPr>
          <w:rFonts w:ascii="Arial" w:hAnsi="Arial" w:cs="Arial"/>
        </w:rPr>
        <w:t xml:space="preserve">strong comparatives. </w:t>
      </w:r>
      <w:r w:rsidR="00634BA1" w:rsidRPr="008733A4">
        <w:rPr>
          <w:rFonts w:ascii="Arial" w:hAnsi="Arial" w:cs="Arial"/>
        </w:rPr>
        <w:t xml:space="preserve">LFL sales of weather-related categories increased by </w:t>
      </w:r>
      <w:r w:rsidR="008733A4" w:rsidRPr="006957EC">
        <w:rPr>
          <w:rFonts w:ascii="Arial" w:hAnsi="Arial" w:cs="Arial"/>
        </w:rPr>
        <w:t>12</w:t>
      </w:r>
      <w:r w:rsidR="00634BA1" w:rsidRPr="006957EC">
        <w:rPr>
          <w:rFonts w:ascii="Arial" w:hAnsi="Arial" w:cs="Arial"/>
        </w:rPr>
        <w:t>%</w:t>
      </w:r>
      <w:r w:rsidR="00634BA1" w:rsidRPr="008733A4">
        <w:rPr>
          <w:rFonts w:ascii="Arial" w:hAnsi="Arial" w:cs="Arial"/>
        </w:rPr>
        <w:t xml:space="preserve"> </w:t>
      </w:r>
      <w:r w:rsidR="00634BA1" w:rsidRPr="008733A4">
        <w:rPr>
          <w:rFonts w:ascii="Arial" w:hAnsi="Arial" w:cs="Arial"/>
          <w:bCs/>
        </w:rPr>
        <w:t xml:space="preserve">(increase of </w:t>
      </w:r>
      <w:r w:rsidR="007725E9">
        <w:rPr>
          <w:rFonts w:ascii="Arial" w:hAnsi="Arial" w:cs="Arial"/>
          <w:bCs/>
        </w:rPr>
        <w:t>25</w:t>
      </w:r>
      <w:r w:rsidR="00634BA1" w:rsidRPr="006957EC">
        <w:rPr>
          <w:rFonts w:ascii="Arial" w:hAnsi="Arial" w:cs="Arial"/>
          <w:bCs/>
        </w:rPr>
        <w:t>%</w:t>
      </w:r>
      <w:r w:rsidR="00634BA1" w:rsidRPr="008733A4">
        <w:rPr>
          <w:rFonts w:ascii="Arial" w:hAnsi="Arial" w:cs="Arial"/>
          <w:bCs/>
        </w:rPr>
        <w:t xml:space="preserve"> on a 2-year LFL basis), while </w:t>
      </w:r>
      <w:r w:rsidR="00634BA1" w:rsidRPr="008733A4">
        <w:rPr>
          <w:rFonts w:ascii="Arial" w:hAnsi="Arial" w:cs="Arial"/>
        </w:rPr>
        <w:t xml:space="preserve">LFL sales of non-weather-related categories, including showroom, </w:t>
      </w:r>
      <w:r w:rsidR="00634BA1" w:rsidRPr="008733A4">
        <w:rPr>
          <w:rFonts w:ascii="Arial" w:hAnsi="Arial" w:cs="Arial"/>
          <w:bCs/>
        </w:rPr>
        <w:t>increased by</w:t>
      </w:r>
      <w:r w:rsidR="00634BA1" w:rsidRPr="008733A4">
        <w:rPr>
          <w:rFonts w:ascii="Arial" w:hAnsi="Arial" w:cs="Arial"/>
        </w:rPr>
        <w:t xml:space="preserve"> </w:t>
      </w:r>
      <w:r w:rsidR="008733A4" w:rsidRPr="006957EC">
        <w:rPr>
          <w:rFonts w:ascii="Arial" w:hAnsi="Arial" w:cs="Arial"/>
        </w:rPr>
        <w:t>6</w:t>
      </w:r>
      <w:r w:rsidR="00634BA1" w:rsidRPr="006957EC">
        <w:rPr>
          <w:rFonts w:ascii="Arial" w:hAnsi="Arial" w:cs="Arial"/>
        </w:rPr>
        <w:t>%</w:t>
      </w:r>
      <w:r w:rsidR="00634BA1" w:rsidRPr="008733A4">
        <w:rPr>
          <w:rFonts w:ascii="Arial" w:hAnsi="Arial" w:cs="Arial"/>
        </w:rPr>
        <w:t xml:space="preserve"> </w:t>
      </w:r>
      <w:r w:rsidR="00634BA1" w:rsidRPr="008733A4">
        <w:rPr>
          <w:rFonts w:ascii="Arial" w:hAnsi="Arial" w:cs="Arial"/>
          <w:bCs/>
        </w:rPr>
        <w:t xml:space="preserve">(increase of </w:t>
      </w:r>
      <w:r w:rsidR="008733A4" w:rsidRPr="006957EC">
        <w:rPr>
          <w:rFonts w:ascii="Arial" w:hAnsi="Arial" w:cs="Arial"/>
          <w:bCs/>
        </w:rPr>
        <w:t>1</w:t>
      </w:r>
      <w:r w:rsidR="00560E2C">
        <w:rPr>
          <w:rFonts w:ascii="Arial" w:hAnsi="Arial" w:cs="Arial"/>
          <w:bCs/>
        </w:rPr>
        <w:t>2</w:t>
      </w:r>
      <w:r w:rsidR="00634BA1" w:rsidRPr="008733A4">
        <w:rPr>
          <w:rFonts w:ascii="Arial" w:hAnsi="Arial" w:cs="Arial"/>
          <w:bCs/>
        </w:rPr>
        <w:t>% on a 2-year LFL basis)</w:t>
      </w:r>
      <w:r w:rsidR="00634BA1" w:rsidRPr="008733A4">
        <w:rPr>
          <w:rFonts w:ascii="Arial" w:hAnsi="Arial" w:cs="Arial"/>
        </w:rPr>
        <w:t>.</w:t>
      </w:r>
      <w:r w:rsidR="00634BA1">
        <w:rPr>
          <w:rFonts w:ascii="Arial" w:hAnsi="Arial" w:cs="Arial"/>
        </w:rPr>
        <w:t xml:space="preserve"> </w:t>
      </w:r>
    </w:p>
    <w:p w14:paraId="6E956328" w14:textId="77777777" w:rsidR="00634BA1" w:rsidRDefault="00634BA1" w:rsidP="00351421">
      <w:pPr>
        <w:jc w:val="left"/>
        <w:rPr>
          <w:rFonts w:ascii="Arial" w:hAnsi="Arial" w:cs="Arial"/>
        </w:rPr>
      </w:pPr>
    </w:p>
    <w:p w14:paraId="6BFBAB8A" w14:textId="4123373D" w:rsidR="00351421" w:rsidRPr="00634BA1" w:rsidRDefault="00351421" w:rsidP="00351421">
      <w:pPr>
        <w:jc w:val="left"/>
        <w:rPr>
          <w:rFonts w:ascii="Arial" w:hAnsi="Arial" w:cs="Arial"/>
          <w:bCs/>
        </w:rPr>
      </w:pPr>
      <w:r>
        <w:rPr>
          <w:rFonts w:ascii="Arial" w:hAnsi="Arial" w:cs="Arial"/>
        </w:rPr>
        <w:t>The annuali</w:t>
      </w:r>
      <w:r w:rsidR="00F92C52">
        <w:rPr>
          <w:rFonts w:ascii="Arial" w:hAnsi="Arial" w:cs="Arial"/>
        </w:rPr>
        <w:t>s</w:t>
      </w:r>
      <w:r>
        <w:rPr>
          <w:rFonts w:ascii="Arial" w:hAnsi="Arial" w:cs="Arial"/>
        </w:rPr>
        <w:t>ation of a reduction in s</w:t>
      </w:r>
      <w:r w:rsidRPr="00251A68">
        <w:rPr>
          <w:rFonts w:ascii="Arial" w:hAnsi="Arial" w:cs="Arial"/>
        </w:rPr>
        <w:t xml:space="preserve">pace </w:t>
      </w:r>
      <w:r>
        <w:rPr>
          <w:rFonts w:ascii="Arial" w:hAnsi="Arial" w:cs="Arial"/>
        </w:rPr>
        <w:t xml:space="preserve">following </w:t>
      </w:r>
      <w:r w:rsidRPr="00634BA1">
        <w:rPr>
          <w:rFonts w:ascii="Arial" w:hAnsi="Arial" w:cs="Arial"/>
        </w:rPr>
        <w:t xml:space="preserve">the permanent closure of eight Castorama stores in FY 20/21 impacted total sales by </w:t>
      </w:r>
      <w:proofErr w:type="gramStart"/>
      <w:r w:rsidRPr="00634BA1">
        <w:rPr>
          <w:rFonts w:ascii="Arial" w:hAnsi="Arial" w:cs="Arial"/>
        </w:rPr>
        <w:t>c.-1</w:t>
      </w:r>
      <w:proofErr w:type="gramEnd"/>
      <w:r w:rsidRPr="00634BA1">
        <w:rPr>
          <w:rFonts w:ascii="Arial" w:hAnsi="Arial" w:cs="Arial"/>
        </w:rPr>
        <w:t xml:space="preserve">%. </w:t>
      </w:r>
      <w:r w:rsidR="00634BA1" w:rsidRPr="00B31068">
        <w:rPr>
          <w:rFonts w:ascii="Arial" w:hAnsi="Arial" w:cs="Arial"/>
          <w:bCs/>
        </w:rPr>
        <w:t>LFL sales growth w</w:t>
      </w:r>
      <w:r w:rsidR="007D23DD">
        <w:rPr>
          <w:rFonts w:ascii="Arial" w:hAnsi="Arial" w:cs="Arial"/>
          <w:bCs/>
        </w:rPr>
        <w:t>as</w:t>
      </w:r>
      <w:r w:rsidR="00634BA1" w:rsidRPr="00B31068">
        <w:rPr>
          <w:rFonts w:ascii="Arial" w:hAnsi="Arial" w:cs="Arial"/>
          <w:bCs/>
        </w:rPr>
        <w:t xml:space="preserve"> also supported by our decision to open more stores on Sundays.</w:t>
      </w:r>
      <w:r w:rsidR="00634BA1">
        <w:rPr>
          <w:rFonts w:ascii="Arial" w:hAnsi="Arial" w:cs="Arial"/>
          <w:bCs/>
        </w:rPr>
        <w:t xml:space="preserve"> </w:t>
      </w:r>
      <w:r w:rsidRPr="00FA1244">
        <w:rPr>
          <w:rFonts w:ascii="Arial" w:hAnsi="Arial" w:cs="Arial"/>
        </w:rPr>
        <w:t>COVID</w:t>
      </w:r>
      <w:r>
        <w:rPr>
          <w:rFonts w:ascii="Arial" w:hAnsi="Arial" w:cs="Arial"/>
        </w:rPr>
        <w:t>-</w:t>
      </w:r>
      <w:r w:rsidRPr="00FA1244">
        <w:rPr>
          <w:rFonts w:ascii="Arial" w:hAnsi="Arial" w:cs="Arial"/>
        </w:rPr>
        <w:t xml:space="preserve">related restrictions </w:t>
      </w:r>
      <w:r>
        <w:rPr>
          <w:rFonts w:ascii="Arial" w:hAnsi="Arial" w:cs="Arial"/>
        </w:rPr>
        <w:t xml:space="preserve">in France </w:t>
      </w:r>
      <w:r w:rsidRPr="00FA1244">
        <w:rPr>
          <w:rFonts w:ascii="Arial" w:hAnsi="Arial" w:cs="Arial"/>
        </w:rPr>
        <w:t>led to some temporary store</w:t>
      </w:r>
      <w:r>
        <w:rPr>
          <w:rFonts w:ascii="Arial" w:hAnsi="Arial" w:cs="Arial"/>
        </w:rPr>
        <w:t xml:space="preserve"> </w:t>
      </w:r>
      <w:r w:rsidR="00303E19">
        <w:rPr>
          <w:rFonts w:ascii="Arial" w:hAnsi="Arial" w:cs="Arial"/>
        </w:rPr>
        <w:t xml:space="preserve">and non-essential range </w:t>
      </w:r>
      <w:r w:rsidRPr="00FA1244">
        <w:rPr>
          <w:rFonts w:ascii="Arial" w:hAnsi="Arial" w:cs="Arial"/>
        </w:rPr>
        <w:t xml:space="preserve">closures throughout the </w:t>
      </w:r>
      <w:r>
        <w:rPr>
          <w:rFonts w:ascii="Arial" w:hAnsi="Arial" w:cs="Arial"/>
        </w:rPr>
        <w:t xml:space="preserve">first </w:t>
      </w:r>
      <w:r w:rsidRPr="00FA1244">
        <w:rPr>
          <w:rFonts w:ascii="Arial" w:hAnsi="Arial" w:cs="Arial"/>
        </w:rPr>
        <w:t>quarter</w:t>
      </w:r>
      <w:r>
        <w:rPr>
          <w:rFonts w:ascii="Arial" w:hAnsi="Arial" w:cs="Arial"/>
        </w:rPr>
        <w:t xml:space="preserve"> (and part of the second quarter), impacting FY 21/22 </w:t>
      </w:r>
      <w:r>
        <w:rPr>
          <w:rFonts w:ascii="Arial" w:hAnsi="Arial" w:cs="Arial"/>
        </w:rPr>
        <w:lastRenderedPageBreak/>
        <w:t xml:space="preserve">LFL </w:t>
      </w:r>
      <w:r w:rsidRPr="00FA1244">
        <w:rPr>
          <w:rFonts w:ascii="Arial" w:hAnsi="Arial" w:cs="Arial"/>
        </w:rPr>
        <w:t xml:space="preserve">sales </w:t>
      </w:r>
      <w:r w:rsidRPr="003E0692">
        <w:rPr>
          <w:rFonts w:ascii="Arial" w:hAnsi="Arial" w:cs="Arial"/>
        </w:rPr>
        <w:t xml:space="preserve">by </w:t>
      </w:r>
      <w:r w:rsidRPr="001E3E53">
        <w:rPr>
          <w:rFonts w:ascii="Arial" w:hAnsi="Arial" w:cs="Arial"/>
        </w:rPr>
        <w:t>c</w:t>
      </w:r>
      <w:r w:rsidRPr="00FD1647">
        <w:rPr>
          <w:rFonts w:ascii="Arial" w:hAnsi="Arial" w:cs="Arial"/>
        </w:rPr>
        <w:t>.-1</w:t>
      </w:r>
      <w:r w:rsidRPr="001E3E53">
        <w:rPr>
          <w:rFonts w:ascii="Arial" w:hAnsi="Arial" w:cs="Arial"/>
        </w:rPr>
        <w:t>%.</w:t>
      </w:r>
      <w:r w:rsidRPr="003E0692">
        <w:rPr>
          <w:rFonts w:ascii="Arial" w:hAnsi="Arial" w:cs="Arial"/>
        </w:rPr>
        <w:t xml:space="preserve"> </w:t>
      </w:r>
      <w:r w:rsidRPr="00216D66">
        <w:rPr>
          <w:rFonts w:ascii="Arial" w:hAnsi="Arial" w:cs="Arial"/>
        </w:rPr>
        <w:t xml:space="preserve">Castorama’s e-commerce sales </w:t>
      </w:r>
      <w:r>
        <w:rPr>
          <w:rFonts w:ascii="Arial" w:hAnsi="Arial" w:cs="Arial"/>
        </w:rPr>
        <w:t xml:space="preserve">increased </w:t>
      </w:r>
      <w:r w:rsidRPr="00216D66">
        <w:rPr>
          <w:rFonts w:ascii="Arial" w:hAnsi="Arial" w:cs="Arial"/>
        </w:rPr>
        <w:t xml:space="preserve">by </w:t>
      </w:r>
      <w:r>
        <w:rPr>
          <w:rFonts w:ascii="Arial" w:hAnsi="Arial" w:cs="Arial"/>
        </w:rPr>
        <w:t>46</w:t>
      </w:r>
      <w:r w:rsidRPr="00216D66">
        <w:rPr>
          <w:rFonts w:ascii="Arial" w:hAnsi="Arial" w:cs="Arial"/>
        </w:rPr>
        <w:t xml:space="preserve">% in </w:t>
      </w:r>
      <w:r>
        <w:rPr>
          <w:rFonts w:ascii="Arial" w:hAnsi="Arial" w:cs="Arial"/>
        </w:rPr>
        <w:t>FY</w:t>
      </w:r>
      <w:r w:rsidRPr="00216D66">
        <w:rPr>
          <w:rFonts w:ascii="Arial" w:hAnsi="Arial" w:cs="Arial"/>
        </w:rPr>
        <w:t xml:space="preserve"> 2</w:t>
      </w:r>
      <w:r>
        <w:rPr>
          <w:rFonts w:ascii="Arial" w:hAnsi="Arial" w:cs="Arial"/>
        </w:rPr>
        <w:t>1/22 (</w:t>
      </w:r>
      <w:r w:rsidR="0034383A">
        <w:rPr>
          <w:rFonts w:ascii="Arial" w:hAnsi="Arial" w:cs="Arial"/>
        </w:rPr>
        <w:t xml:space="preserve">up </w:t>
      </w:r>
      <w:r>
        <w:rPr>
          <w:rFonts w:ascii="Arial" w:hAnsi="Arial" w:cs="Arial"/>
        </w:rPr>
        <w:t xml:space="preserve">318% </w:t>
      </w:r>
      <w:r w:rsidR="00085069">
        <w:rPr>
          <w:rFonts w:ascii="Arial" w:hAnsi="Arial" w:cs="Arial"/>
        </w:rPr>
        <w:t>on a 2-year basis</w:t>
      </w:r>
      <w:r>
        <w:rPr>
          <w:rFonts w:ascii="Arial" w:hAnsi="Arial" w:cs="Arial"/>
        </w:rPr>
        <w:t>)</w:t>
      </w:r>
      <w:r w:rsidRPr="00216D66">
        <w:rPr>
          <w:rFonts w:ascii="Arial" w:hAnsi="Arial" w:cs="Arial"/>
        </w:rPr>
        <w:t xml:space="preserve">, representing </w:t>
      </w:r>
      <w:r>
        <w:rPr>
          <w:rFonts w:ascii="Arial" w:hAnsi="Arial" w:cs="Arial"/>
        </w:rPr>
        <w:t>c.6</w:t>
      </w:r>
      <w:r w:rsidRPr="00216D66">
        <w:rPr>
          <w:rFonts w:ascii="Arial" w:hAnsi="Arial" w:cs="Arial"/>
        </w:rPr>
        <w:t>% of total sales (</w:t>
      </w:r>
      <w:r>
        <w:rPr>
          <w:rFonts w:ascii="Arial" w:hAnsi="Arial" w:cs="Arial"/>
        </w:rPr>
        <w:t>FY 20/21</w:t>
      </w:r>
      <w:r w:rsidRPr="007F69D4">
        <w:rPr>
          <w:rFonts w:ascii="Arial" w:hAnsi="Arial" w:cs="Arial"/>
        </w:rPr>
        <w:t xml:space="preserve">: </w:t>
      </w:r>
      <w:r>
        <w:rPr>
          <w:rFonts w:ascii="Arial" w:hAnsi="Arial" w:cs="Arial"/>
        </w:rPr>
        <w:t>5</w:t>
      </w:r>
      <w:r w:rsidRPr="002F6DC3">
        <w:rPr>
          <w:rFonts w:ascii="Arial" w:hAnsi="Arial" w:cs="Arial"/>
        </w:rPr>
        <w:t>%</w:t>
      </w:r>
      <w:r>
        <w:rPr>
          <w:rFonts w:ascii="Arial" w:hAnsi="Arial" w:cs="Arial"/>
        </w:rPr>
        <w:t>; FY 19/20: 2%</w:t>
      </w:r>
      <w:r w:rsidRPr="00216D66">
        <w:rPr>
          <w:rFonts w:ascii="Arial" w:hAnsi="Arial" w:cs="Arial"/>
        </w:rPr>
        <w:t>).</w:t>
      </w:r>
      <w:r>
        <w:rPr>
          <w:rFonts w:ascii="Arial" w:hAnsi="Arial" w:cs="Arial"/>
        </w:rPr>
        <w:t xml:space="preserve"> </w:t>
      </w:r>
      <w:r w:rsidRPr="00216D66">
        <w:rPr>
          <w:rFonts w:ascii="Arial" w:hAnsi="Arial" w:cs="Arial"/>
          <w:bCs/>
        </w:rPr>
        <w:t xml:space="preserve">Further commentary on the operational improvements </w:t>
      </w:r>
      <w:r>
        <w:rPr>
          <w:rFonts w:ascii="Arial" w:hAnsi="Arial" w:cs="Arial"/>
          <w:bCs/>
        </w:rPr>
        <w:t xml:space="preserve">made </w:t>
      </w:r>
      <w:r w:rsidRPr="00216D66">
        <w:rPr>
          <w:rFonts w:ascii="Arial" w:hAnsi="Arial" w:cs="Arial"/>
          <w:bCs/>
        </w:rPr>
        <w:t xml:space="preserve">at Castorama France are detailed in </w:t>
      </w:r>
      <w:r w:rsidRPr="00F532CC">
        <w:rPr>
          <w:rFonts w:ascii="Arial" w:hAnsi="Arial" w:cs="Arial"/>
          <w:bCs/>
          <w:i/>
          <w:iCs/>
        </w:rPr>
        <w:t>‘</w:t>
      </w:r>
      <w:r w:rsidRPr="00206E53">
        <w:rPr>
          <w:rFonts w:ascii="Arial" w:hAnsi="Arial" w:cs="Arial"/>
          <w:bCs/>
          <w:i/>
          <w:iCs/>
        </w:rPr>
        <w:t xml:space="preserve">France – </w:t>
      </w:r>
      <w:r>
        <w:rPr>
          <w:rFonts w:ascii="Arial" w:hAnsi="Arial" w:cs="Arial"/>
          <w:bCs/>
          <w:i/>
          <w:iCs/>
        </w:rPr>
        <w:t xml:space="preserve">final phase of </w:t>
      </w:r>
      <w:r w:rsidRPr="00206E53">
        <w:rPr>
          <w:rFonts w:ascii="Arial" w:hAnsi="Arial" w:cs="Arial"/>
          <w:bCs/>
          <w:i/>
          <w:iCs/>
        </w:rPr>
        <w:t xml:space="preserve">‘fixes’ </w:t>
      </w:r>
      <w:r>
        <w:rPr>
          <w:rFonts w:ascii="Arial" w:hAnsi="Arial" w:cs="Arial"/>
          <w:bCs/>
        </w:rPr>
        <w:t xml:space="preserve">within </w:t>
      </w:r>
      <w:r w:rsidRPr="00216D66">
        <w:rPr>
          <w:rFonts w:ascii="Arial" w:hAnsi="Arial" w:cs="Arial"/>
          <w:bCs/>
        </w:rPr>
        <w:t>Section 2.</w:t>
      </w:r>
      <w:r w:rsidRPr="00216D66">
        <w:rPr>
          <w:rFonts w:ascii="Arial" w:hAnsi="Arial" w:cs="Arial"/>
        </w:rPr>
        <w:t xml:space="preserve"> </w:t>
      </w:r>
    </w:p>
    <w:p w14:paraId="30F0BD27" w14:textId="77777777" w:rsidR="00351421" w:rsidRDefault="00351421" w:rsidP="00351421">
      <w:pPr>
        <w:jc w:val="left"/>
        <w:rPr>
          <w:rFonts w:ascii="Arial" w:hAnsi="Arial" w:cs="Arial"/>
        </w:rPr>
      </w:pPr>
    </w:p>
    <w:p w14:paraId="67EF203D" w14:textId="77777777" w:rsidR="00634BA1" w:rsidRDefault="00351421" w:rsidP="00351421">
      <w:pPr>
        <w:jc w:val="left"/>
        <w:rPr>
          <w:rFonts w:ascii="Arial" w:hAnsi="Arial" w:cs="Arial"/>
          <w:bCs/>
        </w:rPr>
      </w:pPr>
      <w:r w:rsidRPr="00BB30B3">
        <w:rPr>
          <w:rFonts w:ascii="Arial" w:hAnsi="Arial" w:cs="Arial"/>
          <w:b/>
          <w:bCs/>
        </w:rPr>
        <w:t>Bric</w:t>
      </w:r>
      <w:r w:rsidRPr="00060A76">
        <w:rPr>
          <w:rFonts w:ascii="Arial" w:hAnsi="Arial" w:cs="Arial"/>
          <w:b/>
          <w:bCs/>
        </w:rPr>
        <w:t>o Dépôt</w:t>
      </w:r>
      <w:r w:rsidRPr="00060A76">
        <w:rPr>
          <w:rFonts w:ascii="Arial" w:hAnsi="Arial" w:cs="Arial"/>
          <w:bCs/>
        </w:rPr>
        <w:t xml:space="preserve"> total sales increased by 12.5% (LFL </w:t>
      </w:r>
      <w:r w:rsidRPr="00EA7C0B">
        <w:rPr>
          <w:rFonts w:ascii="Arial" w:hAnsi="Arial" w:cs="Arial"/>
          <w:bCs/>
        </w:rPr>
        <w:t>+</w:t>
      </w:r>
      <w:r w:rsidRPr="00060A76">
        <w:rPr>
          <w:rFonts w:ascii="Arial" w:hAnsi="Arial" w:cs="Arial"/>
          <w:bCs/>
        </w:rPr>
        <w:t>11.6</w:t>
      </w:r>
      <w:r w:rsidRPr="00060A76">
        <w:rPr>
          <w:rFonts w:ascii="Arial" w:hAnsi="Arial" w:cs="Arial"/>
          <w:szCs w:val="24"/>
        </w:rPr>
        <w:t>%</w:t>
      </w:r>
      <w:r w:rsidRPr="00060A76">
        <w:rPr>
          <w:rFonts w:ascii="Arial" w:hAnsi="Arial" w:cs="Arial"/>
          <w:bCs/>
        </w:rPr>
        <w:t>) to £2,202</w:t>
      </w:r>
      <w:r w:rsidR="000F2F06">
        <w:rPr>
          <w:rFonts w:ascii="Arial" w:hAnsi="Arial" w:cs="Arial"/>
          <w:bCs/>
        </w:rPr>
        <w:t>m</w:t>
      </w:r>
      <w:r>
        <w:rPr>
          <w:rFonts w:ascii="Arial" w:hAnsi="Arial" w:cs="Arial"/>
          <w:bCs/>
        </w:rPr>
        <w:t>, with 2-year LFL sales u</w:t>
      </w:r>
      <w:r w:rsidRPr="00060A76">
        <w:rPr>
          <w:rFonts w:ascii="Arial" w:hAnsi="Arial" w:cs="Arial"/>
          <w:bCs/>
        </w:rPr>
        <w:t xml:space="preserve">p </w:t>
      </w:r>
      <w:r>
        <w:rPr>
          <w:rFonts w:ascii="Arial" w:hAnsi="Arial" w:cs="Arial"/>
          <w:bCs/>
        </w:rPr>
        <w:t xml:space="preserve">15.9%. This reflects a continued focus on </w:t>
      </w:r>
      <w:r w:rsidRPr="004410EA">
        <w:rPr>
          <w:rFonts w:ascii="Arial" w:hAnsi="Arial" w:cs="Arial"/>
          <w:bCs/>
        </w:rPr>
        <w:t>Brico Dépôt</w:t>
      </w:r>
      <w:r>
        <w:rPr>
          <w:rFonts w:ascii="Arial" w:hAnsi="Arial" w:cs="Arial"/>
          <w:bCs/>
        </w:rPr>
        <w:t xml:space="preserve">’s discounter credentials and differentiated ranges, with outdoor, building &amp; joinery, kitchen and EPHC </w:t>
      </w:r>
      <w:r w:rsidR="00085069">
        <w:rPr>
          <w:rFonts w:ascii="Arial" w:hAnsi="Arial" w:cs="Arial"/>
          <w:bCs/>
        </w:rPr>
        <w:t xml:space="preserve">(electricity, plumbing, </w:t>
      </w:r>
      <w:r w:rsidR="00243A4A">
        <w:rPr>
          <w:rFonts w:ascii="Arial" w:hAnsi="Arial" w:cs="Arial"/>
          <w:bCs/>
        </w:rPr>
        <w:t>heating</w:t>
      </w:r>
      <w:r w:rsidR="00085069">
        <w:rPr>
          <w:rFonts w:ascii="Arial" w:hAnsi="Arial" w:cs="Arial"/>
          <w:bCs/>
        </w:rPr>
        <w:t xml:space="preserve"> and cooling) </w:t>
      </w:r>
      <w:r>
        <w:rPr>
          <w:rFonts w:ascii="Arial" w:hAnsi="Arial" w:cs="Arial"/>
          <w:bCs/>
        </w:rPr>
        <w:t>all achieving double-digit LFL growth</w:t>
      </w:r>
      <w:r w:rsidR="00243A4A">
        <w:rPr>
          <w:rFonts w:ascii="Arial" w:hAnsi="Arial" w:cs="Arial"/>
          <w:bCs/>
        </w:rPr>
        <w:t>, YoY</w:t>
      </w:r>
      <w:r>
        <w:rPr>
          <w:rFonts w:ascii="Arial" w:hAnsi="Arial" w:cs="Arial"/>
          <w:bCs/>
        </w:rPr>
        <w:t>.</w:t>
      </w:r>
      <w:r w:rsidRPr="00BB30B3">
        <w:rPr>
          <w:rFonts w:ascii="Arial" w:hAnsi="Arial" w:cs="Arial"/>
          <w:bCs/>
        </w:rPr>
        <w:t xml:space="preserve"> </w:t>
      </w:r>
      <w:r w:rsidR="00243A4A" w:rsidRPr="00BB30B3">
        <w:rPr>
          <w:rFonts w:ascii="Arial" w:hAnsi="Arial" w:cs="Arial"/>
          <w:bCs/>
        </w:rPr>
        <w:t>The upweighting of</w:t>
      </w:r>
      <w:r w:rsidR="00243A4A">
        <w:rPr>
          <w:rFonts w:ascii="Arial" w:hAnsi="Arial" w:cs="Arial"/>
          <w:bCs/>
        </w:rPr>
        <w:t xml:space="preserve"> special promotions</w:t>
      </w:r>
      <w:r w:rsidR="00243A4A" w:rsidRPr="00BB30B3">
        <w:rPr>
          <w:rFonts w:ascii="Arial" w:hAnsi="Arial" w:cs="Arial"/>
          <w:bCs/>
        </w:rPr>
        <w:t xml:space="preserve"> </w:t>
      </w:r>
      <w:r w:rsidR="00243A4A" w:rsidRPr="005E1EE0">
        <w:rPr>
          <w:rFonts w:ascii="Arial" w:hAnsi="Arial" w:cs="Arial"/>
          <w:bCs/>
          <w:i/>
          <w:iCs/>
        </w:rPr>
        <w:t>(</w:t>
      </w:r>
      <w:r w:rsidR="00243A4A" w:rsidRPr="003E0692">
        <w:rPr>
          <w:rFonts w:ascii="Arial" w:hAnsi="Arial" w:cs="Arial"/>
          <w:bCs/>
          <w:i/>
          <w:iCs/>
        </w:rPr>
        <w:t>arrivages)</w:t>
      </w:r>
      <w:r w:rsidR="00243A4A" w:rsidRPr="00BB30B3">
        <w:rPr>
          <w:rFonts w:ascii="Arial" w:hAnsi="Arial" w:cs="Arial"/>
          <w:bCs/>
        </w:rPr>
        <w:t xml:space="preserve"> </w:t>
      </w:r>
      <w:r w:rsidR="00243A4A">
        <w:rPr>
          <w:rFonts w:ascii="Arial" w:hAnsi="Arial" w:cs="Arial"/>
          <w:bCs/>
        </w:rPr>
        <w:t>contributed to increased customer engagement and improved</w:t>
      </w:r>
      <w:r w:rsidR="00243A4A" w:rsidRPr="00BB30B3">
        <w:rPr>
          <w:rFonts w:ascii="Arial" w:hAnsi="Arial" w:cs="Arial"/>
          <w:bCs/>
        </w:rPr>
        <w:t xml:space="preserve"> </w:t>
      </w:r>
      <w:r w:rsidR="00243A4A">
        <w:rPr>
          <w:rFonts w:ascii="Arial" w:hAnsi="Arial" w:cs="Arial"/>
          <w:bCs/>
        </w:rPr>
        <w:t xml:space="preserve">price </w:t>
      </w:r>
      <w:r w:rsidR="00243A4A" w:rsidRPr="00634BA1">
        <w:rPr>
          <w:rFonts w:ascii="Arial" w:hAnsi="Arial" w:cs="Arial"/>
          <w:bCs/>
        </w:rPr>
        <w:t xml:space="preserve">perception. </w:t>
      </w:r>
    </w:p>
    <w:p w14:paraId="7DC4DE90" w14:textId="77777777" w:rsidR="00634BA1" w:rsidRDefault="00634BA1" w:rsidP="00351421">
      <w:pPr>
        <w:jc w:val="left"/>
        <w:rPr>
          <w:rFonts w:ascii="Arial" w:hAnsi="Arial" w:cs="Arial"/>
          <w:bCs/>
        </w:rPr>
      </w:pPr>
    </w:p>
    <w:p w14:paraId="1E9549ED" w14:textId="61785842" w:rsidR="00351421" w:rsidRPr="00375CE2" w:rsidRDefault="00351421" w:rsidP="00351421">
      <w:pPr>
        <w:jc w:val="left"/>
        <w:rPr>
          <w:rFonts w:ascii="Arial" w:hAnsi="Arial" w:cs="Arial"/>
        </w:rPr>
      </w:pPr>
      <w:r w:rsidRPr="00634BA1">
        <w:rPr>
          <w:rFonts w:ascii="Arial" w:hAnsi="Arial" w:cs="Arial"/>
          <w:bCs/>
        </w:rPr>
        <w:t xml:space="preserve">In H1 21/22 Brico Dépôt’s performance benefitted from being able to keep most of its stores open during the period (except for four stores that were only open to trade customers and for C&amp;C). </w:t>
      </w:r>
      <w:r w:rsidRPr="00B31068">
        <w:rPr>
          <w:rFonts w:ascii="Arial" w:hAnsi="Arial" w:cs="Arial"/>
          <w:bCs/>
        </w:rPr>
        <w:t>LFL sales growth w</w:t>
      </w:r>
      <w:r w:rsidR="007D23DD">
        <w:rPr>
          <w:rFonts w:ascii="Arial" w:hAnsi="Arial" w:cs="Arial"/>
          <w:bCs/>
        </w:rPr>
        <w:t>as</w:t>
      </w:r>
      <w:r w:rsidRPr="00B31068">
        <w:rPr>
          <w:rFonts w:ascii="Arial" w:hAnsi="Arial" w:cs="Arial"/>
          <w:bCs/>
        </w:rPr>
        <w:t xml:space="preserve"> also </w:t>
      </w:r>
      <w:r w:rsidR="00872EF4" w:rsidRPr="00B31068">
        <w:rPr>
          <w:rFonts w:ascii="Arial" w:hAnsi="Arial" w:cs="Arial"/>
          <w:bCs/>
        </w:rPr>
        <w:t xml:space="preserve">supported </w:t>
      </w:r>
      <w:r w:rsidRPr="00B31068">
        <w:rPr>
          <w:rFonts w:ascii="Arial" w:hAnsi="Arial" w:cs="Arial"/>
          <w:bCs/>
        </w:rPr>
        <w:t>by our decision to open more stores on Sundays.</w:t>
      </w:r>
      <w:r w:rsidRPr="00634BA1">
        <w:rPr>
          <w:rFonts w:ascii="Arial" w:hAnsi="Arial" w:cs="Arial"/>
          <w:bCs/>
        </w:rPr>
        <w:t xml:space="preserve"> </w:t>
      </w:r>
      <w:r w:rsidRPr="00634BA1">
        <w:rPr>
          <w:rFonts w:ascii="Arial" w:hAnsi="Arial" w:cs="Arial"/>
        </w:rPr>
        <w:t xml:space="preserve">Brico Dépôt’s e-commerce sales increased by </w:t>
      </w:r>
      <w:r w:rsidRPr="00634BA1">
        <w:rPr>
          <w:rFonts w:ascii="Arial" w:hAnsi="Arial" w:cs="Arial"/>
          <w:bCs/>
        </w:rPr>
        <w:t>8</w:t>
      </w:r>
      <w:r w:rsidRPr="00634BA1">
        <w:rPr>
          <w:rFonts w:ascii="Arial" w:hAnsi="Arial" w:cs="Arial"/>
        </w:rPr>
        <w:t>% in FY 21/22 (</w:t>
      </w:r>
      <w:r w:rsidR="0034383A" w:rsidRPr="00634BA1">
        <w:rPr>
          <w:rFonts w:ascii="Arial" w:hAnsi="Arial" w:cs="Arial"/>
        </w:rPr>
        <w:t xml:space="preserve">up </w:t>
      </w:r>
      <w:r w:rsidRPr="00634BA1">
        <w:rPr>
          <w:rFonts w:ascii="Arial" w:hAnsi="Arial" w:cs="Arial"/>
        </w:rPr>
        <w:t xml:space="preserve">192% </w:t>
      </w:r>
      <w:r w:rsidR="0034383A" w:rsidRPr="00634BA1">
        <w:rPr>
          <w:rFonts w:ascii="Arial" w:hAnsi="Arial" w:cs="Arial"/>
        </w:rPr>
        <w:t>on a 2-year basis</w:t>
      </w:r>
      <w:r w:rsidRPr="00634BA1">
        <w:rPr>
          <w:rFonts w:ascii="Arial" w:hAnsi="Arial" w:cs="Arial"/>
        </w:rPr>
        <w:t>)</w:t>
      </w:r>
      <w:r w:rsidR="0034383A" w:rsidRPr="00634BA1">
        <w:rPr>
          <w:rFonts w:ascii="Arial" w:hAnsi="Arial" w:cs="Arial"/>
        </w:rPr>
        <w:t>,</w:t>
      </w:r>
      <w:r w:rsidRPr="00634BA1">
        <w:rPr>
          <w:rFonts w:ascii="Arial" w:hAnsi="Arial" w:cs="Arial"/>
        </w:rPr>
        <w:t xml:space="preserve"> representing c.</w:t>
      </w:r>
      <w:r w:rsidRPr="00634BA1">
        <w:rPr>
          <w:rFonts w:ascii="Arial" w:hAnsi="Arial" w:cs="Arial"/>
          <w:bCs/>
        </w:rPr>
        <w:t>5</w:t>
      </w:r>
      <w:r w:rsidRPr="00634BA1">
        <w:rPr>
          <w:rFonts w:ascii="Arial" w:hAnsi="Arial" w:cs="Arial"/>
        </w:rPr>
        <w:t>% of total sales (FY</w:t>
      </w:r>
      <w:r w:rsidRPr="00BB30B3">
        <w:rPr>
          <w:rFonts w:ascii="Arial" w:hAnsi="Arial" w:cs="Arial"/>
        </w:rPr>
        <w:t xml:space="preserve"> 20/21: </w:t>
      </w:r>
      <w:r>
        <w:rPr>
          <w:rFonts w:ascii="Arial" w:hAnsi="Arial" w:cs="Arial"/>
          <w:bCs/>
        </w:rPr>
        <w:t>5</w:t>
      </w:r>
      <w:r w:rsidRPr="00BB30B3">
        <w:rPr>
          <w:rFonts w:ascii="Arial" w:hAnsi="Arial" w:cs="Arial"/>
        </w:rPr>
        <w:t>%</w:t>
      </w:r>
      <w:r>
        <w:rPr>
          <w:rFonts w:ascii="Arial" w:hAnsi="Arial" w:cs="Arial"/>
        </w:rPr>
        <w:t>; FY 19/20: 2%</w:t>
      </w:r>
      <w:r w:rsidRPr="00BB30B3">
        <w:rPr>
          <w:rFonts w:ascii="Arial" w:hAnsi="Arial" w:cs="Arial"/>
        </w:rPr>
        <w:t xml:space="preserve">). </w:t>
      </w:r>
      <w:r w:rsidRPr="00F532CC">
        <w:rPr>
          <w:rFonts w:ascii="Arial" w:hAnsi="Arial" w:cs="Arial"/>
        </w:rPr>
        <w:t>Brico Dépôt</w:t>
      </w:r>
      <w:r w:rsidRPr="00BB30B3">
        <w:rPr>
          <w:rFonts w:ascii="Arial" w:hAnsi="Arial" w:cs="Arial"/>
          <w:bCs/>
        </w:rPr>
        <w:t xml:space="preserve"> </w:t>
      </w:r>
      <w:r w:rsidR="00C6276C">
        <w:rPr>
          <w:rFonts w:ascii="Arial" w:hAnsi="Arial" w:cs="Arial"/>
          <w:bCs/>
        </w:rPr>
        <w:t xml:space="preserve">successfully </w:t>
      </w:r>
      <w:r w:rsidRPr="00BB30B3">
        <w:rPr>
          <w:rFonts w:ascii="Arial" w:hAnsi="Arial" w:cs="Arial"/>
          <w:bCs/>
        </w:rPr>
        <w:t xml:space="preserve">opened </w:t>
      </w:r>
      <w:r>
        <w:rPr>
          <w:rFonts w:ascii="Arial" w:hAnsi="Arial" w:cs="Arial"/>
          <w:bCs/>
        </w:rPr>
        <w:t>two</w:t>
      </w:r>
      <w:r w:rsidRPr="00BB30B3">
        <w:rPr>
          <w:rFonts w:ascii="Arial" w:hAnsi="Arial" w:cs="Arial"/>
          <w:bCs/>
        </w:rPr>
        <w:t xml:space="preserve"> new</w:t>
      </w:r>
      <w:r w:rsidRPr="00216D66">
        <w:rPr>
          <w:rFonts w:ascii="Arial" w:hAnsi="Arial" w:cs="Arial"/>
          <w:bCs/>
        </w:rPr>
        <w:t xml:space="preserve"> </w:t>
      </w:r>
      <w:r>
        <w:rPr>
          <w:rFonts w:ascii="Arial" w:hAnsi="Arial" w:cs="Arial"/>
          <w:bCs/>
        </w:rPr>
        <w:t xml:space="preserve">‘medium-box’ </w:t>
      </w:r>
      <w:r w:rsidRPr="00216D66">
        <w:rPr>
          <w:rFonts w:ascii="Arial" w:hAnsi="Arial" w:cs="Arial"/>
          <w:bCs/>
        </w:rPr>
        <w:t>store</w:t>
      </w:r>
      <w:r w:rsidR="0034383A">
        <w:rPr>
          <w:rFonts w:ascii="Arial" w:hAnsi="Arial" w:cs="Arial"/>
          <w:bCs/>
        </w:rPr>
        <w:t>s</w:t>
      </w:r>
      <w:r w:rsidRPr="00216D66">
        <w:rPr>
          <w:rFonts w:ascii="Arial" w:hAnsi="Arial" w:cs="Arial"/>
          <w:bCs/>
        </w:rPr>
        <w:t xml:space="preserve"> in </w:t>
      </w:r>
      <w:r>
        <w:rPr>
          <w:rFonts w:ascii="Arial" w:hAnsi="Arial" w:cs="Arial"/>
          <w:bCs/>
        </w:rPr>
        <w:t>FY</w:t>
      </w:r>
      <w:r w:rsidRPr="00216D66">
        <w:rPr>
          <w:rFonts w:ascii="Arial" w:hAnsi="Arial" w:cs="Arial"/>
          <w:bCs/>
        </w:rPr>
        <w:t xml:space="preserve"> 2</w:t>
      </w:r>
      <w:r>
        <w:rPr>
          <w:rFonts w:ascii="Arial" w:hAnsi="Arial" w:cs="Arial"/>
          <w:bCs/>
        </w:rPr>
        <w:t>1/22 (both conversions of former Castorama stores).</w:t>
      </w:r>
      <w:bookmarkEnd w:id="72"/>
    </w:p>
    <w:p w14:paraId="6041CAE2" w14:textId="77777777" w:rsidR="00351421" w:rsidRDefault="00351421" w:rsidP="00351421">
      <w:pPr>
        <w:jc w:val="left"/>
        <w:rPr>
          <w:rFonts w:ascii="Arial" w:hAnsi="Arial" w:cs="Arial"/>
          <w:bCs/>
        </w:rPr>
      </w:pPr>
    </w:p>
    <w:p w14:paraId="57112C5F" w14:textId="77777777" w:rsidR="00351421" w:rsidRPr="00A845B7" w:rsidRDefault="00351421" w:rsidP="00351421">
      <w:pPr>
        <w:spacing w:after="200"/>
        <w:contextualSpacing/>
        <w:jc w:val="left"/>
        <w:rPr>
          <w:rFonts w:ascii="Arial" w:hAnsi="Arial" w:cs="Arial"/>
          <w:b/>
          <w:bCs/>
        </w:rPr>
      </w:pPr>
      <w:r w:rsidRPr="00A845B7">
        <w:rPr>
          <w:rFonts w:ascii="Arial" w:hAnsi="Arial" w:cs="Arial"/>
          <w:b/>
          <w:bCs/>
        </w:rPr>
        <w:t>OTHER INTERNATIONAL</w:t>
      </w:r>
    </w:p>
    <w:p w14:paraId="48E02469" w14:textId="77777777" w:rsidR="00351421" w:rsidRPr="00B61A2C" w:rsidRDefault="00351421" w:rsidP="00351421">
      <w:pPr>
        <w:jc w:val="left"/>
        <w:rPr>
          <w:rFonts w:ascii="Arial" w:hAnsi="Arial" w:cs="Arial"/>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9"/>
        <w:gridCol w:w="1074"/>
        <w:gridCol w:w="45"/>
        <w:gridCol w:w="24"/>
        <w:gridCol w:w="1095"/>
        <w:gridCol w:w="55"/>
        <w:gridCol w:w="10"/>
        <w:gridCol w:w="1264"/>
        <w:gridCol w:w="153"/>
        <w:gridCol w:w="51"/>
        <w:gridCol w:w="6"/>
        <w:gridCol w:w="8"/>
        <w:gridCol w:w="1111"/>
        <w:gridCol w:w="320"/>
        <w:gridCol w:w="45"/>
        <w:gridCol w:w="39"/>
        <w:gridCol w:w="6"/>
        <w:gridCol w:w="919"/>
        <w:gridCol w:w="247"/>
        <w:gridCol w:w="1135"/>
      </w:tblGrid>
      <w:tr w:rsidR="00351421" w:rsidRPr="00A845B7" w14:paraId="5E527487" w14:textId="77777777" w:rsidTr="007B244C">
        <w:tc>
          <w:tcPr>
            <w:tcW w:w="1268" w:type="pct"/>
            <w:gridSpan w:val="2"/>
            <w:tcBorders>
              <w:bottom w:val="single" w:sz="4" w:space="0" w:color="auto"/>
            </w:tcBorders>
          </w:tcPr>
          <w:p w14:paraId="59E19933" w14:textId="77777777" w:rsidR="00351421" w:rsidRPr="00E07790" w:rsidRDefault="00351421" w:rsidP="007B244C">
            <w:pPr>
              <w:jc w:val="left"/>
              <w:rPr>
                <w:rFonts w:ascii="Arial" w:hAnsi="Arial" w:cs="Arial"/>
                <w:bCs/>
              </w:rPr>
            </w:pPr>
            <w:bookmarkStart w:id="76" w:name="_Hlk34989938"/>
          </w:p>
        </w:tc>
        <w:tc>
          <w:tcPr>
            <w:tcW w:w="549" w:type="pct"/>
            <w:gridSpan w:val="2"/>
            <w:tcBorders>
              <w:bottom w:val="single" w:sz="4" w:space="0" w:color="auto"/>
            </w:tcBorders>
          </w:tcPr>
          <w:p w14:paraId="3EBF1730" w14:textId="77777777" w:rsidR="00351421" w:rsidRPr="00A845B7" w:rsidRDefault="00351421" w:rsidP="007B244C">
            <w:pPr>
              <w:jc w:val="right"/>
              <w:rPr>
                <w:rFonts w:ascii="Arial" w:hAnsi="Arial" w:cs="Arial"/>
              </w:rPr>
            </w:pPr>
            <w:r>
              <w:rPr>
                <w:rFonts w:ascii="Arial" w:hAnsi="Arial" w:cs="Arial"/>
                <w:b/>
                <w:bCs/>
              </w:rPr>
              <w:t>2021/22</w:t>
            </w:r>
          </w:p>
        </w:tc>
        <w:tc>
          <w:tcPr>
            <w:tcW w:w="549" w:type="pct"/>
            <w:gridSpan w:val="2"/>
            <w:tcBorders>
              <w:bottom w:val="single" w:sz="4" w:space="0" w:color="auto"/>
            </w:tcBorders>
          </w:tcPr>
          <w:p w14:paraId="43E9683A" w14:textId="77777777" w:rsidR="00351421" w:rsidRPr="00A845B7" w:rsidRDefault="00351421" w:rsidP="007B244C">
            <w:pPr>
              <w:jc w:val="right"/>
              <w:rPr>
                <w:rFonts w:ascii="Arial" w:hAnsi="Arial" w:cs="Arial"/>
                <w:b/>
                <w:bCs/>
              </w:rPr>
            </w:pPr>
            <w:r>
              <w:rPr>
                <w:rFonts w:ascii="Arial" w:hAnsi="Arial" w:cs="Arial"/>
                <w:b/>
                <w:bCs/>
              </w:rPr>
              <w:t>2020/21</w:t>
            </w:r>
          </w:p>
        </w:tc>
        <w:tc>
          <w:tcPr>
            <w:tcW w:w="752" w:type="pct"/>
            <w:gridSpan w:val="5"/>
            <w:tcBorders>
              <w:bottom w:val="single" w:sz="4" w:space="0" w:color="auto"/>
            </w:tcBorders>
          </w:tcPr>
          <w:p w14:paraId="6C50401A" w14:textId="77777777" w:rsidR="00351421" w:rsidRPr="00A845B7" w:rsidRDefault="00351421" w:rsidP="007B244C">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14:paraId="5DB806C7" w14:textId="77777777" w:rsidR="00351421" w:rsidRPr="00A845B7" w:rsidRDefault="00351421" w:rsidP="007B244C">
            <w:pPr>
              <w:jc w:val="right"/>
              <w:rPr>
                <w:rFonts w:ascii="Arial" w:hAnsi="Arial" w:cs="Arial"/>
                <w:b/>
                <w:bCs/>
              </w:rPr>
            </w:pPr>
          </w:p>
        </w:tc>
        <w:tc>
          <w:tcPr>
            <w:tcW w:w="750" w:type="pct"/>
            <w:gridSpan w:val="6"/>
            <w:tcBorders>
              <w:bottom w:val="single" w:sz="4" w:space="0" w:color="auto"/>
            </w:tcBorders>
          </w:tcPr>
          <w:p w14:paraId="77E8D855" w14:textId="77777777" w:rsidR="00351421" w:rsidRPr="00A845B7" w:rsidRDefault="00351421" w:rsidP="007B244C">
            <w:pPr>
              <w:jc w:val="right"/>
              <w:rPr>
                <w:rFonts w:ascii="Arial" w:hAnsi="Arial" w:cs="Arial"/>
                <w:b/>
                <w:bCs/>
              </w:rPr>
            </w:pPr>
            <w:r w:rsidRPr="00A845B7">
              <w:rPr>
                <w:rFonts w:ascii="Arial" w:hAnsi="Arial" w:cs="Arial"/>
                <w:b/>
                <w:bCs/>
              </w:rPr>
              <w:t>% Constant</w:t>
            </w:r>
          </w:p>
          <w:p w14:paraId="3AC01F21" w14:textId="77777777" w:rsidR="00351421" w:rsidRPr="00A845B7" w:rsidRDefault="00351421" w:rsidP="007B244C">
            <w:pPr>
              <w:jc w:val="right"/>
              <w:rPr>
                <w:rFonts w:ascii="Arial" w:hAnsi="Arial" w:cs="Arial"/>
                <w:b/>
                <w:bCs/>
              </w:rPr>
            </w:pPr>
            <w:r w:rsidRPr="00A845B7">
              <w:rPr>
                <w:rFonts w:ascii="Arial" w:hAnsi="Arial" w:cs="Arial"/>
                <w:b/>
                <w:bCs/>
              </w:rPr>
              <w:t>Currency</w:t>
            </w:r>
          </w:p>
          <w:p w14:paraId="7776FE57" w14:textId="77777777" w:rsidR="00351421" w:rsidRPr="00A845B7" w:rsidRDefault="00351421" w:rsidP="007B244C">
            <w:pPr>
              <w:jc w:val="right"/>
              <w:rPr>
                <w:rFonts w:ascii="Arial" w:hAnsi="Arial" w:cs="Arial"/>
                <w:b/>
                <w:bCs/>
              </w:rPr>
            </w:pPr>
            <w:r w:rsidRPr="00A845B7">
              <w:rPr>
                <w:rFonts w:ascii="Arial" w:hAnsi="Arial" w:cs="Arial"/>
                <w:b/>
                <w:bCs/>
              </w:rPr>
              <w:t xml:space="preserve">Change  </w:t>
            </w:r>
          </w:p>
        </w:tc>
        <w:tc>
          <w:tcPr>
            <w:tcW w:w="575" w:type="pct"/>
            <w:gridSpan w:val="3"/>
            <w:tcBorders>
              <w:bottom w:val="single" w:sz="4" w:space="0" w:color="auto"/>
            </w:tcBorders>
          </w:tcPr>
          <w:p w14:paraId="2B084924" w14:textId="77777777" w:rsidR="00351421" w:rsidRPr="00A845B7" w:rsidRDefault="00351421" w:rsidP="007B244C">
            <w:pPr>
              <w:ind w:hanging="108"/>
              <w:jc w:val="right"/>
              <w:rPr>
                <w:rFonts w:ascii="Arial" w:hAnsi="Arial" w:cs="Arial"/>
                <w:b/>
                <w:bCs/>
              </w:rPr>
            </w:pPr>
            <w:r w:rsidRPr="00A845B7">
              <w:rPr>
                <w:rFonts w:ascii="Arial" w:hAnsi="Arial" w:cs="Arial"/>
                <w:b/>
                <w:bCs/>
              </w:rPr>
              <w:t>% LFL</w:t>
            </w:r>
          </w:p>
          <w:p w14:paraId="77EAB587" w14:textId="77777777" w:rsidR="00351421" w:rsidRPr="00A845B7" w:rsidRDefault="00351421" w:rsidP="007B244C">
            <w:pPr>
              <w:ind w:hanging="108"/>
              <w:jc w:val="right"/>
              <w:rPr>
                <w:rFonts w:ascii="Arial" w:hAnsi="Arial" w:cs="Arial"/>
                <w:b/>
                <w:bCs/>
              </w:rPr>
            </w:pPr>
            <w:r w:rsidRPr="00A845B7">
              <w:rPr>
                <w:rFonts w:ascii="Arial" w:hAnsi="Arial" w:cs="Arial"/>
                <w:b/>
                <w:bCs/>
              </w:rPr>
              <w:t>Change</w:t>
            </w:r>
          </w:p>
        </w:tc>
        <w:tc>
          <w:tcPr>
            <w:tcW w:w="557" w:type="pct"/>
            <w:tcBorders>
              <w:bottom w:val="single" w:sz="4" w:space="0" w:color="auto"/>
            </w:tcBorders>
          </w:tcPr>
          <w:p w14:paraId="0242F8E1" w14:textId="77777777" w:rsidR="00351421" w:rsidRPr="00A845B7" w:rsidRDefault="00351421" w:rsidP="007B244C">
            <w:pPr>
              <w:ind w:hanging="108"/>
              <w:jc w:val="right"/>
              <w:rPr>
                <w:rFonts w:ascii="Arial" w:hAnsi="Arial" w:cs="Arial"/>
                <w:b/>
                <w:bCs/>
              </w:rPr>
            </w:pPr>
            <w:r>
              <w:rPr>
                <w:rFonts w:ascii="Arial" w:hAnsi="Arial" w:cs="Arial"/>
                <w:b/>
                <w:bCs/>
              </w:rPr>
              <w:t>% 2-year LFL Change</w:t>
            </w:r>
          </w:p>
        </w:tc>
      </w:tr>
      <w:tr w:rsidR="00351421" w:rsidRPr="00E04D40" w14:paraId="18873110" w14:textId="77777777" w:rsidTr="007B244C">
        <w:trPr>
          <w:trHeight w:val="147"/>
        </w:trPr>
        <w:tc>
          <w:tcPr>
            <w:tcW w:w="1268" w:type="pct"/>
            <w:gridSpan w:val="2"/>
            <w:tcBorders>
              <w:bottom w:val="single" w:sz="4" w:space="0" w:color="auto"/>
            </w:tcBorders>
            <w:shd w:val="clear" w:color="auto" w:fill="auto"/>
          </w:tcPr>
          <w:p w14:paraId="1C4D4001" w14:textId="77777777" w:rsidR="00351421" w:rsidRPr="005A48A0" w:rsidRDefault="00351421" w:rsidP="007B244C">
            <w:pPr>
              <w:jc w:val="left"/>
              <w:rPr>
                <w:rFonts w:ascii="Arial" w:hAnsi="Arial" w:cs="Arial"/>
                <w:b/>
              </w:rPr>
            </w:pPr>
            <w:r w:rsidRPr="005A48A0">
              <w:rPr>
                <w:rFonts w:ascii="Arial" w:hAnsi="Arial" w:cs="Arial"/>
                <w:b/>
              </w:rPr>
              <w:t>Sales (£m)</w:t>
            </w:r>
          </w:p>
        </w:tc>
        <w:tc>
          <w:tcPr>
            <w:tcW w:w="549" w:type="pct"/>
            <w:gridSpan w:val="2"/>
            <w:tcBorders>
              <w:bottom w:val="single" w:sz="4" w:space="0" w:color="auto"/>
            </w:tcBorders>
            <w:shd w:val="clear" w:color="auto" w:fill="auto"/>
          </w:tcPr>
          <w:p w14:paraId="5A9D327D" w14:textId="77777777" w:rsidR="00351421" w:rsidRPr="006A4180" w:rsidRDefault="00351421" w:rsidP="007B244C">
            <w:pPr>
              <w:jc w:val="right"/>
              <w:rPr>
                <w:rFonts w:ascii="Arial" w:hAnsi="Arial" w:cs="Arial"/>
                <w:highlight w:val="green"/>
              </w:rPr>
            </w:pPr>
          </w:p>
        </w:tc>
        <w:tc>
          <w:tcPr>
            <w:tcW w:w="549" w:type="pct"/>
            <w:gridSpan w:val="2"/>
            <w:tcBorders>
              <w:bottom w:val="single" w:sz="4" w:space="0" w:color="auto"/>
            </w:tcBorders>
            <w:shd w:val="clear" w:color="auto" w:fill="auto"/>
          </w:tcPr>
          <w:p w14:paraId="5BA6D43A" w14:textId="77777777" w:rsidR="00351421" w:rsidRPr="006A4180" w:rsidRDefault="00351421" w:rsidP="007B244C">
            <w:pPr>
              <w:jc w:val="right"/>
              <w:rPr>
                <w:rFonts w:ascii="Arial" w:hAnsi="Arial" w:cs="Arial"/>
                <w:highlight w:val="green"/>
              </w:rPr>
            </w:pPr>
          </w:p>
        </w:tc>
        <w:tc>
          <w:tcPr>
            <w:tcW w:w="752" w:type="pct"/>
            <w:gridSpan w:val="5"/>
            <w:tcBorders>
              <w:bottom w:val="single" w:sz="4" w:space="0" w:color="auto"/>
            </w:tcBorders>
            <w:shd w:val="clear" w:color="auto" w:fill="auto"/>
          </w:tcPr>
          <w:p w14:paraId="2A28A7B6" w14:textId="77777777" w:rsidR="00351421" w:rsidRPr="006A4180" w:rsidRDefault="00351421" w:rsidP="007B244C">
            <w:pPr>
              <w:jc w:val="right"/>
              <w:rPr>
                <w:rFonts w:ascii="Arial" w:hAnsi="Arial" w:cs="Arial"/>
                <w:highlight w:val="green"/>
              </w:rPr>
            </w:pPr>
          </w:p>
        </w:tc>
        <w:tc>
          <w:tcPr>
            <w:tcW w:w="750" w:type="pct"/>
            <w:gridSpan w:val="6"/>
            <w:tcBorders>
              <w:bottom w:val="single" w:sz="4" w:space="0" w:color="auto"/>
            </w:tcBorders>
            <w:shd w:val="clear" w:color="auto" w:fill="auto"/>
          </w:tcPr>
          <w:p w14:paraId="74B6C782" w14:textId="77777777" w:rsidR="00351421" w:rsidRPr="006A4180" w:rsidRDefault="00351421" w:rsidP="007B244C">
            <w:pPr>
              <w:jc w:val="right"/>
              <w:rPr>
                <w:rFonts w:ascii="Arial" w:hAnsi="Arial" w:cs="Arial"/>
                <w:highlight w:val="green"/>
              </w:rPr>
            </w:pPr>
          </w:p>
        </w:tc>
        <w:tc>
          <w:tcPr>
            <w:tcW w:w="575" w:type="pct"/>
            <w:gridSpan w:val="3"/>
            <w:tcBorders>
              <w:bottom w:val="single" w:sz="4" w:space="0" w:color="auto"/>
            </w:tcBorders>
            <w:shd w:val="clear" w:color="auto" w:fill="auto"/>
          </w:tcPr>
          <w:p w14:paraId="2310B0A0" w14:textId="77777777" w:rsidR="00351421" w:rsidRPr="006A4180" w:rsidRDefault="00351421" w:rsidP="007B244C">
            <w:pPr>
              <w:jc w:val="right"/>
              <w:rPr>
                <w:rFonts w:ascii="Arial" w:hAnsi="Arial" w:cs="Arial"/>
                <w:highlight w:val="green"/>
              </w:rPr>
            </w:pPr>
          </w:p>
        </w:tc>
        <w:tc>
          <w:tcPr>
            <w:tcW w:w="557" w:type="pct"/>
            <w:tcBorders>
              <w:bottom w:val="single" w:sz="4" w:space="0" w:color="auto"/>
            </w:tcBorders>
          </w:tcPr>
          <w:p w14:paraId="5254C144" w14:textId="77777777" w:rsidR="00351421" w:rsidRPr="006A4180" w:rsidRDefault="00351421" w:rsidP="007B244C">
            <w:pPr>
              <w:jc w:val="right"/>
              <w:rPr>
                <w:rFonts w:ascii="Arial" w:hAnsi="Arial" w:cs="Arial"/>
                <w:highlight w:val="green"/>
              </w:rPr>
            </w:pPr>
          </w:p>
        </w:tc>
      </w:tr>
      <w:bookmarkEnd w:id="76"/>
      <w:tr w:rsidR="00351421" w:rsidRPr="00375CE2" w14:paraId="0ED0EB2B" w14:textId="77777777" w:rsidTr="007B244C">
        <w:trPr>
          <w:trHeight w:val="147"/>
        </w:trPr>
        <w:tc>
          <w:tcPr>
            <w:tcW w:w="1268" w:type="pct"/>
            <w:gridSpan w:val="2"/>
            <w:tcBorders>
              <w:bottom w:val="single" w:sz="4" w:space="0" w:color="auto"/>
            </w:tcBorders>
            <w:shd w:val="clear" w:color="auto" w:fill="auto"/>
          </w:tcPr>
          <w:p w14:paraId="1571E0BF" w14:textId="77777777" w:rsidR="00351421" w:rsidRPr="002F6DC3" w:rsidRDefault="00351421" w:rsidP="007B244C">
            <w:pPr>
              <w:jc w:val="left"/>
              <w:rPr>
                <w:rFonts w:ascii="Arial" w:hAnsi="Arial" w:cs="Arial"/>
                <w:bCs/>
              </w:rPr>
            </w:pPr>
            <w:r w:rsidRPr="00380BAF">
              <w:rPr>
                <w:rFonts w:ascii="Arial" w:hAnsi="Arial" w:cs="Arial"/>
                <w:bCs/>
              </w:rPr>
              <w:t>Poland</w:t>
            </w:r>
          </w:p>
        </w:tc>
        <w:tc>
          <w:tcPr>
            <w:tcW w:w="549" w:type="pct"/>
            <w:gridSpan w:val="2"/>
            <w:tcBorders>
              <w:bottom w:val="single" w:sz="4" w:space="0" w:color="auto"/>
            </w:tcBorders>
            <w:shd w:val="clear" w:color="auto" w:fill="auto"/>
          </w:tcPr>
          <w:p w14:paraId="4CC7C020" w14:textId="77777777" w:rsidR="00351421" w:rsidRPr="00EA7C0B" w:rsidRDefault="00351421" w:rsidP="007B244C">
            <w:pPr>
              <w:jc w:val="right"/>
              <w:rPr>
                <w:rFonts w:ascii="Arial" w:hAnsi="Arial" w:cs="Arial"/>
                <w:bCs/>
              </w:rPr>
            </w:pPr>
            <w:r w:rsidRPr="00EA7C0B">
              <w:rPr>
                <w:rFonts w:ascii="Arial" w:hAnsi="Arial" w:cs="Arial"/>
                <w:bCs/>
              </w:rPr>
              <w:t>1,525</w:t>
            </w:r>
          </w:p>
        </w:tc>
        <w:tc>
          <w:tcPr>
            <w:tcW w:w="549" w:type="pct"/>
            <w:gridSpan w:val="2"/>
            <w:tcBorders>
              <w:bottom w:val="single" w:sz="4" w:space="0" w:color="auto"/>
            </w:tcBorders>
            <w:shd w:val="clear" w:color="auto" w:fill="auto"/>
          </w:tcPr>
          <w:p w14:paraId="26226311" w14:textId="77777777" w:rsidR="00351421" w:rsidRPr="0034640D" w:rsidDel="00C44530" w:rsidRDefault="00351421" w:rsidP="007B244C">
            <w:pPr>
              <w:jc w:val="right"/>
              <w:rPr>
                <w:rFonts w:ascii="Arial" w:hAnsi="Arial" w:cs="Arial"/>
                <w:bCs/>
              </w:rPr>
            </w:pPr>
            <w:r w:rsidRPr="0034640D">
              <w:rPr>
                <w:rFonts w:ascii="Arial" w:hAnsi="Arial" w:cs="Arial"/>
                <w:bCs/>
              </w:rPr>
              <w:t>1,550</w:t>
            </w:r>
          </w:p>
        </w:tc>
        <w:tc>
          <w:tcPr>
            <w:tcW w:w="752" w:type="pct"/>
            <w:gridSpan w:val="5"/>
            <w:tcBorders>
              <w:bottom w:val="single" w:sz="4" w:space="0" w:color="auto"/>
            </w:tcBorders>
            <w:shd w:val="clear" w:color="auto" w:fill="auto"/>
          </w:tcPr>
          <w:p w14:paraId="103F5C0B" w14:textId="77777777" w:rsidR="00351421" w:rsidRPr="00EA7C0B" w:rsidRDefault="00351421" w:rsidP="007B244C">
            <w:pPr>
              <w:jc w:val="right"/>
              <w:rPr>
                <w:rFonts w:ascii="Arial" w:hAnsi="Arial" w:cs="Arial"/>
                <w:bCs/>
              </w:rPr>
            </w:pPr>
            <w:r w:rsidRPr="00EA7C0B">
              <w:rPr>
                <w:rFonts w:ascii="Arial" w:hAnsi="Arial" w:cs="Arial"/>
                <w:bCs/>
              </w:rPr>
              <w:t>(1.6)%</w:t>
            </w:r>
          </w:p>
        </w:tc>
        <w:tc>
          <w:tcPr>
            <w:tcW w:w="750" w:type="pct"/>
            <w:gridSpan w:val="6"/>
            <w:tcBorders>
              <w:bottom w:val="single" w:sz="4" w:space="0" w:color="auto"/>
            </w:tcBorders>
            <w:shd w:val="clear" w:color="auto" w:fill="auto"/>
          </w:tcPr>
          <w:p w14:paraId="69BAD5CE" w14:textId="77777777" w:rsidR="00351421" w:rsidRPr="00EA7C0B" w:rsidRDefault="00351421" w:rsidP="007B244C">
            <w:pPr>
              <w:jc w:val="right"/>
              <w:rPr>
                <w:rFonts w:ascii="Arial" w:hAnsi="Arial" w:cs="Arial"/>
                <w:bCs/>
              </w:rPr>
            </w:pPr>
            <w:r w:rsidRPr="00EA7C0B">
              <w:rPr>
                <w:rFonts w:ascii="Arial" w:hAnsi="Arial" w:cs="Arial"/>
                <w:bCs/>
              </w:rPr>
              <w:t>+5.0%</w:t>
            </w:r>
          </w:p>
        </w:tc>
        <w:tc>
          <w:tcPr>
            <w:tcW w:w="575" w:type="pct"/>
            <w:gridSpan w:val="3"/>
            <w:tcBorders>
              <w:bottom w:val="single" w:sz="4" w:space="0" w:color="auto"/>
            </w:tcBorders>
            <w:shd w:val="clear" w:color="auto" w:fill="auto"/>
          </w:tcPr>
          <w:p w14:paraId="3FA92870" w14:textId="77777777" w:rsidR="00351421" w:rsidRPr="00EA7C0B" w:rsidRDefault="00351421" w:rsidP="007B244C">
            <w:pPr>
              <w:jc w:val="right"/>
              <w:rPr>
                <w:rFonts w:ascii="Arial" w:hAnsi="Arial" w:cs="Arial"/>
                <w:bCs/>
              </w:rPr>
            </w:pPr>
            <w:r w:rsidRPr="00EA7C0B">
              <w:rPr>
                <w:rFonts w:ascii="Arial" w:hAnsi="Arial" w:cs="Arial"/>
                <w:bCs/>
              </w:rPr>
              <w:t>+0.3%</w:t>
            </w:r>
          </w:p>
        </w:tc>
        <w:tc>
          <w:tcPr>
            <w:tcW w:w="557" w:type="pct"/>
            <w:tcBorders>
              <w:bottom w:val="single" w:sz="4" w:space="0" w:color="auto"/>
            </w:tcBorders>
            <w:shd w:val="clear" w:color="auto" w:fill="auto"/>
          </w:tcPr>
          <w:p w14:paraId="57811A0B" w14:textId="77777777" w:rsidR="00351421" w:rsidRPr="00EA7C0B" w:rsidRDefault="00351421" w:rsidP="007B244C">
            <w:pPr>
              <w:jc w:val="right"/>
              <w:rPr>
                <w:rFonts w:ascii="Arial" w:hAnsi="Arial" w:cs="Arial"/>
                <w:bCs/>
              </w:rPr>
            </w:pPr>
            <w:r w:rsidRPr="00EA7C0B">
              <w:rPr>
                <w:rFonts w:ascii="Arial" w:hAnsi="Arial" w:cs="Arial"/>
              </w:rPr>
              <w:t>+5.3%</w:t>
            </w:r>
          </w:p>
        </w:tc>
      </w:tr>
      <w:tr w:rsidR="00351421" w:rsidRPr="00375CE2" w14:paraId="4ADB9F2A" w14:textId="77777777" w:rsidTr="007B244C">
        <w:trPr>
          <w:trHeight w:val="147"/>
        </w:trPr>
        <w:tc>
          <w:tcPr>
            <w:tcW w:w="1268" w:type="pct"/>
            <w:gridSpan w:val="2"/>
            <w:tcBorders>
              <w:bottom w:val="single" w:sz="4" w:space="0" w:color="auto"/>
            </w:tcBorders>
            <w:shd w:val="clear" w:color="auto" w:fill="auto"/>
          </w:tcPr>
          <w:p w14:paraId="7FDA9BEC" w14:textId="77777777" w:rsidR="00351421" w:rsidRPr="002F6DC3" w:rsidRDefault="00351421" w:rsidP="007B244C">
            <w:pPr>
              <w:jc w:val="left"/>
              <w:rPr>
                <w:rFonts w:ascii="Arial" w:hAnsi="Arial" w:cs="Arial"/>
                <w:bCs/>
              </w:rPr>
            </w:pPr>
            <w:r w:rsidRPr="002F6DC3">
              <w:rPr>
                <w:rFonts w:ascii="Arial" w:hAnsi="Arial" w:cs="Arial"/>
                <w:bCs/>
              </w:rPr>
              <w:t>Iberia</w:t>
            </w:r>
          </w:p>
        </w:tc>
        <w:tc>
          <w:tcPr>
            <w:tcW w:w="549" w:type="pct"/>
            <w:gridSpan w:val="2"/>
            <w:tcBorders>
              <w:bottom w:val="single" w:sz="4" w:space="0" w:color="auto"/>
            </w:tcBorders>
            <w:shd w:val="clear" w:color="auto" w:fill="auto"/>
          </w:tcPr>
          <w:p w14:paraId="009C9BA2" w14:textId="77777777" w:rsidR="00351421" w:rsidRPr="00EA7C0B" w:rsidRDefault="00351421" w:rsidP="007B244C">
            <w:pPr>
              <w:jc w:val="right"/>
              <w:rPr>
                <w:rFonts w:ascii="Arial" w:hAnsi="Arial" w:cs="Arial"/>
                <w:bCs/>
              </w:rPr>
            </w:pPr>
            <w:r w:rsidRPr="00EA7C0B">
              <w:rPr>
                <w:rFonts w:ascii="Arial" w:hAnsi="Arial" w:cs="Arial"/>
                <w:bCs/>
              </w:rPr>
              <w:t>366</w:t>
            </w:r>
          </w:p>
        </w:tc>
        <w:tc>
          <w:tcPr>
            <w:tcW w:w="549" w:type="pct"/>
            <w:gridSpan w:val="2"/>
            <w:tcBorders>
              <w:bottom w:val="single" w:sz="4" w:space="0" w:color="auto"/>
            </w:tcBorders>
            <w:shd w:val="clear" w:color="auto" w:fill="auto"/>
          </w:tcPr>
          <w:p w14:paraId="130B42BD" w14:textId="77777777" w:rsidR="00351421" w:rsidRPr="0034640D" w:rsidDel="00C44530" w:rsidRDefault="00351421" w:rsidP="007B244C">
            <w:pPr>
              <w:jc w:val="right"/>
              <w:rPr>
                <w:rFonts w:ascii="Arial" w:hAnsi="Arial" w:cs="Arial"/>
                <w:bCs/>
              </w:rPr>
            </w:pPr>
            <w:r w:rsidRPr="0034640D">
              <w:rPr>
                <w:rFonts w:ascii="Arial" w:hAnsi="Arial" w:cs="Arial"/>
                <w:bCs/>
              </w:rPr>
              <w:t>310</w:t>
            </w:r>
          </w:p>
        </w:tc>
        <w:tc>
          <w:tcPr>
            <w:tcW w:w="752" w:type="pct"/>
            <w:gridSpan w:val="5"/>
            <w:tcBorders>
              <w:bottom w:val="single" w:sz="4" w:space="0" w:color="auto"/>
            </w:tcBorders>
            <w:shd w:val="clear" w:color="auto" w:fill="auto"/>
          </w:tcPr>
          <w:p w14:paraId="320BF892" w14:textId="77777777" w:rsidR="00351421" w:rsidRPr="00EA7C0B" w:rsidRDefault="00351421" w:rsidP="007B244C">
            <w:pPr>
              <w:jc w:val="right"/>
              <w:rPr>
                <w:rFonts w:ascii="Arial" w:hAnsi="Arial" w:cs="Arial"/>
                <w:bCs/>
              </w:rPr>
            </w:pPr>
            <w:r w:rsidRPr="00EA7C0B">
              <w:rPr>
                <w:rFonts w:ascii="Arial" w:hAnsi="Arial" w:cs="Arial"/>
                <w:bCs/>
              </w:rPr>
              <w:t>+18.0%</w:t>
            </w:r>
          </w:p>
        </w:tc>
        <w:tc>
          <w:tcPr>
            <w:tcW w:w="750" w:type="pct"/>
            <w:gridSpan w:val="6"/>
            <w:tcBorders>
              <w:bottom w:val="single" w:sz="4" w:space="0" w:color="auto"/>
            </w:tcBorders>
            <w:shd w:val="clear" w:color="auto" w:fill="auto"/>
          </w:tcPr>
          <w:p w14:paraId="104BC8F4" w14:textId="77777777" w:rsidR="00351421" w:rsidRPr="00EA7C0B" w:rsidRDefault="00351421" w:rsidP="007B244C">
            <w:pPr>
              <w:jc w:val="right"/>
              <w:rPr>
                <w:rFonts w:ascii="Arial" w:hAnsi="Arial" w:cs="Arial"/>
                <w:bCs/>
              </w:rPr>
            </w:pPr>
            <w:r w:rsidRPr="00EA7C0B">
              <w:rPr>
                <w:rFonts w:ascii="Arial" w:hAnsi="Arial" w:cs="Arial"/>
                <w:bCs/>
              </w:rPr>
              <w:t>+23.2%</w:t>
            </w:r>
          </w:p>
        </w:tc>
        <w:tc>
          <w:tcPr>
            <w:tcW w:w="575" w:type="pct"/>
            <w:gridSpan w:val="3"/>
            <w:tcBorders>
              <w:bottom w:val="single" w:sz="4" w:space="0" w:color="auto"/>
            </w:tcBorders>
            <w:shd w:val="clear" w:color="auto" w:fill="auto"/>
          </w:tcPr>
          <w:p w14:paraId="4668F48C" w14:textId="77777777" w:rsidR="00351421" w:rsidRPr="00EA7C0B" w:rsidRDefault="00351421" w:rsidP="007B244C">
            <w:pPr>
              <w:jc w:val="right"/>
              <w:rPr>
                <w:rFonts w:ascii="Arial" w:hAnsi="Arial" w:cs="Arial"/>
                <w:bCs/>
              </w:rPr>
            </w:pPr>
            <w:r w:rsidRPr="00EA7C0B">
              <w:rPr>
                <w:rFonts w:ascii="Arial" w:hAnsi="Arial" w:cs="Arial"/>
                <w:bCs/>
              </w:rPr>
              <w:t>+23.2%</w:t>
            </w:r>
          </w:p>
        </w:tc>
        <w:tc>
          <w:tcPr>
            <w:tcW w:w="557" w:type="pct"/>
            <w:tcBorders>
              <w:bottom w:val="single" w:sz="4" w:space="0" w:color="auto"/>
            </w:tcBorders>
            <w:shd w:val="clear" w:color="auto" w:fill="auto"/>
          </w:tcPr>
          <w:p w14:paraId="437A6E05" w14:textId="77777777" w:rsidR="00351421" w:rsidRPr="00EA7C0B" w:rsidRDefault="00351421" w:rsidP="007B244C">
            <w:pPr>
              <w:jc w:val="right"/>
              <w:rPr>
                <w:rFonts w:ascii="Arial" w:hAnsi="Arial" w:cs="Arial"/>
                <w:bCs/>
              </w:rPr>
            </w:pPr>
            <w:r w:rsidRPr="00EA7C0B">
              <w:rPr>
                <w:rFonts w:ascii="Arial" w:hAnsi="Arial" w:cs="Arial"/>
              </w:rPr>
              <w:t>+14.6%</w:t>
            </w:r>
          </w:p>
        </w:tc>
      </w:tr>
      <w:tr w:rsidR="00351421" w:rsidRPr="00375CE2" w14:paraId="2E221720" w14:textId="77777777" w:rsidTr="007B244C">
        <w:trPr>
          <w:trHeight w:val="147"/>
        </w:trPr>
        <w:tc>
          <w:tcPr>
            <w:tcW w:w="1268" w:type="pct"/>
            <w:gridSpan w:val="2"/>
            <w:tcBorders>
              <w:bottom w:val="single" w:sz="4" w:space="0" w:color="auto"/>
            </w:tcBorders>
            <w:shd w:val="clear" w:color="auto" w:fill="auto"/>
          </w:tcPr>
          <w:p w14:paraId="6675F6EE" w14:textId="77777777" w:rsidR="00351421" w:rsidRPr="002F6DC3" w:rsidRDefault="00351421" w:rsidP="007B244C">
            <w:pPr>
              <w:jc w:val="left"/>
              <w:rPr>
                <w:rFonts w:ascii="Arial" w:hAnsi="Arial" w:cs="Arial"/>
                <w:bCs/>
              </w:rPr>
            </w:pPr>
            <w:r w:rsidRPr="002F6DC3">
              <w:rPr>
                <w:rFonts w:ascii="Arial" w:hAnsi="Arial" w:cs="Arial"/>
                <w:bCs/>
              </w:rPr>
              <w:t>Romania</w:t>
            </w:r>
            <w:r w:rsidRPr="0072155A">
              <w:rPr>
                <w:rFonts w:ascii="Arial" w:hAnsi="Arial" w:cs="Arial"/>
                <w:sz w:val="18"/>
                <w:szCs w:val="18"/>
                <w:vertAlign w:val="superscript"/>
              </w:rPr>
              <w:t>±</w:t>
            </w:r>
          </w:p>
        </w:tc>
        <w:tc>
          <w:tcPr>
            <w:tcW w:w="549" w:type="pct"/>
            <w:gridSpan w:val="2"/>
            <w:tcBorders>
              <w:bottom w:val="single" w:sz="4" w:space="0" w:color="auto"/>
            </w:tcBorders>
            <w:shd w:val="clear" w:color="auto" w:fill="auto"/>
          </w:tcPr>
          <w:p w14:paraId="568EFF25" w14:textId="77777777" w:rsidR="00351421" w:rsidRPr="00EA7C0B" w:rsidRDefault="00351421" w:rsidP="007B244C">
            <w:pPr>
              <w:jc w:val="right"/>
              <w:rPr>
                <w:rFonts w:ascii="Arial" w:hAnsi="Arial" w:cs="Arial"/>
                <w:bCs/>
              </w:rPr>
            </w:pPr>
            <w:r w:rsidRPr="00EA7C0B">
              <w:rPr>
                <w:rFonts w:ascii="Arial" w:hAnsi="Arial" w:cs="Arial"/>
                <w:bCs/>
              </w:rPr>
              <w:t>279</w:t>
            </w:r>
          </w:p>
        </w:tc>
        <w:tc>
          <w:tcPr>
            <w:tcW w:w="549" w:type="pct"/>
            <w:gridSpan w:val="2"/>
            <w:tcBorders>
              <w:bottom w:val="single" w:sz="4" w:space="0" w:color="auto"/>
            </w:tcBorders>
            <w:shd w:val="clear" w:color="auto" w:fill="auto"/>
          </w:tcPr>
          <w:p w14:paraId="46DF23DB" w14:textId="77777777" w:rsidR="00351421" w:rsidRPr="0034640D" w:rsidDel="00C44530" w:rsidRDefault="00351421" w:rsidP="007B244C">
            <w:pPr>
              <w:jc w:val="right"/>
              <w:rPr>
                <w:rFonts w:ascii="Arial" w:hAnsi="Arial" w:cs="Arial"/>
                <w:bCs/>
              </w:rPr>
            </w:pPr>
            <w:r w:rsidRPr="0034640D">
              <w:rPr>
                <w:rFonts w:ascii="Arial" w:hAnsi="Arial" w:cs="Arial"/>
                <w:bCs/>
              </w:rPr>
              <w:t>242</w:t>
            </w:r>
          </w:p>
        </w:tc>
        <w:tc>
          <w:tcPr>
            <w:tcW w:w="752" w:type="pct"/>
            <w:gridSpan w:val="5"/>
            <w:tcBorders>
              <w:bottom w:val="single" w:sz="4" w:space="0" w:color="auto"/>
            </w:tcBorders>
            <w:shd w:val="clear" w:color="auto" w:fill="auto"/>
          </w:tcPr>
          <w:p w14:paraId="796F543C" w14:textId="77777777" w:rsidR="00351421" w:rsidRPr="00EA7C0B" w:rsidRDefault="00351421" w:rsidP="007B244C">
            <w:pPr>
              <w:jc w:val="right"/>
              <w:rPr>
                <w:rFonts w:ascii="Arial" w:hAnsi="Arial" w:cs="Arial"/>
                <w:bCs/>
              </w:rPr>
            </w:pPr>
            <w:r w:rsidRPr="00EA7C0B">
              <w:rPr>
                <w:rFonts w:ascii="Arial" w:hAnsi="Arial" w:cs="Arial"/>
                <w:bCs/>
              </w:rPr>
              <w:t>+15.6%</w:t>
            </w:r>
          </w:p>
        </w:tc>
        <w:tc>
          <w:tcPr>
            <w:tcW w:w="750" w:type="pct"/>
            <w:gridSpan w:val="6"/>
            <w:tcBorders>
              <w:bottom w:val="single" w:sz="4" w:space="0" w:color="auto"/>
            </w:tcBorders>
            <w:shd w:val="clear" w:color="auto" w:fill="auto"/>
          </w:tcPr>
          <w:p w14:paraId="3EFF6D2B" w14:textId="77777777" w:rsidR="00351421" w:rsidRPr="00EA7C0B" w:rsidRDefault="00351421" w:rsidP="007B244C">
            <w:pPr>
              <w:jc w:val="right"/>
              <w:rPr>
                <w:rFonts w:ascii="Arial" w:hAnsi="Arial" w:cs="Arial"/>
                <w:bCs/>
              </w:rPr>
            </w:pPr>
            <w:r w:rsidRPr="00EA7C0B">
              <w:rPr>
                <w:rFonts w:ascii="Arial" w:hAnsi="Arial" w:cs="Arial"/>
                <w:bCs/>
              </w:rPr>
              <w:t>+22.8%</w:t>
            </w:r>
          </w:p>
        </w:tc>
        <w:tc>
          <w:tcPr>
            <w:tcW w:w="575" w:type="pct"/>
            <w:gridSpan w:val="3"/>
            <w:tcBorders>
              <w:bottom w:val="single" w:sz="4" w:space="0" w:color="auto"/>
            </w:tcBorders>
            <w:shd w:val="clear" w:color="auto" w:fill="auto"/>
          </w:tcPr>
          <w:p w14:paraId="680BEFB2" w14:textId="77777777" w:rsidR="00351421" w:rsidRPr="00EA7C0B" w:rsidRDefault="00351421" w:rsidP="007B244C">
            <w:pPr>
              <w:jc w:val="right"/>
              <w:rPr>
                <w:rFonts w:ascii="Arial" w:hAnsi="Arial" w:cs="Arial"/>
                <w:bCs/>
              </w:rPr>
            </w:pPr>
            <w:r w:rsidRPr="00EA7C0B">
              <w:rPr>
                <w:rFonts w:ascii="Arial" w:hAnsi="Arial" w:cs="Arial"/>
                <w:bCs/>
              </w:rPr>
              <w:t>+15.0%</w:t>
            </w:r>
          </w:p>
        </w:tc>
        <w:tc>
          <w:tcPr>
            <w:tcW w:w="557" w:type="pct"/>
            <w:tcBorders>
              <w:bottom w:val="single" w:sz="4" w:space="0" w:color="auto"/>
            </w:tcBorders>
            <w:shd w:val="clear" w:color="auto" w:fill="auto"/>
          </w:tcPr>
          <w:p w14:paraId="2CF78124" w14:textId="77777777" w:rsidR="00351421" w:rsidRPr="00EA7C0B" w:rsidRDefault="00351421" w:rsidP="007B244C">
            <w:pPr>
              <w:jc w:val="right"/>
              <w:rPr>
                <w:rFonts w:ascii="Arial" w:hAnsi="Arial" w:cs="Arial"/>
                <w:bCs/>
              </w:rPr>
            </w:pPr>
            <w:r w:rsidRPr="00EA7C0B">
              <w:rPr>
                <w:rFonts w:ascii="Arial" w:hAnsi="Arial" w:cs="Arial"/>
              </w:rPr>
              <w:t>+28.0%</w:t>
            </w:r>
          </w:p>
        </w:tc>
      </w:tr>
      <w:tr w:rsidR="00351421" w:rsidRPr="00375CE2" w14:paraId="13EC6B11" w14:textId="77777777" w:rsidTr="007B244C">
        <w:trPr>
          <w:trHeight w:val="147"/>
        </w:trPr>
        <w:tc>
          <w:tcPr>
            <w:tcW w:w="1268" w:type="pct"/>
            <w:gridSpan w:val="2"/>
            <w:tcBorders>
              <w:bottom w:val="single" w:sz="4" w:space="0" w:color="auto"/>
            </w:tcBorders>
            <w:shd w:val="clear" w:color="auto" w:fill="auto"/>
          </w:tcPr>
          <w:p w14:paraId="6CDDE051" w14:textId="77777777" w:rsidR="00351421" w:rsidRPr="00F532CC" w:rsidRDefault="00351421" w:rsidP="007B244C">
            <w:pPr>
              <w:jc w:val="left"/>
              <w:rPr>
                <w:rFonts w:ascii="Arial" w:hAnsi="Arial" w:cs="Arial"/>
              </w:rPr>
            </w:pPr>
            <w:r w:rsidRPr="00F532CC">
              <w:rPr>
                <w:rFonts w:ascii="Arial" w:hAnsi="Arial" w:cs="Arial"/>
              </w:rPr>
              <w:t>Other</w:t>
            </w:r>
            <w:r w:rsidRPr="0072155A">
              <w:rPr>
                <w:rFonts w:ascii="Arial" w:hAnsi="Arial" w:cs="Arial"/>
                <w:sz w:val="18"/>
                <w:szCs w:val="18"/>
                <w:vertAlign w:val="superscript"/>
              </w:rPr>
              <w:t>±±</w:t>
            </w:r>
          </w:p>
        </w:tc>
        <w:tc>
          <w:tcPr>
            <w:tcW w:w="549" w:type="pct"/>
            <w:gridSpan w:val="2"/>
            <w:tcBorders>
              <w:bottom w:val="single" w:sz="4" w:space="0" w:color="auto"/>
            </w:tcBorders>
            <w:shd w:val="clear" w:color="auto" w:fill="auto"/>
          </w:tcPr>
          <w:p w14:paraId="16F37E63" w14:textId="77777777" w:rsidR="00351421" w:rsidRPr="00EA7C0B" w:rsidDel="004B58E6" w:rsidRDefault="00351421" w:rsidP="007B244C">
            <w:pPr>
              <w:jc w:val="right"/>
              <w:rPr>
                <w:rFonts w:ascii="Arial" w:hAnsi="Arial" w:cs="Arial"/>
              </w:rPr>
            </w:pPr>
            <w:r w:rsidRPr="00EA7C0B">
              <w:rPr>
                <w:rFonts w:ascii="Arial" w:hAnsi="Arial" w:cs="Arial"/>
              </w:rPr>
              <w:t>10</w:t>
            </w:r>
          </w:p>
        </w:tc>
        <w:tc>
          <w:tcPr>
            <w:tcW w:w="549" w:type="pct"/>
            <w:gridSpan w:val="2"/>
            <w:tcBorders>
              <w:bottom w:val="single" w:sz="4" w:space="0" w:color="auto"/>
            </w:tcBorders>
            <w:shd w:val="clear" w:color="auto" w:fill="auto"/>
          </w:tcPr>
          <w:p w14:paraId="1644524A" w14:textId="77777777" w:rsidR="00351421" w:rsidRPr="0034640D" w:rsidRDefault="00351421" w:rsidP="007B244C">
            <w:pPr>
              <w:jc w:val="right"/>
              <w:rPr>
                <w:rFonts w:ascii="Arial" w:hAnsi="Arial" w:cs="Arial"/>
              </w:rPr>
            </w:pPr>
            <w:r w:rsidRPr="0034640D">
              <w:rPr>
                <w:rFonts w:ascii="Arial" w:hAnsi="Arial" w:cs="Arial"/>
                <w:bCs/>
              </w:rPr>
              <w:t>-</w:t>
            </w:r>
          </w:p>
        </w:tc>
        <w:tc>
          <w:tcPr>
            <w:tcW w:w="752" w:type="pct"/>
            <w:gridSpan w:val="5"/>
            <w:tcBorders>
              <w:bottom w:val="single" w:sz="4" w:space="0" w:color="auto"/>
            </w:tcBorders>
            <w:shd w:val="clear" w:color="auto" w:fill="auto"/>
          </w:tcPr>
          <w:p w14:paraId="5615AECF" w14:textId="77777777" w:rsidR="00351421" w:rsidRPr="00EA7C0B" w:rsidDel="00B95E8C" w:rsidRDefault="00351421" w:rsidP="007B244C">
            <w:pPr>
              <w:jc w:val="right"/>
              <w:rPr>
                <w:rFonts w:ascii="Arial" w:hAnsi="Arial" w:cs="Arial"/>
              </w:rPr>
            </w:pPr>
            <w:r w:rsidRPr="00EA7C0B">
              <w:rPr>
                <w:rFonts w:ascii="Arial" w:hAnsi="Arial" w:cs="Arial"/>
              </w:rPr>
              <w:t>n/a</w:t>
            </w:r>
          </w:p>
        </w:tc>
        <w:tc>
          <w:tcPr>
            <w:tcW w:w="750" w:type="pct"/>
            <w:gridSpan w:val="6"/>
            <w:tcBorders>
              <w:bottom w:val="single" w:sz="4" w:space="0" w:color="auto"/>
            </w:tcBorders>
            <w:shd w:val="clear" w:color="auto" w:fill="auto"/>
          </w:tcPr>
          <w:p w14:paraId="18E01172" w14:textId="77777777" w:rsidR="00351421" w:rsidRPr="00EA7C0B" w:rsidDel="00B95E8C" w:rsidRDefault="00351421" w:rsidP="007B244C">
            <w:pPr>
              <w:jc w:val="right"/>
              <w:rPr>
                <w:rFonts w:ascii="Arial" w:hAnsi="Arial" w:cs="Arial"/>
              </w:rPr>
            </w:pPr>
            <w:r w:rsidRPr="00EA7C0B">
              <w:rPr>
                <w:rFonts w:ascii="Arial" w:hAnsi="Arial" w:cs="Arial"/>
              </w:rPr>
              <w:t xml:space="preserve"> n/a</w:t>
            </w:r>
          </w:p>
        </w:tc>
        <w:tc>
          <w:tcPr>
            <w:tcW w:w="575" w:type="pct"/>
            <w:gridSpan w:val="3"/>
            <w:tcBorders>
              <w:bottom w:val="single" w:sz="4" w:space="0" w:color="auto"/>
            </w:tcBorders>
            <w:shd w:val="clear" w:color="auto" w:fill="auto"/>
          </w:tcPr>
          <w:p w14:paraId="6709F883" w14:textId="77777777" w:rsidR="00351421" w:rsidRPr="00EA7C0B" w:rsidRDefault="00351421" w:rsidP="007B244C">
            <w:pPr>
              <w:jc w:val="right"/>
              <w:rPr>
                <w:rFonts w:ascii="Arial" w:hAnsi="Arial" w:cs="Arial"/>
              </w:rPr>
            </w:pPr>
            <w:r w:rsidRPr="00EA7C0B">
              <w:rPr>
                <w:rFonts w:ascii="Arial" w:hAnsi="Arial" w:cs="Arial"/>
              </w:rPr>
              <w:t xml:space="preserve"> n/a</w:t>
            </w:r>
          </w:p>
        </w:tc>
        <w:tc>
          <w:tcPr>
            <w:tcW w:w="557" w:type="pct"/>
            <w:tcBorders>
              <w:bottom w:val="single" w:sz="4" w:space="0" w:color="auto"/>
            </w:tcBorders>
            <w:shd w:val="clear" w:color="auto" w:fill="auto"/>
          </w:tcPr>
          <w:p w14:paraId="048F98FA" w14:textId="77777777" w:rsidR="00351421" w:rsidRPr="00EA7C0B" w:rsidRDefault="00351421" w:rsidP="007B244C">
            <w:pPr>
              <w:jc w:val="right"/>
              <w:rPr>
                <w:rFonts w:ascii="Arial" w:hAnsi="Arial" w:cs="Arial"/>
              </w:rPr>
            </w:pPr>
            <w:r w:rsidRPr="00EA7C0B">
              <w:rPr>
                <w:rFonts w:ascii="Arial" w:hAnsi="Arial" w:cs="Arial"/>
              </w:rPr>
              <w:t xml:space="preserve"> n/a</w:t>
            </w:r>
          </w:p>
        </w:tc>
      </w:tr>
      <w:tr w:rsidR="00351421" w:rsidRPr="00375CE2" w14:paraId="02F0A288" w14:textId="77777777" w:rsidTr="007B244C">
        <w:trPr>
          <w:trHeight w:val="147"/>
        </w:trPr>
        <w:tc>
          <w:tcPr>
            <w:tcW w:w="1268" w:type="pct"/>
            <w:gridSpan w:val="2"/>
            <w:tcBorders>
              <w:bottom w:val="single" w:sz="4" w:space="0" w:color="auto"/>
            </w:tcBorders>
            <w:shd w:val="clear" w:color="auto" w:fill="auto"/>
          </w:tcPr>
          <w:p w14:paraId="6FD42026" w14:textId="77777777" w:rsidR="00351421" w:rsidRPr="005A48A0" w:rsidRDefault="00351421" w:rsidP="007B244C">
            <w:pPr>
              <w:jc w:val="left"/>
              <w:rPr>
                <w:rFonts w:ascii="Arial" w:hAnsi="Arial" w:cs="Arial"/>
                <w:b/>
                <w:bCs/>
              </w:rPr>
            </w:pPr>
            <w:r w:rsidRPr="0024302E">
              <w:rPr>
                <w:rFonts w:ascii="Arial" w:hAnsi="Arial" w:cs="Arial"/>
                <w:b/>
                <w:bCs/>
              </w:rPr>
              <w:t xml:space="preserve">Other International </w:t>
            </w:r>
            <w:r w:rsidRPr="005A48A0">
              <w:rPr>
                <w:rFonts w:ascii="Arial" w:hAnsi="Arial" w:cs="Arial"/>
                <w:b/>
                <w:bCs/>
              </w:rPr>
              <w:t>(ex-Russia)</w:t>
            </w:r>
          </w:p>
        </w:tc>
        <w:tc>
          <w:tcPr>
            <w:tcW w:w="549" w:type="pct"/>
            <w:gridSpan w:val="2"/>
            <w:tcBorders>
              <w:bottom w:val="single" w:sz="4" w:space="0" w:color="auto"/>
            </w:tcBorders>
            <w:shd w:val="clear" w:color="auto" w:fill="auto"/>
          </w:tcPr>
          <w:p w14:paraId="37E23BC1" w14:textId="77777777" w:rsidR="00351421" w:rsidRPr="00EA7C0B" w:rsidRDefault="00351421" w:rsidP="007B244C">
            <w:pPr>
              <w:jc w:val="right"/>
              <w:rPr>
                <w:rFonts w:ascii="Arial" w:hAnsi="Arial" w:cs="Arial"/>
                <w:b/>
                <w:bCs/>
              </w:rPr>
            </w:pPr>
            <w:r w:rsidRPr="00EA7C0B">
              <w:rPr>
                <w:rFonts w:ascii="Arial" w:hAnsi="Arial" w:cs="Arial"/>
                <w:b/>
                <w:bCs/>
              </w:rPr>
              <w:t>2,180</w:t>
            </w:r>
          </w:p>
        </w:tc>
        <w:tc>
          <w:tcPr>
            <w:tcW w:w="549" w:type="pct"/>
            <w:gridSpan w:val="2"/>
            <w:tcBorders>
              <w:bottom w:val="single" w:sz="4" w:space="0" w:color="auto"/>
            </w:tcBorders>
            <w:shd w:val="clear" w:color="auto" w:fill="auto"/>
          </w:tcPr>
          <w:p w14:paraId="7D1B2EF4" w14:textId="77777777" w:rsidR="00351421" w:rsidRPr="0034640D" w:rsidRDefault="00351421" w:rsidP="007B244C">
            <w:pPr>
              <w:jc w:val="right"/>
              <w:rPr>
                <w:rFonts w:ascii="Arial" w:hAnsi="Arial" w:cs="Arial"/>
                <w:b/>
                <w:bCs/>
              </w:rPr>
            </w:pPr>
            <w:r w:rsidRPr="0034640D">
              <w:rPr>
                <w:rFonts w:ascii="Arial" w:hAnsi="Arial" w:cs="Arial"/>
                <w:b/>
                <w:bCs/>
              </w:rPr>
              <w:t>2,102</w:t>
            </w:r>
          </w:p>
        </w:tc>
        <w:tc>
          <w:tcPr>
            <w:tcW w:w="752" w:type="pct"/>
            <w:gridSpan w:val="5"/>
            <w:tcBorders>
              <w:bottom w:val="single" w:sz="4" w:space="0" w:color="auto"/>
            </w:tcBorders>
            <w:shd w:val="clear" w:color="auto" w:fill="auto"/>
          </w:tcPr>
          <w:p w14:paraId="16E550A9" w14:textId="77777777" w:rsidR="00351421" w:rsidRPr="00EA7C0B" w:rsidRDefault="00351421" w:rsidP="007B244C">
            <w:pPr>
              <w:jc w:val="right"/>
              <w:rPr>
                <w:rFonts w:ascii="Arial" w:hAnsi="Arial" w:cs="Arial"/>
                <w:b/>
                <w:bCs/>
              </w:rPr>
            </w:pPr>
            <w:r w:rsidRPr="00EA7C0B">
              <w:rPr>
                <w:rFonts w:ascii="Arial" w:hAnsi="Arial" w:cs="Arial"/>
                <w:b/>
                <w:bCs/>
              </w:rPr>
              <w:t>+3.7%</w:t>
            </w:r>
          </w:p>
        </w:tc>
        <w:tc>
          <w:tcPr>
            <w:tcW w:w="750" w:type="pct"/>
            <w:gridSpan w:val="6"/>
            <w:tcBorders>
              <w:bottom w:val="single" w:sz="4" w:space="0" w:color="auto"/>
            </w:tcBorders>
            <w:shd w:val="clear" w:color="auto" w:fill="auto"/>
          </w:tcPr>
          <w:p w14:paraId="76542D59" w14:textId="77777777" w:rsidR="00351421" w:rsidRPr="00EA7C0B" w:rsidRDefault="00351421" w:rsidP="007B244C">
            <w:pPr>
              <w:jc w:val="right"/>
              <w:rPr>
                <w:rFonts w:ascii="Arial" w:hAnsi="Arial" w:cs="Arial"/>
                <w:b/>
                <w:bCs/>
              </w:rPr>
            </w:pPr>
            <w:r w:rsidRPr="00EA7C0B">
              <w:rPr>
                <w:rFonts w:ascii="Arial" w:hAnsi="Arial" w:cs="Arial"/>
                <w:b/>
                <w:bCs/>
              </w:rPr>
              <w:t>+10.3%</w:t>
            </w:r>
          </w:p>
        </w:tc>
        <w:tc>
          <w:tcPr>
            <w:tcW w:w="575" w:type="pct"/>
            <w:gridSpan w:val="3"/>
            <w:tcBorders>
              <w:bottom w:val="single" w:sz="4" w:space="0" w:color="auto"/>
            </w:tcBorders>
            <w:shd w:val="clear" w:color="auto" w:fill="auto"/>
          </w:tcPr>
          <w:p w14:paraId="165C93E4" w14:textId="77777777" w:rsidR="00351421" w:rsidRPr="00EA7C0B" w:rsidRDefault="00351421" w:rsidP="007B244C">
            <w:pPr>
              <w:jc w:val="right"/>
              <w:rPr>
                <w:rFonts w:ascii="Arial" w:hAnsi="Arial" w:cs="Arial"/>
                <w:b/>
                <w:bCs/>
              </w:rPr>
            </w:pPr>
            <w:r w:rsidRPr="00EA7C0B">
              <w:rPr>
                <w:rFonts w:ascii="Arial" w:hAnsi="Arial" w:cs="Arial"/>
                <w:b/>
                <w:bCs/>
              </w:rPr>
              <w:t>+5.5%</w:t>
            </w:r>
          </w:p>
        </w:tc>
        <w:tc>
          <w:tcPr>
            <w:tcW w:w="557" w:type="pct"/>
            <w:tcBorders>
              <w:bottom w:val="single" w:sz="4" w:space="0" w:color="auto"/>
            </w:tcBorders>
            <w:shd w:val="clear" w:color="auto" w:fill="auto"/>
          </w:tcPr>
          <w:p w14:paraId="78A23C4F" w14:textId="77777777" w:rsidR="00351421" w:rsidRPr="00EA7C0B" w:rsidRDefault="00351421" w:rsidP="007B244C">
            <w:pPr>
              <w:jc w:val="right"/>
              <w:rPr>
                <w:rFonts w:ascii="Arial" w:hAnsi="Arial" w:cs="Arial"/>
                <w:b/>
                <w:bCs/>
              </w:rPr>
            </w:pPr>
            <w:r w:rsidRPr="00EA7C0B">
              <w:rPr>
                <w:rFonts w:ascii="Arial" w:hAnsi="Arial" w:cs="Arial"/>
                <w:b/>
                <w:bCs/>
              </w:rPr>
              <w:t>+9.2%</w:t>
            </w:r>
          </w:p>
        </w:tc>
      </w:tr>
      <w:tr w:rsidR="00351421" w:rsidRPr="00375CE2" w14:paraId="5B1438D6" w14:textId="77777777" w:rsidTr="007B244C">
        <w:trPr>
          <w:trHeight w:val="147"/>
        </w:trPr>
        <w:tc>
          <w:tcPr>
            <w:tcW w:w="1268" w:type="pct"/>
            <w:gridSpan w:val="2"/>
            <w:tcBorders>
              <w:bottom w:val="single" w:sz="4" w:space="0" w:color="auto"/>
            </w:tcBorders>
            <w:shd w:val="clear" w:color="auto" w:fill="auto"/>
          </w:tcPr>
          <w:p w14:paraId="6497EA62" w14:textId="77777777" w:rsidR="00351421" w:rsidRPr="00380BAF" w:rsidRDefault="00351421" w:rsidP="007B244C">
            <w:pPr>
              <w:jc w:val="left"/>
              <w:rPr>
                <w:rFonts w:ascii="Arial" w:hAnsi="Arial" w:cs="Arial"/>
                <w:bCs/>
              </w:rPr>
            </w:pPr>
            <w:r w:rsidRPr="00380BAF">
              <w:rPr>
                <w:rFonts w:ascii="Arial" w:hAnsi="Arial" w:cs="Arial"/>
                <w:bCs/>
              </w:rPr>
              <w:t>Russia</w:t>
            </w:r>
          </w:p>
        </w:tc>
        <w:tc>
          <w:tcPr>
            <w:tcW w:w="549" w:type="pct"/>
            <w:gridSpan w:val="2"/>
            <w:tcBorders>
              <w:bottom w:val="single" w:sz="4" w:space="0" w:color="auto"/>
            </w:tcBorders>
            <w:shd w:val="clear" w:color="auto" w:fill="auto"/>
          </w:tcPr>
          <w:p w14:paraId="3307AD89" w14:textId="77777777" w:rsidR="00351421" w:rsidRPr="00EA7C0B" w:rsidRDefault="00351421" w:rsidP="007B244C">
            <w:pPr>
              <w:jc w:val="right"/>
              <w:rPr>
                <w:rFonts w:ascii="Arial" w:hAnsi="Arial" w:cs="Arial"/>
                <w:bCs/>
              </w:rPr>
            </w:pPr>
            <w:r w:rsidRPr="00EA7C0B">
              <w:rPr>
                <w:rFonts w:ascii="Arial" w:hAnsi="Arial" w:cs="Arial"/>
                <w:bCs/>
              </w:rPr>
              <w:t>-</w:t>
            </w:r>
          </w:p>
        </w:tc>
        <w:tc>
          <w:tcPr>
            <w:tcW w:w="549" w:type="pct"/>
            <w:gridSpan w:val="2"/>
            <w:tcBorders>
              <w:bottom w:val="single" w:sz="4" w:space="0" w:color="auto"/>
            </w:tcBorders>
            <w:shd w:val="clear" w:color="auto" w:fill="auto"/>
          </w:tcPr>
          <w:p w14:paraId="48993BE2" w14:textId="77777777" w:rsidR="00351421" w:rsidRPr="0034640D" w:rsidRDefault="00351421" w:rsidP="007B244C">
            <w:pPr>
              <w:jc w:val="right"/>
              <w:rPr>
                <w:rFonts w:ascii="Arial" w:hAnsi="Arial" w:cs="Arial"/>
                <w:bCs/>
              </w:rPr>
            </w:pPr>
            <w:r w:rsidRPr="0034640D">
              <w:rPr>
                <w:rFonts w:ascii="Arial" w:hAnsi="Arial" w:cs="Arial"/>
                <w:bCs/>
              </w:rPr>
              <w:t>189</w:t>
            </w:r>
          </w:p>
        </w:tc>
        <w:tc>
          <w:tcPr>
            <w:tcW w:w="752" w:type="pct"/>
            <w:gridSpan w:val="5"/>
            <w:tcBorders>
              <w:bottom w:val="single" w:sz="4" w:space="0" w:color="auto"/>
            </w:tcBorders>
            <w:shd w:val="clear" w:color="auto" w:fill="auto"/>
          </w:tcPr>
          <w:p w14:paraId="399B2225" w14:textId="77777777" w:rsidR="00351421" w:rsidRPr="00EA7C0B" w:rsidRDefault="00351421" w:rsidP="007B244C">
            <w:pPr>
              <w:jc w:val="right"/>
              <w:rPr>
                <w:rFonts w:ascii="Arial" w:hAnsi="Arial" w:cs="Arial"/>
                <w:bCs/>
              </w:rPr>
            </w:pPr>
            <w:r w:rsidRPr="00EA7C0B">
              <w:rPr>
                <w:rFonts w:ascii="Arial" w:hAnsi="Arial" w:cs="Arial"/>
                <w:bCs/>
              </w:rPr>
              <w:t>(100.0)%</w:t>
            </w:r>
          </w:p>
        </w:tc>
        <w:tc>
          <w:tcPr>
            <w:tcW w:w="750" w:type="pct"/>
            <w:gridSpan w:val="6"/>
            <w:tcBorders>
              <w:bottom w:val="single" w:sz="4" w:space="0" w:color="auto"/>
            </w:tcBorders>
            <w:shd w:val="clear" w:color="auto" w:fill="auto"/>
          </w:tcPr>
          <w:p w14:paraId="0F79C581" w14:textId="77777777" w:rsidR="00351421" w:rsidRPr="00EA7C0B" w:rsidRDefault="00351421" w:rsidP="007B244C">
            <w:pPr>
              <w:jc w:val="right"/>
              <w:rPr>
                <w:rFonts w:ascii="Arial" w:hAnsi="Arial" w:cs="Arial"/>
                <w:bCs/>
              </w:rPr>
            </w:pPr>
            <w:r w:rsidRPr="00EA7C0B">
              <w:rPr>
                <w:rFonts w:ascii="Arial" w:hAnsi="Arial" w:cs="Arial"/>
                <w:bCs/>
              </w:rPr>
              <w:t>(100.0)%</w:t>
            </w:r>
          </w:p>
        </w:tc>
        <w:tc>
          <w:tcPr>
            <w:tcW w:w="575" w:type="pct"/>
            <w:gridSpan w:val="3"/>
            <w:tcBorders>
              <w:bottom w:val="single" w:sz="4" w:space="0" w:color="auto"/>
            </w:tcBorders>
            <w:shd w:val="clear" w:color="auto" w:fill="auto"/>
          </w:tcPr>
          <w:p w14:paraId="4D9A9418" w14:textId="77777777" w:rsidR="00351421" w:rsidRPr="00EA7C0B" w:rsidRDefault="00351421" w:rsidP="007B244C">
            <w:pPr>
              <w:jc w:val="right"/>
              <w:rPr>
                <w:rFonts w:ascii="Arial" w:hAnsi="Arial" w:cs="Arial"/>
                <w:bCs/>
              </w:rPr>
            </w:pPr>
            <w:r w:rsidRPr="00EA7C0B">
              <w:rPr>
                <w:rFonts w:ascii="Arial" w:hAnsi="Arial" w:cs="Arial"/>
              </w:rPr>
              <w:t>n/a</w:t>
            </w:r>
          </w:p>
        </w:tc>
        <w:tc>
          <w:tcPr>
            <w:tcW w:w="557" w:type="pct"/>
            <w:tcBorders>
              <w:bottom w:val="single" w:sz="4" w:space="0" w:color="auto"/>
            </w:tcBorders>
            <w:shd w:val="clear" w:color="auto" w:fill="auto"/>
          </w:tcPr>
          <w:p w14:paraId="3E303955" w14:textId="77777777" w:rsidR="00351421" w:rsidRPr="00EA7C0B" w:rsidRDefault="00351421" w:rsidP="007B244C">
            <w:pPr>
              <w:jc w:val="right"/>
              <w:rPr>
                <w:rFonts w:ascii="Arial" w:hAnsi="Arial" w:cs="Arial"/>
                <w:bCs/>
              </w:rPr>
            </w:pPr>
            <w:r w:rsidRPr="00EA7C0B">
              <w:rPr>
                <w:rFonts w:ascii="Arial" w:hAnsi="Arial" w:cs="Arial"/>
              </w:rPr>
              <w:t>n/a</w:t>
            </w:r>
          </w:p>
        </w:tc>
      </w:tr>
      <w:tr w:rsidR="00351421" w:rsidRPr="00375CE2" w14:paraId="7537798D" w14:textId="77777777" w:rsidTr="007B244C">
        <w:trPr>
          <w:trHeight w:val="147"/>
        </w:trPr>
        <w:tc>
          <w:tcPr>
            <w:tcW w:w="1268" w:type="pct"/>
            <w:gridSpan w:val="2"/>
            <w:tcBorders>
              <w:bottom w:val="single" w:sz="4" w:space="0" w:color="auto"/>
            </w:tcBorders>
            <w:shd w:val="clear" w:color="auto" w:fill="auto"/>
          </w:tcPr>
          <w:p w14:paraId="31D5441B" w14:textId="77777777" w:rsidR="00351421" w:rsidRPr="00123D08" w:rsidRDefault="00351421" w:rsidP="007B244C">
            <w:pPr>
              <w:jc w:val="left"/>
              <w:rPr>
                <w:rFonts w:ascii="Arial" w:hAnsi="Arial" w:cs="Arial"/>
                <w:b/>
              </w:rPr>
            </w:pPr>
            <w:r w:rsidRPr="00123D08">
              <w:rPr>
                <w:rFonts w:ascii="Arial" w:hAnsi="Arial" w:cs="Arial"/>
                <w:b/>
              </w:rPr>
              <w:t>Other International</w:t>
            </w:r>
          </w:p>
        </w:tc>
        <w:tc>
          <w:tcPr>
            <w:tcW w:w="549" w:type="pct"/>
            <w:gridSpan w:val="2"/>
            <w:tcBorders>
              <w:bottom w:val="single" w:sz="4" w:space="0" w:color="auto"/>
            </w:tcBorders>
            <w:shd w:val="clear" w:color="auto" w:fill="auto"/>
          </w:tcPr>
          <w:p w14:paraId="5DA29BE5" w14:textId="77777777" w:rsidR="00351421" w:rsidRPr="00EA7C0B" w:rsidRDefault="00351421" w:rsidP="007B244C">
            <w:pPr>
              <w:jc w:val="right"/>
              <w:rPr>
                <w:rFonts w:ascii="Arial" w:hAnsi="Arial" w:cs="Arial"/>
                <w:b/>
                <w:bCs/>
              </w:rPr>
            </w:pPr>
            <w:r w:rsidRPr="00EA7C0B">
              <w:rPr>
                <w:rFonts w:ascii="Arial" w:hAnsi="Arial" w:cs="Arial"/>
                <w:b/>
                <w:bCs/>
              </w:rPr>
              <w:t>2,180</w:t>
            </w:r>
          </w:p>
        </w:tc>
        <w:tc>
          <w:tcPr>
            <w:tcW w:w="549" w:type="pct"/>
            <w:gridSpan w:val="2"/>
            <w:tcBorders>
              <w:bottom w:val="single" w:sz="4" w:space="0" w:color="auto"/>
            </w:tcBorders>
            <w:shd w:val="clear" w:color="auto" w:fill="auto"/>
          </w:tcPr>
          <w:p w14:paraId="42438319" w14:textId="77777777" w:rsidR="00351421" w:rsidRPr="0034640D" w:rsidRDefault="00351421" w:rsidP="007B244C">
            <w:pPr>
              <w:jc w:val="right"/>
              <w:rPr>
                <w:rFonts w:ascii="Arial" w:hAnsi="Arial" w:cs="Arial"/>
                <w:b/>
                <w:bCs/>
              </w:rPr>
            </w:pPr>
            <w:r w:rsidRPr="0034640D">
              <w:rPr>
                <w:rFonts w:ascii="Arial" w:hAnsi="Arial" w:cs="Arial"/>
                <w:b/>
                <w:bCs/>
              </w:rPr>
              <w:t>2,291</w:t>
            </w:r>
          </w:p>
        </w:tc>
        <w:tc>
          <w:tcPr>
            <w:tcW w:w="752" w:type="pct"/>
            <w:gridSpan w:val="5"/>
            <w:tcBorders>
              <w:bottom w:val="single" w:sz="4" w:space="0" w:color="auto"/>
            </w:tcBorders>
            <w:shd w:val="clear" w:color="auto" w:fill="auto"/>
          </w:tcPr>
          <w:p w14:paraId="330926EE" w14:textId="77777777" w:rsidR="00351421" w:rsidRPr="00EA7C0B" w:rsidRDefault="00351421" w:rsidP="007B244C">
            <w:pPr>
              <w:jc w:val="right"/>
              <w:rPr>
                <w:rFonts w:ascii="Arial" w:hAnsi="Arial" w:cs="Arial"/>
                <w:b/>
                <w:bCs/>
              </w:rPr>
            </w:pPr>
            <w:r w:rsidRPr="00EA7C0B">
              <w:rPr>
                <w:rFonts w:ascii="Arial" w:hAnsi="Arial" w:cs="Arial"/>
                <w:b/>
                <w:bCs/>
              </w:rPr>
              <w:t>(4.8)%</w:t>
            </w:r>
          </w:p>
        </w:tc>
        <w:tc>
          <w:tcPr>
            <w:tcW w:w="750" w:type="pct"/>
            <w:gridSpan w:val="6"/>
            <w:tcBorders>
              <w:bottom w:val="single" w:sz="4" w:space="0" w:color="auto"/>
            </w:tcBorders>
            <w:shd w:val="clear" w:color="auto" w:fill="auto"/>
          </w:tcPr>
          <w:p w14:paraId="012751EE" w14:textId="77777777" w:rsidR="00351421" w:rsidRPr="00EA7C0B" w:rsidRDefault="00351421" w:rsidP="007B244C">
            <w:pPr>
              <w:jc w:val="right"/>
              <w:rPr>
                <w:rFonts w:ascii="Arial" w:hAnsi="Arial" w:cs="Arial"/>
                <w:b/>
                <w:bCs/>
              </w:rPr>
            </w:pPr>
            <w:r w:rsidRPr="00EA7C0B">
              <w:rPr>
                <w:rFonts w:ascii="Arial" w:hAnsi="Arial" w:cs="Arial"/>
                <w:b/>
                <w:bCs/>
              </w:rPr>
              <w:t>+1.5%</w:t>
            </w:r>
          </w:p>
        </w:tc>
        <w:tc>
          <w:tcPr>
            <w:tcW w:w="575" w:type="pct"/>
            <w:gridSpan w:val="3"/>
            <w:tcBorders>
              <w:bottom w:val="single" w:sz="4" w:space="0" w:color="auto"/>
            </w:tcBorders>
            <w:shd w:val="clear" w:color="auto" w:fill="auto"/>
          </w:tcPr>
          <w:p w14:paraId="5C7EC64A" w14:textId="77777777" w:rsidR="00351421" w:rsidRPr="00EA7C0B" w:rsidRDefault="00351421" w:rsidP="007B244C">
            <w:pPr>
              <w:jc w:val="right"/>
              <w:rPr>
                <w:rFonts w:ascii="Arial" w:hAnsi="Arial" w:cs="Arial"/>
                <w:b/>
                <w:bCs/>
              </w:rPr>
            </w:pPr>
            <w:r w:rsidRPr="00EA7C0B">
              <w:rPr>
                <w:rFonts w:ascii="Arial" w:hAnsi="Arial" w:cs="Arial"/>
                <w:b/>
                <w:bCs/>
              </w:rPr>
              <w:t>+5.5%</w:t>
            </w:r>
          </w:p>
        </w:tc>
        <w:tc>
          <w:tcPr>
            <w:tcW w:w="557" w:type="pct"/>
            <w:tcBorders>
              <w:bottom w:val="single" w:sz="4" w:space="0" w:color="auto"/>
            </w:tcBorders>
            <w:shd w:val="clear" w:color="auto" w:fill="auto"/>
          </w:tcPr>
          <w:p w14:paraId="0689F2E2" w14:textId="77777777" w:rsidR="00351421" w:rsidRPr="00EA7C0B" w:rsidRDefault="00351421" w:rsidP="007B244C">
            <w:pPr>
              <w:jc w:val="right"/>
              <w:rPr>
                <w:rFonts w:ascii="Arial" w:hAnsi="Arial" w:cs="Arial"/>
                <w:b/>
                <w:bCs/>
              </w:rPr>
            </w:pPr>
            <w:r w:rsidRPr="00EA7C0B">
              <w:rPr>
                <w:rFonts w:ascii="Arial" w:hAnsi="Arial" w:cs="Arial"/>
                <w:b/>
                <w:bCs/>
              </w:rPr>
              <w:t>+9.2%</w:t>
            </w:r>
          </w:p>
        </w:tc>
      </w:tr>
      <w:tr w:rsidR="00351421" w:rsidRPr="00375CE2" w14:paraId="7902B9C5" w14:textId="77777777" w:rsidTr="007B244C">
        <w:trPr>
          <w:gridAfter w:val="2"/>
          <w:wAfter w:w="678" w:type="pct"/>
        </w:trPr>
        <w:tc>
          <w:tcPr>
            <w:tcW w:w="1234" w:type="pct"/>
            <w:tcBorders>
              <w:top w:val="nil"/>
              <w:left w:val="nil"/>
              <w:bottom w:val="single" w:sz="4" w:space="0" w:color="auto"/>
              <w:right w:val="nil"/>
            </w:tcBorders>
          </w:tcPr>
          <w:p w14:paraId="6C3F11ED" w14:textId="77777777" w:rsidR="00351421" w:rsidRPr="00E83051" w:rsidRDefault="00351421" w:rsidP="007B244C">
            <w:pPr>
              <w:jc w:val="left"/>
              <w:rPr>
                <w:rFonts w:ascii="Arial" w:hAnsi="Arial" w:cs="Arial"/>
              </w:rPr>
            </w:pPr>
          </w:p>
        </w:tc>
        <w:tc>
          <w:tcPr>
            <w:tcW w:w="561" w:type="pct"/>
            <w:gridSpan w:val="2"/>
            <w:tcBorders>
              <w:top w:val="nil"/>
              <w:left w:val="nil"/>
              <w:bottom w:val="nil"/>
              <w:right w:val="nil"/>
            </w:tcBorders>
          </w:tcPr>
          <w:p w14:paraId="4A9FAD1B" w14:textId="77777777" w:rsidR="00351421" w:rsidRPr="00375CE2" w:rsidRDefault="00351421" w:rsidP="007B244C">
            <w:pPr>
              <w:jc w:val="left"/>
              <w:rPr>
                <w:rFonts w:ascii="Arial" w:hAnsi="Arial" w:cs="Arial"/>
                <w:highlight w:val="yellow"/>
              </w:rPr>
            </w:pPr>
          </w:p>
        </w:tc>
        <w:tc>
          <w:tcPr>
            <w:tcW w:w="571" w:type="pct"/>
            <w:gridSpan w:val="3"/>
            <w:tcBorders>
              <w:top w:val="nil"/>
              <w:left w:val="nil"/>
              <w:bottom w:val="nil"/>
              <w:right w:val="nil"/>
            </w:tcBorders>
          </w:tcPr>
          <w:p w14:paraId="6AC0AFF6" w14:textId="77777777" w:rsidR="00351421" w:rsidRPr="00375CE2" w:rsidRDefault="00351421" w:rsidP="007B244C">
            <w:pPr>
              <w:jc w:val="left"/>
              <w:rPr>
                <w:rFonts w:ascii="Arial" w:hAnsi="Arial" w:cs="Arial"/>
                <w:highlight w:val="yellow"/>
              </w:rPr>
            </w:pPr>
          </w:p>
        </w:tc>
        <w:tc>
          <w:tcPr>
            <w:tcW w:w="652" w:type="pct"/>
            <w:gridSpan w:val="3"/>
            <w:tcBorders>
              <w:top w:val="nil"/>
              <w:left w:val="nil"/>
              <w:bottom w:val="nil"/>
              <w:right w:val="nil"/>
            </w:tcBorders>
          </w:tcPr>
          <w:p w14:paraId="7D2B5152" w14:textId="77777777" w:rsidR="00351421" w:rsidRPr="00375CE2" w:rsidRDefault="00351421" w:rsidP="007B244C">
            <w:pPr>
              <w:jc w:val="left"/>
              <w:rPr>
                <w:rFonts w:ascii="Arial" w:hAnsi="Arial" w:cs="Arial"/>
                <w:highlight w:val="yellow"/>
              </w:rPr>
            </w:pPr>
          </w:p>
        </w:tc>
        <w:tc>
          <w:tcPr>
            <w:tcW w:w="652" w:type="pct"/>
            <w:gridSpan w:val="5"/>
            <w:tcBorders>
              <w:top w:val="nil"/>
              <w:left w:val="nil"/>
              <w:bottom w:val="nil"/>
              <w:right w:val="nil"/>
            </w:tcBorders>
          </w:tcPr>
          <w:p w14:paraId="01DBB8A5" w14:textId="77777777" w:rsidR="00351421" w:rsidRPr="00375CE2" w:rsidRDefault="00351421" w:rsidP="007B244C">
            <w:pPr>
              <w:jc w:val="left"/>
              <w:rPr>
                <w:rFonts w:ascii="Arial" w:hAnsi="Arial" w:cs="Arial"/>
                <w:highlight w:val="yellow"/>
              </w:rPr>
            </w:pPr>
          </w:p>
        </w:tc>
        <w:tc>
          <w:tcPr>
            <w:tcW w:w="652" w:type="pct"/>
            <w:gridSpan w:val="5"/>
            <w:tcBorders>
              <w:top w:val="nil"/>
              <w:left w:val="nil"/>
              <w:bottom w:val="nil"/>
              <w:right w:val="nil"/>
            </w:tcBorders>
          </w:tcPr>
          <w:p w14:paraId="65473D2C" w14:textId="77777777" w:rsidR="00351421" w:rsidRPr="00375CE2" w:rsidRDefault="00351421" w:rsidP="007B244C">
            <w:pPr>
              <w:jc w:val="left"/>
              <w:rPr>
                <w:rFonts w:ascii="Arial" w:hAnsi="Arial" w:cs="Arial"/>
                <w:highlight w:val="yellow"/>
              </w:rPr>
            </w:pPr>
          </w:p>
        </w:tc>
      </w:tr>
      <w:tr w:rsidR="00351421" w:rsidRPr="00375CE2" w14:paraId="2228D1DD" w14:textId="77777777" w:rsidTr="007B244C">
        <w:trPr>
          <w:gridAfter w:val="5"/>
          <w:wAfter w:w="1151" w:type="pct"/>
        </w:trPr>
        <w:tc>
          <w:tcPr>
            <w:tcW w:w="1268" w:type="pct"/>
            <w:gridSpan w:val="2"/>
            <w:tcBorders>
              <w:top w:val="single" w:sz="4" w:space="0" w:color="auto"/>
              <w:right w:val="single" w:sz="4" w:space="0" w:color="auto"/>
            </w:tcBorders>
          </w:tcPr>
          <w:p w14:paraId="789DA3EA" w14:textId="77777777" w:rsidR="00351421" w:rsidRPr="005A48A0" w:rsidRDefault="00351421" w:rsidP="007B244C">
            <w:pPr>
              <w:jc w:val="left"/>
              <w:rPr>
                <w:rFonts w:ascii="Arial" w:hAnsi="Arial" w:cs="Arial"/>
                <w:b/>
                <w:bCs/>
              </w:rPr>
            </w:pPr>
            <w:r w:rsidRPr="005A48A0">
              <w:rPr>
                <w:rFonts w:ascii="Arial" w:hAnsi="Arial" w:cs="Arial"/>
                <w:b/>
                <w:bCs/>
              </w:rPr>
              <w:t>Retail profit</w:t>
            </w:r>
            <w:r>
              <w:rPr>
                <w:rFonts w:ascii="Arial" w:hAnsi="Arial" w:cs="Arial"/>
                <w:b/>
                <w:bCs/>
              </w:rPr>
              <w:t xml:space="preserve"> (£m)</w:t>
            </w:r>
          </w:p>
        </w:tc>
        <w:tc>
          <w:tcPr>
            <w:tcW w:w="561" w:type="pct"/>
            <w:gridSpan w:val="3"/>
            <w:tcBorders>
              <w:top w:val="nil"/>
              <w:left w:val="single" w:sz="4" w:space="0" w:color="auto"/>
              <w:bottom w:val="single" w:sz="4" w:space="0" w:color="auto"/>
              <w:right w:val="nil"/>
            </w:tcBorders>
          </w:tcPr>
          <w:p w14:paraId="52A630D5" w14:textId="77777777" w:rsidR="00351421" w:rsidRPr="00375CE2" w:rsidRDefault="00351421" w:rsidP="007B244C">
            <w:pPr>
              <w:jc w:val="right"/>
              <w:rPr>
                <w:rFonts w:ascii="Arial" w:hAnsi="Arial" w:cs="Arial"/>
                <w:highlight w:val="yellow"/>
              </w:rPr>
            </w:pPr>
          </w:p>
        </w:tc>
        <w:tc>
          <w:tcPr>
            <w:tcW w:w="564" w:type="pct"/>
            <w:gridSpan w:val="2"/>
            <w:tcBorders>
              <w:top w:val="nil"/>
              <w:left w:val="nil"/>
              <w:bottom w:val="single" w:sz="4" w:space="0" w:color="auto"/>
              <w:right w:val="nil"/>
            </w:tcBorders>
          </w:tcPr>
          <w:p w14:paraId="4CAC39B7" w14:textId="77777777" w:rsidR="00351421" w:rsidRPr="00375CE2" w:rsidRDefault="00351421" w:rsidP="007B244C">
            <w:pPr>
              <w:jc w:val="right"/>
              <w:rPr>
                <w:rFonts w:ascii="Arial" w:hAnsi="Arial" w:cs="Arial"/>
                <w:highlight w:val="yellow"/>
              </w:rPr>
            </w:pPr>
          </w:p>
        </w:tc>
        <w:tc>
          <w:tcPr>
            <w:tcW w:w="728" w:type="pct"/>
            <w:gridSpan w:val="5"/>
            <w:tcBorders>
              <w:top w:val="nil"/>
              <w:left w:val="nil"/>
              <w:bottom w:val="single" w:sz="4" w:space="0" w:color="auto"/>
              <w:right w:val="nil"/>
            </w:tcBorders>
            <w:shd w:val="clear" w:color="auto" w:fill="auto"/>
          </w:tcPr>
          <w:p w14:paraId="062EEF43" w14:textId="77777777" w:rsidR="00351421" w:rsidRPr="00375CE2" w:rsidRDefault="00351421" w:rsidP="007B244C">
            <w:pPr>
              <w:jc w:val="right"/>
              <w:rPr>
                <w:rFonts w:ascii="Arial" w:hAnsi="Arial" w:cs="Arial"/>
                <w:highlight w:val="yellow"/>
              </w:rPr>
            </w:pPr>
          </w:p>
        </w:tc>
        <w:tc>
          <w:tcPr>
            <w:tcW w:w="728" w:type="pct"/>
            <w:gridSpan w:val="4"/>
            <w:tcBorders>
              <w:top w:val="nil"/>
              <w:left w:val="nil"/>
              <w:bottom w:val="single" w:sz="4" w:space="0" w:color="auto"/>
              <w:right w:val="nil"/>
            </w:tcBorders>
          </w:tcPr>
          <w:p w14:paraId="519D7F48" w14:textId="77777777" w:rsidR="00351421" w:rsidRPr="00375CE2" w:rsidRDefault="00351421" w:rsidP="007B244C">
            <w:pPr>
              <w:jc w:val="right"/>
              <w:rPr>
                <w:rFonts w:ascii="Arial" w:hAnsi="Arial" w:cs="Arial"/>
                <w:highlight w:val="yellow"/>
              </w:rPr>
            </w:pPr>
          </w:p>
        </w:tc>
      </w:tr>
      <w:tr w:rsidR="00351421" w:rsidRPr="00375CE2" w14:paraId="70B97D9E" w14:textId="77777777" w:rsidTr="007B244C">
        <w:trPr>
          <w:gridAfter w:val="3"/>
          <w:wAfter w:w="1129" w:type="pct"/>
        </w:trPr>
        <w:tc>
          <w:tcPr>
            <w:tcW w:w="1268" w:type="pct"/>
            <w:gridSpan w:val="2"/>
            <w:tcBorders>
              <w:top w:val="single" w:sz="4" w:space="0" w:color="auto"/>
            </w:tcBorders>
          </w:tcPr>
          <w:p w14:paraId="1307C38F" w14:textId="77777777" w:rsidR="00351421" w:rsidRPr="000278B9" w:rsidRDefault="00351421" w:rsidP="007B244C">
            <w:pPr>
              <w:jc w:val="left"/>
              <w:rPr>
                <w:rFonts w:ascii="Arial" w:hAnsi="Arial" w:cs="Arial"/>
                <w:bCs/>
              </w:rPr>
            </w:pPr>
            <w:r w:rsidRPr="000278B9">
              <w:rPr>
                <w:rFonts w:ascii="Arial" w:hAnsi="Arial" w:cs="Arial"/>
              </w:rPr>
              <w:t>Poland</w:t>
            </w:r>
          </w:p>
        </w:tc>
        <w:tc>
          <w:tcPr>
            <w:tcW w:w="549" w:type="pct"/>
            <w:gridSpan w:val="2"/>
            <w:tcBorders>
              <w:top w:val="single" w:sz="4" w:space="0" w:color="auto"/>
            </w:tcBorders>
          </w:tcPr>
          <w:p w14:paraId="2BE6083D" w14:textId="77777777" w:rsidR="00351421" w:rsidRPr="00EA7C0B" w:rsidRDefault="00351421" w:rsidP="007B244C">
            <w:pPr>
              <w:jc w:val="right"/>
              <w:rPr>
                <w:rFonts w:ascii="Arial" w:hAnsi="Arial" w:cs="Arial"/>
              </w:rPr>
            </w:pPr>
            <w:r w:rsidRPr="00EA7C0B">
              <w:rPr>
                <w:rFonts w:ascii="Arial" w:hAnsi="Arial" w:cs="Arial"/>
              </w:rPr>
              <w:t>135</w:t>
            </w:r>
          </w:p>
        </w:tc>
        <w:tc>
          <w:tcPr>
            <w:tcW w:w="549" w:type="pct"/>
            <w:gridSpan w:val="2"/>
            <w:tcBorders>
              <w:top w:val="single" w:sz="4" w:space="0" w:color="auto"/>
            </w:tcBorders>
          </w:tcPr>
          <w:p w14:paraId="32D6C3FC" w14:textId="77777777" w:rsidR="00351421" w:rsidRPr="00C13754" w:rsidRDefault="00351421" w:rsidP="007B244C">
            <w:pPr>
              <w:jc w:val="right"/>
              <w:rPr>
                <w:rFonts w:ascii="Arial" w:hAnsi="Arial" w:cs="Arial"/>
              </w:rPr>
            </w:pPr>
            <w:r w:rsidRPr="00C13754">
              <w:rPr>
                <w:rFonts w:ascii="Arial" w:hAnsi="Arial" w:cs="Arial"/>
              </w:rPr>
              <w:t>146</w:t>
            </w:r>
          </w:p>
        </w:tc>
        <w:tc>
          <w:tcPr>
            <w:tcW w:w="755" w:type="pct"/>
            <w:gridSpan w:val="6"/>
            <w:tcBorders>
              <w:top w:val="single" w:sz="4" w:space="0" w:color="auto"/>
            </w:tcBorders>
            <w:shd w:val="clear" w:color="auto" w:fill="auto"/>
          </w:tcPr>
          <w:p w14:paraId="74295A62" w14:textId="77777777" w:rsidR="00351421" w:rsidRPr="00EA7C0B" w:rsidRDefault="00351421" w:rsidP="007B244C">
            <w:pPr>
              <w:jc w:val="right"/>
              <w:rPr>
                <w:rFonts w:ascii="Arial" w:hAnsi="Arial" w:cs="Arial"/>
              </w:rPr>
            </w:pPr>
            <w:r w:rsidRPr="00EA7C0B">
              <w:rPr>
                <w:rFonts w:ascii="Arial" w:hAnsi="Arial" w:cs="Arial"/>
              </w:rPr>
              <w:t>(7.7)%</w:t>
            </w:r>
          </w:p>
        </w:tc>
        <w:tc>
          <w:tcPr>
            <w:tcW w:w="750" w:type="pct"/>
            <w:gridSpan w:val="6"/>
            <w:tcBorders>
              <w:top w:val="single" w:sz="4" w:space="0" w:color="auto"/>
            </w:tcBorders>
          </w:tcPr>
          <w:p w14:paraId="717D5883" w14:textId="77777777" w:rsidR="00351421" w:rsidRPr="00EA7C0B" w:rsidRDefault="00351421" w:rsidP="007B244C">
            <w:pPr>
              <w:jc w:val="right"/>
              <w:rPr>
                <w:rFonts w:ascii="Arial" w:hAnsi="Arial" w:cs="Arial"/>
              </w:rPr>
            </w:pPr>
            <w:r w:rsidRPr="00EA7C0B">
              <w:rPr>
                <w:rFonts w:ascii="Arial" w:hAnsi="Arial" w:cs="Arial"/>
              </w:rPr>
              <w:t>(</w:t>
            </w:r>
            <w:r>
              <w:rPr>
                <w:rFonts w:ascii="Arial" w:hAnsi="Arial" w:cs="Arial"/>
              </w:rPr>
              <w:t>1.5</w:t>
            </w:r>
            <w:r w:rsidRPr="00EA7C0B">
              <w:rPr>
                <w:rFonts w:ascii="Arial" w:hAnsi="Arial" w:cs="Arial"/>
              </w:rPr>
              <w:t>)%</w:t>
            </w:r>
          </w:p>
        </w:tc>
      </w:tr>
      <w:tr w:rsidR="00F416FA" w:rsidRPr="00375CE2" w14:paraId="2DEBDD45" w14:textId="77777777" w:rsidTr="007B244C">
        <w:trPr>
          <w:gridAfter w:val="3"/>
          <w:wAfter w:w="1129" w:type="pct"/>
        </w:trPr>
        <w:tc>
          <w:tcPr>
            <w:tcW w:w="1268" w:type="pct"/>
            <w:gridSpan w:val="2"/>
            <w:tcBorders>
              <w:top w:val="single" w:sz="4" w:space="0" w:color="auto"/>
            </w:tcBorders>
          </w:tcPr>
          <w:p w14:paraId="1715031F" w14:textId="77777777" w:rsidR="00F416FA" w:rsidRDefault="00F416FA" w:rsidP="00F416FA">
            <w:pPr>
              <w:jc w:val="left"/>
              <w:rPr>
                <w:rFonts w:ascii="Arial" w:hAnsi="Arial" w:cs="Arial"/>
              </w:rPr>
            </w:pPr>
            <w:r>
              <w:rPr>
                <w:rFonts w:ascii="Arial" w:hAnsi="Arial" w:cs="Arial"/>
              </w:rPr>
              <w:t>Iberia</w:t>
            </w:r>
          </w:p>
        </w:tc>
        <w:tc>
          <w:tcPr>
            <w:tcW w:w="549" w:type="pct"/>
            <w:gridSpan w:val="2"/>
            <w:tcBorders>
              <w:top w:val="single" w:sz="4" w:space="0" w:color="auto"/>
            </w:tcBorders>
          </w:tcPr>
          <w:p w14:paraId="1C258552" w14:textId="77777777" w:rsidR="00F416FA" w:rsidRPr="00EA7C0B" w:rsidRDefault="00F416FA" w:rsidP="00F416FA">
            <w:pPr>
              <w:jc w:val="right"/>
              <w:rPr>
                <w:rFonts w:ascii="Arial" w:hAnsi="Arial" w:cs="Arial"/>
              </w:rPr>
            </w:pPr>
            <w:r w:rsidRPr="00EA7C0B">
              <w:rPr>
                <w:rFonts w:ascii="Arial" w:hAnsi="Arial" w:cs="Arial"/>
              </w:rPr>
              <w:t>1</w:t>
            </w:r>
            <w:r>
              <w:rPr>
                <w:rFonts w:ascii="Arial" w:hAnsi="Arial" w:cs="Arial"/>
              </w:rPr>
              <w:t>2</w:t>
            </w:r>
          </w:p>
        </w:tc>
        <w:tc>
          <w:tcPr>
            <w:tcW w:w="549" w:type="pct"/>
            <w:gridSpan w:val="2"/>
            <w:tcBorders>
              <w:top w:val="single" w:sz="4" w:space="0" w:color="auto"/>
            </w:tcBorders>
          </w:tcPr>
          <w:p w14:paraId="66785216" w14:textId="77777777" w:rsidR="00F416FA" w:rsidRPr="00C13754" w:rsidRDefault="00F416FA" w:rsidP="00F416FA">
            <w:pPr>
              <w:jc w:val="right"/>
              <w:rPr>
                <w:rFonts w:ascii="Arial" w:hAnsi="Arial" w:cs="Arial"/>
              </w:rPr>
            </w:pPr>
            <w:r w:rsidRPr="00C13754">
              <w:rPr>
                <w:rFonts w:ascii="Arial" w:hAnsi="Arial" w:cs="Arial"/>
              </w:rPr>
              <w:t>3</w:t>
            </w:r>
          </w:p>
        </w:tc>
        <w:tc>
          <w:tcPr>
            <w:tcW w:w="755" w:type="pct"/>
            <w:gridSpan w:val="6"/>
            <w:tcBorders>
              <w:top w:val="single" w:sz="4" w:space="0" w:color="auto"/>
            </w:tcBorders>
            <w:shd w:val="clear" w:color="auto" w:fill="auto"/>
          </w:tcPr>
          <w:p w14:paraId="30F1F1C8" w14:textId="78C37C5D" w:rsidR="00F416FA" w:rsidRPr="00EA7C0B" w:rsidRDefault="00F416FA" w:rsidP="00F416FA">
            <w:pPr>
              <w:jc w:val="right"/>
              <w:rPr>
                <w:rFonts w:ascii="Arial" w:hAnsi="Arial" w:cs="Arial"/>
              </w:rPr>
            </w:pPr>
            <w:r w:rsidRPr="00EA7C0B">
              <w:rPr>
                <w:rFonts w:ascii="Arial" w:hAnsi="Arial" w:cs="Arial"/>
              </w:rPr>
              <w:t>n/a</w:t>
            </w:r>
          </w:p>
        </w:tc>
        <w:tc>
          <w:tcPr>
            <w:tcW w:w="750" w:type="pct"/>
            <w:gridSpan w:val="6"/>
            <w:tcBorders>
              <w:top w:val="single" w:sz="4" w:space="0" w:color="auto"/>
            </w:tcBorders>
          </w:tcPr>
          <w:p w14:paraId="4CD54CB0" w14:textId="7E8702A7" w:rsidR="00F416FA" w:rsidRPr="00EA7C0B" w:rsidRDefault="00F416FA" w:rsidP="00F416FA">
            <w:pPr>
              <w:jc w:val="right"/>
              <w:rPr>
                <w:rFonts w:ascii="Arial" w:hAnsi="Arial" w:cs="Arial"/>
              </w:rPr>
            </w:pPr>
            <w:r w:rsidRPr="00EA7C0B">
              <w:rPr>
                <w:rFonts w:ascii="Arial" w:hAnsi="Arial" w:cs="Arial"/>
              </w:rPr>
              <w:t>n/a</w:t>
            </w:r>
          </w:p>
        </w:tc>
      </w:tr>
      <w:tr w:rsidR="00351421" w:rsidRPr="00375CE2" w14:paraId="7E0AA81F" w14:textId="77777777" w:rsidTr="007B244C">
        <w:trPr>
          <w:gridAfter w:val="3"/>
          <w:wAfter w:w="1129" w:type="pct"/>
        </w:trPr>
        <w:tc>
          <w:tcPr>
            <w:tcW w:w="1268" w:type="pct"/>
            <w:gridSpan w:val="2"/>
            <w:tcBorders>
              <w:top w:val="single" w:sz="4" w:space="0" w:color="auto"/>
            </w:tcBorders>
          </w:tcPr>
          <w:p w14:paraId="4C947808" w14:textId="77777777" w:rsidR="00351421" w:rsidRPr="000278B9" w:rsidRDefault="00351421" w:rsidP="007B244C">
            <w:pPr>
              <w:jc w:val="left"/>
              <w:rPr>
                <w:rFonts w:ascii="Arial" w:hAnsi="Arial" w:cs="Arial"/>
              </w:rPr>
            </w:pPr>
            <w:r>
              <w:rPr>
                <w:rFonts w:ascii="Arial" w:hAnsi="Arial" w:cs="Arial"/>
              </w:rPr>
              <w:t>Romania</w:t>
            </w:r>
            <w:r w:rsidRPr="0072155A">
              <w:rPr>
                <w:rFonts w:ascii="Arial" w:hAnsi="Arial" w:cs="Arial"/>
                <w:sz w:val="18"/>
                <w:szCs w:val="18"/>
                <w:vertAlign w:val="superscript"/>
              </w:rPr>
              <w:t>±</w:t>
            </w:r>
          </w:p>
        </w:tc>
        <w:tc>
          <w:tcPr>
            <w:tcW w:w="549" w:type="pct"/>
            <w:gridSpan w:val="2"/>
            <w:tcBorders>
              <w:top w:val="single" w:sz="4" w:space="0" w:color="auto"/>
            </w:tcBorders>
          </w:tcPr>
          <w:p w14:paraId="76CDAE2F" w14:textId="77777777" w:rsidR="00351421" w:rsidRPr="00EA7C0B" w:rsidRDefault="00351421" w:rsidP="007B244C">
            <w:pPr>
              <w:jc w:val="right"/>
              <w:rPr>
                <w:rFonts w:ascii="Arial" w:hAnsi="Arial" w:cs="Arial"/>
              </w:rPr>
            </w:pPr>
            <w:r w:rsidRPr="00EA7C0B">
              <w:rPr>
                <w:rFonts w:ascii="Arial" w:hAnsi="Arial" w:cs="Arial"/>
              </w:rPr>
              <w:t>(11)</w:t>
            </w:r>
          </w:p>
        </w:tc>
        <w:tc>
          <w:tcPr>
            <w:tcW w:w="549" w:type="pct"/>
            <w:gridSpan w:val="2"/>
            <w:tcBorders>
              <w:top w:val="single" w:sz="4" w:space="0" w:color="auto"/>
            </w:tcBorders>
          </w:tcPr>
          <w:p w14:paraId="4BA034C3" w14:textId="77777777" w:rsidR="00351421" w:rsidRPr="00C13754" w:rsidRDefault="00351421" w:rsidP="007B244C">
            <w:pPr>
              <w:jc w:val="right"/>
              <w:rPr>
                <w:rFonts w:ascii="Arial" w:hAnsi="Arial" w:cs="Arial"/>
              </w:rPr>
            </w:pPr>
            <w:r w:rsidRPr="00C13754">
              <w:rPr>
                <w:rFonts w:ascii="Arial" w:hAnsi="Arial" w:cs="Arial"/>
              </w:rPr>
              <w:t>(14)</w:t>
            </w:r>
          </w:p>
        </w:tc>
        <w:tc>
          <w:tcPr>
            <w:tcW w:w="755" w:type="pct"/>
            <w:gridSpan w:val="6"/>
            <w:tcBorders>
              <w:top w:val="single" w:sz="4" w:space="0" w:color="auto"/>
            </w:tcBorders>
            <w:shd w:val="clear" w:color="auto" w:fill="auto"/>
          </w:tcPr>
          <w:p w14:paraId="5C150810" w14:textId="77777777" w:rsidR="00351421" w:rsidRPr="00EA7C0B" w:rsidRDefault="00351421" w:rsidP="007B244C">
            <w:pPr>
              <w:jc w:val="right"/>
              <w:rPr>
                <w:rFonts w:ascii="Arial" w:hAnsi="Arial" w:cs="Arial"/>
              </w:rPr>
            </w:pPr>
            <w:r w:rsidRPr="00EA7C0B">
              <w:rPr>
                <w:rFonts w:ascii="Arial" w:hAnsi="Arial" w:cs="Arial"/>
              </w:rPr>
              <w:t>+21.3%</w:t>
            </w:r>
          </w:p>
        </w:tc>
        <w:tc>
          <w:tcPr>
            <w:tcW w:w="750" w:type="pct"/>
            <w:gridSpan w:val="6"/>
            <w:tcBorders>
              <w:top w:val="single" w:sz="4" w:space="0" w:color="auto"/>
            </w:tcBorders>
          </w:tcPr>
          <w:p w14:paraId="2DE324E1" w14:textId="77777777" w:rsidR="00351421" w:rsidRPr="00EA7C0B" w:rsidRDefault="00351421" w:rsidP="007B244C">
            <w:pPr>
              <w:jc w:val="right"/>
              <w:rPr>
                <w:rFonts w:ascii="Arial" w:hAnsi="Arial" w:cs="Arial"/>
              </w:rPr>
            </w:pPr>
            <w:r w:rsidRPr="00EA7C0B">
              <w:rPr>
                <w:rFonts w:ascii="Arial" w:hAnsi="Arial" w:cs="Arial"/>
              </w:rPr>
              <w:t>+</w:t>
            </w:r>
            <w:r>
              <w:rPr>
                <w:rFonts w:ascii="Arial" w:hAnsi="Arial" w:cs="Arial"/>
              </w:rPr>
              <w:t>16.4</w:t>
            </w:r>
            <w:r w:rsidRPr="00EA7C0B">
              <w:rPr>
                <w:rFonts w:ascii="Arial" w:hAnsi="Arial" w:cs="Arial"/>
              </w:rPr>
              <w:t>%</w:t>
            </w:r>
          </w:p>
        </w:tc>
      </w:tr>
      <w:tr w:rsidR="00351421" w:rsidRPr="00375CE2" w14:paraId="735D08E4" w14:textId="77777777" w:rsidTr="007B244C">
        <w:trPr>
          <w:gridAfter w:val="3"/>
          <w:wAfter w:w="1129" w:type="pct"/>
        </w:trPr>
        <w:tc>
          <w:tcPr>
            <w:tcW w:w="1268" w:type="pct"/>
            <w:gridSpan w:val="2"/>
            <w:tcBorders>
              <w:top w:val="single" w:sz="4" w:space="0" w:color="auto"/>
              <w:bottom w:val="single" w:sz="4" w:space="0" w:color="auto"/>
            </w:tcBorders>
          </w:tcPr>
          <w:p w14:paraId="79E0AC0A" w14:textId="77777777" w:rsidR="00351421" w:rsidRPr="00F532CC" w:rsidRDefault="00351421" w:rsidP="007B244C">
            <w:pPr>
              <w:jc w:val="left"/>
              <w:rPr>
                <w:rFonts w:ascii="Arial" w:hAnsi="Arial" w:cs="Arial"/>
              </w:rPr>
            </w:pPr>
            <w:r w:rsidRPr="00F532CC">
              <w:rPr>
                <w:rFonts w:ascii="Arial" w:hAnsi="Arial" w:cs="Arial"/>
              </w:rPr>
              <w:t>Other</w:t>
            </w:r>
            <w:r w:rsidRPr="0072155A">
              <w:rPr>
                <w:rFonts w:ascii="Arial" w:hAnsi="Arial" w:cs="Arial"/>
                <w:sz w:val="18"/>
                <w:szCs w:val="18"/>
                <w:vertAlign w:val="superscript"/>
              </w:rPr>
              <w:t>±±</w:t>
            </w:r>
          </w:p>
        </w:tc>
        <w:tc>
          <w:tcPr>
            <w:tcW w:w="549" w:type="pct"/>
            <w:gridSpan w:val="2"/>
            <w:tcBorders>
              <w:top w:val="single" w:sz="4" w:space="0" w:color="auto"/>
              <w:bottom w:val="single" w:sz="4" w:space="0" w:color="auto"/>
            </w:tcBorders>
          </w:tcPr>
          <w:p w14:paraId="3B34E25C" w14:textId="77777777" w:rsidR="00351421" w:rsidRPr="00EA7C0B" w:rsidDel="00B95E8C" w:rsidRDefault="00351421" w:rsidP="007B244C">
            <w:pPr>
              <w:jc w:val="right"/>
              <w:rPr>
                <w:rFonts w:ascii="Arial" w:hAnsi="Arial" w:cs="Arial"/>
              </w:rPr>
            </w:pPr>
            <w:r w:rsidRPr="00EA7C0B">
              <w:rPr>
                <w:rFonts w:ascii="Arial" w:hAnsi="Arial" w:cs="Arial"/>
              </w:rPr>
              <w:t>(10)</w:t>
            </w:r>
          </w:p>
        </w:tc>
        <w:tc>
          <w:tcPr>
            <w:tcW w:w="549" w:type="pct"/>
            <w:gridSpan w:val="2"/>
            <w:tcBorders>
              <w:top w:val="single" w:sz="4" w:space="0" w:color="auto"/>
              <w:bottom w:val="single" w:sz="4" w:space="0" w:color="auto"/>
            </w:tcBorders>
          </w:tcPr>
          <w:p w14:paraId="76DCBE75" w14:textId="77777777" w:rsidR="00351421" w:rsidRPr="00C13754" w:rsidRDefault="00351421" w:rsidP="007B244C">
            <w:pPr>
              <w:jc w:val="right"/>
              <w:rPr>
                <w:rFonts w:ascii="Arial" w:hAnsi="Arial" w:cs="Arial"/>
              </w:rPr>
            </w:pPr>
            <w:r w:rsidRPr="00C13754">
              <w:rPr>
                <w:rFonts w:ascii="Arial" w:hAnsi="Arial" w:cs="Arial"/>
              </w:rPr>
              <w:t>-</w:t>
            </w:r>
          </w:p>
        </w:tc>
        <w:tc>
          <w:tcPr>
            <w:tcW w:w="755" w:type="pct"/>
            <w:gridSpan w:val="6"/>
            <w:tcBorders>
              <w:top w:val="single" w:sz="4" w:space="0" w:color="auto"/>
              <w:bottom w:val="single" w:sz="4" w:space="0" w:color="auto"/>
            </w:tcBorders>
          </w:tcPr>
          <w:p w14:paraId="0D8382F2" w14:textId="77777777" w:rsidR="00351421" w:rsidRPr="00EA7C0B" w:rsidDel="0034775C" w:rsidRDefault="00351421" w:rsidP="007B244C">
            <w:pPr>
              <w:jc w:val="right"/>
              <w:rPr>
                <w:rFonts w:ascii="Arial" w:hAnsi="Arial" w:cs="Arial"/>
              </w:rPr>
            </w:pPr>
            <w:r w:rsidRPr="00EA7C0B">
              <w:rPr>
                <w:rFonts w:ascii="Arial" w:hAnsi="Arial" w:cs="Arial"/>
              </w:rPr>
              <w:t>n/a</w:t>
            </w:r>
          </w:p>
        </w:tc>
        <w:tc>
          <w:tcPr>
            <w:tcW w:w="750" w:type="pct"/>
            <w:gridSpan w:val="6"/>
            <w:tcBorders>
              <w:top w:val="single" w:sz="4" w:space="0" w:color="auto"/>
              <w:bottom w:val="single" w:sz="4" w:space="0" w:color="auto"/>
            </w:tcBorders>
          </w:tcPr>
          <w:p w14:paraId="09433BE2" w14:textId="77777777" w:rsidR="00351421" w:rsidRPr="00EA7C0B" w:rsidDel="0034775C" w:rsidRDefault="00351421" w:rsidP="007B244C">
            <w:pPr>
              <w:jc w:val="right"/>
              <w:rPr>
                <w:rFonts w:ascii="Arial" w:hAnsi="Arial" w:cs="Arial"/>
              </w:rPr>
            </w:pPr>
            <w:r w:rsidRPr="00EA7C0B">
              <w:rPr>
                <w:rFonts w:ascii="Arial" w:hAnsi="Arial" w:cs="Arial"/>
              </w:rPr>
              <w:t>n/a</w:t>
            </w:r>
          </w:p>
        </w:tc>
      </w:tr>
      <w:tr w:rsidR="00351421" w:rsidRPr="00375CE2" w14:paraId="21E47F37" w14:textId="77777777" w:rsidTr="007B244C">
        <w:trPr>
          <w:gridAfter w:val="3"/>
          <w:wAfter w:w="1129" w:type="pct"/>
        </w:trPr>
        <w:tc>
          <w:tcPr>
            <w:tcW w:w="1268" w:type="pct"/>
            <w:gridSpan w:val="2"/>
            <w:tcBorders>
              <w:top w:val="single" w:sz="4" w:space="0" w:color="auto"/>
              <w:bottom w:val="single" w:sz="4" w:space="0" w:color="auto"/>
            </w:tcBorders>
          </w:tcPr>
          <w:p w14:paraId="532B1115" w14:textId="77777777" w:rsidR="00351421" w:rsidRDefault="00351421" w:rsidP="007B244C">
            <w:pPr>
              <w:jc w:val="left"/>
              <w:rPr>
                <w:rFonts w:ascii="Arial" w:hAnsi="Arial" w:cs="Arial"/>
              </w:rPr>
            </w:pPr>
            <w:r>
              <w:rPr>
                <w:rFonts w:ascii="Arial" w:hAnsi="Arial" w:cs="Arial"/>
              </w:rPr>
              <w:t>Turkey (50% JV)</w:t>
            </w:r>
          </w:p>
        </w:tc>
        <w:tc>
          <w:tcPr>
            <w:tcW w:w="549" w:type="pct"/>
            <w:gridSpan w:val="2"/>
            <w:tcBorders>
              <w:top w:val="single" w:sz="4" w:space="0" w:color="auto"/>
              <w:bottom w:val="single" w:sz="4" w:space="0" w:color="auto"/>
            </w:tcBorders>
          </w:tcPr>
          <w:p w14:paraId="363B2F04" w14:textId="77777777" w:rsidR="00351421" w:rsidRPr="00EA7C0B" w:rsidDel="005F2A2C" w:rsidRDefault="00351421" w:rsidP="007B244C">
            <w:pPr>
              <w:jc w:val="right"/>
              <w:rPr>
                <w:rFonts w:ascii="Arial" w:hAnsi="Arial" w:cs="Arial"/>
              </w:rPr>
            </w:pPr>
            <w:r w:rsidRPr="00EA7C0B">
              <w:rPr>
                <w:rFonts w:ascii="Arial" w:hAnsi="Arial" w:cs="Arial"/>
              </w:rPr>
              <w:t>7</w:t>
            </w:r>
          </w:p>
        </w:tc>
        <w:tc>
          <w:tcPr>
            <w:tcW w:w="549" w:type="pct"/>
            <w:gridSpan w:val="2"/>
            <w:tcBorders>
              <w:top w:val="single" w:sz="4" w:space="0" w:color="auto"/>
              <w:bottom w:val="single" w:sz="4" w:space="0" w:color="auto"/>
            </w:tcBorders>
          </w:tcPr>
          <w:p w14:paraId="178784DF" w14:textId="77777777" w:rsidR="00351421" w:rsidRPr="00C13754" w:rsidDel="005F2A2C" w:rsidRDefault="00351421" w:rsidP="007B244C">
            <w:pPr>
              <w:jc w:val="right"/>
              <w:rPr>
                <w:rFonts w:ascii="Arial" w:hAnsi="Arial" w:cs="Arial"/>
              </w:rPr>
            </w:pPr>
            <w:r w:rsidRPr="00C13754">
              <w:rPr>
                <w:rFonts w:ascii="Arial" w:hAnsi="Arial" w:cs="Arial"/>
              </w:rPr>
              <w:t>9</w:t>
            </w:r>
          </w:p>
        </w:tc>
        <w:tc>
          <w:tcPr>
            <w:tcW w:w="755" w:type="pct"/>
            <w:gridSpan w:val="6"/>
            <w:tcBorders>
              <w:top w:val="single" w:sz="4" w:space="0" w:color="auto"/>
              <w:bottom w:val="single" w:sz="4" w:space="0" w:color="auto"/>
            </w:tcBorders>
          </w:tcPr>
          <w:p w14:paraId="45011F60" w14:textId="77777777" w:rsidR="00351421" w:rsidRPr="00EA7C0B" w:rsidDel="005F2A2C" w:rsidRDefault="00351421" w:rsidP="007B244C">
            <w:pPr>
              <w:jc w:val="right"/>
              <w:rPr>
                <w:rFonts w:ascii="Arial" w:hAnsi="Arial" w:cs="Arial"/>
              </w:rPr>
            </w:pPr>
            <w:r w:rsidRPr="00EA7C0B">
              <w:rPr>
                <w:rFonts w:ascii="Arial" w:hAnsi="Arial" w:cs="Arial"/>
              </w:rPr>
              <w:t>(22.3)%</w:t>
            </w:r>
          </w:p>
        </w:tc>
        <w:tc>
          <w:tcPr>
            <w:tcW w:w="750" w:type="pct"/>
            <w:gridSpan w:val="6"/>
            <w:tcBorders>
              <w:top w:val="single" w:sz="4" w:space="0" w:color="auto"/>
              <w:bottom w:val="single" w:sz="4" w:space="0" w:color="auto"/>
            </w:tcBorders>
          </w:tcPr>
          <w:p w14:paraId="571D80D6" w14:textId="77777777" w:rsidR="00351421" w:rsidRPr="00EA7C0B" w:rsidDel="005F2A2C" w:rsidRDefault="00351421" w:rsidP="007B244C">
            <w:pPr>
              <w:jc w:val="right"/>
              <w:rPr>
                <w:rFonts w:ascii="Arial" w:hAnsi="Arial" w:cs="Arial"/>
              </w:rPr>
            </w:pPr>
            <w:r w:rsidRPr="00EA7C0B">
              <w:rPr>
                <w:rFonts w:ascii="Arial" w:hAnsi="Arial" w:cs="Arial"/>
              </w:rPr>
              <w:t>+8.8%</w:t>
            </w:r>
          </w:p>
        </w:tc>
      </w:tr>
      <w:tr w:rsidR="00351421" w:rsidRPr="00375CE2" w14:paraId="2A332223" w14:textId="77777777" w:rsidTr="007B244C">
        <w:trPr>
          <w:gridAfter w:val="3"/>
          <w:wAfter w:w="1129" w:type="pct"/>
        </w:trPr>
        <w:tc>
          <w:tcPr>
            <w:tcW w:w="1268" w:type="pct"/>
            <w:gridSpan w:val="2"/>
            <w:tcBorders>
              <w:top w:val="single" w:sz="4" w:space="0" w:color="auto"/>
              <w:bottom w:val="single" w:sz="4" w:space="0" w:color="auto"/>
            </w:tcBorders>
          </w:tcPr>
          <w:p w14:paraId="55F122EB" w14:textId="77777777" w:rsidR="00351421" w:rsidRPr="0024302E" w:rsidRDefault="00351421" w:rsidP="007B244C">
            <w:pPr>
              <w:jc w:val="left"/>
              <w:rPr>
                <w:rFonts w:ascii="Arial" w:hAnsi="Arial" w:cs="Arial"/>
                <w:b/>
                <w:bCs/>
              </w:rPr>
            </w:pPr>
            <w:bookmarkStart w:id="77" w:name="_Hlk63946137"/>
            <w:r w:rsidRPr="0024302E">
              <w:rPr>
                <w:rFonts w:ascii="Arial" w:hAnsi="Arial" w:cs="Arial"/>
                <w:b/>
                <w:bCs/>
              </w:rPr>
              <w:t xml:space="preserve">Other International </w:t>
            </w:r>
            <w:r w:rsidRPr="005A48A0">
              <w:rPr>
                <w:rFonts w:ascii="Arial" w:hAnsi="Arial" w:cs="Arial"/>
                <w:b/>
                <w:bCs/>
              </w:rPr>
              <w:br/>
              <w:t>(ex-Russia)</w:t>
            </w:r>
          </w:p>
        </w:tc>
        <w:tc>
          <w:tcPr>
            <w:tcW w:w="549" w:type="pct"/>
            <w:gridSpan w:val="2"/>
            <w:tcBorders>
              <w:top w:val="single" w:sz="4" w:space="0" w:color="auto"/>
              <w:bottom w:val="single" w:sz="4" w:space="0" w:color="auto"/>
            </w:tcBorders>
          </w:tcPr>
          <w:p w14:paraId="1ED56538" w14:textId="77777777" w:rsidR="00351421" w:rsidRPr="00EA7C0B" w:rsidRDefault="00351421" w:rsidP="007B244C">
            <w:pPr>
              <w:jc w:val="right"/>
              <w:rPr>
                <w:rFonts w:ascii="Arial" w:hAnsi="Arial" w:cs="Arial"/>
                <w:b/>
                <w:bCs/>
              </w:rPr>
            </w:pPr>
            <w:r w:rsidRPr="00EA7C0B">
              <w:rPr>
                <w:rFonts w:ascii="Arial" w:hAnsi="Arial" w:cs="Arial"/>
                <w:b/>
                <w:bCs/>
              </w:rPr>
              <w:t>133</w:t>
            </w:r>
          </w:p>
        </w:tc>
        <w:tc>
          <w:tcPr>
            <w:tcW w:w="549" w:type="pct"/>
            <w:gridSpan w:val="2"/>
            <w:tcBorders>
              <w:top w:val="single" w:sz="4" w:space="0" w:color="auto"/>
              <w:bottom w:val="single" w:sz="4" w:space="0" w:color="auto"/>
            </w:tcBorders>
          </w:tcPr>
          <w:p w14:paraId="7B98D2A2" w14:textId="77777777" w:rsidR="00351421" w:rsidRPr="00C13754" w:rsidRDefault="00351421" w:rsidP="007B244C">
            <w:pPr>
              <w:jc w:val="right"/>
              <w:rPr>
                <w:rFonts w:ascii="Arial" w:hAnsi="Arial" w:cs="Arial"/>
                <w:b/>
                <w:bCs/>
              </w:rPr>
            </w:pPr>
            <w:r w:rsidRPr="00C13754">
              <w:rPr>
                <w:rFonts w:ascii="Arial" w:hAnsi="Arial" w:cs="Arial"/>
                <w:b/>
                <w:bCs/>
              </w:rPr>
              <w:t>144</w:t>
            </w:r>
          </w:p>
        </w:tc>
        <w:tc>
          <w:tcPr>
            <w:tcW w:w="755" w:type="pct"/>
            <w:gridSpan w:val="6"/>
            <w:tcBorders>
              <w:top w:val="single" w:sz="4" w:space="0" w:color="auto"/>
              <w:bottom w:val="single" w:sz="4" w:space="0" w:color="auto"/>
            </w:tcBorders>
          </w:tcPr>
          <w:p w14:paraId="30D58105" w14:textId="77777777" w:rsidR="00351421" w:rsidRPr="00EA7C0B" w:rsidRDefault="00351421" w:rsidP="007B244C">
            <w:pPr>
              <w:jc w:val="right"/>
              <w:rPr>
                <w:rFonts w:ascii="Arial" w:hAnsi="Arial" w:cs="Arial"/>
                <w:b/>
                <w:bCs/>
              </w:rPr>
            </w:pPr>
            <w:r w:rsidRPr="00EA7C0B">
              <w:rPr>
                <w:rFonts w:ascii="Arial" w:hAnsi="Arial" w:cs="Arial"/>
                <w:b/>
                <w:bCs/>
              </w:rPr>
              <w:t>(6.8)%</w:t>
            </w:r>
          </w:p>
        </w:tc>
        <w:tc>
          <w:tcPr>
            <w:tcW w:w="750" w:type="pct"/>
            <w:gridSpan w:val="6"/>
            <w:tcBorders>
              <w:top w:val="single" w:sz="4" w:space="0" w:color="auto"/>
              <w:bottom w:val="single" w:sz="4" w:space="0" w:color="auto"/>
            </w:tcBorders>
          </w:tcPr>
          <w:p w14:paraId="09C37383" w14:textId="77777777" w:rsidR="00351421" w:rsidRPr="00EA7C0B" w:rsidRDefault="00351421" w:rsidP="007B244C">
            <w:pPr>
              <w:jc w:val="right"/>
              <w:rPr>
                <w:rFonts w:ascii="Arial" w:hAnsi="Arial" w:cs="Arial"/>
                <w:b/>
                <w:bCs/>
              </w:rPr>
            </w:pPr>
            <w:r w:rsidRPr="00EA7C0B">
              <w:rPr>
                <w:rFonts w:ascii="Arial" w:hAnsi="Arial" w:cs="Arial"/>
                <w:b/>
                <w:bCs/>
              </w:rPr>
              <w:t>+1.0%</w:t>
            </w:r>
          </w:p>
        </w:tc>
      </w:tr>
      <w:bookmarkEnd w:id="77"/>
      <w:tr w:rsidR="00351421" w:rsidRPr="00375CE2" w14:paraId="6404626A" w14:textId="77777777" w:rsidTr="007B244C">
        <w:trPr>
          <w:gridAfter w:val="3"/>
          <w:wAfter w:w="1129" w:type="pct"/>
        </w:trPr>
        <w:tc>
          <w:tcPr>
            <w:tcW w:w="1268" w:type="pct"/>
            <w:gridSpan w:val="2"/>
            <w:tcBorders>
              <w:top w:val="single" w:sz="4" w:space="0" w:color="auto"/>
              <w:bottom w:val="single" w:sz="4" w:space="0" w:color="auto"/>
            </w:tcBorders>
          </w:tcPr>
          <w:p w14:paraId="06B15F60" w14:textId="77777777" w:rsidR="00351421" w:rsidRPr="005C0F08" w:rsidRDefault="00351421" w:rsidP="007B244C">
            <w:pPr>
              <w:jc w:val="left"/>
              <w:rPr>
                <w:rFonts w:ascii="Arial" w:hAnsi="Arial" w:cs="Arial"/>
              </w:rPr>
            </w:pPr>
            <w:r w:rsidRPr="005C0F08">
              <w:rPr>
                <w:rFonts w:ascii="Arial" w:hAnsi="Arial" w:cs="Arial"/>
              </w:rPr>
              <w:t>Russia</w:t>
            </w:r>
          </w:p>
        </w:tc>
        <w:tc>
          <w:tcPr>
            <w:tcW w:w="549" w:type="pct"/>
            <w:gridSpan w:val="2"/>
            <w:tcBorders>
              <w:top w:val="single" w:sz="4" w:space="0" w:color="auto"/>
              <w:bottom w:val="single" w:sz="4" w:space="0" w:color="auto"/>
            </w:tcBorders>
          </w:tcPr>
          <w:p w14:paraId="5DA4A45D" w14:textId="77777777" w:rsidR="00351421" w:rsidRPr="00EA7C0B" w:rsidRDefault="00351421" w:rsidP="007B244C">
            <w:pPr>
              <w:jc w:val="right"/>
              <w:rPr>
                <w:rFonts w:ascii="Arial" w:hAnsi="Arial" w:cs="Arial"/>
              </w:rPr>
            </w:pPr>
            <w:r w:rsidRPr="00EA7C0B">
              <w:rPr>
                <w:rFonts w:ascii="Arial" w:hAnsi="Arial" w:cs="Arial"/>
              </w:rPr>
              <w:t>-</w:t>
            </w:r>
          </w:p>
        </w:tc>
        <w:tc>
          <w:tcPr>
            <w:tcW w:w="549" w:type="pct"/>
            <w:gridSpan w:val="2"/>
            <w:tcBorders>
              <w:top w:val="single" w:sz="4" w:space="0" w:color="auto"/>
              <w:bottom w:val="single" w:sz="4" w:space="0" w:color="auto"/>
            </w:tcBorders>
          </w:tcPr>
          <w:p w14:paraId="1042705C" w14:textId="77777777" w:rsidR="00351421" w:rsidRPr="00C13754" w:rsidRDefault="00351421" w:rsidP="007B244C">
            <w:pPr>
              <w:jc w:val="right"/>
              <w:rPr>
                <w:rFonts w:ascii="Arial" w:hAnsi="Arial" w:cs="Arial"/>
              </w:rPr>
            </w:pPr>
            <w:r w:rsidRPr="00C13754">
              <w:rPr>
                <w:rFonts w:ascii="Arial" w:hAnsi="Arial" w:cs="Arial"/>
              </w:rPr>
              <w:t>(3)</w:t>
            </w:r>
          </w:p>
        </w:tc>
        <w:tc>
          <w:tcPr>
            <w:tcW w:w="755" w:type="pct"/>
            <w:gridSpan w:val="6"/>
            <w:tcBorders>
              <w:top w:val="single" w:sz="4" w:space="0" w:color="auto"/>
              <w:bottom w:val="single" w:sz="4" w:space="0" w:color="auto"/>
            </w:tcBorders>
          </w:tcPr>
          <w:p w14:paraId="5FDD3477" w14:textId="77777777" w:rsidR="00351421" w:rsidRPr="00EA7C0B" w:rsidRDefault="00351421" w:rsidP="007B244C">
            <w:pPr>
              <w:jc w:val="right"/>
              <w:rPr>
                <w:rFonts w:ascii="Arial" w:hAnsi="Arial" w:cs="Arial"/>
              </w:rPr>
            </w:pPr>
            <w:r w:rsidRPr="00EA7C0B">
              <w:rPr>
                <w:rFonts w:ascii="Arial" w:hAnsi="Arial" w:cs="Arial"/>
              </w:rPr>
              <w:t>(100.0)%</w:t>
            </w:r>
          </w:p>
        </w:tc>
        <w:tc>
          <w:tcPr>
            <w:tcW w:w="750" w:type="pct"/>
            <w:gridSpan w:val="6"/>
            <w:tcBorders>
              <w:top w:val="single" w:sz="4" w:space="0" w:color="auto"/>
              <w:bottom w:val="single" w:sz="4" w:space="0" w:color="auto"/>
            </w:tcBorders>
          </w:tcPr>
          <w:p w14:paraId="4432982A" w14:textId="77777777" w:rsidR="00351421" w:rsidRPr="00EA7C0B" w:rsidRDefault="00351421" w:rsidP="007B244C">
            <w:pPr>
              <w:jc w:val="right"/>
              <w:rPr>
                <w:rFonts w:ascii="Arial" w:hAnsi="Arial" w:cs="Arial"/>
              </w:rPr>
            </w:pPr>
            <w:r w:rsidRPr="00EA7C0B">
              <w:rPr>
                <w:rFonts w:ascii="Arial" w:hAnsi="Arial" w:cs="Arial"/>
              </w:rPr>
              <w:t>(100.0)%</w:t>
            </w:r>
          </w:p>
        </w:tc>
      </w:tr>
      <w:tr w:rsidR="00351421" w:rsidRPr="00375CE2" w14:paraId="68A2BAA7" w14:textId="77777777" w:rsidTr="007B244C">
        <w:trPr>
          <w:gridAfter w:val="3"/>
          <w:wAfter w:w="1129" w:type="pct"/>
        </w:trPr>
        <w:tc>
          <w:tcPr>
            <w:tcW w:w="1268" w:type="pct"/>
            <w:gridSpan w:val="2"/>
            <w:tcBorders>
              <w:top w:val="single" w:sz="4" w:space="0" w:color="auto"/>
              <w:bottom w:val="single" w:sz="4" w:space="0" w:color="auto"/>
            </w:tcBorders>
          </w:tcPr>
          <w:p w14:paraId="17407093" w14:textId="77777777" w:rsidR="00351421" w:rsidRPr="005C0F08" w:rsidRDefault="00351421" w:rsidP="007B244C">
            <w:pPr>
              <w:jc w:val="left"/>
              <w:rPr>
                <w:rFonts w:ascii="Arial" w:hAnsi="Arial" w:cs="Arial"/>
              </w:rPr>
            </w:pPr>
            <w:r w:rsidRPr="005C0F08">
              <w:rPr>
                <w:rFonts w:ascii="Arial" w:hAnsi="Arial" w:cs="Arial"/>
                <w:b/>
                <w:bCs/>
              </w:rPr>
              <w:t xml:space="preserve">Other International </w:t>
            </w:r>
          </w:p>
        </w:tc>
        <w:tc>
          <w:tcPr>
            <w:tcW w:w="549" w:type="pct"/>
            <w:gridSpan w:val="2"/>
            <w:tcBorders>
              <w:top w:val="single" w:sz="4" w:space="0" w:color="auto"/>
              <w:bottom w:val="single" w:sz="4" w:space="0" w:color="auto"/>
            </w:tcBorders>
          </w:tcPr>
          <w:p w14:paraId="1E2B78BE" w14:textId="77777777" w:rsidR="00351421" w:rsidRPr="00EA7C0B" w:rsidRDefault="00351421" w:rsidP="007B244C">
            <w:pPr>
              <w:jc w:val="right"/>
              <w:rPr>
                <w:rFonts w:ascii="Arial" w:hAnsi="Arial" w:cs="Arial"/>
                <w:b/>
                <w:bCs/>
              </w:rPr>
            </w:pPr>
            <w:r w:rsidRPr="00EA7C0B">
              <w:rPr>
                <w:rFonts w:ascii="Arial" w:hAnsi="Arial" w:cs="Arial"/>
                <w:b/>
                <w:bCs/>
              </w:rPr>
              <w:t>133</w:t>
            </w:r>
          </w:p>
        </w:tc>
        <w:tc>
          <w:tcPr>
            <w:tcW w:w="549" w:type="pct"/>
            <w:gridSpan w:val="2"/>
            <w:tcBorders>
              <w:top w:val="single" w:sz="4" w:space="0" w:color="auto"/>
              <w:bottom w:val="single" w:sz="4" w:space="0" w:color="auto"/>
            </w:tcBorders>
          </w:tcPr>
          <w:p w14:paraId="04C3D37D" w14:textId="77777777" w:rsidR="00351421" w:rsidRPr="006278E2" w:rsidRDefault="00351421" w:rsidP="007B244C">
            <w:pPr>
              <w:jc w:val="right"/>
              <w:rPr>
                <w:rFonts w:ascii="Arial" w:hAnsi="Arial" w:cs="Arial"/>
                <w:b/>
                <w:bCs/>
              </w:rPr>
            </w:pPr>
            <w:r w:rsidRPr="006278E2">
              <w:rPr>
                <w:rFonts w:ascii="Arial" w:hAnsi="Arial" w:cs="Arial"/>
                <w:b/>
                <w:bCs/>
              </w:rPr>
              <w:t>141</w:t>
            </w:r>
          </w:p>
        </w:tc>
        <w:tc>
          <w:tcPr>
            <w:tcW w:w="755" w:type="pct"/>
            <w:gridSpan w:val="6"/>
            <w:tcBorders>
              <w:top w:val="single" w:sz="4" w:space="0" w:color="auto"/>
              <w:bottom w:val="single" w:sz="4" w:space="0" w:color="auto"/>
            </w:tcBorders>
            <w:shd w:val="clear" w:color="auto" w:fill="auto"/>
          </w:tcPr>
          <w:p w14:paraId="67951A4E" w14:textId="77777777" w:rsidR="00351421" w:rsidRPr="00EA7C0B" w:rsidRDefault="00351421" w:rsidP="007B244C">
            <w:pPr>
              <w:jc w:val="right"/>
              <w:rPr>
                <w:rFonts w:ascii="Arial" w:hAnsi="Arial" w:cs="Arial"/>
                <w:b/>
                <w:bCs/>
              </w:rPr>
            </w:pPr>
            <w:r w:rsidRPr="00EA7C0B">
              <w:rPr>
                <w:rFonts w:ascii="Arial" w:hAnsi="Arial" w:cs="Arial"/>
                <w:b/>
                <w:bCs/>
              </w:rPr>
              <w:t>(5.8)%</w:t>
            </w:r>
          </w:p>
        </w:tc>
        <w:tc>
          <w:tcPr>
            <w:tcW w:w="750" w:type="pct"/>
            <w:gridSpan w:val="6"/>
            <w:tcBorders>
              <w:top w:val="single" w:sz="4" w:space="0" w:color="auto"/>
              <w:bottom w:val="single" w:sz="4" w:space="0" w:color="auto"/>
            </w:tcBorders>
            <w:shd w:val="clear" w:color="auto" w:fill="auto"/>
          </w:tcPr>
          <w:p w14:paraId="5E1F0F81" w14:textId="77777777" w:rsidR="00351421" w:rsidRPr="00EA7C0B" w:rsidRDefault="00351421" w:rsidP="007B244C">
            <w:pPr>
              <w:jc w:val="right"/>
              <w:rPr>
                <w:rFonts w:ascii="Arial" w:hAnsi="Arial" w:cs="Arial"/>
                <w:b/>
                <w:bCs/>
              </w:rPr>
            </w:pPr>
            <w:r w:rsidRPr="00EA7C0B">
              <w:rPr>
                <w:rFonts w:ascii="Arial" w:hAnsi="Arial" w:cs="Arial"/>
                <w:b/>
                <w:bCs/>
              </w:rPr>
              <w:t>+2.1%</w:t>
            </w:r>
          </w:p>
        </w:tc>
      </w:tr>
      <w:tr w:rsidR="00351421" w:rsidRPr="006278E2" w14:paraId="13990643" w14:textId="77777777" w:rsidTr="007B244C">
        <w:trPr>
          <w:gridAfter w:val="6"/>
          <w:wAfter w:w="1173" w:type="pct"/>
        </w:trPr>
        <w:tc>
          <w:tcPr>
            <w:tcW w:w="1234" w:type="pct"/>
            <w:tcBorders>
              <w:top w:val="single" w:sz="4" w:space="0" w:color="auto"/>
              <w:left w:val="nil"/>
              <w:bottom w:val="single" w:sz="4" w:space="0" w:color="auto"/>
              <w:right w:val="nil"/>
            </w:tcBorders>
          </w:tcPr>
          <w:p w14:paraId="45DF7CFF" w14:textId="77777777" w:rsidR="00351421" w:rsidRPr="005C0F08" w:rsidRDefault="00351421" w:rsidP="007B244C">
            <w:pPr>
              <w:jc w:val="left"/>
              <w:rPr>
                <w:rFonts w:ascii="Arial" w:hAnsi="Arial" w:cs="Arial"/>
              </w:rPr>
            </w:pPr>
          </w:p>
        </w:tc>
        <w:tc>
          <w:tcPr>
            <w:tcW w:w="561" w:type="pct"/>
            <w:gridSpan w:val="2"/>
            <w:tcBorders>
              <w:top w:val="single" w:sz="4" w:space="0" w:color="auto"/>
              <w:left w:val="nil"/>
              <w:bottom w:val="nil"/>
              <w:right w:val="nil"/>
            </w:tcBorders>
          </w:tcPr>
          <w:p w14:paraId="29CB24CB" w14:textId="77777777" w:rsidR="00351421" w:rsidRPr="00EA7C0B" w:rsidRDefault="00351421" w:rsidP="007B244C">
            <w:pPr>
              <w:jc w:val="left"/>
              <w:rPr>
                <w:rFonts w:ascii="Arial" w:hAnsi="Arial" w:cs="Arial"/>
              </w:rPr>
            </w:pPr>
          </w:p>
        </w:tc>
        <w:tc>
          <w:tcPr>
            <w:tcW w:w="571" w:type="pct"/>
            <w:gridSpan w:val="3"/>
            <w:tcBorders>
              <w:top w:val="single" w:sz="4" w:space="0" w:color="auto"/>
              <w:left w:val="nil"/>
              <w:bottom w:val="nil"/>
              <w:right w:val="nil"/>
            </w:tcBorders>
          </w:tcPr>
          <w:p w14:paraId="714F57A2" w14:textId="77777777" w:rsidR="00351421" w:rsidRPr="00EA7C0B" w:rsidRDefault="00351421" w:rsidP="007B244C">
            <w:pPr>
              <w:jc w:val="left"/>
              <w:rPr>
                <w:rFonts w:ascii="Arial" w:hAnsi="Arial" w:cs="Arial"/>
              </w:rPr>
            </w:pPr>
          </w:p>
        </w:tc>
        <w:tc>
          <w:tcPr>
            <w:tcW w:w="727" w:type="pct"/>
            <w:gridSpan w:val="4"/>
            <w:tcBorders>
              <w:top w:val="single" w:sz="4" w:space="0" w:color="auto"/>
              <w:left w:val="nil"/>
              <w:bottom w:val="nil"/>
              <w:right w:val="nil"/>
            </w:tcBorders>
          </w:tcPr>
          <w:p w14:paraId="0BE1E488" w14:textId="77777777" w:rsidR="00351421" w:rsidRPr="00EA7C0B" w:rsidRDefault="00351421" w:rsidP="007B244C">
            <w:pPr>
              <w:jc w:val="left"/>
              <w:rPr>
                <w:rFonts w:ascii="Arial" w:hAnsi="Arial" w:cs="Arial"/>
              </w:rPr>
            </w:pPr>
          </w:p>
        </w:tc>
        <w:tc>
          <w:tcPr>
            <w:tcW w:w="734" w:type="pct"/>
            <w:gridSpan w:val="5"/>
            <w:tcBorders>
              <w:top w:val="single" w:sz="4" w:space="0" w:color="auto"/>
              <w:left w:val="nil"/>
              <w:bottom w:val="nil"/>
              <w:right w:val="nil"/>
            </w:tcBorders>
          </w:tcPr>
          <w:p w14:paraId="7408E07D" w14:textId="77777777" w:rsidR="00351421" w:rsidRPr="00EA7C0B" w:rsidRDefault="00351421" w:rsidP="007B244C">
            <w:pPr>
              <w:jc w:val="left"/>
              <w:rPr>
                <w:rFonts w:ascii="Arial" w:hAnsi="Arial" w:cs="Arial"/>
              </w:rPr>
            </w:pPr>
          </w:p>
        </w:tc>
      </w:tr>
      <w:tr w:rsidR="00351421" w:rsidRPr="00375CE2" w14:paraId="021284C8" w14:textId="77777777" w:rsidTr="00F416FA">
        <w:trPr>
          <w:gridAfter w:val="4"/>
          <w:wAfter w:w="1132" w:type="pct"/>
        </w:trPr>
        <w:tc>
          <w:tcPr>
            <w:tcW w:w="1268" w:type="pct"/>
            <w:gridSpan w:val="2"/>
            <w:tcBorders>
              <w:top w:val="single" w:sz="4" w:space="0" w:color="auto"/>
              <w:right w:val="single" w:sz="4" w:space="0" w:color="auto"/>
            </w:tcBorders>
          </w:tcPr>
          <w:p w14:paraId="7091ECB6" w14:textId="77777777" w:rsidR="00351421" w:rsidRPr="005A48A0" w:rsidRDefault="00351421" w:rsidP="007B244C">
            <w:pPr>
              <w:jc w:val="left"/>
              <w:rPr>
                <w:rFonts w:ascii="Arial" w:hAnsi="Arial" w:cs="Arial"/>
                <w:b/>
                <w:bCs/>
              </w:rPr>
            </w:pPr>
            <w:r w:rsidRPr="005A48A0">
              <w:rPr>
                <w:rFonts w:ascii="Arial" w:hAnsi="Arial" w:cs="Arial"/>
                <w:b/>
                <w:bCs/>
              </w:rPr>
              <w:t>Retail profit margin %</w:t>
            </w:r>
          </w:p>
        </w:tc>
        <w:tc>
          <w:tcPr>
            <w:tcW w:w="561" w:type="pct"/>
            <w:gridSpan w:val="3"/>
            <w:tcBorders>
              <w:top w:val="nil"/>
              <w:left w:val="single" w:sz="4" w:space="0" w:color="auto"/>
              <w:bottom w:val="single" w:sz="4" w:space="0" w:color="auto"/>
              <w:right w:val="nil"/>
            </w:tcBorders>
          </w:tcPr>
          <w:p w14:paraId="2933010C" w14:textId="77777777" w:rsidR="00351421" w:rsidRPr="00EA7C0B" w:rsidRDefault="00351421" w:rsidP="007B244C">
            <w:pPr>
              <w:jc w:val="right"/>
              <w:rPr>
                <w:rFonts w:ascii="Arial" w:hAnsi="Arial" w:cs="Arial"/>
              </w:rPr>
            </w:pPr>
          </w:p>
        </w:tc>
        <w:tc>
          <w:tcPr>
            <w:tcW w:w="569" w:type="pct"/>
            <w:gridSpan w:val="3"/>
            <w:tcBorders>
              <w:top w:val="nil"/>
              <w:left w:val="nil"/>
              <w:bottom w:val="single" w:sz="4" w:space="0" w:color="auto"/>
              <w:right w:val="nil"/>
            </w:tcBorders>
          </w:tcPr>
          <w:p w14:paraId="24BBF7D0" w14:textId="77777777" w:rsidR="00351421" w:rsidRPr="00EA7C0B" w:rsidRDefault="00351421" w:rsidP="007B244C">
            <w:pPr>
              <w:jc w:val="right"/>
              <w:rPr>
                <w:rFonts w:ascii="Arial" w:hAnsi="Arial" w:cs="Arial"/>
              </w:rPr>
            </w:pPr>
          </w:p>
        </w:tc>
        <w:tc>
          <w:tcPr>
            <w:tcW w:w="727" w:type="pct"/>
            <w:gridSpan w:val="5"/>
            <w:tcBorders>
              <w:top w:val="nil"/>
              <w:left w:val="nil"/>
              <w:bottom w:val="single" w:sz="4" w:space="0" w:color="auto"/>
              <w:right w:val="nil"/>
            </w:tcBorders>
          </w:tcPr>
          <w:p w14:paraId="5A1EA0DB" w14:textId="77777777" w:rsidR="00351421" w:rsidRPr="00EA7C0B" w:rsidRDefault="00351421" w:rsidP="007B244C">
            <w:pPr>
              <w:jc w:val="right"/>
              <w:rPr>
                <w:rFonts w:ascii="Arial" w:hAnsi="Arial" w:cs="Arial"/>
              </w:rPr>
            </w:pPr>
          </w:p>
        </w:tc>
        <w:tc>
          <w:tcPr>
            <w:tcW w:w="743" w:type="pct"/>
            <w:gridSpan w:val="4"/>
            <w:tcBorders>
              <w:top w:val="nil"/>
              <w:left w:val="nil"/>
              <w:bottom w:val="single" w:sz="4" w:space="0" w:color="auto"/>
              <w:right w:val="nil"/>
            </w:tcBorders>
          </w:tcPr>
          <w:p w14:paraId="640DD789" w14:textId="77777777" w:rsidR="00351421" w:rsidRPr="00EA7C0B" w:rsidRDefault="00351421" w:rsidP="007B244C">
            <w:pPr>
              <w:jc w:val="right"/>
              <w:rPr>
                <w:rFonts w:ascii="Arial" w:hAnsi="Arial" w:cs="Arial"/>
              </w:rPr>
            </w:pPr>
          </w:p>
        </w:tc>
      </w:tr>
      <w:tr w:rsidR="00351421" w:rsidRPr="00375CE2" w14:paraId="4E45F291" w14:textId="77777777" w:rsidTr="007B244C">
        <w:trPr>
          <w:gridAfter w:val="4"/>
          <w:wAfter w:w="1132" w:type="pct"/>
        </w:trPr>
        <w:tc>
          <w:tcPr>
            <w:tcW w:w="1268" w:type="pct"/>
            <w:gridSpan w:val="2"/>
            <w:tcBorders>
              <w:top w:val="single" w:sz="4" w:space="0" w:color="auto"/>
            </w:tcBorders>
          </w:tcPr>
          <w:p w14:paraId="1B7C9040" w14:textId="77777777" w:rsidR="00351421" w:rsidRPr="005C0F08" w:rsidRDefault="00351421" w:rsidP="007B244C">
            <w:pPr>
              <w:jc w:val="left"/>
              <w:rPr>
                <w:rFonts w:ascii="Arial" w:hAnsi="Arial" w:cs="Arial"/>
                <w:b/>
                <w:bCs/>
              </w:rPr>
            </w:pPr>
            <w:r w:rsidRPr="005C0F08">
              <w:rPr>
                <w:rFonts w:ascii="Arial" w:hAnsi="Arial" w:cs="Arial"/>
              </w:rPr>
              <w:t>Poland</w:t>
            </w:r>
          </w:p>
        </w:tc>
        <w:tc>
          <w:tcPr>
            <w:tcW w:w="549" w:type="pct"/>
            <w:gridSpan w:val="2"/>
            <w:tcBorders>
              <w:top w:val="single" w:sz="4" w:space="0" w:color="auto"/>
            </w:tcBorders>
          </w:tcPr>
          <w:p w14:paraId="14B6A572" w14:textId="77777777" w:rsidR="00351421" w:rsidRPr="00EA7C0B" w:rsidRDefault="00351421" w:rsidP="007B244C">
            <w:pPr>
              <w:jc w:val="right"/>
              <w:rPr>
                <w:rFonts w:ascii="Arial" w:hAnsi="Arial" w:cs="Arial"/>
              </w:rPr>
            </w:pPr>
            <w:r w:rsidRPr="00EA7C0B">
              <w:rPr>
                <w:rFonts w:ascii="Arial" w:hAnsi="Arial" w:cs="Arial"/>
              </w:rPr>
              <w:t>8.8%</w:t>
            </w:r>
          </w:p>
        </w:tc>
        <w:tc>
          <w:tcPr>
            <w:tcW w:w="549" w:type="pct"/>
            <w:gridSpan w:val="2"/>
            <w:tcBorders>
              <w:top w:val="single" w:sz="4" w:space="0" w:color="auto"/>
            </w:tcBorders>
          </w:tcPr>
          <w:p w14:paraId="3DF5C7C1" w14:textId="77777777" w:rsidR="00351421" w:rsidRPr="006278E2" w:rsidRDefault="00351421" w:rsidP="007B244C">
            <w:pPr>
              <w:jc w:val="right"/>
              <w:rPr>
                <w:rFonts w:ascii="Arial" w:hAnsi="Arial" w:cs="Arial"/>
              </w:rPr>
            </w:pPr>
            <w:r w:rsidRPr="006278E2">
              <w:rPr>
                <w:rFonts w:ascii="Arial" w:hAnsi="Arial" w:cs="Arial"/>
              </w:rPr>
              <w:t>9.4%</w:t>
            </w:r>
          </w:p>
        </w:tc>
        <w:tc>
          <w:tcPr>
            <w:tcW w:w="752" w:type="pct"/>
            <w:gridSpan w:val="5"/>
            <w:tcBorders>
              <w:top w:val="single" w:sz="4" w:space="0" w:color="auto"/>
            </w:tcBorders>
          </w:tcPr>
          <w:p w14:paraId="18FCF994" w14:textId="77777777" w:rsidR="00351421" w:rsidRPr="00EA7C0B" w:rsidRDefault="00351421" w:rsidP="007B244C">
            <w:pPr>
              <w:jc w:val="right"/>
              <w:rPr>
                <w:rFonts w:ascii="Arial" w:hAnsi="Arial" w:cs="Arial"/>
              </w:rPr>
            </w:pPr>
            <w:r w:rsidRPr="00EA7C0B">
              <w:rPr>
                <w:rFonts w:ascii="Arial" w:hAnsi="Arial" w:cs="Arial"/>
              </w:rPr>
              <w:t>(60)bps</w:t>
            </w:r>
          </w:p>
        </w:tc>
        <w:tc>
          <w:tcPr>
            <w:tcW w:w="750" w:type="pct"/>
            <w:gridSpan w:val="6"/>
            <w:tcBorders>
              <w:top w:val="single" w:sz="4" w:space="0" w:color="auto"/>
            </w:tcBorders>
          </w:tcPr>
          <w:p w14:paraId="3BFF5AAA" w14:textId="77777777" w:rsidR="00351421" w:rsidRPr="00EA7C0B" w:rsidRDefault="00351421" w:rsidP="007B244C">
            <w:pPr>
              <w:jc w:val="right"/>
              <w:rPr>
                <w:rFonts w:ascii="Arial" w:hAnsi="Arial" w:cs="Arial"/>
              </w:rPr>
            </w:pPr>
            <w:r w:rsidRPr="00EA7C0B">
              <w:rPr>
                <w:rFonts w:ascii="Arial" w:hAnsi="Arial" w:cs="Arial"/>
              </w:rPr>
              <w:t>(60)bps</w:t>
            </w:r>
          </w:p>
        </w:tc>
      </w:tr>
      <w:tr w:rsidR="00351421" w:rsidRPr="00375CE2" w14:paraId="6E688D3B" w14:textId="77777777" w:rsidTr="007B244C">
        <w:trPr>
          <w:gridAfter w:val="4"/>
          <w:wAfter w:w="1132" w:type="pct"/>
        </w:trPr>
        <w:tc>
          <w:tcPr>
            <w:tcW w:w="1268" w:type="pct"/>
            <w:gridSpan w:val="2"/>
            <w:tcBorders>
              <w:top w:val="single" w:sz="4" w:space="0" w:color="auto"/>
            </w:tcBorders>
          </w:tcPr>
          <w:p w14:paraId="6C77711A" w14:textId="77777777" w:rsidR="00351421" w:rsidRPr="005A48A0" w:rsidRDefault="00351421" w:rsidP="007B244C">
            <w:pPr>
              <w:jc w:val="left"/>
              <w:rPr>
                <w:rFonts w:ascii="Arial" w:hAnsi="Arial" w:cs="Arial"/>
                <w:b/>
                <w:bCs/>
              </w:rPr>
            </w:pPr>
            <w:r w:rsidRPr="000E6DC8">
              <w:rPr>
                <w:rFonts w:ascii="Arial" w:hAnsi="Arial" w:cs="Arial"/>
                <w:b/>
                <w:bCs/>
              </w:rPr>
              <w:t>Other International (ex-Russia)</w:t>
            </w:r>
          </w:p>
        </w:tc>
        <w:tc>
          <w:tcPr>
            <w:tcW w:w="549" w:type="pct"/>
            <w:gridSpan w:val="2"/>
            <w:tcBorders>
              <w:top w:val="single" w:sz="4" w:space="0" w:color="auto"/>
            </w:tcBorders>
          </w:tcPr>
          <w:p w14:paraId="3D3AD6C6" w14:textId="77777777" w:rsidR="00351421" w:rsidRPr="00EA7C0B" w:rsidRDefault="00351421" w:rsidP="007B244C">
            <w:pPr>
              <w:jc w:val="right"/>
              <w:rPr>
                <w:rFonts w:ascii="Arial" w:hAnsi="Arial" w:cs="Arial"/>
                <w:b/>
                <w:bCs/>
              </w:rPr>
            </w:pPr>
            <w:r w:rsidRPr="00EA7C0B">
              <w:rPr>
                <w:rFonts w:ascii="Arial" w:hAnsi="Arial" w:cs="Arial"/>
                <w:b/>
                <w:bCs/>
              </w:rPr>
              <w:t>6.1%</w:t>
            </w:r>
          </w:p>
        </w:tc>
        <w:tc>
          <w:tcPr>
            <w:tcW w:w="549" w:type="pct"/>
            <w:gridSpan w:val="2"/>
            <w:tcBorders>
              <w:top w:val="single" w:sz="4" w:space="0" w:color="auto"/>
            </w:tcBorders>
          </w:tcPr>
          <w:p w14:paraId="154E4C2A" w14:textId="77777777" w:rsidR="00351421" w:rsidRPr="006278E2" w:rsidDel="00C44530" w:rsidRDefault="00351421" w:rsidP="007B244C">
            <w:pPr>
              <w:jc w:val="right"/>
              <w:rPr>
                <w:rFonts w:ascii="Arial" w:hAnsi="Arial" w:cs="Arial"/>
                <w:b/>
                <w:bCs/>
              </w:rPr>
            </w:pPr>
            <w:r w:rsidRPr="006278E2">
              <w:rPr>
                <w:rFonts w:ascii="Arial" w:hAnsi="Arial" w:cs="Arial"/>
                <w:b/>
                <w:bCs/>
              </w:rPr>
              <w:t>6.8%</w:t>
            </w:r>
          </w:p>
        </w:tc>
        <w:tc>
          <w:tcPr>
            <w:tcW w:w="752" w:type="pct"/>
            <w:gridSpan w:val="5"/>
            <w:tcBorders>
              <w:top w:val="single" w:sz="4" w:space="0" w:color="auto"/>
            </w:tcBorders>
          </w:tcPr>
          <w:p w14:paraId="77CC9FC0" w14:textId="77777777" w:rsidR="00351421" w:rsidRPr="00EA7C0B" w:rsidRDefault="00351421" w:rsidP="007B244C">
            <w:pPr>
              <w:jc w:val="right"/>
              <w:rPr>
                <w:rFonts w:ascii="Arial" w:hAnsi="Arial" w:cs="Arial"/>
                <w:b/>
                <w:bCs/>
              </w:rPr>
            </w:pPr>
            <w:r w:rsidRPr="00EA7C0B">
              <w:rPr>
                <w:rFonts w:ascii="Arial" w:hAnsi="Arial" w:cs="Arial"/>
                <w:b/>
                <w:bCs/>
              </w:rPr>
              <w:t>(70)bps</w:t>
            </w:r>
          </w:p>
        </w:tc>
        <w:tc>
          <w:tcPr>
            <w:tcW w:w="750" w:type="pct"/>
            <w:gridSpan w:val="6"/>
            <w:tcBorders>
              <w:top w:val="single" w:sz="4" w:space="0" w:color="auto"/>
            </w:tcBorders>
          </w:tcPr>
          <w:p w14:paraId="0019874F" w14:textId="77777777" w:rsidR="00351421" w:rsidRPr="00EA7C0B" w:rsidRDefault="00351421" w:rsidP="007B244C">
            <w:pPr>
              <w:jc w:val="right"/>
              <w:rPr>
                <w:rFonts w:ascii="Arial" w:hAnsi="Arial" w:cs="Arial"/>
                <w:b/>
                <w:bCs/>
              </w:rPr>
            </w:pPr>
            <w:r w:rsidRPr="00EA7C0B">
              <w:rPr>
                <w:rFonts w:ascii="Arial" w:hAnsi="Arial" w:cs="Arial"/>
                <w:b/>
                <w:bCs/>
              </w:rPr>
              <w:t>(60)bps</w:t>
            </w:r>
          </w:p>
        </w:tc>
      </w:tr>
      <w:tr w:rsidR="00351421" w:rsidRPr="00375CE2" w14:paraId="16A2652A" w14:textId="77777777" w:rsidTr="007B244C">
        <w:trPr>
          <w:gridAfter w:val="4"/>
          <w:wAfter w:w="1132" w:type="pct"/>
        </w:trPr>
        <w:tc>
          <w:tcPr>
            <w:tcW w:w="1268" w:type="pct"/>
            <w:gridSpan w:val="2"/>
            <w:tcBorders>
              <w:top w:val="single" w:sz="4" w:space="0" w:color="auto"/>
            </w:tcBorders>
          </w:tcPr>
          <w:p w14:paraId="3BFEFEBB" w14:textId="77777777" w:rsidR="00351421" w:rsidRPr="0034775C" w:rsidRDefault="00351421" w:rsidP="007B244C">
            <w:pPr>
              <w:jc w:val="left"/>
              <w:rPr>
                <w:rFonts w:ascii="Arial" w:hAnsi="Arial" w:cs="Arial"/>
              </w:rPr>
            </w:pPr>
            <w:bookmarkStart w:id="78" w:name="_Hlk34989928"/>
            <w:r w:rsidRPr="0034775C">
              <w:rPr>
                <w:rFonts w:ascii="Arial" w:hAnsi="Arial" w:cs="Arial"/>
                <w:b/>
                <w:bCs/>
              </w:rPr>
              <w:t>Other International</w:t>
            </w:r>
          </w:p>
        </w:tc>
        <w:tc>
          <w:tcPr>
            <w:tcW w:w="549" w:type="pct"/>
            <w:gridSpan w:val="2"/>
            <w:tcBorders>
              <w:top w:val="single" w:sz="4" w:space="0" w:color="auto"/>
            </w:tcBorders>
          </w:tcPr>
          <w:p w14:paraId="407F1B95" w14:textId="77777777" w:rsidR="00351421" w:rsidRPr="00EA7C0B" w:rsidRDefault="00351421" w:rsidP="007B244C">
            <w:pPr>
              <w:jc w:val="right"/>
              <w:rPr>
                <w:rFonts w:ascii="Arial" w:hAnsi="Arial" w:cs="Arial"/>
                <w:b/>
                <w:bCs/>
              </w:rPr>
            </w:pPr>
            <w:r w:rsidRPr="00EA7C0B">
              <w:rPr>
                <w:rFonts w:ascii="Arial" w:hAnsi="Arial" w:cs="Arial"/>
                <w:b/>
                <w:bCs/>
              </w:rPr>
              <w:t>6.1%</w:t>
            </w:r>
          </w:p>
        </w:tc>
        <w:tc>
          <w:tcPr>
            <w:tcW w:w="549" w:type="pct"/>
            <w:gridSpan w:val="2"/>
            <w:tcBorders>
              <w:top w:val="single" w:sz="4" w:space="0" w:color="auto"/>
            </w:tcBorders>
          </w:tcPr>
          <w:p w14:paraId="67520030" w14:textId="77777777" w:rsidR="00351421" w:rsidRPr="006278E2" w:rsidRDefault="00351421" w:rsidP="007B244C">
            <w:pPr>
              <w:jc w:val="right"/>
              <w:rPr>
                <w:rFonts w:ascii="Arial" w:hAnsi="Arial" w:cs="Arial"/>
                <w:b/>
                <w:bCs/>
              </w:rPr>
            </w:pPr>
            <w:r w:rsidRPr="006278E2">
              <w:rPr>
                <w:rFonts w:ascii="Arial" w:hAnsi="Arial" w:cs="Arial"/>
                <w:b/>
                <w:bCs/>
              </w:rPr>
              <w:t>6.2%</w:t>
            </w:r>
          </w:p>
        </w:tc>
        <w:tc>
          <w:tcPr>
            <w:tcW w:w="752" w:type="pct"/>
            <w:gridSpan w:val="5"/>
            <w:tcBorders>
              <w:top w:val="single" w:sz="4" w:space="0" w:color="auto"/>
            </w:tcBorders>
          </w:tcPr>
          <w:p w14:paraId="4FDE2234" w14:textId="77777777" w:rsidR="00351421" w:rsidRPr="00EA7C0B" w:rsidRDefault="00351421" w:rsidP="007B244C">
            <w:pPr>
              <w:jc w:val="right"/>
              <w:rPr>
                <w:rFonts w:ascii="Arial" w:hAnsi="Arial" w:cs="Arial"/>
                <w:b/>
                <w:bCs/>
              </w:rPr>
            </w:pPr>
            <w:r w:rsidRPr="00EA7C0B">
              <w:rPr>
                <w:rFonts w:ascii="Arial" w:hAnsi="Arial" w:cs="Arial"/>
                <w:b/>
                <w:bCs/>
              </w:rPr>
              <w:t>(10)bps</w:t>
            </w:r>
          </w:p>
        </w:tc>
        <w:tc>
          <w:tcPr>
            <w:tcW w:w="750" w:type="pct"/>
            <w:gridSpan w:val="6"/>
            <w:tcBorders>
              <w:top w:val="single" w:sz="4" w:space="0" w:color="auto"/>
            </w:tcBorders>
          </w:tcPr>
          <w:p w14:paraId="17D30CE5" w14:textId="77777777" w:rsidR="00351421" w:rsidRPr="00EA7C0B" w:rsidRDefault="00351421" w:rsidP="007B244C">
            <w:pPr>
              <w:jc w:val="right"/>
              <w:rPr>
                <w:rFonts w:ascii="Arial" w:hAnsi="Arial" w:cs="Arial"/>
                <w:b/>
                <w:bCs/>
              </w:rPr>
            </w:pPr>
            <w:r w:rsidRPr="00EA7C0B">
              <w:rPr>
                <w:rFonts w:ascii="Arial" w:hAnsi="Arial" w:cs="Arial"/>
                <w:b/>
                <w:bCs/>
              </w:rPr>
              <w:t>-</w:t>
            </w:r>
          </w:p>
        </w:tc>
      </w:tr>
      <w:bookmarkEnd w:id="78"/>
    </w:tbl>
    <w:p w14:paraId="6F0FCA08" w14:textId="77777777" w:rsidR="00351421" w:rsidRPr="00DD06BC" w:rsidRDefault="00351421" w:rsidP="00351421">
      <w:pPr>
        <w:rPr>
          <w:rFonts w:ascii="Arial" w:hAnsi="Arial" w:cs="Arial"/>
          <w:sz w:val="18"/>
          <w:szCs w:val="18"/>
        </w:rPr>
      </w:pPr>
    </w:p>
    <w:p w14:paraId="4BC68393" w14:textId="1DE6483F" w:rsidR="00351421" w:rsidRDefault="00351421" w:rsidP="00351421">
      <w:pPr>
        <w:jc w:val="left"/>
        <w:rPr>
          <w:rFonts w:ascii="Arial" w:eastAsiaTheme="minorHAnsi" w:hAnsi="Arial" w:cs="Arial"/>
          <w:sz w:val="18"/>
          <w:szCs w:val="18"/>
        </w:rPr>
      </w:pPr>
      <w:r w:rsidRPr="00942226">
        <w:rPr>
          <w:rFonts w:ascii="Arial" w:hAnsi="Arial" w:cs="Arial"/>
          <w:sz w:val="18"/>
          <w:szCs w:val="18"/>
          <w:vertAlign w:val="superscript"/>
        </w:rPr>
        <w:t>±</w:t>
      </w:r>
      <w:r w:rsidRPr="00942226">
        <w:rPr>
          <w:rFonts w:ascii="Arial" w:hAnsi="Arial" w:cs="Arial"/>
          <w:sz w:val="18"/>
          <w:szCs w:val="18"/>
        </w:rPr>
        <w:t xml:space="preserve"> </w:t>
      </w:r>
      <w:r w:rsidRPr="00C72C8A">
        <w:rPr>
          <w:rFonts w:ascii="Arial" w:hAnsi="Arial" w:cs="Arial"/>
          <w:sz w:val="18"/>
          <w:szCs w:val="18"/>
        </w:rPr>
        <w:t>Kingfisher’s subsidiary in Romania has historically prepared its financial statements to 31 December. In FY 21/22, Romania migrat</w:t>
      </w:r>
      <w:r w:rsidR="0034383A">
        <w:rPr>
          <w:rFonts w:ascii="Arial" w:hAnsi="Arial" w:cs="Arial"/>
          <w:sz w:val="18"/>
          <w:szCs w:val="18"/>
        </w:rPr>
        <w:t>ed</w:t>
      </w:r>
      <w:r w:rsidRPr="00C72C8A">
        <w:rPr>
          <w:rFonts w:ascii="Arial" w:hAnsi="Arial" w:cs="Arial"/>
          <w:sz w:val="18"/>
          <w:szCs w:val="18"/>
        </w:rPr>
        <w:t xml:space="preserve"> to Kingfisher’s financial reporting calendar (year end</w:t>
      </w:r>
      <w:r w:rsidR="0034383A">
        <w:rPr>
          <w:rFonts w:ascii="Arial" w:hAnsi="Arial" w:cs="Arial"/>
          <w:sz w:val="18"/>
          <w:szCs w:val="18"/>
        </w:rPr>
        <w:t>ed</w:t>
      </w:r>
      <w:r w:rsidRPr="00C72C8A">
        <w:rPr>
          <w:rFonts w:ascii="Arial" w:hAnsi="Arial" w:cs="Arial"/>
          <w:sz w:val="18"/>
          <w:szCs w:val="18"/>
        </w:rPr>
        <w:t xml:space="preserve"> 31 January 2022). Its sales and retail loss presented therefore include one additional month of results (</w:t>
      </w:r>
      <w:r w:rsidR="0034383A">
        <w:rPr>
          <w:rFonts w:ascii="Arial" w:hAnsi="Arial" w:cs="Arial"/>
          <w:sz w:val="18"/>
          <w:szCs w:val="18"/>
        </w:rPr>
        <w:t>January 2022</w:t>
      </w:r>
      <w:r w:rsidRPr="00C72C8A">
        <w:rPr>
          <w:rFonts w:ascii="Arial" w:hAnsi="Arial" w:cs="Arial"/>
          <w:sz w:val="18"/>
          <w:szCs w:val="18"/>
        </w:rPr>
        <w:t xml:space="preserve">) in order to facilitate the alignment to Kingfisher’s financial reporting calendar. Reported and constant currency variances for Romania’s sales and retail loss are for January </w:t>
      </w:r>
      <w:r w:rsidR="0034383A">
        <w:rPr>
          <w:rFonts w:ascii="Arial" w:hAnsi="Arial" w:cs="Arial"/>
          <w:sz w:val="18"/>
          <w:szCs w:val="18"/>
        </w:rPr>
        <w:t xml:space="preserve">2021 </w:t>
      </w:r>
      <w:r w:rsidRPr="00C72C8A">
        <w:rPr>
          <w:rFonts w:ascii="Arial" w:hAnsi="Arial" w:cs="Arial"/>
          <w:sz w:val="18"/>
          <w:szCs w:val="18"/>
        </w:rPr>
        <w:t xml:space="preserve">to January 2022 (compared against January to </w:t>
      </w:r>
      <w:r w:rsidR="0034383A">
        <w:rPr>
          <w:rFonts w:ascii="Arial" w:hAnsi="Arial" w:cs="Arial"/>
          <w:sz w:val="18"/>
          <w:szCs w:val="18"/>
        </w:rPr>
        <w:t xml:space="preserve">December </w:t>
      </w:r>
      <w:r w:rsidRPr="00C72C8A">
        <w:rPr>
          <w:rFonts w:ascii="Arial" w:hAnsi="Arial" w:cs="Arial"/>
          <w:sz w:val="18"/>
          <w:szCs w:val="18"/>
        </w:rPr>
        <w:t xml:space="preserve">2020), whilst LFL and 2-year LFL sales growth for Romania compares February </w:t>
      </w:r>
      <w:r w:rsidR="0008018E">
        <w:rPr>
          <w:rFonts w:ascii="Arial" w:hAnsi="Arial" w:cs="Arial"/>
          <w:sz w:val="18"/>
          <w:szCs w:val="18"/>
        </w:rPr>
        <w:t xml:space="preserve">2021 </w:t>
      </w:r>
      <w:r w:rsidRPr="00C72C8A">
        <w:rPr>
          <w:rFonts w:ascii="Arial" w:hAnsi="Arial" w:cs="Arial"/>
          <w:sz w:val="18"/>
          <w:szCs w:val="18"/>
        </w:rPr>
        <w:t>to January 2022 to the equivalent periods in prior years. Romania’s LFL sales growth in the month of January 2021 was 22.2%.</w:t>
      </w:r>
    </w:p>
    <w:p w14:paraId="19B2832F" w14:textId="77777777" w:rsidR="00351421" w:rsidRDefault="00351421" w:rsidP="00351421">
      <w:pPr>
        <w:jc w:val="left"/>
        <w:rPr>
          <w:rFonts w:ascii="Arial" w:hAnsi="Arial" w:cs="Arial"/>
          <w:sz w:val="18"/>
          <w:szCs w:val="18"/>
        </w:rPr>
      </w:pPr>
      <w:r w:rsidRPr="0072155A">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‘Other’ consists of the consolidated results of NeedHelp (acquired in November 2020), Screwfix International (launched online in France in April 2021), and results from franchise agreements.</w:t>
      </w:r>
    </w:p>
    <w:p w14:paraId="3B3AE141" w14:textId="77777777" w:rsidR="0034383A" w:rsidRPr="00E83051" w:rsidRDefault="0034383A" w:rsidP="00351421">
      <w:pPr>
        <w:rPr>
          <w:rFonts w:ascii="Arial" w:hAnsi="Arial" w:cs="Arial"/>
        </w:rPr>
      </w:pPr>
    </w:p>
    <w:p w14:paraId="16251F98" w14:textId="715E5A23" w:rsidR="00351421" w:rsidRDefault="00351421" w:rsidP="00351421">
      <w:pPr>
        <w:jc w:val="left"/>
        <w:rPr>
          <w:rFonts w:ascii="Arial" w:hAnsi="Arial" w:cs="Arial"/>
        </w:rPr>
      </w:pPr>
      <w:r w:rsidRPr="00A77BDA">
        <w:rPr>
          <w:rFonts w:ascii="Arial" w:hAnsi="Arial" w:cs="Arial"/>
          <w:b/>
          <w:bCs/>
        </w:rPr>
        <w:lastRenderedPageBreak/>
        <w:t>Other International (ex-Russia)</w:t>
      </w:r>
      <w:r w:rsidRPr="00E9564C">
        <w:rPr>
          <w:rFonts w:ascii="Arial" w:hAnsi="Arial" w:cs="Arial"/>
        </w:rPr>
        <w:t xml:space="preserve"> total sales </w:t>
      </w:r>
      <w:r>
        <w:rPr>
          <w:rFonts w:ascii="Arial" w:hAnsi="Arial" w:cs="Arial"/>
        </w:rPr>
        <w:t>in</w:t>
      </w:r>
      <w:r w:rsidRPr="00E9564C">
        <w:rPr>
          <w:rFonts w:ascii="Arial" w:hAnsi="Arial" w:cs="Arial"/>
        </w:rPr>
        <w:t xml:space="preserve">creased by </w:t>
      </w:r>
      <w:r>
        <w:rPr>
          <w:rFonts w:ascii="Arial" w:hAnsi="Arial" w:cs="Arial"/>
        </w:rPr>
        <w:t>10.3</w:t>
      </w:r>
      <w:r w:rsidRPr="00E9564C">
        <w:rPr>
          <w:rFonts w:ascii="Arial" w:hAnsi="Arial" w:cs="Arial"/>
        </w:rPr>
        <w:t xml:space="preserve">% (LFL </w:t>
      </w:r>
      <w:r>
        <w:rPr>
          <w:rFonts w:ascii="Arial" w:hAnsi="Arial" w:cs="Arial"/>
        </w:rPr>
        <w:t>+5.5</w:t>
      </w:r>
      <w:r w:rsidRPr="00E9564C">
        <w:rPr>
          <w:rFonts w:ascii="Arial" w:hAnsi="Arial" w:cs="Arial"/>
        </w:rPr>
        <w:t>%) to £</w:t>
      </w:r>
      <w:r>
        <w:rPr>
          <w:rFonts w:ascii="Arial" w:hAnsi="Arial" w:cs="Arial"/>
        </w:rPr>
        <w:t>2,180</w:t>
      </w:r>
      <w:r w:rsidR="000F2F06">
        <w:rPr>
          <w:rFonts w:ascii="Arial" w:hAnsi="Arial" w:cs="Arial"/>
        </w:rPr>
        <w:t>m</w:t>
      </w:r>
      <w:r w:rsidRPr="00E9564C">
        <w:rPr>
          <w:rFonts w:ascii="Arial" w:hAnsi="Arial" w:cs="Arial"/>
        </w:rPr>
        <w:t xml:space="preserve">, with </w:t>
      </w:r>
      <w:r>
        <w:rPr>
          <w:rFonts w:ascii="Arial" w:hAnsi="Arial" w:cs="Arial"/>
        </w:rPr>
        <w:t xml:space="preserve">2-year LFL sales up 9.2%, driven by </w:t>
      </w:r>
      <w:r w:rsidRPr="00E9564C">
        <w:rPr>
          <w:rFonts w:ascii="Arial" w:hAnsi="Arial" w:cs="Arial"/>
        </w:rPr>
        <w:t xml:space="preserve">growth in </w:t>
      </w:r>
      <w:r>
        <w:rPr>
          <w:rFonts w:ascii="Arial" w:hAnsi="Arial" w:cs="Arial"/>
        </w:rPr>
        <w:t>all key geographies</w:t>
      </w:r>
      <w:r w:rsidRPr="00E9564C">
        <w:rPr>
          <w:rFonts w:ascii="Arial" w:hAnsi="Arial" w:cs="Arial"/>
        </w:rPr>
        <w:t xml:space="preserve">. Retail profit </w:t>
      </w:r>
      <w:r>
        <w:rPr>
          <w:rFonts w:ascii="Arial" w:hAnsi="Arial" w:cs="Arial"/>
        </w:rPr>
        <w:t>in</w:t>
      </w:r>
      <w:r w:rsidRPr="00A546BD">
        <w:rPr>
          <w:rFonts w:ascii="Arial" w:hAnsi="Arial" w:cs="Arial"/>
        </w:rPr>
        <w:t xml:space="preserve">creased by </w:t>
      </w:r>
      <w:r w:rsidRPr="00EA7C0B">
        <w:rPr>
          <w:rFonts w:ascii="Arial" w:hAnsi="Arial" w:cs="Arial"/>
        </w:rPr>
        <w:t>1.0</w:t>
      </w:r>
      <w:r w:rsidRPr="00A546BD">
        <w:rPr>
          <w:rFonts w:ascii="Arial" w:hAnsi="Arial" w:cs="Arial"/>
        </w:rPr>
        <w:t>% to £</w:t>
      </w:r>
      <w:r>
        <w:rPr>
          <w:rFonts w:ascii="Arial" w:hAnsi="Arial" w:cs="Arial"/>
        </w:rPr>
        <w:t>133</w:t>
      </w:r>
      <w:r w:rsidR="000F2F06">
        <w:rPr>
          <w:rFonts w:ascii="Arial" w:hAnsi="Arial" w:cs="Arial"/>
        </w:rPr>
        <w:t>m</w:t>
      </w:r>
      <w:r w:rsidRPr="00A546BD">
        <w:rPr>
          <w:rFonts w:ascii="Arial" w:hAnsi="Arial" w:cs="Arial"/>
        </w:rPr>
        <w:t xml:space="preserve">, </w:t>
      </w:r>
      <w:r>
        <w:rPr>
          <w:rFonts w:ascii="Arial" w:hAnsi="Arial" w:cs="Arial"/>
        </w:rPr>
        <w:t xml:space="preserve">with improved performances in Iberia, Romania and Turkey offset by </w:t>
      </w:r>
      <w:r w:rsidRPr="00A546BD">
        <w:rPr>
          <w:rFonts w:ascii="Arial" w:hAnsi="Arial" w:cs="Arial"/>
        </w:rPr>
        <w:t>a lower retail profit in Poland</w:t>
      </w:r>
      <w:r>
        <w:rPr>
          <w:rFonts w:ascii="Arial" w:hAnsi="Arial" w:cs="Arial"/>
        </w:rPr>
        <w:t xml:space="preserve"> and losses incurred in ‘Other’ operations</w:t>
      </w:r>
      <w:r w:rsidRPr="00A546BD">
        <w:rPr>
          <w:rFonts w:ascii="Arial" w:hAnsi="Arial" w:cs="Arial"/>
        </w:rPr>
        <w:t xml:space="preserve">. </w:t>
      </w:r>
      <w:bookmarkStart w:id="79" w:name="_Hlk491357368"/>
      <w:r w:rsidRPr="00A546BD">
        <w:rPr>
          <w:rFonts w:ascii="Arial" w:hAnsi="Arial" w:cs="Arial"/>
        </w:rPr>
        <w:t>Including Russia</w:t>
      </w:r>
      <w:r>
        <w:rPr>
          <w:rFonts w:ascii="Arial" w:hAnsi="Arial" w:cs="Arial"/>
        </w:rPr>
        <w:t xml:space="preserve">’s retail loss in </w:t>
      </w:r>
      <w:r w:rsidR="007D23DD">
        <w:rPr>
          <w:rFonts w:ascii="Arial" w:hAnsi="Arial" w:cs="Arial"/>
        </w:rPr>
        <w:t xml:space="preserve">FY </w:t>
      </w:r>
      <w:r>
        <w:rPr>
          <w:rFonts w:ascii="Arial" w:hAnsi="Arial" w:cs="Arial"/>
        </w:rPr>
        <w:t xml:space="preserve">20/21 (disposal completed </w:t>
      </w:r>
      <w:r w:rsidRPr="00A546BD">
        <w:rPr>
          <w:rFonts w:ascii="Arial" w:hAnsi="Arial" w:cs="Arial"/>
        </w:rPr>
        <w:t>on 30 September 2020</w:t>
      </w:r>
      <w:r>
        <w:rPr>
          <w:rFonts w:ascii="Arial" w:hAnsi="Arial" w:cs="Arial"/>
        </w:rPr>
        <w:t>)</w:t>
      </w:r>
      <w:r w:rsidRPr="00A546BD">
        <w:rPr>
          <w:rFonts w:ascii="Arial" w:hAnsi="Arial" w:cs="Arial"/>
        </w:rPr>
        <w:t xml:space="preserve">, </w:t>
      </w:r>
      <w:r w:rsidRPr="00A77BDA">
        <w:rPr>
          <w:rFonts w:ascii="Arial" w:hAnsi="Arial" w:cs="Arial"/>
          <w:b/>
          <w:bCs/>
        </w:rPr>
        <w:t>Other International</w:t>
      </w:r>
      <w:r w:rsidRPr="00A546BD">
        <w:rPr>
          <w:rFonts w:ascii="Arial" w:hAnsi="Arial" w:cs="Arial"/>
        </w:rPr>
        <w:t xml:space="preserve"> retail profit </w:t>
      </w:r>
      <w:r>
        <w:rPr>
          <w:rFonts w:ascii="Arial" w:hAnsi="Arial" w:cs="Arial"/>
        </w:rPr>
        <w:t xml:space="preserve">increased </w:t>
      </w:r>
      <w:r w:rsidRPr="00A546BD">
        <w:rPr>
          <w:rFonts w:ascii="Arial" w:hAnsi="Arial" w:cs="Arial"/>
        </w:rPr>
        <w:t xml:space="preserve">by </w:t>
      </w:r>
      <w:r>
        <w:rPr>
          <w:rFonts w:ascii="Arial" w:hAnsi="Arial" w:cs="Arial"/>
        </w:rPr>
        <w:t>2.1</w:t>
      </w:r>
      <w:r w:rsidRPr="00313F6A">
        <w:rPr>
          <w:rFonts w:ascii="Arial" w:hAnsi="Arial" w:cs="Arial"/>
        </w:rPr>
        <w:t>%</w:t>
      </w:r>
      <w:r w:rsidR="00B16283">
        <w:rPr>
          <w:rFonts w:ascii="Arial" w:hAnsi="Arial" w:cs="Arial"/>
        </w:rPr>
        <w:t xml:space="preserve"> and the retail profit margin % was broadly flat at 6.1%</w:t>
      </w:r>
      <w:r w:rsidRPr="00313F6A">
        <w:rPr>
          <w:rFonts w:ascii="Arial" w:hAnsi="Arial" w:cs="Arial"/>
        </w:rPr>
        <w:t>.</w:t>
      </w:r>
      <w:bookmarkEnd w:id="79"/>
    </w:p>
    <w:p w14:paraId="2939C27E" w14:textId="77777777" w:rsidR="00351421" w:rsidRDefault="00351421" w:rsidP="00351421">
      <w:pPr>
        <w:jc w:val="left"/>
        <w:rPr>
          <w:rFonts w:ascii="Arial" w:hAnsi="Arial" w:cs="Arial"/>
        </w:rPr>
      </w:pPr>
    </w:p>
    <w:p w14:paraId="27E71F10" w14:textId="7C15E82F" w:rsidR="00351421" w:rsidRDefault="00351421" w:rsidP="00A77BDA">
      <w:pPr>
        <w:jc w:val="left"/>
        <w:rPr>
          <w:rFonts w:ascii="Arial" w:hAnsi="Arial" w:cs="Arial"/>
        </w:rPr>
      </w:pPr>
      <w:r w:rsidRPr="002F6DC3">
        <w:rPr>
          <w:rFonts w:ascii="Arial" w:hAnsi="Arial" w:cs="Arial"/>
        </w:rPr>
        <w:t xml:space="preserve">Sales in </w:t>
      </w:r>
      <w:r w:rsidRPr="00A77BDA">
        <w:rPr>
          <w:rFonts w:ascii="Arial" w:hAnsi="Arial" w:cs="Arial"/>
          <w:b/>
          <w:bCs/>
        </w:rPr>
        <w:t>Poland</w:t>
      </w:r>
      <w:r w:rsidRPr="002F6DC3">
        <w:rPr>
          <w:rFonts w:ascii="Arial" w:hAnsi="Arial" w:cs="Arial"/>
        </w:rPr>
        <w:t xml:space="preserve"> </w:t>
      </w:r>
      <w:r>
        <w:rPr>
          <w:rFonts w:ascii="Arial" w:hAnsi="Arial" w:cs="Arial"/>
        </w:rPr>
        <w:t>in</w:t>
      </w:r>
      <w:r w:rsidRPr="002F6DC3">
        <w:rPr>
          <w:rFonts w:ascii="Arial" w:hAnsi="Arial" w:cs="Arial"/>
        </w:rPr>
        <w:t xml:space="preserve">creased by </w:t>
      </w:r>
      <w:r>
        <w:rPr>
          <w:rFonts w:ascii="Arial" w:hAnsi="Arial" w:cs="Arial"/>
        </w:rPr>
        <w:t>5.0</w:t>
      </w:r>
      <w:r w:rsidRPr="002F6DC3">
        <w:rPr>
          <w:rFonts w:ascii="Arial" w:hAnsi="Arial" w:cs="Arial"/>
        </w:rPr>
        <w:t xml:space="preserve">% (LFL </w:t>
      </w:r>
      <w:r>
        <w:rPr>
          <w:rFonts w:ascii="Arial" w:hAnsi="Arial" w:cs="Arial"/>
        </w:rPr>
        <w:t>+0.3</w:t>
      </w:r>
      <w:r w:rsidRPr="002F6DC3">
        <w:rPr>
          <w:rFonts w:ascii="Arial" w:hAnsi="Arial" w:cs="Arial"/>
        </w:rPr>
        <w:t>%) to £</w:t>
      </w:r>
      <w:r>
        <w:rPr>
          <w:rFonts w:ascii="Arial" w:hAnsi="Arial" w:cs="Arial"/>
        </w:rPr>
        <w:t>1,</w:t>
      </w:r>
      <w:r w:rsidRPr="003E45C9">
        <w:rPr>
          <w:rFonts w:ascii="Arial" w:hAnsi="Arial" w:cs="Arial"/>
        </w:rPr>
        <w:t>525</w:t>
      </w:r>
      <w:r w:rsidR="000F2F06" w:rsidRPr="00A75031">
        <w:rPr>
          <w:rFonts w:ascii="Arial" w:hAnsi="Arial" w:cs="Arial"/>
        </w:rPr>
        <w:t>m</w:t>
      </w:r>
      <w:r w:rsidRPr="003E45C9">
        <w:rPr>
          <w:rFonts w:ascii="Arial" w:hAnsi="Arial" w:cs="Arial"/>
        </w:rPr>
        <w:t>, with</w:t>
      </w:r>
      <w:r>
        <w:rPr>
          <w:rFonts w:ascii="Arial" w:hAnsi="Arial" w:cs="Arial"/>
        </w:rPr>
        <w:t xml:space="preserve"> 2-year LFL sales up 5.3%. S</w:t>
      </w:r>
      <w:r w:rsidRPr="003E0692">
        <w:rPr>
          <w:rFonts w:ascii="Arial" w:hAnsi="Arial" w:cs="Arial"/>
        </w:rPr>
        <w:t>pace growth contributed c.</w:t>
      </w:r>
      <w:r>
        <w:rPr>
          <w:rFonts w:ascii="Arial" w:hAnsi="Arial" w:cs="Arial"/>
        </w:rPr>
        <w:t>5</w:t>
      </w:r>
      <w:r w:rsidRPr="003E0692">
        <w:rPr>
          <w:rFonts w:ascii="Arial" w:hAnsi="Arial" w:cs="Arial"/>
        </w:rPr>
        <w:t xml:space="preserve">% to total sales. </w:t>
      </w:r>
      <w:r w:rsidR="00905651">
        <w:rPr>
          <w:rFonts w:ascii="Arial" w:hAnsi="Arial" w:cs="Arial"/>
        </w:rPr>
        <w:t xml:space="preserve">Most </w:t>
      </w:r>
      <w:r>
        <w:rPr>
          <w:rFonts w:ascii="Arial" w:hAnsi="Arial" w:cs="Arial"/>
        </w:rPr>
        <w:t xml:space="preserve">categories traded well on a 2-year basis, in particular </w:t>
      </w:r>
      <w:r w:rsidR="00AD6F6A">
        <w:rPr>
          <w:rFonts w:ascii="Arial" w:hAnsi="Arial" w:cs="Arial"/>
        </w:rPr>
        <w:t xml:space="preserve">kitchens (up 41%) with </w:t>
      </w:r>
      <w:r>
        <w:rPr>
          <w:rFonts w:ascii="Arial" w:hAnsi="Arial" w:cs="Arial"/>
        </w:rPr>
        <w:t>the new OEB kitchen range</w:t>
      </w:r>
      <w:r w:rsidR="00AD6F6A">
        <w:rPr>
          <w:rFonts w:ascii="Arial" w:hAnsi="Arial" w:cs="Arial"/>
        </w:rPr>
        <w:t xml:space="preserve"> landing well</w:t>
      </w:r>
      <w:r>
        <w:rPr>
          <w:rFonts w:ascii="Arial" w:hAnsi="Arial" w:cs="Arial"/>
        </w:rPr>
        <w:t xml:space="preserve">. We saw a strong recovery in demand </w:t>
      </w:r>
      <w:r w:rsidR="0003286E">
        <w:rPr>
          <w:rFonts w:ascii="Arial" w:hAnsi="Arial" w:cs="Arial"/>
        </w:rPr>
        <w:t xml:space="preserve">from </w:t>
      </w:r>
      <w:r w:rsidR="00AB2909">
        <w:rPr>
          <w:rFonts w:ascii="Arial" w:hAnsi="Arial" w:cs="Arial"/>
        </w:rPr>
        <w:t>Q</w:t>
      </w:r>
      <w:r>
        <w:rPr>
          <w:rFonts w:ascii="Arial" w:hAnsi="Arial" w:cs="Arial"/>
        </w:rPr>
        <w:t xml:space="preserve">2 21/22 </w:t>
      </w:r>
      <w:r w:rsidR="0003286E">
        <w:rPr>
          <w:rFonts w:ascii="Arial" w:hAnsi="Arial" w:cs="Arial"/>
        </w:rPr>
        <w:t xml:space="preserve">onwards </w:t>
      </w:r>
      <w:r>
        <w:rPr>
          <w:rFonts w:ascii="Arial" w:hAnsi="Arial" w:cs="Arial"/>
        </w:rPr>
        <w:t xml:space="preserve">following </w:t>
      </w:r>
      <w:r w:rsidR="00AB2909">
        <w:rPr>
          <w:rFonts w:ascii="Arial" w:hAnsi="Arial" w:cs="Arial"/>
        </w:rPr>
        <w:t xml:space="preserve">the </w:t>
      </w:r>
      <w:r>
        <w:rPr>
          <w:rFonts w:ascii="Arial" w:hAnsi="Arial" w:cs="Arial"/>
        </w:rPr>
        <w:t xml:space="preserve">closure of all Castorama stores </w:t>
      </w:r>
      <w:r w:rsidRPr="00BE2987">
        <w:rPr>
          <w:rFonts w:ascii="Arial" w:hAnsi="Arial" w:cs="Arial"/>
        </w:rPr>
        <w:t>between 27 March and 3 May 2021</w:t>
      </w:r>
      <w:r>
        <w:rPr>
          <w:rFonts w:ascii="Arial" w:hAnsi="Arial" w:cs="Arial"/>
        </w:rPr>
        <w:t xml:space="preserve">. </w:t>
      </w:r>
      <w:r w:rsidR="00AB2909">
        <w:rPr>
          <w:rFonts w:ascii="Arial" w:hAnsi="Arial" w:cs="Arial"/>
        </w:rPr>
        <w:t>These t</w:t>
      </w:r>
      <w:r>
        <w:rPr>
          <w:rFonts w:ascii="Arial" w:hAnsi="Arial" w:cs="Arial"/>
        </w:rPr>
        <w:t xml:space="preserve">emporary store closures had a net </w:t>
      </w:r>
      <w:r w:rsidRPr="001548BE">
        <w:rPr>
          <w:rFonts w:ascii="Arial" w:hAnsi="Arial" w:cs="Arial"/>
        </w:rPr>
        <w:t xml:space="preserve">impact </w:t>
      </w:r>
      <w:r w:rsidRPr="00E31A88">
        <w:rPr>
          <w:rFonts w:ascii="Arial" w:hAnsi="Arial" w:cs="Arial"/>
        </w:rPr>
        <w:t xml:space="preserve">of </w:t>
      </w:r>
      <w:proofErr w:type="gramStart"/>
      <w:r w:rsidRPr="00E31A88">
        <w:rPr>
          <w:rFonts w:ascii="Arial" w:hAnsi="Arial" w:cs="Arial"/>
        </w:rPr>
        <w:t>c</w:t>
      </w:r>
      <w:r w:rsidRPr="00945BA8">
        <w:rPr>
          <w:rFonts w:ascii="Arial" w:hAnsi="Arial" w:cs="Arial"/>
        </w:rPr>
        <w:t>.</w:t>
      </w:r>
      <w:r w:rsidRPr="00540186">
        <w:rPr>
          <w:rFonts w:ascii="Arial" w:hAnsi="Arial" w:cs="Arial"/>
        </w:rPr>
        <w:t>-6</w:t>
      </w:r>
      <w:proofErr w:type="gramEnd"/>
      <w:r w:rsidRPr="00540186">
        <w:rPr>
          <w:rFonts w:ascii="Arial" w:hAnsi="Arial" w:cs="Arial"/>
        </w:rPr>
        <w:t>%</w:t>
      </w:r>
      <w:r w:rsidRPr="00E31A88">
        <w:rPr>
          <w:rFonts w:ascii="Arial" w:hAnsi="Arial" w:cs="Arial"/>
        </w:rPr>
        <w:t xml:space="preserve"> on</w:t>
      </w:r>
      <w:r>
        <w:rPr>
          <w:rFonts w:ascii="Arial" w:hAnsi="Arial" w:cs="Arial"/>
        </w:rPr>
        <w:t xml:space="preserve"> FY</w:t>
      </w:r>
      <w:r w:rsidRPr="001548BE">
        <w:rPr>
          <w:rFonts w:ascii="Arial" w:hAnsi="Arial" w:cs="Arial"/>
        </w:rPr>
        <w:t xml:space="preserve"> 21/22 LFL sales</w:t>
      </w:r>
      <w:r>
        <w:rPr>
          <w:rFonts w:ascii="Arial" w:hAnsi="Arial" w:cs="Arial"/>
        </w:rPr>
        <w:t>.</w:t>
      </w:r>
      <w:r w:rsidRPr="003E0692">
        <w:rPr>
          <w:rFonts w:ascii="Arial" w:hAnsi="Arial" w:cs="Arial"/>
        </w:rPr>
        <w:t xml:space="preserve"> LFL sales of weather-related categories</w:t>
      </w:r>
      <w:r w:rsidRPr="002F6DC3">
        <w:rPr>
          <w:rFonts w:ascii="Arial" w:hAnsi="Arial" w:cs="Arial"/>
        </w:rPr>
        <w:t xml:space="preserve"> </w:t>
      </w:r>
      <w:r>
        <w:rPr>
          <w:rFonts w:ascii="Arial" w:hAnsi="Arial" w:cs="Arial"/>
        </w:rPr>
        <w:t>increased by 1</w:t>
      </w:r>
      <w:r w:rsidRPr="002F6DC3">
        <w:rPr>
          <w:rFonts w:ascii="Arial" w:hAnsi="Arial" w:cs="Arial"/>
        </w:rPr>
        <w:t xml:space="preserve">% </w:t>
      </w:r>
      <w:r w:rsidRPr="00A77BDA">
        <w:rPr>
          <w:rFonts w:ascii="Arial" w:hAnsi="Arial" w:cs="Arial"/>
        </w:rPr>
        <w:t xml:space="preserve">(increase of 11% on a 2-year LFL basis) </w:t>
      </w:r>
      <w:r w:rsidRPr="002F6DC3">
        <w:rPr>
          <w:rFonts w:ascii="Arial" w:hAnsi="Arial" w:cs="Arial"/>
        </w:rPr>
        <w:t>while sales of non-weather-related categories, including showroom</w:t>
      </w:r>
      <w:r w:rsidR="00AB2909">
        <w:rPr>
          <w:rFonts w:ascii="Arial" w:hAnsi="Arial" w:cs="Arial"/>
        </w:rPr>
        <w:t>,</w:t>
      </w:r>
      <w:r>
        <w:rPr>
          <w:rFonts w:ascii="Arial" w:hAnsi="Arial" w:cs="Arial"/>
        </w:rPr>
        <w:t xml:space="preserve"> were broadly flat </w:t>
      </w:r>
      <w:r w:rsidRPr="00A77BDA">
        <w:rPr>
          <w:rFonts w:ascii="Arial" w:hAnsi="Arial" w:cs="Arial"/>
        </w:rPr>
        <w:t>(increase of 4% on a 2-year LFL basis)</w:t>
      </w:r>
      <w:r w:rsidRPr="002F6DC3">
        <w:rPr>
          <w:rFonts w:ascii="Arial" w:hAnsi="Arial" w:cs="Arial"/>
        </w:rPr>
        <w:t xml:space="preserve">. </w:t>
      </w:r>
      <w:r w:rsidRPr="00A77BDA">
        <w:rPr>
          <w:rFonts w:ascii="Arial" w:hAnsi="Arial" w:cs="Arial"/>
        </w:rPr>
        <w:t xml:space="preserve">Poland’s e-commerce sales continued to grow strongly in FY 21/22, increasing by 39% </w:t>
      </w:r>
      <w:r>
        <w:rPr>
          <w:rFonts w:ascii="Arial" w:hAnsi="Arial" w:cs="Arial"/>
        </w:rPr>
        <w:t>(</w:t>
      </w:r>
      <w:r w:rsidR="00AB2909">
        <w:rPr>
          <w:rFonts w:ascii="Arial" w:hAnsi="Arial" w:cs="Arial"/>
        </w:rPr>
        <w:t xml:space="preserve">up </w:t>
      </w:r>
      <w:r w:rsidRPr="00821002">
        <w:rPr>
          <w:rFonts w:ascii="Arial" w:hAnsi="Arial" w:cs="Arial"/>
        </w:rPr>
        <w:t xml:space="preserve">276% </w:t>
      </w:r>
      <w:r w:rsidR="00AB2909" w:rsidRPr="00821002">
        <w:rPr>
          <w:rFonts w:ascii="Arial" w:hAnsi="Arial" w:cs="Arial"/>
        </w:rPr>
        <w:t>on a 2-year basis</w:t>
      </w:r>
      <w:r w:rsidRPr="00821002">
        <w:rPr>
          <w:rFonts w:ascii="Arial" w:hAnsi="Arial" w:cs="Arial"/>
        </w:rPr>
        <w:t xml:space="preserve">), representing c.5% of total </w:t>
      </w:r>
      <w:r w:rsidRPr="00243678">
        <w:rPr>
          <w:rFonts w:ascii="Arial" w:hAnsi="Arial" w:cs="Arial"/>
        </w:rPr>
        <w:t xml:space="preserve">sales (FY 20/21: 4%; FY 19/20: 2%). </w:t>
      </w:r>
      <w:bookmarkStart w:id="80" w:name="_Hlk97197543"/>
      <w:r w:rsidRPr="00243678">
        <w:rPr>
          <w:rFonts w:ascii="Arial" w:hAnsi="Arial" w:cs="Arial"/>
        </w:rPr>
        <w:t xml:space="preserve">Gross margin % increased by 50 basis points, largely reflecting </w:t>
      </w:r>
      <w:r w:rsidR="007439EE" w:rsidRPr="007439EE">
        <w:rPr>
          <w:rFonts w:ascii="Arial" w:hAnsi="Arial" w:cs="Arial"/>
        </w:rPr>
        <w:t>our effective management of inflation.</w:t>
      </w:r>
      <w:bookmarkEnd w:id="80"/>
      <w:r w:rsidRPr="00243678">
        <w:rPr>
          <w:rFonts w:ascii="Arial" w:hAnsi="Arial" w:cs="Arial"/>
        </w:rPr>
        <w:t xml:space="preserve"> Retail profit decreased by 1.5% to £135</w:t>
      </w:r>
      <w:r w:rsidR="000F2F06" w:rsidRPr="00243678">
        <w:rPr>
          <w:rFonts w:ascii="Arial" w:hAnsi="Arial" w:cs="Arial"/>
        </w:rPr>
        <w:t>m</w:t>
      </w:r>
      <w:r w:rsidRPr="00243678">
        <w:rPr>
          <w:rFonts w:ascii="Arial" w:hAnsi="Arial" w:cs="Arial"/>
        </w:rPr>
        <w:t xml:space="preserve"> with growth in gross profit </w:t>
      </w:r>
      <w:r w:rsidR="006D1811" w:rsidRPr="00243678">
        <w:rPr>
          <w:rFonts w:ascii="Arial" w:hAnsi="Arial" w:cs="Arial"/>
        </w:rPr>
        <w:t xml:space="preserve">(impacted by temporary store closures in H1) more than </w:t>
      </w:r>
      <w:r w:rsidRPr="00243678">
        <w:rPr>
          <w:rFonts w:ascii="Arial" w:hAnsi="Arial" w:cs="Arial"/>
        </w:rPr>
        <w:t xml:space="preserve">offset by an increase in operating costs of 10.0%. </w:t>
      </w:r>
      <w:r w:rsidRPr="00FF3FFB">
        <w:rPr>
          <w:rFonts w:ascii="Arial" w:hAnsi="Arial" w:cs="Arial"/>
        </w:rPr>
        <w:t>Operating costs increased largely due to space growth and new store opening costs, staff costs (</w:t>
      </w:r>
      <w:r w:rsidR="00243678" w:rsidRPr="00243678">
        <w:rPr>
          <w:rFonts w:ascii="Arial" w:hAnsi="Arial" w:cs="Arial"/>
        </w:rPr>
        <w:t xml:space="preserve">annualisation of </w:t>
      </w:r>
      <w:r w:rsidR="00C13256" w:rsidRPr="00FF3FFB">
        <w:rPr>
          <w:rFonts w:ascii="Arial" w:hAnsi="Arial"/>
          <w:bCs/>
        </w:rPr>
        <w:t>COVID-related</w:t>
      </w:r>
      <w:r w:rsidR="00C13256" w:rsidRPr="00FF3FFB">
        <w:rPr>
          <w:rFonts w:ascii="Arial" w:hAnsi="Arial"/>
        </w:rPr>
        <w:t xml:space="preserve"> employment support received in the prior year</w:t>
      </w:r>
      <w:r w:rsidRPr="00FF3FFB">
        <w:rPr>
          <w:rFonts w:ascii="Arial" w:hAnsi="Arial" w:cs="Arial"/>
        </w:rPr>
        <w:t>), costs associated with the new Polish retail sales tax (effective from January 2021)</w:t>
      </w:r>
      <w:r w:rsidR="004570D3" w:rsidRPr="00FF3FFB">
        <w:rPr>
          <w:rFonts w:ascii="Arial" w:hAnsi="Arial" w:cs="Arial"/>
        </w:rPr>
        <w:t xml:space="preserve"> and </w:t>
      </w:r>
      <w:r w:rsidRPr="00FF3FFB">
        <w:rPr>
          <w:rFonts w:ascii="Arial" w:hAnsi="Arial" w:cs="Arial"/>
        </w:rPr>
        <w:t>inflation</w:t>
      </w:r>
      <w:r w:rsidR="007439EE">
        <w:rPr>
          <w:rFonts w:ascii="Arial" w:hAnsi="Arial" w:cs="Arial"/>
        </w:rPr>
        <w:t>. Th</w:t>
      </w:r>
      <w:r w:rsidR="007B476F">
        <w:rPr>
          <w:rFonts w:ascii="Arial" w:hAnsi="Arial" w:cs="Arial"/>
        </w:rPr>
        <w:t>e increase in operating costs</w:t>
      </w:r>
      <w:r w:rsidR="007439EE">
        <w:rPr>
          <w:rFonts w:ascii="Arial" w:hAnsi="Arial" w:cs="Arial"/>
        </w:rPr>
        <w:t xml:space="preserve"> was</w:t>
      </w:r>
      <w:r w:rsidRPr="00FF3FFB">
        <w:rPr>
          <w:rFonts w:ascii="Arial" w:hAnsi="Arial" w:cs="Arial"/>
        </w:rPr>
        <w:t xml:space="preserve"> partially offset by cost savings related to the period of temporary store closures and </w:t>
      </w:r>
      <w:r w:rsidR="00243678" w:rsidRPr="00243678">
        <w:rPr>
          <w:rFonts w:ascii="Arial" w:hAnsi="Arial" w:cs="Arial"/>
        </w:rPr>
        <w:t>cost reductions achieved as part of our strategic cost reduction programme</w:t>
      </w:r>
      <w:r w:rsidRPr="00FF3FFB">
        <w:rPr>
          <w:rFonts w:ascii="Arial" w:hAnsi="Arial" w:cs="Arial"/>
        </w:rPr>
        <w:t>.</w:t>
      </w:r>
      <w:r w:rsidRPr="00243678">
        <w:rPr>
          <w:rFonts w:ascii="Arial" w:hAnsi="Arial" w:cs="Arial"/>
        </w:rPr>
        <w:t xml:space="preserve"> </w:t>
      </w:r>
      <w:r w:rsidR="00C6276C" w:rsidRPr="00243678">
        <w:rPr>
          <w:rFonts w:ascii="Arial" w:hAnsi="Arial" w:cs="Arial"/>
        </w:rPr>
        <w:t>A record of s</w:t>
      </w:r>
      <w:r w:rsidRPr="00243678">
        <w:rPr>
          <w:rFonts w:ascii="Arial" w:hAnsi="Arial" w:cs="Arial"/>
        </w:rPr>
        <w:t xml:space="preserve">even new stores were opened </w:t>
      </w:r>
      <w:r w:rsidR="0003286E">
        <w:rPr>
          <w:rFonts w:ascii="Arial" w:hAnsi="Arial" w:cs="Arial"/>
        </w:rPr>
        <w:t>in the year</w:t>
      </w:r>
      <w:r w:rsidRPr="00243678">
        <w:rPr>
          <w:rFonts w:ascii="Arial" w:hAnsi="Arial" w:cs="Arial"/>
        </w:rPr>
        <w:t>, including three big-boxes, two medium-boxes and two compact format stores.</w:t>
      </w:r>
    </w:p>
    <w:p w14:paraId="716C7182" w14:textId="77777777" w:rsidR="00A77BDA" w:rsidRPr="00E83051" w:rsidRDefault="00A77BDA" w:rsidP="00FB72E5">
      <w:pPr>
        <w:jc w:val="left"/>
        <w:rPr>
          <w:rFonts w:ascii="Arial" w:hAnsi="Arial" w:cs="Arial"/>
        </w:rPr>
      </w:pPr>
    </w:p>
    <w:p w14:paraId="689F60A2" w14:textId="0B8B0D40" w:rsidR="00351421" w:rsidRDefault="00351421" w:rsidP="00351421">
      <w:pPr>
        <w:jc w:val="left"/>
        <w:rPr>
          <w:rFonts w:ascii="Arial" w:hAnsi="Arial" w:cs="Arial"/>
        </w:rPr>
      </w:pPr>
      <w:bookmarkStart w:id="81" w:name="_Hlk524460777"/>
      <w:r w:rsidRPr="005C6580">
        <w:rPr>
          <w:rFonts w:ascii="Arial" w:hAnsi="Arial" w:cs="Arial"/>
        </w:rPr>
        <w:t xml:space="preserve">In </w:t>
      </w:r>
      <w:r w:rsidRPr="005C6580">
        <w:rPr>
          <w:rFonts w:ascii="Arial" w:hAnsi="Arial" w:cs="Arial"/>
          <w:b/>
          <w:bCs/>
        </w:rPr>
        <w:t>Iberia</w:t>
      </w:r>
      <w:r w:rsidRPr="005C6580">
        <w:rPr>
          <w:rFonts w:ascii="Arial" w:hAnsi="Arial" w:cs="Arial"/>
        </w:rPr>
        <w:t>, sales</w:t>
      </w:r>
      <w:r w:rsidRPr="002F6DC3">
        <w:rPr>
          <w:rFonts w:ascii="Arial" w:hAnsi="Arial" w:cs="Arial"/>
        </w:rPr>
        <w:t xml:space="preserve"> </w:t>
      </w:r>
      <w:r>
        <w:rPr>
          <w:rFonts w:ascii="Arial" w:hAnsi="Arial" w:cs="Arial"/>
        </w:rPr>
        <w:t>in</w:t>
      </w:r>
      <w:r w:rsidRPr="002F6DC3">
        <w:rPr>
          <w:rFonts w:ascii="Arial" w:hAnsi="Arial" w:cs="Arial"/>
        </w:rPr>
        <w:t xml:space="preserve">creased by </w:t>
      </w:r>
      <w:r>
        <w:rPr>
          <w:rFonts w:ascii="Arial" w:hAnsi="Arial" w:cs="Arial"/>
        </w:rPr>
        <w:t>23.2</w:t>
      </w:r>
      <w:r w:rsidRPr="002F6DC3">
        <w:rPr>
          <w:rFonts w:ascii="Arial" w:hAnsi="Arial" w:cs="Arial"/>
        </w:rPr>
        <w:t>% (</w:t>
      </w:r>
      <w:r w:rsidRPr="00301BA5">
        <w:rPr>
          <w:rFonts w:ascii="Arial" w:hAnsi="Arial" w:cs="Arial"/>
        </w:rPr>
        <w:t xml:space="preserve">LFL </w:t>
      </w:r>
      <w:r>
        <w:rPr>
          <w:rFonts w:ascii="Arial" w:hAnsi="Arial" w:cs="Arial"/>
        </w:rPr>
        <w:t>+23.2</w:t>
      </w:r>
      <w:r w:rsidRPr="002F6DC3">
        <w:rPr>
          <w:rFonts w:ascii="Arial" w:hAnsi="Arial" w:cs="Arial"/>
        </w:rPr>
        <w:t>%) to £</w:t>
      </w:r>
      <w:r>
        <w:rPr>
          <w:rFonts w:ascii="Arial" w:hAnsi="Arial" w:cs="Arial"/>
        </w:rPr>
        <w:t>366</w:t>
      </w:r>
      <w:r w:rsidR="000F2F06">
        <w:rPr>
          <w:rFonts w:ascii="Arial" w:hAnsi="Arial" w:cs="Arial"/>
        </w:rPr>
        <w:t>m</w:t>
      </w:r>
      <w:r w:rsidRPr="002F6DC3">
        <w:rPr>
          <w:rFonts w:ascii="Arial" w:hAnsi="Arial" w:cs="Arial"/>
        </w:rPr>
        <w:t xml:space="preserve">, </w:t>
      </w:r>
      <w:r>
        <w:rPr>
          <w:rFonts w:ascii="Arial" w:hAnsi="Arial" w:cs="Arial"/>
        </w:rPr>
        <w:t>with 2-year LFL sales up 14.6%. This reflects strong demand, with double</w:t>
      </w:r>
      <w:r w:rsidR="0023191A">
        <w:rPr>
          <w:rFonts w:ascii="Arial" w:hAnsi="Arial" w:cs="Arial"/>
        </w:rPr>
        <w:t>-</w:t>
      </w:r>
      <w:r>
        <w:rPr>
          <w:rFonts w:ascii="Arial" w:hAnsi="Arial" w:cs="Arial"/>
        </w:rPr>
        <w:t xml:space="preserve">digit LFL </w:t>
      </w:r>
      <w:r w:rsidR="004570D3">
        <w:rPr>
          <w:rFonts w:ascii="Arial" w:hAnsi="Arial" w:cs="Arial"/>
        </w:rPr>
        <w:t xml:space="preserve">sales growth </w:t>
      </w:r>
      <w:r>
        <w:rPr>
          <w:rFonts w:ascii="Arial" w:hAnsi="Arial" w:cs="Arial"/>
        </w:rPr>
        <w:t xml:space="preserve">in all categories. Retail profit increased to £12m from £3m, reflecting strong growth in gross profit, partially offset </w:t>
      </w:r>
      <w:r w:rsidR="00D96527">
        <w:rPr>
          <w:rFonts w:ascii="Arial" w:hAnsi="Arial" w:cs="Arial"/>
        </w:rPr>
        <w:t xml:space="preserve">by </w:t>
      </w:r>
      <w:r w:rsidR="004570D3">
        <w:rPr>
          <w:rFonts w:ascii="Arial" w:hAnsi="Arial" w:cs="Arial"/>
        </w:rPr>
        <w:t xml:space="preserve">an increase in </w:t>
      </w:r>
      <w:r>
        <w:rPr>
          <w:rFonts w:ascii="Arial" w:hAnsi="Arial" w:cs="Arial"/>
        </w:rPr>
        <w:t>operating costs</w:t>
      </w:r>
      <w:r w:rsidR="004570D3">
        <w:rPr>
          <w:rFonts w:ascii="Arial" w:hAnsi="Arial" w:cs="Arial"/>
        </w:rPr>
        <w:t xml:space="preserve"> of </w:t>
      </w:r>
      <w:r w:rsidR="00E26F10" w:rsidRPr="002B38EB">
        <w:rPr>
          <w:rFonts w:ascii="Arial" w:hAnsi="Arial" w:cs="Arial"/>
        </w:rPr>
        <w:t>19.6</w:t>
      </w:r>
      <w:r w:rsidR="004570D3" w:rsidRPr="002B38EB">
        <w:rPr>
          <w:rFonts w:ascii="Arial" w:hAnsi="Arial" w:cs="Arial"/>
        </w:rPr>
        <w:t>%</w:t>
      </w:r>
      <w:r>
        <w:rPr>
          <w:rFonts w:ascii="Arial" w:hAnsi="Arial" w:cs="Arial"/>
        </w:rPr>
        <w:t>.</w:t>
      </w:r>
    </w:p>
    <w:p w14:paraId="454B0D0E" w14:textId="77777777" w:rsidR="00351421" w:rsidRPr="002F6DC3" w:rsidRDefault="00351421" w:rsidP="00351421">
      <w:pPr>
        <w:jc w:val="left"/>
        <w:rPr>
          <w:rFonts w:ascii="Arial" w:hAnsi="Arial" w:cs="Arial"/>
        </w:rPr>
      </w:pPr>
    </w:p>
    <w:p w14:paraId="6B40A2A2" w14:textId="64DCA2A8" w:rsidR="00351421" w:rsidRDefault="00351421" w:rsidP="00351421">
      <w:pPr>
        <w:jc w:val="left"/>
        <w:rPr>
          <w:rFonts w:ascii="Arial" w:hAnsi="Arial" w:cs="Arial"/>
        </w:rPr>
      </w:pPr>
      <w:bookmarkStart w:id="82" w:name="_Hlk81402464"/>
      <w:r w:rsidRPr="00A4049D">
        <w:rPr>
          <w:rFonts w:ascii="Arial" w:hAnsi="Arial" w:cs="Arial"/>
          <w:b/>
        </w:rPr>
        <w:t>Romania</w:t>
      </w:r>
      <w:r w:rsidRPr="00A4049D">
        <w:rPr>
          <w:rFonts w:ascii="Arial" w:hAnsi="Arial" w:cs="Arial"/>
          <w:bCs/>
        </w:rPr>
        <w:t xml:space="preserve">’s </w:t>
      </w:r>
      <w:r w:rsidR="00B502B0" w:rsidRPr="00A4049D">
        <w:rPr>
          <w:rFonts w:ascii="Arial" w:hAnsi="Arial" w:cs="Arial"/>
          <w:bCs/>
        </w:rPr>
        <w:t xml:space="preserve">total </w:t>
      </w:r>
      <w:r w:rsidRPr="00A4049D">
        <w:rPr>
          <w:rFonts w:ascii="Arial" w:hAnsi="Arial" w:cs="Arial"/>
          <w:bCs/>
        </w:rPr>
        <w:t xml:space="preserve">sales and retail loss include one additional month of results </w:t>
      </w:r>
      <w:r w:rsidR="00D96527" w:rsidRPr="00A4049D">
        <w:rPr>
          <w:rFonts w:ascii="Arial" w:hAnsi="Arial" w:cs="Arial"/>
          <w:bCs/>
        </w:rPr>
        <w:t xml:space="preserve">(January 2022) </w:t>
      </w:r>
      <w:r w:rsidRPr="00A4049D">
        <w:rPr>
          <w:rFonts w:ascii="Arial" w:hAnsi="Arial" w:cs="Arial"/>
          <w:bCs/>
        </w:rPr>
        <w:t>in order to facilitate the alignment to Kingfisher’s financial reporting calendar. Sales increased</w:t>
      </w:r>
      <w:r w:rsidRPr="00A4049D">
        <w:rPr>
          <w:rFonts w:ascii="Arial" w:hAnsi="Arial" w:cs="Arial"/>
        </w:rPr>
        <w:t xml:space="preserve"> by 22.8% (LFL +15.0%) to £279</w:t>
      </w:r>
      <w:r w:rsidR="000F2F06" w:rsidRPr="00A4049D">
        <w:rPr>
          <w:rFonts w:ascii="Arial" w:hAnsi="Arial" w:cs="Arial"/>
        </w:rPr>
        <w:t>m</w:t>
      </w:r>
      <w:r w:rsidRPr="00A4049D">
        <w:rPr>
          <w:rFonts w:ascii="Arial" w:hAnsi="Arial" w:cs="Arial"/>
        </w:rPr>
        <w:t xml:space="preserve">, with 2-year LFL sales up 28.0%, reflecting strong demand despite </w:t>
      </w:r>
      <w:r w:rsidR="00D96527" w:rsidRPr="00A4049D">
        <w:rPr>
          <w:rFonts w:ascii="Arial" w:hAnsi="Arial" w:cs="Arial"/>
        </w:rPr>
        <w:t xml:space="preserve">the impact of </w:t>
      </w:r>
      <w:r w:rsidRPr="00A4049D">
        <w:rPr>
          <w:rFonts w:ascii="Arial" w:hAnsi="Arial" w:cs="Arial"/>
        </w:rPr>
        <w:t>COVID-related trading restrictions</w:t>
      </w:r>
      <w:r w:rsidR="00D96527" w:rsidRPr="00A4049D">
        <w:rPr>
          <w:rFonts w:ascii="Arial" w:hAnsi="Arial" w:cs="Arial"/>
        </w:rPr>
        <w:t>, particularly in H2</w:t>
      </w:r>
      <w:r w:rsidRPr="00A4049D">
        <w:rPr>
          <w:rFonts w:ascii="Arial" w:hAnsi="Arial" w:cs="Arial"/>
        </w:rPr>
        <w:t xml:space="preserve">. </w:t>
      </w:r>
      <w:bookmarkStart w:id="83" w:name="_Hlk66112953"/>
      <w:r w:rsidRPr="00A4049D">
        <w:rPr>
          <w:rFonts w:ascii="Arial" w:hAnsi="Arial" w:cs="Arial"/>
        </w:rPr>
        <w:t xml:space="preserve">Growth in gross profit was partially offset by higher operating costs, mainly driven by </w:t>
      </w:r>
      <w:r w:rsidR="00BE2E93">
        <w:rPr>
          <w:rFonts w:ascii="Arial" w:hAnsi="Arial" w:cs="Arial"/>
        </w:rPr>
        <w:t xml:space="preserve">inflation, staff costs and </w:t>
      </w:r>
      <w:r w:rsidR="00243678" w:rsidRPr="00A4049D">
        <w:rPr>
          <w:rFonts w:ascii="Arial" w:hAnsi="Arial" w:cs="Arial"/>
          <w:bCs/>
        </w:rPr>
        <w:t xml:space="preserve">higher </w:t>
      </w:r>
      <w:r w:rsidR="00243678" w:rsidRPr="00055764">
        <w:rPr>
          <w:rFonts w:ascii="Arial" w:hAnsi="Arial" w:cs="Arial"/>
          <w:bCs/>
        </w:rPr>
        <w:t>costs associated with strong trading</w:t>
      </w:r>
      <w:r w:rsidRPr="00055764">
        <w:rPr>
          <w:rFonts w:ascii="Arial" w:hAnsi="Arial" w:cs="Arial"/>
        </w:rPr>
        <w:t xml:space="preserve">. </w:t>
      </w:r>
      <w:bookmarkEnd w:id="83"/>
      <w:r w:rsidRPr="00055764">
        <w:rPr>
          <w:rFonts w:ascii="Arial" w:hAnsi="Arial" w:cs="Arial"/>
        </w:rPr>
        <w:t>As a result, the business reduced its retail loss by 16.4</w:t>
      </w:r>
      <w:r w:rsidRPr="00A93BC7">
        <w:rPr>
          <w:rFonts w:ascii="Arial" w:hAnsi="Arial" w:cs="Arial"/>
        </w:rPr>
        <w:t>% to £11</w:t>
      </w:r>
      <w:r w:rsidR="000F2F06" w:rsidRPr="00A93BC7">
        <w:rPr>
          <w:rFonts w:ascii="Arial" w:hAnsi="Arial" w:cs="Arial"/>
        </w:rPr>
        <w:t>m</w:t>
      </w:r>
      <w:r w:rsidRPr="00A93BC7">
        <w:rPr>
          <w:rFonts w:ascii="Arial" w:hAnsi="Arial" w:cs="Arial"/>
        </w:rPr>
        <w:t xml:space="preserve"> (FY 20/21: £14</w:t>
      </w:r>
      <w:r w:rsidR="000F2F06" w:rsidRPr="00A93BC7">
        <w:rPr>
          <w:rFonts w:ascii="Arial" w:hAnsi="Arial" w:cs="Arial"/>
        </w:rPr>
        <w:t>m</w:t>
      </w:r>
      <w:r w:rsidRPr="00A93BC7">
        <w:rPr>
          <w:rFonts w:ascii="Arial" w:hAnsi="Arial" w:cs="Arial"/>
        </w:rPr>
        <w:t xml:space="preserve"> reported retail loss</w:t>
      </w:r>
      <w:r w:rsidR="00AF659E" w:rsidRPr="00A93BC7">
        <w:rPr>
          <w:rFonts w:ascii="Arial" w:hAnsi="Arial" w:cs="Arial"/>
        </w:rPr>
        <w:t>; FY 19/20: £23m reported retail loss</w:t>
      </w:r>
      <w:r w:rsidRPr="00A93BC7">
        <w:rPr>
          <w:rFonts w:ascii="Arial" w:hAnsi="Arial" w:cs="Arial"/>
        </w:rPr>
        <w:t xml:space="preserve">). </w:t>
      </w:r>
      <w:r w:rsidR="00151F96" w:rsidRPr="00A93BC7">
        <w:rPr>
          <w:rFonts w:ascii="Arial" w:hAnsi="Arial" w:cs="Arial"/>
        </w:rPr>
        <w:t xml:space="preserve">On a comparable basis, excluding losses incurred in the additional month of January 2022, the retail loss would have </w:t>
      </w:r>
      <w:r w:rsidR="00A93BC7">
        <w:rPr>
          <w:rFonts w:ascii="Arial" w:hAnsi="Arial" w:cs="Arial"/>
        </w:rPr>
        <w:t xml:space="preserve">been £8m, a </w:t>
      </w:r>
      <w:r w:rsidR="00A93BC7" w:rsidRPr="00A93BC7">
        <w:rPr>
          <w:rFonts w:ascii="Arial" w:hAnsi="Arial" w:cs="Arial"/>
        </w:rPr>
        <w:t>c.</w:t>
      </w:r>
      <w:r w:rsidR="00151F96" w:rsidRPr="00A93BC7">
        <w:rPr>
          <w:rFonts w:ascii="Arial" w:hAnsi="Arial" w:cs="Arial"/>
        </w:rPr>
        <w:t>3</w:t>
      </w:r>
      <w:r w:rsidR="00A93BC7" w:rsidRPr="006957EC">
        <w:rPr>
          <w:rFonts w:ascii="Arial" w:hAnsi="Arial" w:cs="Arial"/>
        </w:rPr>
        <w:t>5</w:t>
      </w:r>
      <w:r w:rsidR="00151F96" w:rsidRPr="00A93BC7">
        <w:rPr>
          <w:rFonts w:ascii="Arial" w:hAnsi="Arial" w:cs="Arial"/>
        </w:rPr>
        <w:t xml:space="preserve">% reduction </w:t>
      </w:r>
      <w:r w:rsidR="00055764" w:rsidRPr="00A93BC7">
        <w:rPr>
          <w:rFonts w:ascii="Arial" w:hAnsi="Arial" w:cs="Arial"/>
        </w:rPr>
        <w:t>from</w:t>
      </w:r>
      <w:r w:rsidR="00151F96" w:rsidRPr="00A93BC7">
        <w:rPr>
          <w:rFonts w:ascii="Arial" w:hAnsi="Arial" w:cs="Arial"/>
        </w:rPr>
        <w:t xml:space="preserve"> FY 20/21. </w:t>
      </w:r>
      <w:r w:rsidRPr="00A93BC7">
        <w:rPr>
          <w:rFonts w:ascii="Arial" w:hAnsi="Arial" w:cs="Arial"/>
        </w:rPr>
        <w:t xml:space="preserve">Please refer to the </w:t>
      </w:r>
      <w:r w:rsidRPr="00A93BC7">
        <w:rPr>
          <w:rFonts w:ascii="Arial" w:hAnsi="Arial" w:cs="Arial"/>
          <w:i/>
          <w:iCs/>
        </w:rPr>
        <w:t>‘Operational status</w:t>
      </w:r>
      <w:r w:rsidR="00D96527" w:rsidRPr="00A93BC7">
        <w:rPr>
          <w:rFonts w:ascii="Arial" w:hAnsi="Arial" w:cs="Arial"/>
          <w:i/>
          <w:iCs/>
        </w:rPr>
        <w:t xml:space="preserve"> summary</w:t>
      </w:r>
      <w:r w:rsidRPr="00A93BC7">
        <w:rPr>
          <w:rFonts w:ascii="Arial" w:hAnsi="Arial" w:cs="Arial"/>
          <w:i/>
          <w:iCs/>
        </w:rPr>
        <w:t>’</w:t>
      </w:r>
      <w:r w:rsidRPr="00A93BC7">
        <w:rPr>
          <w:rFonts w:ascii="Arial" w:hAnsi="Arial" w:cs="Arial"/>
        </w:rPr>
        <w:t xml:space="preserve"> </w:t>
      </w:r>
      <w:r w:rsidR="00D96527" w:rsidRPr="00A93BC7">
        <w:rPr>
          <w:rFonts w:ascii="Arial" w:hAnsi="Arial" w:cs="Arial"/>
        </w:rPr>
        <w:t xml:space="preserve">within Section 1 </w:t>
      </w:r>
      <w:r w:rsidRPr="00A93BC7">
        <w:rPr>
          <w:rFonts w:ascii="Arial" w:hAnsi="Arial" w:cs="Arial"/>
        </w:rPr>
        <w:t>for details of COVID-related restrictions imposed in Romania.</w:t>
      </w:r>
    </w:p>
    <w:bookmarkEnd w:id="82"/>
    <w:p w14:paraId="29AC04CF" w14:textId="77777777" w:rsidR="00351421" w:rsidRDefault="00351421" w:rsidP="00351421">
      <w:pPr>
        <w:jc w:val="left"/>
        <w:rPr>
          <w:rFonts w:ascii="Arial" w:hAnsi="Arial" w:cs="Arial"/>
        </w:rPr>
      </w:pPr>
    </w:p>
    <w:p w14:paraId="474138AA" w14:textId="07A05746" w:rsidR="00351421" w:rsidRPr="002F6DC3" w:rsidRDefault="00351421" w:rsidP="00351421">
      <w:pPr>
        <w:jc w:val="left"/>
        <w:rPr>
          <w:rFonts w:ascii="Arial" w:hAnsi="Arial" w:cs="Arial"/>
        </w:rPr>
      </w:pPr>
      <w:bookmarkStart w:id="84" w:name="_Hlk66715684"/>
      <w:bookmarkStart w:id="85" w:name="_Hlk50622015"/>
      <w:bookmarkEnd w:id="81"/>
      <w:r w:rsidRPr="002F6DC3">
        <w:rPr>
          <w:rFonts w:ascii="Arial" w:hAnsi="Arial" w:cs="Arial"/>
        </w:rPr>
        <w:t xml:space="preserve">As previously announced, Kingfisher completed the sale of </w:t>
      </w:r>
      <w:r w:rsidRPr="00BA7744">
        <w:rPr>
          <w:rFonts w:ascii="Arial" w:hAnsi="Arial" w:cs="Arial"/>
        </w:rPr>
        <w:t xml:space="preserve">Castorama </w:t>
      </w:r>
      <w:r w:rsidRPr="00281622">
        <w:rPr>
          <w:rFonts w:ascii="Arial" w:hAnsi="Arial" w:cs="Arial"/>
          <w:b/>
          <w:bCs/>
        </w:rPr>
        <w:t>Russia</w:t>
      </w:r>
      <w:r w:rsidRPr="00BA7744">
        <w:rPr>
          <w:rFonts w:ascii="Arial" w:hAnsi="Arial" w:cs="Arial"/>
        </w:rPr>
        <w:t xml:space="preserve"> </w:t>
      </w:r>
      <w:r w:rsidRPr="002F6DC3">
        <w:rPr>
          <w:rFonts w:ascii="Arial" w:hAnsi="Arial" w:cs="Arial"/>
        </w:rPr>
        <w:t xml:space="preserve">on 30 September 2020. </w:t>
      </w:r>
      <w:r>
        <w:rPr>
          <w:rFonts w:ascii="Arial" w:hAnsi="Arial" w:cs="Arial"/>
        </w:rPr>
        <w:t>FY 21/22 Group sales were impacted by c.</w:t>
      </w:r>
      <w:r w:rsidRPr="00AD5E16">
        <w:rPr>
          <w:rFonts w:ascii="Arial" w:hAnsi="Arial" w:cs="Arial"/>
        </w:rPr>
        <w:t>-1.5</w:t>
      </w:r>
      <w:r>
        <w:rPr>
          <w:rFonts w:ascii="Arial" w:hAnsi="Arial" w:cs="Arial"/>
        </w:rPr>
        <w:t xml:space="preserve">% </w:t>
      </w:r>
      <w:r w:rsidR="00821002">
        <w:rPr>
          <w:rFonts w:ascii="Arial" w:hAnsi="Arial" w:cs="Arial"/>
        </w:rPr>
        <w:t xml:space="preserve">from </w:t>
      </w:r>
      <w:r>
        <w:rPr>
          <w:rFonts w:ascii="Arial" w:hAnsi="Arial" w:cs="Arial"/>
        </w:rPr>
        <w:t>the YoY reduction in space related to Russia.</w:t>
      </w:r>
    </w:p>
    <w:bookmarkEnd w:id="84"/>
    <w:p w14:paraId="2C27A5D4" w14:textId="77777777" w:rsidR="00351421" w:rsidRPr="002F6DC3" w:rsidRDefault="00351421" w:rsidP="00351421">
      <w:pPr>
        <w:jc w:val="left"/>
        <w:rPr>
          <w:rFonts w:ascii="Arial" w:hAnsi="Arial" w:cs="Arial"/>
        </w:rPr>
      </w:pPr>
    </w:p>
    <w:p w14:paraId="08118837" w14:textId="46F1B6DC" w:rsidR="00351421" w:rsidRPr="001811BB" w:rsidRDefault="00351421" w:rsidP="00351421">
      <w:pPr>
        <w:jc w:val="left"/>
        <w:rPr>
          <w:rFonts w:ascii="Arial" w:hAnsi="Arial" w:cs="Arial"/>
          <w:b/>
          <w:color w:val="C00000"/>
        </w:rPr>
      </w:pPr>
      <w:bookmarkStart w:id="86" w:name="_Hlk524460401"/>
      <w:bookmarkEnd w:id="85"/>
      <w:r w:rsidRPr="002F6DC3">
        <w:rPr>
          <w:rFonts w:ascii="Arial" w:hAnsi="Arial" w:cs="Arial"/>
          <w:bCs/>
        </w:rPr>
        <w:t>In</w:t>
      </w:r>
      <w:r w:rsidRPr="002F6DC3">
        <w:rPr>
          <w:rFonts w:ascii="Arial" w:hAnsi="Arial" w:cs="Arial"/>
          <w:b/>
        </w:rPr>
        <w:t xml:space="preserve"> Turkey</w:t>
      </w:r>
      <w:r w:rsidRPr="002F6DC3">
        <w:rPr>
          <w:rFonts w:ascii="Arial" w:hAnsi="Arial" w:cs="Arial"/>
          <w:bCs/>
        </w:rPr>
        <w:t>, Kingfisher’s 50</w:t>
      </w:r>
      <w:r w:rsidRPr="002F6DC3">
        <w:rPr>
          <w:rFonts w:ascii="Arial" w:hAnsi="Arial" w:cs="Arial"/>
        </w:rPr>
        <w:t xml:space="preserve">% </w:t>
      </w:r>
      <w:r>
        <w:rPr>
          <w:rFonts w:ascii="Arial" w:hAnsi="Arial" w:cs="Arial"/>
        </w:rPr>
        <w:t>joint venture</w:t>
      </w:r>
      <w:r w:rsidRPr="001811BB">
        <w:rPr>
          <w:rFonts w:ascii="Arial" w:hAnsi="Arial" w:cs="Arial"/>
        </w:rPr>
        <w:t xml:space="preserve">, </w:t>
      </w:r>
      <w:r w:rsidRPr="001811BB">
        <w:rPr>
          <w:rFonts w:ascii="Arial" w:hAnsi="Arial" w:cs="Arial"/>
          <w:bCs/>
        </w:rPr>
        <w:t>Koçtaş,</w:t>
      </w:r>
      <w:r w:rsidRPr="001811BB">
        <w:rPr>
          <w:rFonts w:ascii="Arial" w:hAnsi="Arial" w:cs="Arial"/>
        </w:rPr>
        <w:t xml:space="preserve"> contributed £</w:t>
      </w:r>
      <w:r>
        <w:rPr>
          <w:rFonts w:ascii="Arial" w:hAnsi="Arial" w:cs="Arial"/>
        </w:rPr>
        <w:t>7</w:t>
      </w:r>
      <w:r w:rsidR="000F2F06">
        <w:rPr>
          <w:rFonts w:ascii="Arial" w:hAnsi="Arial" w:cs="Arial"/>
        </w:rPr>
        <w:t>m</w:t>
      </w:r>
      <w:r w:rsidRPr="001811BB">
        <w:rPr>
          <w:rFonts w:ascii="Arial" w:hAnsi="Arial" w:cs="Arial"/>
        </w:rPr>
        <w:t xml:space="preserve"> of retail profit </w:t>
      </w:r>
      <w:r>
        <w:rPr>
          <w:rFonts w:ascii="Arial" w:hAnsi="Arial" w:cs="Arial"/>
        </w:rPr>
        <w:t>(FY 2</w:t>
      </w:r>
      <w:r w:rsidRPr="001811BB">
        <w:rPr>
          <w:rFonts w:ascii="Arial" w:hAnsi="Arial" w:cs="Arial"/>
        </w:rPr>
        <w:t>0</w:t>
      </w:r>
      <w:r>
        <w:rPr>
          <w:rFonts w:ascii="Arial" w:hAnsi="Arial" w:cs="Arial"/>
        </w:rPr>
        <w:t>/21</w:t>
      </w:r>
      <w:r w:rsidRPr="001811BB">
        <w:rPr>
          <w:rFonts w:ascii="Arial" w:hAnsi="Arial" w:cs="Arial"/>
        </w:rPr>
        <w:t xml:space="preserve">: </w:t>
      </w:r>
      <w:r>
        <w:rPr>
          <w:rFonts w:ascii="Arial" w:hAnsi="Arial" w:cs="Arial"/>
        </w:rPr>
        <w:t>£9m</w:t>
      </w:r>
      <w:r w:rsidRPr="001811BB">
        <w:rPr>
          <w:rFonts w:ascii="Arial" w:hAnsi="Arial" w:cs="Arial"/>
        </w:rPr>
        <w:t>)</w:t>
      </w:r>
      <w:r>
        <w:rPr>
          <w:rFonts w:ascii="Arial" w:hAnsi="Arial" w:cs="Arial"/>
        </w:rPr>
        <w:t xml:space="preserve"> despite a high inflation environment and temporary closure of all stores on weekends in H1 21/22 due to </w:t>
      </w:r>
      <w:r w:rsidR="00D96527">
        <w:rPr>
          <w:rFonts w:ascii="Arial" w:hAnsi="Arial" w:cs="Arial"/>
        </w:rPr>
        <w:t>COVID-related restrictions</w:t>
      </w:r>
      <w:r>
        <w:rPr>
          <w:rFonts w:ascii="Arial" w:hAnsi="Arial" w:cs="Arial"/>
        </w:rPr>
        <w:t>.</w:t>
      </w:r>
    </w:p>
    <w:bookmarkEnd w:id="86"/>
    <w:p w14:paraId="23A3636C" w14:textId="77777777" w:rsidR="00351421" w:rsidRDefault="00351421" w:rsidP="00351421">
      <w:pPr>
        <w:jc w:val="left"/>
        <w:rPr>
          <w:rFonts w:ascii="Arial" w:hAnsi="Arial" w:cs="Arial"/>
        </w:rPr>
      </w:pPr>
    </w:p>
    <w:p w14:paraId="4E29FDFA" w14:textId="5F8A093E" w:rsidR="00351421" w:rsidRDefault="00351421" w:rsidP="00351421">
      <w:pPr>
        <w:jc w:val="left"/>
        <w:rPr>
          <w:rFonts w:ascii="Arial" w:hAnsi="Arial" w:cs="Arial"/>
          <w:b/>
          <w:bCs/>
        </w:rPr>
      </w:pPr>
      <w:r w:rsidRPr="0021532D">
        <w:rPr>
          <w:rFonts w:ascii="Arial" w:hAnsi="Arial" w:cs="Arial"/>
          <w:b/>
          <w:bCs/>
        </w:rPr>
        <w:t>‘Other</w:t>
      </w:r>
      <w:r w:rsidRPr="005E1EE0">
        <w:rPr>
          <w:rFonts w:ascii="Arial" w:hAnsi="Arial" w:cs="Arial"/>
          <w:b/>
          <w:bCs/>
        </w:rPr>
        <w:t>’</w:t>
      </w:r>
      <w:r>
        <w:rPr>
          <w:rFonts w:ascii="Arial" w:hAnsi="Arial" w:cs="Arial"/>
        </w:rPr>
        <w:t xml:space="preserve"> </w:t>
      </w:r>
      <w:r w:rsidRPr="00F976CE">
        <w:rPr>
          <w:rFonts w:ascii="Arial" w:hAnsi="Arial" w:cs="Arial"/>
        </w:rPr>
        <w:t xml:space="preserve">consists of the consolidated results of </w:t>
      </w:r>
      <w:r w:rsidRPr="00281622">
        <w:rPr>
          <w:rFonts w:ascii="Arial" w:hAnsi="Arial" w:cs="Arial"/>
          <w:b/>
          <w:bCs/>
        </w:rPr>
        <w:t>NeedHelp</w:t>
      </w:r>
      <w:r w:rsidRPr="00F976CE">
        <w:rPr>
          <w:rFonts w:ascii="Arial" w:hAnsi="Arial" w:cs="Arial"/>
        </w:rPr>
        <w:t xml:space="preserve">, </w:t>
      </w:r>
      <w:r w:rsidRPr="00281622">
        <w:rPr>
          <w:rFonts w:ascii="Arial" w:hAnsi="Arial" w:cs="Arial"/>
          <w:b/>
          <w:bCs/>
        </w:rPr>
        <w:t>Screwfix International</w:t>
      </w:r>
      <w:r w:rsidRPr="00F976CE">
        <w:rPr>
          <w:rFonts w:ascii="Arial" w:hAnsi="Arial" w:cs="Arial"/>
        </w:rPr>
        <w:t xml:space="preserve">, and </w:t>
      </w:r>
      <w:r w:rsidRPr="00281622">
        <w:rPr>
          <w:rFonts w:ascii="Arial" w:hAnsi="Arial" w:cs="Arial"/>
          <w:b/>
          <w:bCs/>
        </w:rPr>
        <w:t>franchise</w:t>
      </w:r>
      <w:r w:rsidRPr="005E1EE0">
        <w:rPr>
          <w:rFonts w:ascii="Arial" w:hAnsi="Arial" w:cs="Arial"/>
        </w:rPr>
        <w:t xml:space="preserve"> agreements</w:t>
      </w:r>
      <w:r w:rsidRPr="004A26DB">
        <w:rPr>
          <w:rFonts w:ascii="Arial" w:hAnsi="Arial" w:cs="Arial"/>
        </w:rPr>
        <w:t>. Due to these businesses being in their early investment phase, a combined retail l</w:t>
      </w:r>
      <w:r>
        <w:rPr>
          <w:rFonts w:ascii="Arial" w:hAnsi="Arial" w:cs="Arial"/>
        </w:rPr>
        <w:t>oss of £10</w:t>
      </w:r>
      <w:r w:rsidR="000F2F06">
        <w:rPr>
          <w:rFonts w:ascii="Arial" w:hAnsi="Arial" w:cs="Arial"/>
        </w:rPr>
        <w:t>m</w:t>
      </w:r>
      <w:r>
        <w:rPr>
          <w:rFonts w:ascii="Arial" w:hAnsi="Arial" w:cs="Arial"/>
        </w:rPr>
        <w:t xml:space="preserve"> was incurred as they scale up for growth. In November 2020, Kingfisher acquired </w:t>
      </w:r>
      <w:r w:rsidRPr="0072155A">
        <w:rPr>
          <w:rFonts w:ascii="Arial" w:hAnsi="Arial" w:cs="Arial"/>
          <w:b/>
          <w:bCs/>
        </w:rPr>
        <w:t>NeedHelp</w:t>
      </w:r>
      <w:r w:rsidRPr="0072155A">
        <w:rPr>
          <w:rFonts w:ascii="Arial" w:hAnsi="Arial" w:cs="Arial"/>
        </w:rPr>
        <w:t xml:space="preserve">, </w:t>
      </w:r>
      <w:r w:rsidRPr="00510A46">
        <w:rPr>
          <w:rFonts w:ascii="Arial" w:hAnsi="Arial" w:cs="Arial"/>
        </w:rPr>
        <w:t>one of Europe</w:t>
      </w:r>
      <w:r>
        <w:rPr>
          <w:rFonts w:ascii="Arial" w:hAnsi="Arial" w:cs="Arial"/>
        </w:rPr>
        <w:t>’</w:t>
      </w:r>
      <w:r w:rsidRPr="00510A46">
        <w:rPr>
          <w:rFonts w:ascii="Arial" w:hAnsi="Arial" w:cs="Arial"/>
        </w:rPr>
        <w:t>s leading home improvement services marketplaces</w:t>
      </w:r>
      <w:r>
        <w:rPr>
          <w:rFonts w:ascii="Arial" w:hAnsi="Arial" w:cs="Arial"/>
        </w:rPr>
        <w:t xml:space="preserve">. </w:t>
      </w:r>
      <w:r w:rsidRPr="00424B5B">
        <w:rPr>
          <w:rFonts w:ascii="Arial" w:hAnsi="Arial" w:cs="Arial"/>
        </w:rPr>
        <w:t xml:space="preserve">As part of its broader international expansion plans, </w:t>
      </w:r>
      <w:r w:rsidRPr="00281622">
        <w:rPr>
          <w:rFonts w:ascii="Arial" w:hAnsi="Arial" w:cs="Arial"/>
          <w:b/>
          <w:bCs/>
        </w:rPr>
        <w:t>Screwfix</w:t>
      </w:r>
      <w:r w:rsidRPr="00424B5B">
        <w:rPr>
          <w:rFonts w:ascii="Arial" w:hAnsi="Arial" w:cs="Arial"/>
        </w:rPr>
        <w:t xml:space="preserve"> </w:t>
      </w:r>
      <w:r>
        <w:rPr>
          <w:rFonts w:ascii="Arial" w:hAnsi="Arial" w:cs="Arial"/>
        </w:rPr>
        <w:t xml:space="preserve">launched in France </w:t>
      </w:r>
      <w:r w:rsidRPr="00424B5B">
        <w:rPr>
          <w:rFonts w:ascii="Arial" w:hAnsi="Arial" w:cs="Arial"/>
        </w:rPr>
        <w:t>as a pure-play online retailer in April 2021, and expect</w:t>
      </w:r>
      <w:r w:rsidR="002264CA">
        <w:rPr>
          <w:rFonts w:ascii="Arial" w:hAnsi="Arial" w:cs="Arial"/>
        </w:rPr>
        <w:t>s</w:t>
      </w:r>
      <w:r w:rsidRPr="00424B5B">
        <w:rPr>
          <w:rFonts w:ascii="Arial" w:hAnsi="Arial" w:cs="Arial"/>
        </w:rPr>
        <w:t xml:space="preserve"> to open </w:t>
      </w:r>
      <w:r w:rsidR="002264CA">
        <w:rPr>
          <w:rFonts w:ascii="Arial" w:hAnsi="Arial" w:cs="Arial"/>
        </w:rPr>
        <w:t xml:space="preserve">its </w:t>
      </w:r>
      <w:r w:rsidRPr="00424B5B">
        <w:rPr>
          <w:rFonts w:ascii="Arial" w:hAnsi="Arial" w:cs="Arial"/>
        </w:rPr>
        <w:t xml:space="preserve">first stores in France </w:t>
      </w:r>
      <w:r w:rsidRPr="00505BE1">
        <w:rPr>
          <w:rFonts w:ascii="Arial" w:hAnsi="Arial" w:cs="Arial"/>
        </w:rPr>
        <w:t xml:space="preserve">in H2 22/23. </w:t>
      </w:r>
      <w:r w:rsidR="00B16283">
        <w:rPr>
          <w:rFonts w:ascii="Arial" w:hAnsi="Arial" w:cs="Arial"/>
        </w:rPr>
        <w:t>Following the year-end, w</w:t>
      </w:r>
      <w:r w:rsidRPr="00505BE1">
        <w:rPr>
          <w:rFonts w:ascii="Arial" w:hAnsi="Arial" w:cs="Arial"/>
        </w:rPr>
        <w:t xml:space="preserve">e opened our first </w:t>
      </w:r>
      <w:r w:rsidRPr="00505BE1">
        <w:rPr>
          <w:rFonts w:ascii="Arial" w:hAnsi="Arial" w:cs="Arial"/>
          <w:b/>
          <w:bCs/>
        </w:rPr>
        <w:t>franchise</w:t>
      </w:r>
      <w:r w:rsidRPr="00505BE1">
        <w:rPr>
          <w:rFonts w:ascii="Arial" w:hAnsi="Arial" w:cs="Arial"/>
        </w:rPr>
        <w:t xml:space="preserve"> store </w:t>
      </w:r>
      <w:r w:rsidR="00F23083" w:rsidRPr="00505BE1">
        <w:rPr>
          <w:rFonts w:ascii="Arial" w:hAnsi="Arial" w:cs="Arial"/>
        </w:rPr>
        <w:t xml:space="preserve">under the B&amp;Q banner in the Middle East </w:t>
      </w:r>
      <w:r w:rsidRPr="00505BE1">
        <w:rPr>
          <w:rFonts w:ascii="Arial" w:hAnsi="Arial" w:cs="Arial"/>
        </w:rPr>
        <w:t>in February 2022</w:t>
      </w:r>
      <w:r w:rsidR="00505BE1" w:rsidRPr="00505BE1">
        <w:rPr>
          <w:rFonts w:ascii="Arial" w:hAnsi="Arial" w:cs="Arial"/>
        </w:rPr>
        <w:t xml:space="preserve">, with one further store due to open in </w:t>
      </w:r>
      <w:r w:rsidR="004C1B4D">
        <w:rPr>
          <w:rFonts w:ascii="Arial" w:hAnsi="Arial" w:cs="Arial"/>
        </w:rPr>
        <w:t>Q2 22/23</w:t>
      </w:r>
      <w:r w:rsidRPr="00505BE1">
        <w:rPr>
          <w:rFonts w:ascii="Arial" w:hAnsi="Arial" w:cs="Arial"/>
        </w:rPr>
        <w:t xml:space="preserve">. The stores and support office functions </w:t>
      </w:r>
      <w:r w:rsidR="00F23083" w:rsidRPr="00505BE1">
        <w:rPr>
          <w:rFonts w:ascii="Arial" w:hAnsi="Arial" w:cs="Arial"/>
        </w:rPr>
        <w:t xml:space="preserve">are </w:t>
      </w:r>
      <w:r w:rsidRPr="00505BE1">
        <w:rPr>
          <w:rFonts w:ascii="Arial" w:hAnsi="Arial" w:cs="Arial"/>
        </w:rPr>
        <w:t>fully operated</w:t>
      </w:r>
      <w:r w:rsidRPr="00424B5B">
        <w:rPr>
          <w:rFonts w:ascii="Arial" w:hAnsi="Arial" w:cs="Arial"/>
        </w:rPr>
        <w:t xml:space="preserve"> and staffed by the Al-Futtaim Group.</w:t>
      </w:r>
      <w:r w:rsidR="00E545C1">
        <w:rPr>
          <w:rFonts w:ascii="Arial" w:hAnsi="Arial" w:cs="Arial"/>
        </w:rPr>
        <w:t xml:space="preserve"> </w:t>
      </w:r>
      <w:r>
        <w:rPr>
          <w:rFonts w:ascii="Arial" w:hAnsi="Arial" w:cs="Arial"/>
          <w:b/>
          <w:bCs/>
        </w:rPr>
        <w:br w:type="page"/>
      </w:r>
    </w:p>
    <w:p w14:paraId="3C012E32" w14:textId="77777777" w:rsidR="00351421" w:rsidRDefault="00351421" w:rsidP="00351421">
      <w:pPr>
        <w:jc w:val="left"/>
        <w:rPr>
          <w:rFonts w:ascii="Arial" w:hAnsi="Arial" w:cs="Arial"/>
          <w:b/>
          <w:bCs/>
        </w:rPr>
      </w:pPr>
      <w:bookmarkStart w:id="87" w:name="_Hlk3406411"/>
      <w:bookmarkStart w:id="88" w:name="_Hlk96700295"/>
      <w:r>
        <w:rPr>
          <w:rFonts w:ascii="Arial" w:hAnsi="Arial" w:cs="Arial"/>
          <w:b/>
          <w:bCs/>
        </w:rPr>
        <w:lastRenderedPageBreak/>
        <w:t xml:space="preserve">RETAIL BANNER </w:t>
      </w:r>
      <w:r w:rsidRPr="00165A9B">
        <w:rPr>
          <w:rFonts w:ascii="Arial" w:hAnsi="Arial" w:cs="Arial"/>
          <w:b/>
          <w:bCs/>
        </w:rPr>
        <w:t>EMPLOYEES, STORE</w:t>
      </w:r>
      <w:r>
        <w:rPr>
          <w:rFonts w:ascii="Arial" w:hAnsi="Arial" w:cs="Arial"/>
          <w:b/>
          <w:bCs/>
        </w:rPr>
        <w:t xml:space="preserve"> NUMBERS AND SALES AREA</w:t>
      </w:r>
    </w:p>
    <w:tbl>
      <w:tblPr>
        <w:tblW w:w="3449" w:type="pct"/>
        <w:tblInd w:w="108" w:type="dxa"/>
        <w:tblLayout w:type="fixed"/>
        <w:tblLook w:val="01E0" w:firstRow="1" w:lastRow="1" w:firstColumn="1" w:lastColumn="1" w:noHBand="0" w:noVBand="0"/>
      </w:tblPr>
      <w:tblGrid>
        <w:gridCol w:w="2389"/>
        <w:gridCol w:w="1550"/>
        <w:gridCol w:w="1550"/>
        <w:gridCol w:w="1550"/>
      </w:tblGrid>
      <w:tr w:rsidR="00351421" w:rsidRPr="00A845B7" w14:paraId="3C3E7B8D" w14:textId="77777777" w:rsidTr="007B244C">
        <w:trPr>
          <w:trHeight w:val="739"/>
        </w:trPr>
        <w:tc>
          <w:tcPr>
            <w:tcW w:w="1697" w:type="pct"/>
          </w:tcPr>
          <w:p w14:paraId="14560DDB" w14:textId="77777777" w:rsidR="00351421" w:rsidRPr="00A845B7" w:rsidRDefault="00351421" w:rsidP="007B244C">
            <w:pPr>
              <w:ind w:left="110" w:hanging="110"/>
              <w:jc w:val="left"/>
              <w:rPr>
                <w:rFonts w:ascii="Arial" w:hAnsi="Arial" w:cs="Arial"/>
              </w:rPr>
            </w:pPr>
            <w:bookmarkStart w:id="89" w:name="_Hlk34750628"/>
            <w:bookmarkEnd w:id="87"/>
          </w:p>
          <w:p w14:paraId="445E4E4B" w14:textId="77777777" w:rsidR="00351421" w:rsidRPr="00A845B7" w:rsidRDefault="00351421" w:rsidP="007B244C">
            <w:pPr>
              <w:jc w:val="left"/>
              <w:rPr>
                <w:rFonts w:ascii="Arial" w:hAnsi="Arial" w:cs="Arial"/>
                <w:b/>
                <w:bCs/>
              </w:rPr>
            </w:pPr>
          </w:p>
        </w:tc>
        <w:tc>
          <w:tcPr>
            <w:tcW w:w="1101" w:type="pct"/>
            <w:vAlign w:val="center"/>
          </w:tcPr>
          <w:p w14:paraId="70EE74E0" w14:textId="77777777" w:rsidR="00351421" w:rsidRPr="00A845B7" w:rsidRDefault="00351421" w:rsidP="007B244C">
            <w:pPr>
              <w:ind w:left="110" w:hanging="110"/>
              <w:jc w:val="right"/>
              <w:rPr>
                <w:rFonts w:ascii="Arial" w:hAnsi="Arial" w:cs="Arial"/>
                <w:b/>
                <w:bCs/>
              </w:rPr>
            </w:pPr>
          </w:p>
          <w:p w14:paraId="0706A938" w14:textId="77777777" w:rsidR="00351421" w:rsidRPr="00A845B7" w:rsidRDefault="00351421" w:rsidP="007B244C">
            <w:pPr>
              <w:ind w:left="110" w:hanging="110"/>
              <w:jc w:val="right"/>
              <w:rPr>
                <w:rFonts w:ascii="Arial" w:hAnsi="Arial" w:cs="Arial"/>
                <w:b/>
                <w:bCs/>
              </w:rPr>
            </w:pPr>
            <w:r w:rsidRPr="00A845B7">
              <w:rPr>
                <w:rFonts w:ascii="Arial" w:hAnsi="Arial" w:cs="Arial"/>
                <w:b/>
                <w:bCs/>
              </w:rPr>
              <w:t>Employees</w:t>
            </w:r>
          </w:p>
          <w:p w14:paraId="259675EE" w14:textId="77777777" w:rsidR="00351421" w:rsidRPr="00A845B7" w:rsidRDefault="00351421" w:rsidP="007B244C">
            <w:pPr>
              <w:ind w:left="110" w:hanging="110"/>
              <w:jc w:val="right"/>
              <w:rPr>
                <w:rFonts w:ascii="Arial" w:hAnsi="Arial" w:cs="Arial"/>
                <w:b/>
                <w:bCs/>
              </w:rPr>
            </w:pPr>
            <w:r w:rsidRPr="00A845B7">
              <w:rPr>
                <w:rFonts w:ascii="Arial" w:hAnsi="Arial" w:cs="Arial"/>
                <w:b/>
                <w:bCs/>
              </w:rPr>
              <w:t xml:space="preserve">(FTE) </w:t>
            </w:r>
          </w:p>
          <w:p w14:paraId="1836E1DD" w14:textId="77777777" w:rsidR="00351421" w:rsidRPr="00A845B7" w:rsidRDefault="00351421" w:rsidP="007B244C">
            <w:pPr>
              <w:ind w:left="110" w:hanging="110"/>
              <w:jc w:val="right"/>
              <w:rPr>
                <w:rFonts w:ascii="Arial" w:hAnsi="Arial" w:cs="Arial"/>
                <w:b/>
                <w:bCs/>
              </w:rPr>
            </w:pPr>
            <w:r w:rsidRPr="00A845B7">
              <w:rPr>
                <w:rFonts w:ascii="Arial" w:hAnsi="Arial" w:cs="Arial"/>
                <w:b/>
                <w:bCs/>
              </w:rPr>
              <w:t>at 31 J</w:t>
            </w:r>
            <w:r>
              <w:rPr>
                <w:rFonts w:ascii="Arial" w:hAnsi="Arial" w:cs="Arial"/>
                <w:b/>
                <w:bCs/>
              </w:rPr>
              <w:t>an</w:t>
            </w:r>
            <w:r w:rsidRPr="00A845B7">
              <w:rPr>
                <w:rFonts w:ascii="Arial" w:hAnsi="Arial" w:cs="Arial"/>
                <w:b/>
                <w:bCs/>
              </w:rPr>
              <w:t xml:space="preserve"> 20</w:t>
            </w:r>
            <w:r>
              <w:rPr>
                <w:rFonts w:ascii="Arial" w:hAnsi="Arial" w:cs="Arial"/>
                <w:b/>
                <w:bCs/>
              </w:rPr>
              <w:t>22</w:t>
            </w:r>
          </w:p>
        </w:tc>
        <w:tc>
          <w:tcPr>
            <w:tcW w:w="1101" w:type="pct"/>
            <w:vAlign w:val="center"/>
          </w:tcPr>
          <w:p w14:paraId="0C8389D2" w14:textId="77777777" w:rsidR="00351421" w:rsidRPr="00A845B7" w:rsidRDefault="00351421" w:rsidP="007B244C">
            <w:pPr>
              <w:ind w:left="110" w:hanging="110"/>
              <w:jc w:val="right"/>
              <w:rPr>
                <w:rFonts w:ascii="Arial" w:hAnsi="Arial" w:cs="Arial"/>
                <w:b/>
                <w:bCs/>
              </w:rPr>
            </w:pPr>
          </w:p>
          <w:p w14:paraId="2D4AE90C" w14:textId="77777777" w:rsidR="00351421" w:rsidRPr="00A845B7" w:rsidRDefault="00351421" w:rsidP="007B244C">
            <w:pPr>
              <w:ind w:left="110" w:hanging="110"/>
              <w:jc w:val="right"/>
              <w:rPr>
                <w:rFonts w:ascii="Arial" w:hAnsi="Arial" w:cs="Arial"/>
                <w:b/>
                <w:bCs/>
              </w:rPr>
            </w:pPr>
            <w:r w:rsidRPr="00A845B7">
              <w:rPr>
                <w:rFonts w:ascii="Arial" w:hAnsi="Arial" w:cs="Arial"/>
                <w:b/>
                <w:bCs/>
              </w:rPr>
              <w:t xml:space="preserve">Store </w:t>
            </w:r>
          </w:p>
          <w:p w14:paraId="2DDB4E32" w14:textId="77777777" w:rsidR="00351421" w:rsidRPr="00A845B7" w:rsidRDefault="00351421" w:rsidP="007B244C">
            <w:pPr>
              <w:ind w:left="110" w:hanging="110"/>
              <w:jc w:val="right"/>
              <w:rPr>
                <w:rFonts w:ascii="Arial" w:hAnsi="Arial" w:cs="Arial"/>
                <w:b/>
                <w:bCs/>
              </w:rPr>
            </w:pPr>
            <w:r>
              <w:rPr>
                <w:rFonts w:ascii="Arial" w:hAnsi="Arial" w:cs="Arial"/>
                <w:b/>
                <w:bCs/>
              </w:rPr>
              <w:t>n</w:t>
            </w:r>
            <w:r w:rsidRPr="00A845B7">
              <w:rPr>
                <w:rFonts w:ascii="Arial" w:hAnsi="Arial" w:cs="Arial"/>
                <w:b/>
                <w:bCs/>
              </w:rPr>
              <w:t>umbers at 31 J</w:t>
            </w:r>
            <w:r>
              <w:rPr>
                <w:rFonts w:ascii="Arial" w:hAnsi="Arial" w:cs="Arial"/>
                <w:b/>
                <w:bCs/>
              </w:rPr>
              <w:t>an</w:t>
            </w:r>
            <w:r w:rsidRPr="00A845B7">
              <w:rPr>
                <w:rFonts w:ascii="Arial" w:hAnsi="Arial" w:cs="Arial"/>
                <w:b/>
                <w:bCs/>
              </w:rPr>
              <w:t xml:space="preserve"> 20</w:t>
            </w:r>
            <w:r>
              <w:rPr>
                <w:rFonts w:ascii="Arial" w:hAnsi="Arial" w:cs="Arial"/>
                <w:b/>
                <w:bCs/>
              </w:rPr>
              <w:t>22</w:t>
            </w:r>
          </w:p>
        </w:tc>
        <w:tc>
          <w:tcPr>
            <w:tcW w:w="1101" w:type="pct"/>
            <w:vAlign w:val="center"/>
          </w:tcPr>
          <w:p w14:paraId="5153B007" w14:textId="77777777" w:rsidR="00351421" w:rsidRPr="00A845B7" w:rsidRDefault="00351421" w:rsidP="007B244C">
            <w:pPr>
              <w:ind w:left="110" w:hanging="110"/>
              <w:jc w:val="right"/>
              <w:rPr>
                <w:rFonts w:ascii="Arial" w:hAnsi="Arial" w:cs="Arial"/>
                <w:b/>
                <w:bCs/>
              </w:rPr>
            </w:pPr>
          </w:p>
          <w:p w14:paraId="1294CA8C" w14:textId="77777777" w:rsidR="00351421" w:rsidRPr="00A845B7" w:rsidRDefault="00351421" w:rsidP="007B244C">
            <w:pPr>
              <w:ind w:left="110" w:hanging="110"/>
              <w:jc w:val="right"/>
              <w:rPr>
                <w:rFonts w:ascii="Arial" w:hAnsi="Arial" w:cs="Arial"/>
                <w:b/>
                <w:bCs/>
              </w:rPr>
            </w:pPr>
            <w:r w:rsidRPr="00A845B7">
              <w:rPr>
                <w:rFonts w:ascii="Arial" w:hAnsi="Arial" w:cs="Arial"/>
                <w:b/>
                <w:bCs/>
              </w:rPr>
              <w:t>Sales area</w:t>
            </w:r>
            <w:r w:rsidRPr="00A845B7">
              <w:rPr>
                <w:rFonts w:ascii="Arial" w:hAnsi="Arial" w:cs="Arial"/>
                <w:b/>
                <w:bCs/>
                <w:vertAlign w:val="superscript"/>
              </w:rPr>
              <w:t>(</w:t>
            </w:r>
            <w:r>
              <w:rPr>
                <w:rFonts w:ascii="Arial" w:hAnsi="Arial" w:cs="Arial"/>
                <w:b/>
                <w:bCs/>
                <w:vertAlign w:val="superscript"/>
              </w:rPr>
              <w:t>1</w:t>
            </w:r>
            <w:r w:rsidRPr="00A845B7">
              <w:rPr>
                <w:rFonts w:ascii="Arial" w:hAnsi="Arial" w:cs="Arial"/>
                <w:b/>
                <w:bCs/>
                <w:vertAlign w:val="superscript"/>
              </w:rPr>
              <w:t>)</w:t>
            </w:r>
          </w:p>
          <w:p w14:paraId="712B13B4" w14:textId="77777777" w:rsidR="00351421" w:rsidRPr="00A845B7" w:rsidRDefault="00351421" w:rsidP="007B244C">
            <w:pPr>
              <w:ind w:left="110" w:hanging="110"/>
              <w:jc w:val="right"/>
              <w:rPr>
                <w:rFonts w:ascii="Arial" w:hAnsi="Arial" w:cs="Arial"/>
                <w:b/>
                <w:bCs/>
              </w:rPr>
            </w:pPr>
            <w:r w:rsidRPr="00A845B7">
              <w:rPr>
                <w:rFonts w:ascii="Arial" w:hAnsi="Arial" w:cs="Arial"/>
                <w:b/>
                <w:bCs/>
              </w:rPr>
              <w:t>(000s m</w:t>
            </w:r>
            <w:r w:rsidRPr="00A845B7">
              <w:rPr>
                <w:rFonts w:ascii="Arial" w:hAnsi="Arial" w:cs="Arial"/>
                <w:b/>
                <w:bCs/>
                <w:vertAlign w:val="superscript"/>
              </w:rPr>
              <w:t>2</w:t>
            </w:r>
            <w:r w:rsidRPr="00A845B7">
              <w:rPr>
                <w:rFonts w:ascii="Arial" w:hAnsi="Arial" w:cs="Arial"/>
                <w:b/>
                <w:bCs/>
              </w:rPr>
              <w:t xml:space="preserve">) </w:t>
            </w:r>
          </w:p>
          <w:p w14:paraId="1C9FDF19" w14:textId="77777777" w:rsidR="00351421" w:rsidRPr="00A845B7" w:rsidRDefault="00351421" w:rsidP="007B244C">
            <w:pPr>
              <w:ind w:left="110" w:hanging="110"/>
              <w:jc w:val="right"/>
              <w:rPr>
                <w:rFonts w:ascii="Arial" w:hAnsi="Arial" w:cs="Arial"/>
                <w:b/>
                <w:bCs/>
              </w:rPr>
            </w:pPr>
            <w:r w:rsidRPr="00A845B7">
              <w:rPr>
                <w:rFonts w:ascii="Arial" w:hAnsi="Arial" w:cs="Arial"/>
                <w:b/>
                <w:bCs/>
              </w:rPr>
              <w:t>at 31 J</w:t>
            </w:r>
            <w:r>
              <w:rPr>
                <w:rFonts w:ascii="Arial" w:hAnsi="Arial" w:cs="Arial"/>
                <w:b/>
                <w:bCs/>
              </w:rPr>
              <w:t>an</w:t>
            </w:r>
            <w:r w:rsidRPr="00A845B7">
              <w:rPr>
                <w:rFonts w:ascii="Arial" w:hAnsi="Arial" w:cs="Arial"/>
                <w:b/>
                <w:bCs/>
              </w:rPr>
              <w:t xml:space="preserve"> 20</w:t>
            </w:r>
            <w:r>
              <w:rPr>
                <w:rFonts w:ascii="Arial" w:hAnsi="Arial" w:cs="Arial"/>
                <w:b/>
                <w:bCs/>
              </w:rPr>
              <w:t>22</w:t>
            </w:r>
          </w:p>
        </w:tc>
      </w:tr>
      <w:tr w:rsidR="00351421" w:rsidRPr="004226C9" w14:paraId="57AAB6FB" w14:textId="77777777" w:rsidTr="007B244C">
        <w:trPr>
          <w:trHeight w:val="283"/>
        </w:trPr>
        <w:tc>
          <w:tcPr>
            <w:tcW w:w="1697" w:type="pct"/>
            <w:tcBorders>
              <w:top w:val="single" w:sz="4" w:space="0" w:color="auto"/>
            </w:tcBorders>
            <w:vAlign w:val="center"/>
          </w:tcPr>
          <w:p w14:paraId="4416B646" w14:textId="77777777" w:rsidR="00351421" w:rsidRPr="004226C9" w:rsidRDefault="00351421" w:rsidP="007B244C">
            <w:pPr>
              <w:spacing w:before="60"/>
              <w:jc w:val="left"/>
              <w:rPr>
                <w:rFonts w:ascii="Arial" w:hAnsi="Arial" w:cs="Arial"/>
              </w:rPr>
            </w:pPr>
            <w:r w:rsidRPr="004226C9">
              <w:rPr>
                <w:rFonts w:ascii="Arial" w:hAnsi="Arial" w:cs="Arial"/>
              </w:rPr>
              <w:t>B&amp;Q</w:t>
            </w:r>
          </w:p>
        </w:tc>
        <w:tc>
          <w:tcPr>
            <w:tcW w:w="1101" w:type="pct"/>
            <w:tcBorders>
              <w:top w:val="single" w:sz="4" w:space="0" w:color="auto"/>
            </w:tcBorders>
            <w:vAlign w:val="center"/>
          </w:tcPr>
          <w:p w14:paraId="365B8468" w14:textId="7F47E80A" w:rsidR="00351421" w:rsidRPr="008F0B7D" w:rsidRDefault="00351421" w:rsidP="007B244C">
            <w:pPr>
              <w:spacing w:before="60"/>
              <w:ind w:left="110" w:hanging="110"/>
              <w:jc w:val="right"/>
              <w:rPr>
                <w:rFonts w:ascii="Arial" w:hAnsi="Arial" w:cs="Arial"/>
              </w:rPr>
            </w:pPr>
            <w:r w:rsidRPr="008F0B7D">
              <w:rPr>
                <w:rFonts w:ascii="Arial" w:hAnsi="Arial" w:cs="Arial"/>
              </w:rPr>
              <w:t>18,</w:t>
            </w:r>
            <w:r w:rsidR="00E24B71" w:rsidRPr="008F0B7D">
              <w:rPr>
                <w:rFonts w:ascii="Arial" w:hAnsi="Arial" w:cs="Arial"/>
              </w:rPr>
              <w:t>167</w:t>
            </w:r>
          </w:p>
        </w:tc>
        <w:tc>
          <w:tcPr>
            <w:tcW w:w="1101" w:type="pct"/>
            <w:tcBorders>
              <w:top w:val="single" w:sz="4" w:space="0" w:color="auto"/>
            </w:tcBorders>
            <w:vAlign w:val="center"/>
          </w:tcPr>
          <w:p w14:paraId="6FF34F9D" w14:textId="049DCDD5" w:rsidR="00351421" w:rsidRPr="008F0B7D" w:rsidRDefault="00E24B71" w:rsidP="007B244C">
            <w:pPr>
              <w:spacing w:before="60"/>
              <w:ind w:left="110" w:hanging="110"/>
              <w:jc w:val="right"/>
              <w:rPr>
                <w:rFonts w:ascii="Arial" w:hAnsi="Arial" w:cs="Arial"/>
              </w:rPr>
            </w:pPr>
            <w:r w:rsidRPr="008F0B7D">
              <w:rPr>
                <w:rFonts w:ascii="Arial" w:hAnsi="Arial" w:cs="Arial"/>
              </w:rPr>
              <w:t>312</w:t>
            </w:r>
          </w:p>
        </w:tc>
        <w:tc>
          <w:tcPr>
            <w:tcW w:w="1101" w:type="pct"/>
            <w:tcBorders>
              <w:top w:val="single" w:sz="4" w:space="0" w:color="auto"/>
            </w:tcBorders>
            <w:vAlign w:val="center"/>
          </w:tcPr>
          <w:p w14:paraId="64421EF6" w14:textId="34EE2425" w:rsidR="00351421" w:rsidRPr="008F0B7D" w:rsidRDefault="00351421" w:rsidP="007B244C">
            <w:pPr>
              <w:spacing w:before="60"/>
              <w:ind w:left="110" w:hanging="110"/>
              <w:jc w:val="right"/>
              <w:rPr>
                <w:rFonts w:ascii="Arial" w:hAnsi="Arial" w:cs="Arial"/>
              </w:rPr>
            </w:pPr>
            <w:r w:rsidRPr="008F0B7D">
              <w:rPr>
                <w:rFonts w:ascii="Arial" w:hAnsi="Arial" w:cs="Arial"/>
              </w:rPr>
              <w:t>2,</w:t>
            </w:r>
            <w:r w:rsidR="00E24B71" w:rsidRPr="008F0B7D">
              <w:rPr>
                <w:rFonts w:ascii="Arial" w:hAnsi="Arial" w:cs="Arial"/>
              </w:rPr>
              <w:t>210</w:t>
            </w:r>
          </w:p>
        </w:tc>
      </w:tr>
      <w:tr w:rsidR="00351421" w:rsidRPr="00A845B7" w14:paraId="6A3252E2" w14:textId="77777777" w:rsidTr="007B244C">
        <w:trPr>
          <w:trHeight w:val="283"/>
        </w:trPr>
        <w:tc>
          <w:tcPr>
            <w:tcW w:w="1697" w:type="pct"/>
            <w:tcBorders>
              <w:bottom w:val="single" w:sz="4" w:space="0" w:color="auto"/>
            </w:tcBorders>
            <w:vAlign w:val="center"/>
          </w:tcPr>
          <w:p w14:paraId="4B3A9F70" w14:textId="77777777" w:rsidR="00351421" w:rsidRPr="004226C9" w:rsidRDefault="00351421" w:rsidP="007B244C">
            <w:pPr>
              <w:ind w:left="110" w:hanging="110"/>
              <w:jc w:val="left"/>
              <w:rPr>
                <w:rFonts w:ascii="Arial" w:hAnsi="Arial" w:cs="Arial"/>
              </w:rPr>
            </w:pPr>
            <w:r w:rsidRPr="004226C9">
              <w:rPr>
                <w:rFonts w:ascii="Arial" w:hAnsi="Arial" w:cs="Arial"/>
              </w:rPr>
              <w:t>Screwfix</w:t>
            </w:r>
          </w:p>
        </w:tc>
        <w:tc>
          <w:tcPr>
            <w:tcW w:w="1101" w:type="pct"/>
            <w:tcBorders>
              <w:bottom w:val="single" w:sz="4" w:space="0" w:color="auto"/>
            </w:tcBorders>
            <w:vAlign w:val="center"/>
          </w:tcPr>
          <w:p w14:paraId="230366E1" w14:textId="2EED6906" w:rsidR="00351421" w:rsidRPr="008F0B7D" w:rsidRDefault="00351421" w:rsidP="007B244C">
            <w:pPr>
              <w:spacing w:before="60"/>
              <w:ind w:left="110" w:hanging="110"/>
              <w:jc w:val="right"/>
              <w:rPr>
                <w:rFonts w:ascii="Arial" w:hAnsi="Arial" w:cs="Arial"/>
              </w:rPr>
            </w:pPr>
            <w:r w:rsidRPr="008F0B7D">
              <w:rPr>
                <w:rFonts w:ascii="Arial" w:hAnsi="Arial" w:cs="Arial"/>
              </w:rPr>
              <w:t>9,</w:t>
            </w:r>
            <w:r w:rsidR="00E24B71" w:rsidRPr="008F0B7D">
              <w:rPr>
                <w:rFonts w:ascii="Arial" w:hAnsi="Arial" w:cs="Arial"/>
              </w:rPr>
              <w:t>788</w:t>
            </w:r>
          </w:p>
        </w:tc>
        <w:tc>
          <w:tcPr>
            <w:tcW w:w="1101" w:type="pct"/>
            <w:tcBorders>
              <w:bottom w:val="single" w:sz="4" w:space="0" w:color="auto"/>
            </w:tcBorders>
            <w:vAlign w:val="center"/>
          </w:tcPr>
          <w:p w14:paraId="548E7B63" w14:textId="64E2CCE4" w:rsidR="00351421" w:rsidRPr="008F0B7D" w:rsidRDefault="00E24B71" w:rsidP="007B244C">
            <w:pPr>
              <w:spacing w:before="60"/>
              <w:ind w:left="110" w:hanging="110"/>
              <w:jc w:val="right"/>
              <w:rPr>
                <w:rFonts w:ascii="Arial" w:hAnsi="Arial" w:cs="Arial"/>
              </w:rPr>
            </w:pPr>
            <w:r w:rsidRPr="008F0B7D">
              <w:rPr>
                <w:rFonts w:ascii="Arial" w:hAnsi="Arial" w:cs="Arial"/>
              </w:rPr>
              <w:t>790</w:t>
            </w:r>
          </w:p>
        </w:tc>
        <w:tc>
          <w:tcPr>
            <w:tcW w:w="1101" w:type="pct"/>
            <w:tcBorders>
              <w:bottom w:val="single" w:sz="4" w:space="0" w:color="auto"/>
            </w:tcBorders>
            <w:shd w:val="clear" w:color="auto" w:fill="auto"/>
            <w:vAlign w:val="center"/>
          </w:tcPr>
          <w:p w14:paraId="792060E6" w14:textId="6BDB2C21" w:rsidR="00351421" w:rsidRPr="008F0B7D" w:rsidRDefault="00E24B71" w:rsidP="007B244C">
            <w:pPr>
              <w:spacing w:before="60"/>
              <w:ind w:left="110" w:hanging="110"/>
              <w:jc w:val="right"/>
              <w:rPr>
                <w:rFonts w:ascii="Arial" w:hAnsi="Arial" w:cs="Arial"/>
              </w:rPr>
            </w:pPr>
            <w:r w:rsidRPr="008F0B7D">
              <w:rPr>
                <w:rFonts w:ascii="Arial" w:hAnsi="Arial" w:cs="Arial"/>
              </w:rPr>
              <w:t>50</w:t>
            </w:r>
          </w:p>
        </w:tc>
      </w:tr>
      <w:tr w:rsidR="00351421" w:rsidRPr="00A845B7" w14:paraId="39905D6D" w14:textId="77777777" w:rsidTr="007B244C">
        <w:trPr>
          <w:trHeight w:val="283"/>
        </w:trPr>
        <w:tc>
          <w:tcPr>
            <w:tcW w:w="1697" w:type="pct"/>
            <w:tcBorders>
              <w:top w:val="single" w:sz="4" w:space="0" w:color="auto"/>
            </w:tcBorders>
            <w:vAlign w:val="center"/>
          </w:tcPr>
          <w:p w14:paraId="27A2A7B5" w14:textId="77777777" w:rsidR="00351421" w:rsidRPr="004226C9" w:rsidRDefault="00351421" w:rsidP="007B244C">
            <w:pPr>
              <w:ind w:left="110" w:hanging="110"/>
              <w:jc w:val="left"/>
              <w:rPr>
                <w:rFonts w:ascii="Arial" w:hAnsi="Arial" w:cs="Arial"/>
                <w:b/>
                <w:bCs/>
              </w:rPr>
            </w:pPr>
            <w:r w:rsidRPr="004226C9">
              <w:rPr>
                <w:rFonts w:ascii="Arial" w:hAnsi="Arial" w:cs="Arial"/>
                <w:b/>
                <w:bCs/>
              </w:rPr>
              <w:t>UK &amp; Ireland</w:t>
            </w:r>
          </w:p>
        </w:tc>
        <w:tc>
          <w:tcPr>
            <w:tcW w:w="1101" w:type="pct"/>
            <w:tcBorders>
              <w:top w:val="single" w:sz="4" w:space="0" w:color="auto"/>
            </w:tcBorders>
            <w:vAlign w:val="center"/>
          </w:tcPr>
          <w:p w14:paraId="26088B0B" w14:textId="6AA9BB7B" w:rsidR="00351421" w:rsidRPr="008F0B7D" w:rsidRDefault="00E24B71" w:rsidP="007B244C">
            <w:pPr>
              <w:ind w:left="110" w:hanging="110"/>
              <w:jc w:val="right"/>
              <w:rPr>
                <w:rFonts w:ascii="Arial" w:hAnsi="Arial" w:cs="Arial"/>
                <w:b/>
                <w:bCs/>
              </w:rPr>
            </w:pPr>
            <w:r w:rsidRPr="008F0B7D">
              <w:rPr>
                <w:rFonts w:ascii="Arial" w:hAnsi="Arial" w:cs="Arial"/>
                <w:b/>
                <w:bCs/>
              </w:rPr>
              <w:t>27</w:t>
            </w:r>
            <w:r w:rsidR="00351421" w:rsidRPr="008F0B7D">
              <w:rPr>
                <w:rFonts w:ascii="Arial" w:hAnsi="Arial" w:cs="Arial"/>
                <w:b/>
                <w:bCs/>
              </w:rPr>
              <w:t>,</w:t>
            </w:r>
            <w:r w:rsidRPr="008F0B7D">
              <w:rPr>
                <w:rFonts w:ascii="Arial" w:hAnsi="Arial" w:cs="Arial"/>
                <w:b/>
                <w:bCs/>
              </w:rPr>
              <w:t>955</w:t>
            </w:r>
          </w:p>
        </w:tc>
        <w:tc>
          <w:tcPr>
            <w:tcW w:w="1101" w:type="pct"/>
            <w:tcBorders>
              <w:top w:val="single" w:sz="4" w:space="0" w:color="auto"/>
            </w:tcBorders>
            <w:vAlign w:val="center"/>
          </w:tcPr>
          <w:p w14:paraId="30CAF8FE" w14:textId="0C8A45D6" w:rsidR="00351421" w:rsidRPr="008F0B7D" w:rsidRDefault="00351421" w:rsidP="007B244C">
            <w:pPr>
              <w:ind w:left="110" w:hanging="110"/>
              <w:jc w:val="right"/>
              <w:rPr>
                <w:rFonts w:ascii="Arial" w:hAnsi="Arial" w:cs="Arial"/>
                <w:b/>
                <w:bCs/>
              </w:rPr>
            </w:pPr>
            <w:r w:rsidRPr="008F0B7D">
              <w:rPr>
                <w:rFonts w:ascii="Arial" w:hAnsi="Arial" w:cs="Arial"/>
                <w:b/>
                <w:bCs/>
              </w:rPr>
              <w:t>1,</w:t>
            </w:r>
            <w:r w:rsidR="00E24B71" w:rsidRPr="008F0B7D">
              <w:rPr>
                <w:rFonts w:ascii="Arial" w:hAnsi="Arial" w:cs="Arial"/>
                <w:b/>
                <w:bCs/>
              </w:rPr>
              <w:t>102</w:t>
            </w:r>
          </w:p>
        </w:tc>
        <w:tc>
          <w:tcPr>
            <w:tcW w:w="1101" w:type="pct"/>
            <w:tcBorders>
              <w:top w:val="single" w:sz="4" w:space="0" w:color="auto"/>
            </w:tcBorders>
            <w:vAlign w:val="center"/>
          </w:tcPr>
          <w:p w14:paraId="75BEF380" w14:textId="2FA5E8A7" w:rsidR="00351421" w:rsidRPr="008F0B7D" w:rsidRDefault="00351421" w:rsidP="007B244C">
            <w:pPr>
              <w:ind w:left="110" w:hanging="110"/>
              <w:jc w:val="right"/>
              <w:rPr>
                <w:rFonts w:ascii="Arial" w:hAnsi="Arial" w:cs="Arial"/>
                <w:b/>
                <w:bCs/>
              </w:rPr>
            </w:pPr>
            <w:r w:rsidRPr="008F0B7D">
              <w:rPr>
                <w:rFonts w:ascii="Arial" w:hAnsi="Arial" w:cs="Arial"/>
                <w:b/>
                <w:bCs/>
              </w:rPr>
              <w:t>2,</w:t>
            </w:r>
            <w:r w:rsidR="00E24B71" w:rsidRPr="008F0B7D">
              <w:rPr>
                <w:rFonts w:ascii="Arial" w:hAnsi="Arial" w:cs="Arial"/>
                <w:b/>
                <w:bCs/>
              </w:rPr>
              <w:t>260</w:t>
            </w:r>
          </w:p>
        </w:tc>
      </w:tr>
      <w:tr w:rsidR="00351421" w:rsidRPr="00A845B7" w14:paraId="34A4F9FB" w14:textId="77777777" w:rsidTr="007B244C">
        <w:trPr>
          <w:trHeight w:val="283"/>
        </w:trPr>
        <w:tc>
          <w:tcPr>
            <w:tcW w:w="1697" w:type="pct"/>
            <w:tcBorders>
              <w:top w:val="single" w:sz="4" w:space="0" w:color="auto"/>
            </w:tcBorders>
            <w:vAlign w:val="center"/>
          </w:tcPr>
          <w:p w14:paraId="725CF609" w14:textId="77777777" w:rsidR="00351421" w:rsidRPr="004226C9" w:rsidRDefault="00351421" w:rsidP="007B244C">
            <w:pPr>
              <w:ind w:left="110" w:hanging="110"/>
              <w:jc w:val="left"/>
              <w:rPr>
                <w:rFonts w:ascii="Arial" w:hAnsi="Arial" w:cs="Arial"/>
              </w:rPr>
            </w:pPr>
            <w:r w:rsidRPr="004226C9">
              <w:rPr>
                <w:rFonts w:ascii="Arial" w:hAnsi="Arial" w:cs="Arial"/>
              </w:rPr>
              <w:t>Castorama</w:t>
            </w:r>
          </w:p>
        </w:tc>
        <w:tc>
          <w:tcPr>
            <w:tcW w:w="1101" w:type="pct"/>
            <w:tcBorders>
              <w:top w:val="single" w:sz="4" w:space="0" w:color="auto"/>
            </w:tcBorders>
            <w:vAlign w:val="center"/>
          </w:tcPr>
          <w:p w14:paraId="7357B67F" w14:textId="11A2D7F3" w:rsidR="00351421" w:rsidRPr="008F0B7D" w:rsidRDefault="00E24B71" w:rsidP="007B244C">
            <w:pPr>
              <w:spacing w:before="60"/>
              <w:ind w:left="110" w:hanging="110"/>
              <w:jc w:val="right"/>
              <w:rPr>
                <w:rFonts w:ascii="Arial" w:hAnsi="Arial" w:cs="Arial"/>
              </w:rPr>
            </w:pPr>
            <w:r w:rsidRPr="008F0B7D">
              <w:rPr>
                <w:rFonts w:ascii="Arial" w:hAnsi="Arial" w:cs="Arial"/>
              </w:rPr>
              <w:t>11</w:t>
            </w:r>
            <w:r w:rsidR="00351421" w:rsidRPr="008F0B7D">
              <w:rPr>
                <w:rFonts w:ascii="Arial" w:hAnsi="Arial" w:cs="Arial"/>
              </w:rPr>
              <w:t>,</w:t>
            </w:r>
            <w:r w:rsidRPr="008F0B7D">
              <w:rPr>
                <w:rFonts w:ascii="Arial" w:hAnsi="Arial" w:cs="Arial"/>
              </w:rPr>
              <w:t>119</w:t>
            </w:r>
          </w:p>
        </w:tc>
        <w:tc>
          <w:tcPr>
            <w:tcW w:w="1101" w:type="pct"/>
            <w:tcBorders>
              <w:top w:val="single" w:sz="4" w:space="0" w:color="auto"/>
            </w:tcBorders>
            <w:vAlign w:val="center"/>
          </w:tcPr>
          <w:p w14:paraId="07011077" w14:textId="77777777" w:rsidR="00351421" w:rsidRPr="008F0B7D" w:rsidRDefault="00351421" w:rsidP="007B244C">
            <w:pPr>
              <w:spacing w:before="60"/>
              <w:ind w:left="110" w:hanging="110"/>
              <w:jc w:val="right"/>
              <w:rPr>
                <w:rFonts w:ascii="Arial" w:hAnsi="Arial" w:cs="Arial"/>
              </w:rPr>
            </w:pPr>
            <w:r w:rsidRPr="008F0B7D">
              <w:rPr>
                <w:rFonts w:ascii="Arial" w:hAnsi="Arial" w:cs="Arial"/>
              </w:rPr>
              <w:t>93</w:t>
            </w:r>
          </w:p>
        </w:tc>
        <w:tc>
          <w:tcPr>
            <w:tcW w:w="1101" w:type="pct"/>
            <w:tcBorders>
              <w:top w:val="single" w:sz="4" w:space="0" w:color="auto"/>
            </w:tcBorders>
            <w:vAlign w:val="center"/>
          </w:tcPr>
          <w:p w14:paraId="4EE14F1D" w14:textId="77777777" w:rsidR="00351421" w:rsidRPr="008F0B7D" w:rsidRDefault="00351421" w:rsidP="007B244C">
            <w:pPr>
              <w:spacing w:before="60"/>
              <w:ind w:left="110" w:hanging="110"/>
              <w:jc w:val="right"/>
              <w:rPr>
                <w:rFonts w:ascii="Arial" w:hAnsi="Arial" w:cs="Arial"/>
              </w:rPr>
            </w:pPr>
            <w:r w:rsidRPr="008F0B7D">
              <w:rPr>
                <w:rFonts w:ascii="Arial" w:hAnsi="Arial" w:cs="Arial"/>
              </w:rPr>
              <w:t>1,160</w:t>
            </w:r>
          </w:p>
        </w:tc>
      </w:tr>
      <w:tr w:rsidR="00351421" w:rsidRPr="00A845B7" w14:paraId="3F90AE27" w14:textId="77777777" w:rsidTr="007B244C">
        <w:trPr>
          <w:trHeight w:val="283"/>
        </w:trPr>
        <w:tc>
          <w:tcPr>
            <w:tcW w:w="1697" w:type="pct"/>
            <w:tcBorders>
              <w:bottom w:val="single" w:sz="4" w:space="0" w:color="auto"/>
            </w:tcBorders>
            <w:vAlign w:val="center"/>
          </w:tcPr>
          <w:p w14:paraId="3816E1FC" w14:textId="77777777" w:rsidR="00351421" w:rsidRPr="004226C9" w:rsidRDefault="00351421" w:rsidP="007B244C">
            <w:pPr>
              <w:ind w:left="110" w:hanging="110"/>
              <w:jc w:val="left"/>
              <w:rPr>
                <w:rFonts w:ascii="Arial" w:hAnsi="Arial" w:cs="Arial"/>
              </w:rPr>
            </w:pPr>
            <w:r w:rsidRPr="004226C9">
              <w:rPr>
                <w:rFonts w:ascii="Arial" w:hAnsi="Arial" w:cs="Arial"/>
              </w:rPr>
              <w:t>Brico Dépôt</w:t>
            </w:r>
          </w:p>
        </w:tc>
        <w:tc>
          <w:tcPr>
            <w:tcW w:w="1101" w:type="pct"/>
            <w:tcBorders>
              <w:bottom w:val="single" w:sz="4" w:space="0" w:color="auto"/>
            </w:tcBorders>
            <w:vAlign w:val="center"/>
          </w:tcPr>
          <w:p w14:paraId="60E8452E" w14:textId="2F433C93" w:rsidR="00351421" w:rsidRPr="008F0B7D" w:rsidRDefault="00351421" w:rsidP="007B244C">
            <w:pPr>
              <w:spacing w:before="60"/>
              <w:ind w:left="110" w:hanging="110"/>
              <w:jc w:val="right"/>
              <w:rPr>
                <w:rFonts w:ascii="Arial" w:hAnsi="Arial" w:cs="Arial"/>
              </w:rPr>
            </w:pPr>
            <w:r w:rsidRPr="008F0B7D">
              <w:rPr>
                <w:rFonts w:ascii="Arial" w:hAnsi="Arial" w:cs="Arial"/>
              </w:rPr>
              <w:t>8,</w:t>
            </w:r>
            <w:r w:rsidR="00E24B71" w:rsidRPr="008F0B7D">
              <w:rPr>
                <w:rFonts w:ascii="Arial" w:hAnsi="Arial" w:cs="Arial"/>
              </w:rPr>
              <w:t>294</w:t>
            </w:r>
          </w:p>
        </w:tc>
        <w:tc>
          <w:tcPr>
            <w:tcW w:w="1101" w:type="pct"/>
            <w:tcBorders>
              <w:bottom w:val="single" w:sz="4" w:space="0" w:color="auto"/>
            </w:tcBorders>
            <w:vAlign w:val="center"/>
          </w:tcPr>
          <w:p w14:paraId="49B2DE3C" w14:textId="77777777" w:rsidR="00351421" w:rsidRPr="008F0B7D" w:rsidRDefault="00351421" w:rsidP="007B244C">
            <w:pPr>
              <w:spacing w:before="60"/>
              <w:ind w:left="110" w:hanging="110"/>
              <w:jc w:val="right"/>
              <w:rPr>
                <w:rFonts w:ascii="Arial" w:hAnsi="Arial" w:cs="Arial"/>
              </w:rPr>
            </w:pPr>
            <w:r w:rsidRPr="008F0B7D">
              <w:rPr>
                <w:rFonts w:ascii="Arial" w:hAnsi="Arial" w:cs="Arial"/>
              </w:rPr>
              <w:t>123</w:t>
            </w:r>
          </w:p>
        </w:tc>
        <w:tc>
          <w:tcPr>
            <w:tcW w:w="1101" w:type="pct"/>
            <w:tcBorders>
              <w:bottom w:val="single" w:sz="4" w:space="0" w:color="auto"/>
            </w:tcBorders>
            <w:vAlign w:val="center"/>
          </w:tcPr>
          <w:p w14:paraId="6E048C8B" w14:textId="77777777" w:rsidR="00351421" w:rsidRPr="008F0B7D" w:rsidRDefault="00351421" w:rsidP="007B244C">
            <w:pPr>
              <w:spacing w:before="60"/>
              <w:ind w:left="110" w:hanging="110"/>
              <w:jc w:val="right"/>
              <w:rPr>
                <w:rFonts w:ascii="Arial" w:hAnsi="Arial" w:cs="Arial"/>
              </w:rPr>
            </w:pPr>
            <w:r w:rsidRPr="008F0B7D">
              <w:rPr>
                <w:rFonts w:ascii="Arial" w:hAnsi="Arial" w:cs="Arial"/>
              </w:rPr>
              <w:t>862</w:t>
            </w:r>
          </w:p>
        </w:tc>
      </w:tr>
      <w:tr w:rsidR="00351421" w:rsidRPr="008863CF" w14:paraId="6DC8F344" w14:textId="77777777" w:rsidTr="007B244C">
        <w:trPr>
          <w:trHeight w:val="283"/>
        </w:trPr>
        <w:tc>
          <w:tcPr>
            <w:tcW w:w="1697" w:type="pct"/>
            <w:tcBorders>
              <w:top w:val="single" w:sz="4" w:space="0" w:color="auto"/>
            </w:tcBorders>
            <w:vAlign w:val="center"/>
          </w:tcPr>
          <w:p w14:paraId="2C75D92C" w14:textId="77777777" w:rsidR="00351421" w:rsidRPr="004226C9" w:rsidRDefault="00351421" w:rsidP="007B244C">
            <w:pPr>
              <w:ind w:left="110" w:hanging="110"/>
              <w:jc w:val="left"/>
              <w:rPr>
                <w:rFonts w:ascii="Arial" w:hAnsi="Arial" w:cs="Arial"/>
                <w:b/>
                <w:bCs/>
              </w:rPr>
            </w:pPr>
            <w:r w:rsidRPr="004226C9">
              <w:rPr>
                <w:rFonts w:ascii="Arial" w:hAnsi="Arial" w:cs="Arial"/>
                <w:b/>
                <w:bCs/>
              </w:rPr>
              <w:t>France</w:t>
            </w:r>
          </w:p>
        </w:tc>
        <w:tc>
          <w:tcPr>
            <w:tcW w:w="1101" w:type="pct"/>
            <w:tcBorders>
              <w:top w:val="single" w:sz="4" w:space="0" w:color="auto"/>
            </w:tcBorders>
            <w:vAlign w:val="center"/>
          </w:tcPr>
          <w:p w14:paraId="40194001" w14:textId="2788B1D6" w:rsidR="00351421" w:rsidRPr="008F0B7D" w:rsidRDefault="00E24B71" w:rsidP="007B244C">
            <w:pPr>
              <w:spacing w:before="60"/>
              <w:ind w:left="110" w:hanging="110"/>
              <w:jc w:val="right"/>
              <w:rPr>
                <w:rFonts w:ascii="Arial" w:hAnsi="Arial" w:cs="Arial"/>
                <w:b/>
              </w:rPr>
            </w:pPr>
            <w:r w:rsidRPr="008F0B7D">
              <w:rPr>
                <w:rFonts w:ascii="Arial" w:hAnsi="Arial" w:cs="Arial"/>
                <w:b/>
              </w:rPr>
              <w:t>19</w:t>
            </w:r>
            <w:r w:rsidR="00351421" w:rsidRPr="008F0B7D">
              <w:rPr>
                <w:rFonts w:ascii="Arial" w:hAnsi="Arial" w:cs="Arial"/>
                <w:b/>
              </w:rPr>
              <w:t>,</w:t>
            </w:r>
            <w:r w:rsidRPr="008F0B7D">
              <w:rPr>
                <w:rFonts w:ascii="Arial" w:hAnsi="Arial" w:cs="Arial"/>
                <w:b/>
              </w:rPr>
              <w:t>413</w:t>
            </w:r>
          </w:p>
        </w:tc>
        <w:tc>
          <w:tcPr>
            <w:tcW w:w="1101" w:type="pct"/>
            <w:tcBorders>
              <w:top w:val="single" w:sz="4" w:space="0" w:color="auto"/>
            </w:tcBorders>
            <w:vAlign w:val="center"/>
          </w:tcPr>
          <w:p w14:paraId="23B94A18" w14:textId="77777777" w:rsidR="00351421" w:rsidRPr="008F0B7D" w:rsidRDefault="00351421" w:rsidP="007B244C">
            <w:pPr>
              <w:spacing w:before="60"/>
              <w:ind w:left="110" w:hanging="110"/>
              <w:jc w:val="right"/>
              <w:rPr>
                <w:rFonts w:ascii="Arial" w:hAnsi="Arial" w:cs="Arial"/>
                <w:b/>
              </w:rPr>
            </w:pPr>
            <w:r w:rsidRPr="008F0B7D">
              <w:rPr>
                <w:rFonts w:ascii="Arial" w:hAnsi="Arial" w:cs="Arial"/>
                <w:b/>
              </w:rPr>
              <w:t>216</w:t>
            </w:r>
          </w:p>
        </w:tc>
        <w:tc>
          <w:tcPr>
            <w:tcW w:w="1101" w:type="pct"/>
            <w:tcBorders>
              <w:top w:val="single" w:sz="4" w:space="0" w:color="auto"/>
            </w:tcBorders>
            <w:vAlign w:val="center"/>
          </w:tcPr>
          <w:p w14:paraId="165C4B7F" w14:textId="77777777" w:rsidR="00351421" w:rsidRPr="008F0B7D" w:rsidRDefault="00351421" w:rsidP="007B244C">
            <w:pPr>
              <w:spacing w:before="60"/>
              <w:ind w:left="110" w:hanging="110"/>
              <w:jc w:val="right"/>
              <w:rPr>
                <w:rFonts w:ascii="Arial" w:hAnsi="Arial" w:cs="Arial"/>
                <w:b/>
              </w:rPr>
            </w:pPr>
            <w:r w:rsidRPr="008F0B7D">
              <w:rPr>
                <w:rFonts w:ascii="Arial" w:hAnsi="Arial" w:cs="Arial"/>
                <w:b/>
              </w:rPr>
              <w:t>2,022</w:t>
            </w:r>
          </w:p>
        </w:tc>
      </w:tr>
      <w:tr w:rsidR="00351421" w:rsidRPr="004226C9" w14:paraId="1507A786" w14:textId="77777777" w:rsidTr="007B244C">
        <w:trPr>
          <w:trHeight w:val="283"/>
        </w:trPr>
        <w:tc>
          <w:tcPr>
            <w:tcW w:w="1697" w:type="pct"/>
            <w:tcBorders>
              <w:top w:val="single" w:sz="4" w:space="0" w:color="auto"/>
            </w:tcBorders>
            <w:vAlign w:val="center"/>
          </w:tcPr>
          <w:p w14:paraId="51297761" w14:textId="77777777" w:rsidR="00351421" w:rsidRPr="004226C9" w:rsidRDefault="00351421" w:rsidP="007B244C">
            <w:pPr>
              <w:ind w:left="110" w:hanging="110"/>
              <w:jc w:val="left"/>
              <w:rPr>
                <w:rFonts w:ascii="Arial" w:hAnsi="Arial" w:cs="Arial"/>
                <w:lang w:val="it-IT"/>
              </w:rPr>
            </w:pPr>
            <w:r w:rsidRPr="004226C9">
              <w:rPr>
                <w:rFonts w:ascii="Arial" w:hAnsi="Arial" w:cs="Arial"/>
              </w:rPr>
              <w:t>Poland</w:t>
            </w:r>
          </w:p>
        </w:tc>
        <w:tc>
          <w:tcPr>
            <w:tcW w:w="1101" w:type="pct"/>
            <w:tcBorders>
              <w:top w:val="single" w:sz="4" w:space="0" w:color="auto"/>
            </w:tcBorders>
            <w:vAlign w:val="center"/>
          </w:tcPr>
          <w:p w14:paraId="3ED5B1DC" w14:textId="24B63316" w:rsidR="00351421" w:rsidRPr="008F0B7D" w:rsidRDefault="00E24B71" w:rsidP="007B244C">
            <w:pPr>
              <w:spacing w:before="60"/>
              <w:ind w:left="110" w:hanging="110"/>
              <w:jc w:val="right"/>
              <w:rPr>
                <w:rFonts w:ascii="Arial" w:hAnsi="Arial" w:cs="Arial"/>
              </w:rPr>
            </w:pPr>
            <w:r>
              <w:rPr>
                <w:rFonts w:ascii="Arial" w:hAnsi="Arial" w:cs="Arial"/>
              </w:rPr>
              <w:t>12</w:t>
            </w:r>
            <w:r w:rsidR="00351421" w:rsidRPr="008F0B7D">
              <w:rPr>
                <w:rFonts w:ascii="Arial" w:hAnsi="Arial" w:cs="Arial"/>
              </w:rPr>
              <w:t>,</w:t>
            </w:r>
            <w:r>
              <w:rPr>
                <w:rFonts w:ascii="Arial" w:hAnsi="Arial" w:cs="Arial"/>
              </w:rPr>
              <w:t>080</w:t>
            </w:r>
          </w:p>
        </w:tc>
        <w:tc>
          <w:tcPr>
            <w:tcW w:w="1101" w:type="pct"/>
            <w:tcBorders>
              <w:top w:val="single" w:sz="4" w:space="0" w:color="auto"/>
            </w:tcBorders>
            <w:vAlign w:val="center"/>
          </w:tcPr>
          <w:p w14:paraId="271514CC" w14:textId="7CD28FE8" w:rsidR="00351421" w:rsidRPr="008F0B7D" w:rsidRDefault="00E24B71" w:rsidP="007B244C">
            <w:pPr>
              <w:spacing w:before="60"/>
              <w:ind w:left="110" w:hanging="110"/>
              <w:jc w:val="right"/>
              <w:rPr>
                <w:rFonts w:ascii="Arial" w:hAnsi="Arial" w:cs="Arial"/>
              </w:rPr>
            </w:pPr>
            <w:r w:rsidRPr="008F0B7D">
              <w:rPr>
                <w:rFonts w:ascii="Arial" w:hAnsi="Arial" w:cs="Arial"/>
              </w:rPr>
              <w:t>90</w:t>
            </w:r>
          </w:p>
        </w:tc>
        <w:tc>
          <w:tcPr>
            <w:tcW w:w="1101" w:type="pct"/>
            <w:tcBorders>
              <w:top w:val="single" w:sz="4" w:space="0" w:color="auto"/>
            </w:tcBorders>
            <w:vAlign w:val="center"/>
          </w:tcPr>
          <w:p w14:paraId="6ECBA1B6" w14:textId="34E7AAF9" w:rsidR="00351421" w:rsidRPr="008F0B7D" w:rsidRDefault="00E24B71" w:rsidP="007B244C">
            <w:pPr>
              <w:spacing w:before="60"/>
              <w:ind w:left="110" w:hanging="110"/>
              <w:jc w:val="right"/>
              <w:rPr>
                <w:rFonts w:ascii="Arial" w:hAnsi="Arial" w:cs="Arial"/>
              </w:rPr>
            </w:pPr>
            <w:r w:rsidRPr="008F0B7D">
              <w:rPr>
                <w:rFonts w:ascii="Arial" w:hAnsi="Arial" w:cs="Arial"/>
              </w:rPr>
              <w:t>781</w:t>
            </w:r>
          </w:p>
        </w:tc>
      </w:tr>
      <w:tr w:rsidR="00351421" w:rsidRPr="004226C9" w14:paraId="308509A1" w14:textId="77777777" w:rsidTr="007B244C">
        <w:trPr>
          <w:trHeight w:val="283"/>
        </w:trPr>
        <w:tc>
          <w:tcPr>
            <w:tcW w:w="1697" w:type="pct"/>
            <w:vAlign w:val="center"/>
          </w:tcPr>
          <w:p w14:paraId="61B28270" w14:textId="77777777" w:rsidR="00351421" w:rsidRPr="004226C9" w:rsidRDefault="00351421" w:rsidP="007B244C">
            <w:pPr>
              <w:ind w:left="110" w:hanging="110"/>
              <w:jc w:val="left"/>
              <w:rPr>
                <w:rFonts w:ascii="Arial" w:hAnsi="Arial" w:cs="Arial"/>
                <w:lang w:val="it-IT"/>
              </w:rPr>
            </w:pPr>
            <w:r w:rsidRPr="004226C9">
              <w:rPr>
                <w:rFonts w:ascii="Arial" w:hAnsi="Arial" w:cs="Arial"/>
              </w:rPr>
              <w:t>Iberia</w:t>
            </w:r>
          </w:p>
        </w:tc>
        <w:tc>
          <w:tcPr>
            <w:tcW w:w="1101" w:type="pct"/>
            <w:vAlign w:val="center"/>
          </w:tcPr>
          <w:p w14:paraId="1842FCD3" w14:textId="53CF157E" w:rsidR="00351421" w:rsidRPr="008F0B7D" w:rsidRDefault="00E24B71" w:rsidP="007B244C">
            <w:pPr>
              <w:spacing w:before="60"/>
              <w:ind w:left="110" w:hanging="110"/>
              <w:jc w:val="right"/>
              <w:rPr>
                <w:rFonts w:ascii="Arial" w:hAnsi="Arial" w:cs="Arial"/>
              </w:rPr>
            </w:pPr>
            <w:r>
              <w:rPr>
                <w:rFonts w:ascii="Arial" w:hAnsi="Arial" w:cs="Arial"/>
              </w:rPr>
              <w:t>1</w:t>
            </w:r>
            <w:r w:rsidR="00351421" w:rsidRPr="008F0B7D">
              <w:rPr>
                <w:rFonts w:ascii="Arial" w:hAnsi="Arial" w:cs="Arial"/>
              </w:rPr>
              <w:t>,</w:t>
            </w:r>
            <w:r>
              <w:rPr>
                <w:rFonts w:ascii="Arial" w:hAnsi="Arial" w:cs="Arial"/>
              </w:rPr>
              <w:t>775</w:t>
            </w:r>
          </w:p>
        </w:tc>
        <w:tc>
          <w:tcPr>
            <w:tcW w:w="1101" w:type="pct"/>
            <w:vAlign w:val="center"/>
          </w:tcPr>
          <w:p w14:paraId="5CE9E0F9" w14:textId="77777777" w:rsidR="00351421" w:rsidRPr="008F0B7D" w:rsidRDefault="00351421" w:rsidP="007B244C">
            <w:pPr>
              <w:spacing w:before="60"/>
              <w:ind w:left="110" w:hanging="110"/>
              <w:jc w:val="right"/>
              <w:rPr>
                <w:rFonts w:ascii="Arial" w:hAnsi="Arial" w:cs="Arial"/>
              </w:rPr>
            </w:pPr>
            <w:r w:rsidRPr="008F0B7D">
              <w:rPr>
                <w:rFonts w:ascii="Arial" w:hAnsi="Arial" w:cs="Arial"/>
              </w:rPr>
              <w:t>31</w:t>
            </w:r>
          </w:p>
        </w:tc>
        <w:tc>
          <w:tcPr>
            <w:tcW w:w="1101" w:type="pct"/>
            <w:vAlign w:val="center"/>
          </w:tcPr>
          <w:p w14:paraId="1368A4C0" w14:textId="77777777" w:rsidR="00351421" w:rsidRPr="008F0B7D" w:rsidRDefault="00351421" w:rsidP="007B244C">
            <w:pPr>
              <w:spacing w:before="60"/>
              <w:ind w:left="110" w:hanging="110"/>
              <w:jc w:val="right"/>
              <w:rPr>
                <w:rFonts w:ascii="Arial" w:hAnsi="Arial" w:cs="Arial"/>
              </w:rPr>
            </w:pPr>
            <w:r w:rsidRPr="008F0B7D">
              <w:rPr>
                <w:rFonts w:ascii="Arial" w:hAnsi="Arial" w:cs="Arial"/>
              </w:rPr>
              <w:t>195</w:t>
            </w:r>
          </w:p>
        </w:tc>
      </w:tr>
      <w:tr w:rsidR="00351421" w:rsidRPr="004226C9" w14:paraId="10C889F5" w14:textId="77777777" w:rsidTr="007B244C">
        <w:trPr>
          <w:trHeight w:val="283"/>
        </w:trPr>
        <w:tc>
          <w:tcPr>
            <w:tcW w:w="1697" w:type="pct"/>
            <w:vAlign w:val="center"/>
          </w:tcPr>
          <w:p w14:paraId="7ACF41F2" w14:textId="77777777" w:rsidR="00351421" w:rsidRPr="004226C9" w:rsidRDefault="00351421" w:rsidP="007B244C">
            <w:pPr>
              <w:ind w:left="110" w:hanging="110"/>
              <w:jc w:val="left"/>
              <w:rPr>
                <w:rFonts w:ascii="Arial" w:hAnsi="Arial" w:cs="Arial"/>
                <w:lang w:val="it-IT"/>
              </w:rPr>
            </w:pPr>
            <w:r w:rsidRPr="004226C9">
              <w:rPr>
                <w:rFonts w:ascii="Arial" w:hAnsi="Arial" w:cs="Arial"/>
                <w:lang w:val="it-IT"/>
              </w:rPr>
              <w:t>Romania</w:t>
            </w:r>
          </w:p>
        </w:tc>
        <w:tc>
          <w:tcPr>
            <w:tcW w:w="1101" w:type="pct"/>
            <w:vAlign w:val="center"/>
          </w:tcPr>
          <w:p w14:paraId="7C21E6A8" w14:textId="4A785F29" w:rsidR="00351421" w:rsidRPr="008F0B7D" w:rsidRDefault="00351421" w:rsidP="007B244C">
            <w:pPr>
              <w:spacing w:before="60"/>
              <w:ind w:left="110" w:hanging="110"/>
              <w:jc w:val="right"/>
              <w:rPr>
                <w:rFonts w:ascii="Arial" w:hAnsi="Arial" w:cs="Arial"/>
              </w:rPr>
            </w:pPr>
            <w:r w:rsidRPr="008F0B7D">
              <w:rPr>
                <w:rFonts w:ascii="Arial" w:hAnsi="Arial" w:cs="Arial"/>
              </w:rPr>
              <w:t>2,</w:t>
            </w:r>
            <w:r w:rsidR="00E24B71" w:rsidRPr="008F0B7D">
              <w:rPr>
                <w:rFonts w:ascii="Arial" w:hAnsi="Arial" w:cs="Arial"/>
              </w:rPr>
              <w:t>391</w:t>
            </w:r>
          </w:p>
        </w:tc>
        <w:tc>
          <w:tcPr>
            <w:tcW w:w="1101" w:type="pct"/>
            <w:vAlign w:val="center"/>
          </w:tcPr>
          <w:p w14:paraId="3B9AC413" w14:textId="77777777" w:rsidR="00351421" w:rsidRPr="008F0B7D" w:rsidRDefault="00351421" w:rsidP="007B244C">
            <w:pPr>
              <w:spacing w:before="60"/>
              <w:ind w:left="110" w:hanging="110"/>
              <w:jc w:val="right"/>
              <w:rPr>
                <w:rFonts w:ascii="Arial" w:hAnsi="Arial" w:cs="Arial"/>
              </w:rPr>
            </w:pPr>
            <w:r w:rsidRPr="008F0B7D">
              <w:rPr>
                <w:rFonts w:ascii="Arial" w:hAnsi="Arial" w:cs="Arial"/>
              </w:rPr>
              <w:t>35</w:t>
            </w:r>
          </w:p>
        </w:tc>
        <w:tc>
          <w:tcPr>
            <w:tcW w:w="1101" w:type="pct"/>
            <w:vAlign w:val="center"/>
          </w:tcPr>
          <w:p w14:paraId="3B60EF49" w14:textId="77777777" w:rsidR="00351421" w:rsidRPr="008F0B7D" w:rsidRDefault="00351421" w:rsidP="007B244C">
            <w:pPr>
              <w:spacing w:before="60"/>
              <w:ind w:left="110" w:hanging="110"/>
              <w:jc w:val="right"/>
              <w:rPr>
                <w:rFonts w:ascii="Arial" w:hAnsi="Arial" w:cs="Arial"/>
                <w:vertAlign w:val="superscript"/>
              </w:rPr>
            </w:pPr>
            <w:r w:rsidRPr="008F0B7D">
              <w:rPr>
                <w:rFonts w:ascii="Arial" w:hAnsi="Arial" w:cs="Arial"/>
              </w:rPr>
              <w:t>253</w:t>
            </w:r>
          </w:p>
        </w:tc>
      </w:tr>
      <w:tr w:rsidR="00351421" w:rsidRPr="004226C9" w14:paraId="28445631" w14:textId="77777777" w:rsidTr="007B244C">
        <w:trPr>
          <w:trHeight w:val="283"/>
        </w:trPr>
        <w:tc>
          <w:tcPr>
            <w:tcW w:w="1697" w:type="pct"/>
            <w:vAlign w:val="center"/>
          </w:tcPr>
          <w:p w14:paraId="78612596" w14:textId="77777777" w:rsidR="00351421" w:rsidRPr="004226C9" w:rsidRDefault="00351421" w:rsidP="007B244C">
            <w:pPr>
              <w:ind w:left="110" w:hanging="110"/>
              <w:jc w:val="left"/>
              <w:rPr>
                <w:rFonts w:ascii="Arial" w:hAnsi="Arial" w:cs="Arial"/>
                <w:lang w:val="it-IT"/>
              </w:rPr>
            </w:pPr>
            <w:r>
              <w:rPr>
                <w:rFonts w:ascii="Arial" w:hAnsi="Arial" w:cs="Arial"/>
                <w:lang w:val="it-IT"/>
              </w:rPr>
              <w:t>Other</w:t>
            </w:r>
            <w:r w:rsidRPr="00281622">
              <w:rPr>
                <w:rFonts w:ascii="Arial" w:hAnsi="Arial" w:cs="Arial"/>
                <w:vertAlign w:val="superscript"/>
                <w:lang w:val="it-IT"/>
              </w:rPr>
              <w:t>(</w:t>
            </w:r>
            <w:r>
              <w:rPr>
                <w:rFonts w:ascii="Arial" w:hAnsi="Arial" w:cs="Arial"/>
                <w:vertAlign w:val="superscript"/>
                <w:lang w:val="it-IT"/>
              </w:rPr>
              <w:t>2</w:t>
            </w:r>
            <w:r w:rsidRPr="00281622">
              <w:rPr>
                <w:rFonts w:ascii="Arial" w:hAnsi="Arial" w:cs="Arial"/>
                <w:vertAlign w:val="superscript"/>
                <w:lang w:val="it-IT"/>
              </w:rPr>
              <w:t>)</w:t>
            </w:r>
          </w:p>
        </w:tc>
        <w:tc>
          <w:tcPr>
            <w:tcW w:w="1101" w:type="pct"/>
            <w:vAlign w:val="center"/>
          </w:tcPr>
          <w:p w14:paraId="41EBE46D" w14:textId="06E78050" w:rsidR="00351421" w:rsidRPr="008F0B7D" w:rsidRDefault="00E24B71" w:rsidP="007B244C">
            <w:pPr>
              <w:spacing w:before="60"/>
              <w:ind w:left="110" w:hanging="110"/>
              <w:jc w:val="right"/>
              <w:rPr>
                <w:rFonts w:ascii="Arial" w:hAnsi="Arial" w:cs="Arial"/>
              </w:rPr>
            </w:pPr>
            <w:r w:rsidRPr="008F0B7D">
              <w:rPr>
                <w:rFonts w:ascii="Arial" w:hAnsi="Arial" w:cs="Arial"/>
              </w:rPr>
              <w:t>65</w:t>
            </w:r>
          </w:p>
        </w:tc>
        <w:tc>
          <w:tcPr>
            <w:tcW w:w="1101" w:type="pct"/>
            <w:vAlign w:val="center"/>
          </w:tcPr>
          <w:p w14:paraId="11A70A09" w14:textId="77777777" w:rsidR="00351421" w:rsidRPr="008F0B7D" w:rsidRDefault="00351421" w:rsidP="007B244C">
            <w:pPr>
              <w:spacing w:before="60"/>
              <w:ind w:left="110" w:hanging="110"/>
              <w:jc w:val="right"/>
              <w:rPr>
                <w:rFonts w:ascii="Arial" w:hAnsi="Arial" w:cs="Arial"/>
              </w:rPr>
            </w:pPr>
            <w:r w:rsidRPr="008F0B7D">
              <w:rPr>
                <w:rFonts w:ascii="Arial" w:hAnsi="Arial" w:cs="Arial"/>
              </w:rPr>
              <w:t>-</w:t>
            </w:r>
          </w:p>
        </w:tc>
        <w:tc>
          <w:tcPr>
            <w:tcW w:w="1101" w:type="pct"/>
            <w:vAlign w:val="center"/>
          </w:tcPr>
          <w:p w14:paraId="5038A5FA" w14:textId="77777777" w:rsidR="00351421" w:rsidRPr="008F0B7D" w:rsidRDefault="00351421" w:rsidP="007B244C">
            <w:pPr>
              <w:spacing w:before="60"/>
              <w:ind w:left="110" w:hanging="110"/>
              <w:jc w:val="right"/>
              <w:rPr>
                <w:rFonts w:ascii="Arial" w:hAnsi="Arial" w:cs="Arial"/>
              </w:rPr>
            </w:pPr>
            <w:r w:rsidRPr="008F0B7D">
              <w:rPr>
                <w:rFonts w:ascii="Arial" w:hAnsi="Arial" w:cs="Arial"/>
              </w:rPr>
              <w:t>-</w:t>
            </w:r>
          </w:p>
        </w:tc>
      </w:tr>
      <w:tr w:rsidR="00351421" w:rsidRPr="004226C9" w14:paraId="4C1676D3" w14:textId="77777777" w:rsidTr="007B244C">
        <w:trPr>
          <w:trHeight w:val="283"/>
        </w:trPr>
        <w:tc>
          <w:tcPr>
            <w:tcW w:w="1697" w:type="pct"/>
            <w:tcBorders>
              <w:top w:val="single" w:sz="4" w:space="0" w:color="auto"/>
              <w:bottom w:val="single" w:sz="4" w:space="0" w:color="auto"/>
            </w:tcBorders>
            <w:vAlign w:val="center"/>
          </w:tcPr>
          <w:p w14:paraId="60AB5EA1" w14:textId="77777777" w:rsidR="00351421" w:rsidRPr="004226C9" w:rsidRDefault="00351421" w:rsidP="007B244C">
            <w:pPr>
              <w:jc w:val="left"/>
              <w:rPr>
                <w:rFonts w:ascii="Arial" w:hAnsi="Arial" w:cs="Arial"/>
                <w:b/>
                <w:bCs/>
              </w:rPr>
            </w:pPr>
            <w:r w:rsidRPr="004226C9">
              <w:rPr>
                <w:rFonts w:ascii="Arial" w:hAnsi="Arial" w:cs="Arial"/>
                <w:b/>
                <w:bCs/>
              </w:rPr>
              <w:t>Other International</w:t>
            </w:r>
          </w:p>
        </w:tc>
        <w:tc>
          <w:tcPr>
            <w:tcW w:w="1101" w:type="pct"/>
            <w:tcBorders>
              <w:top w:val="single" w:sz="4" w:space="0" w:color="auto"/>
              <w:bottom w:val="single" w:sz="4" w:space="0" w:color="auto"/>
            </w:tcBorders>
            <w:vAlign w:val="center"/>
          </w:tcPr>
          <w:p w14:paraId="295A359C" w14:textId="7A323D6C" w:rsidR="00351421" w:rsidRPr="008F0B7D" w:rsidRDefault="00351421" w:rsidP="007B244C">
            <w:pPr>
              <w:spacing w:before="60"/>
              <w:ind w:left="110" w:hanging="110"/>
              <w:jc w:val="right"/>
              <w:rPr>
                <w:rFonts w:ascii="Arial" w:hAnsi="Arial" w:cs="Arial"/>
                <w:b/>
              </w:rPr>
            </w:pPr>
            <w:r w:rsidRPr="008F0B7D">
              <w:rPr>
                <w:rFonts w:ascii="Arial" w:hAnsi="Arial" w:cs="Arial"/>
                <w:b/>
              </w:rPr>
              <w:t>16,</w:t>
            </w:r>
            <w:r w:rsidR="00E24B71" w:rsidRPr="008F0B7D">
              <w:rPr>
                <w:rFonts w:ascii="Arial" w:hAnsi="Arial" w:cs="Arial"/>
                <w:b/>
              </w:rPr>
              <w:t>311</w:t>
            </w:r>
          </w:p>
        </w:tc>
        <w:tc>
          <w:tcPr>
            <w:tcW w:w="1101" w:type="pct"/>
            <w:tcBorders>
              <w:top w:val="single" w:sz="4" w:space="0" w:color="auto"/>
              <w:bottom w:val="single" w:sz="4" w:space="0" w:color="auto"/>
            </w:tcBorders>
            <w:vAlign w:val="center"/>
          </w:tcPr>
          <w:p w14:paraId="04C76376" w14:textId="746B598F" w:rsidR="00351421" w:rsidRPr="008F0B7D" w:rsidRDefault="00E24B71" w:rsidP="007B244C">
            <w:pPr>
              <w:spacing w:before="60"/>
              <w:ind w:left="110" w:hanging="110"/>
              <w:jc w:val="right"/>
              <w:rPr>
                <w:rFonts w:ascii="Arial" w:hAnsi="Arial" w:cs="Arial"/>
                <w:b/>
              </w:rPr>
            </w:pPr>
            <w:r w:rsidRPr="008F0B7D">
              <w:rPr>
                <w:rFonts w:ascii="Arial" w:hAnsi="Arial" w:cs="Arial"/>
                <w:b/>
              </w:rPr>
              <w:t>156</w:t>
            </w:r>
          </w:p>
        </w:tc>
        <w:tc>
          <w:tcPr>
            <w:tcW w:w="1101" w:type="pct"/>
            <w:tcBorders>
              <w:top w:val="single" w:sz="4" w:space="0" w:color="auto"/>
              <w:bottom w:val="single" w:sz="4" w:space="0" w:color="auto"/>
            </w:tcBorders>
            <w:vAlign w:val="center"/>
          </w:tcPr>
          <w:p w14:paraId="703F6BC6" w14:textId="5557B091" w:rsidR="00351421" w:rsidRPr="008F0B7D" w:rsidRDefault="00351421" w:rsidP="007B244C">
            <w:pPr>
              <w:spacing w:before="60"/>
              <w:ind w:left="110" w:hanging="110"/>
              <w:jc w:val="right"/>
              <w:rPr>
                <w:rFonts w:ascii="Arial" w:hAnsi="Arial" w:cs="Arial"/>
                <w:b/>
              </w:rPr>
            </w:pPr>
            <w:r w:rsidRPr="008F0B7D">
              <w:rPr>
                <w:rFonts w:ascii="Arial" w:hAnsi="Arial" w:cs="Arial"/>
                <w:b/>
              </w:rPr>
              <w:t>1,</w:t>
            </w:r>
            <w:r w:rsidR="00E24B71" w:rsidRPr="008F0B7D">
              <w:rPr>
                <w:rFonts w:ascii="Arial" w:hAnsi="Arial" w:cs="Arial"/>
                <w:b/>
              </w:rPr>
              <w:t>229</w:t>
            </w:r>
          </w:p>
        </w:tc>
      </w:tr>
      <w:tr w:rsidR="00351421" w:rsidRPr="004226C9" w14:paraId="6B45C7B4" w14:textId="77777777" w:rsidTr="007B244C">
        <w:trPr>
          <w:trHeight w:val="283"/>
        </w:trPr>
        <w:tc>
          <w:tcPr>
            <w:tcW w:w="1697" w:type="pct"/>
            <w:tcBorders>
              <w:top w:val="single" w:sz="4" w:space="0" w:color="auto"/>
              <w:bottom w:val="single" w:sz="4" w:space="0" w:color="auto"/>
            </w:tcBorders>
            <w:vAlign w:val="center"/>
          </w:tcPr>
          <w:p w14:paraId="14D96C13" w14:textId="77777777" w:rsidR="00351421" w:rsidRPr="004226C9" w:rsidRDefault="00351421" w:rsidP="007B244C">
            <w:pPr>
              <w:jc w:val="left"/>
              <w:rPr>
                <w:rFonts w:ascii="Arial" w:hAnsi="Arial" w:cs="Arial"/>
                <w:b/>
                <w:bCs/>
              </w:rPr>
            </w:pPr>
            <w:r>
              <w:rPr>
                <w:rFonts w:ascii="Arial" w:hAnsi="Arial" w:cs="Arial"/>
                <w:b/>
                <w:bCs/>
              </w:rPr>
              <w:t>Total</w:t>
            </w:r>
          </w:p>
        </w:tc>
        <w:tc>
          <w:tcPr>
            <w:tcW w:w="1101" w:type="pct"/>
            <w:tcBorders>
              <w:top w:val="single" w:sz="4" w:space="0" w:color="auto"/>
              <w:bottom w:val="single" w:sz="4" w:space="0" w:color="auto"/>
            </w:tcBorders>
            <w:vAlign w:val="center"/>
          </w:tcPr>
          <w:p w14:paraId="7413CC32" w14:textId="2BB5DC7C" w:rsidR="00351421" w:rsidRPr="008F0B7D" w:rsidRDefault="00E24B71" w:rsidP="007B244C">
            <w:pPr>
              <w:spacing w:before="60"/>
              <w:ind w:left="110" w:hanging="110"/>
              <w:jc w:val="right"/>
              <w:rPr>
                <w:rFonts w:ascii="Arial" w:hAnsi="Arial" w:cs="Arial"/>
                <w:b/>
              </w:rPr>
            </w:pPr>
            <w:r w:rsidRPr="008F0B7D">
              <w:rPr>
                <w:rFonts w:ascii="Arial" w:hAnsi="Arial" w:cs="Arial"/>
                <w:b/>
              </w:rPr>
              <w:t>63</w:t>
            </w:r>
            <w:r w:rsidR="00351421" w:rsidRPr="008F0B7D">
              <w:rPr>
                <w:rFonts w:ascii="Arial" w:hAnsi="Arial" w:cs="Arial"/>
                <w:b/>
              </w:rPr>
              <w:t>,</w:t>
            </w:r>
            <w:r w:rsidRPr="008F0B7D">
              <w:rPr>
                <w:rFonts w:ascii="Arial" w:hAnsi="Arial" w:cs="Arial"/>
                <w:b/>
              </w:rPr>
              <w:t>679</w:t>
            </w:r>
          </w:p>
        </w:tc>
        <w:tc>
          <w:tcPr>
            <w:tcW w:w="1101" w:type="pct"/>
            <w:tcBorders>
              <w:top w:val="single" w:sz="4" w:space="0" w:color="auto"/>
              <w:bottom w:val="single" w:sz="4" w:space="0" w:color="auto"/>
            </w:tcBorders>
            <w:vAlign w:val="center"/>
          </w:tcPr>
          <w:p w14:paraId="368D9C51" w14:textId="7AD83AF7" w:rsidR="00351421" w:rsidRPr="008F0B7D" w:rsidRDefault="00351421" w:rsidP="007B244C">
            <w:pPr>
              <w:spacing w:before="60"/>
              <w:ind w:left="110" w:hanging="110"/>
              <w:jc w:val="right"/>
              <w:rPr>
                <w:rFonts w:ascii="Arial" w:hAnsi="Arial" w:cs="Arial"/>
                <w:b/>
              </w:rPr>
            </w:pPr>
            <w:r w:rsidRPr="008F0B7D">
              <w:rPr>
                <w:rFonts w:ascii="Arial" w:hAnsi="Arial" w:cs="Arial"/>
                <w:b/>
              </w:rPr>
              <w:t>1,</w:t>
            </w:r>
            <w:r w:rsidR="00E24B71" w:rsidRPr="008F0B7D">
              <w:rPr>
                <w:rFonts w:ascii="Arial" w:hAnsi="Arial" w:cs="Arial"/>
                <w:b/>
              </w:rPr>
              <w:t>474</w:t>
            </w:r>
          </w:p>
        </w:tc>
        <w:tc>
          <w:tcPr>
            <w:tcW w:w="1101" w:type="pct"/>
            <w:tcBorders>
              <w:top w:val="single" w:sz="4" w:space="0" w:color="auto"/>
              <w:bottom w:val="single" w:sz="4" w:space="0" w:color="auto"/>
            </w:tcBorders>
            <w:vAlign w:val="center"/>
          </w:tcPr>
          <w:p w14:paraId="71B29688" w14:textId="545AFF3B" w:rsidR="00351421" w:rsidRPr="008F0B7D" w:rsidRDefault="00351421" w:rsidP="007B244C">
            <w:pPr>
              <w:spacing w:before="60"/>
              <w:ind w:left="110" w:hanging="110"/>
              <w:jc w:val="right"/>
              <w:rPr>
                <w:rFonts w:ascii="Arial" w:hAnsi="Arial" w:cs="Arial"/>
                <w:b/>
              </w:rPr>
            </w:pPr>
            <w:r w:rsidRPr="008F0B7D">
              <w:rPr>
                <w:rFonts w:ascii="Arial" w:hAnsi="Arial" w:cs="Arial"/>
                <w:b/>
              </w:rPr>
              <w:t>5,</w:t>
            </w:r>
            <w:r w:rsidR="00E24B71" w:rsidRPr="008F0B7D">
              <w:rPr>
                <w:rFonts w:ascii="Arial" w:hAnsi="Arial" w:cs="Arial"/>
                <w:b/>
              </w:rPr>
              <w:t>511</w:t>
            </w:r>
          </w:p>
        </w:tc>
      </w:tr>
      <w:bookmarkEnd w:id="89"/>
    </w:tbl>
    <w:p w14:paraId="6F0B3E99" w14:textId="77777777" w:rsidR="00351421" w:rsidRPr="006F352B" w:rsidRDefault="00351421" w:rsidP="00351421">
      <w:pPr>
        <w:jc w:val="left"/>
        <w:rPr>
          <w:rFonts w:ascii="Arial" w:hAnsi="Arial" w:cs="Arial"/>
          <w:sz w:val="18"/>
          <w:szCs w:val="18"/>
        </w:rPr>
      </w:pPr>
    </w:p>
    <w:bookmarkEnd w:id="88"/>
    <w:p w14:paraId="1D6D5750" w14:textId="77777777" w:rsidR="00351421" w:rsidRPr="00973825" w:rsidRDefault="00351421" w:rsidP="00351421">
      <w:pPr>
        <w:jc w:val="left"/>
        <w:rPr>
          <w:rFonts w:ascii="Arial" w:hAnsi="Arial" w:cs="Arial"/>
          <w:sz w:val="18"/>
          <w:szCs w:val="18"/>
        </w:rPr>
      </w:pPr>
      <w:r w:rsidRPr="00522995">
        <w:rPr>
          <w:rFonts w:ascii="Arial" w:hAnsi="Arial" w:cs="Arial"/>
          <w:bCs/>
          <w:sz w:val="18"/>
          <w:szCs w:val="18"/>
          <w:vertAlign w:val="superscript"/>
        </w:rPr>
        <w:t xml:space="preserve">(1) </w:t>
      </w:r>
      <w:r w:rsidRPr="00973825">
        <w:rPr>
          <w:rFonts w:ascii="Arial" w:hAnsi="Arial" w:cs="Arial"/>
          <w:sz w:val="18"/>
          <w:szCs w:val="18"/>
        </w:rPr>
        <w:t>Screwfix sales area relates to the front of counter area of an outlet.</w:t>
      </w:r>
    </w:p>
    <w:p w14:paraId="06BB68EA" w14:textId="052ABC60" w:rsidR="00351421" w:rsidRPr="0021532D" w:rsidRDefault="00351421" w:rsidP="00351421">
      <w:pPr>
        <w:jc w:val="left"/>
        <w:rPr>
          <w:rFonts w:ascii="Arial" w:hAnsi="Arial" w:cs="Arial"/>
          <w:sz w:val="18"/>
          <w:szCs w:val="18"/>
        </w:rPr>
      </w:pPr>
      <w:r w:rsidRPr="00257208">
        <w:rPr>
          <w:rFonts w:ascii="Arial" w:hAnsi="Arial" w:cs="Arial"/>
          <w:sz w:val="18"/>
          <w:szCs w:val="18"/>
          <w:vertAlign w:val="superscript"/>
        </w:rPr>
        <w:t>(2)</w:t>
      </w:r>
      <w:r w:rsidRPr="00257208">
        <w:rPr>
          <w:rFonts w:ascii="Arial" w:hAnsi="Arial" w:cs="Arial"/>
          <w:sz w:val="18"/>
          <w:szCs w:val="18"/>
        </w:rPr>
        <w:t xml:space="preserve"> </w:t>
      </w:r>
      <w:r w:rsidR="009A4250">
        <w:rPr>
          <w:rFonts w:ascii="Arial" w:hAnsi="Arial" w:cs="Arial"/>
          <w:sz w:val="18"/>
          <w:szCs w:val="18"/>
        </w:rPr>
        <w:t>‘</w:t>
      </w:r>
      <w:r w:rsidRPr="00257208">
        <w:rPr>
          <w:rFonts w:ascii="Arial" w:hAnsi="Arial" w:cs="Arial"/>
          <w:sz w:val="18"/>
          <w:szCs w:val="18"/>
        </w:rPr>
        <w:t>Other’ consists of NeedHelp</w:t>
      </w:r>
      <w:r w:rsidR="00FB01E0">
        <w:rPr>
          <w:rFonts w:ascii="Arial" w:hAnsi="Arial" w:cs="Arial"/>
          <w:sz w:val="18"/>
          <w:szCs w:val="18"/>
        </w:rPr>
        <w:t>, Screwfix International,</w:t>
      </w:r>
      <w:r w:rsidRPr="00095546">
        <w:rPr>
          <w:rFonts w:ascii="Arial" w:hAnsi="Arial" w:cs="Arial"/>
          <w:sz w:val="18"/>
          <w:szCs w:val="18"/>
        </w:rPr>
        <w:t xml:space="preserve"> and franchising.</w:t>
      </w:r>
    </w:p>
    <w:p w14:paraId="5EB48C1B" w14:textId="77777777" w:rsidR="00351421" w:rsidRPr="007C04E4" w:rsidRDefault="00351421" w:rsidP="00351421">
      <w:pPr>
        <w:jc w:val="left"/>
        <w:rPr>
          <w:rFonts w:ascii="Arial" w:hAnsi="Arial" w:cs="Arial"/>
        </w:rPr>
      </w:pPr>
    </w:p>
    <w:p w14:paraId="3A63FF42" w14:textId="7E17C294" w:rsidR="000426AD" w:rsidRPr="00EB4495" w:rsidRDefault="000426AD">
      <w:pPr>
        <w:spacing w:after="160" w:line="259" w:lineRule="auto"/>
        <w:jc w:val="left"/>
        <w:rPr>
          <w:rFonts w:ascii="Arial" w:hAnsi="Arial" w:cs="Arial"/>
        </w:rPr>
      </w:pPr>
      <w:r w:rsidRPr="00EB4495">
        <w:rPr>
          <w:rFonts w:ascii="Arial" w:hAnsi="Arial" w:cs="Arial"/>
        </w:rPr>
        <w:br w:type="page"/>
      </w:r>
    </w:p>
    <w:p w14:paraId="78A06AAB" w14:textId="77777777" w:rsidR="00952484" w:rsidRPr="00EB4495" w:rsidRDefault="00952484" w:rsidP="00952484">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b/>
          <w:bCs/>
          <w:color w:val="FFFFFF" w:themeColor="background1"/>
        </w:rPr>
      </w:pPr>
      <w:r w:rsidRPr="00EB4495">
        <w:rPr>
          <w:rFonts w:ascii="Arial" w:hAnsi="Arial" w:cs="Arial"/>
          <w:b/>
          <w:bCs/>
          <w:color w:val="FFFFFF" w:themeColor="background1"/>
        </w:rPr>
        <w:lastRenderedPageBreak/>
        <w:t>Section 4: FY 2022/23 Technical guidance</w:t>
      </w:r>
    </w:p>
    <w:p w14:paraId="709092E9" w14:textId="75427BA2" w:rsidR="000426AD" w:rsidRPr="00EB4495" w:rsidRDefault="000426AD" w:rsidP="00084627">
      <w:pPr>
        <w:jc w:val="left"/>
        <w:rPr>
          <w:rFonts w:ascii="Arial" w:hAnsi="Arial" w:cs="Arial"/>
        </w:rPr>
      </w:pPr>
    </w:p>
    <w:p w14:paraId="0A474DAC" w14:textId="2B62F1D7" w:rsidR="00952DFE" w:rsidRDefault="00952DFE" w:rsidP="00952DFE">
      <w:pPr>
        <w:jc w:val="left"/>
        <w:rPr>
          <w:rFonts w:ascii="Arial" w:hAnsi="Arial" w:cs="Arial"/>
          <w:b/>
          <w:bCs/>
        </w:rPr>
      </w:pPr>
      <w:r>
        <w:rPr>
          <w:rFonts w:ascii="Arial" w:hAnsi="Arial" w:cs="Arial"/>
          <w:b/>
          <w:bCs/>
        </w:rPr>
        <w:t>Please refer to Section 7 for further details regarding forward-looking statements.</w:t>
      </w:r>
    </w:p>
    <w:p w14:paraId="6C7B7E0C" w14:textId="1B1E8AF3" w:rsidR="00952DFE" w:rsidRPr="00721C3E" w:rsidRDefault="00952DFE" w:rsidP="00952DFE">
      <w:pPr>
        <w:jc w:val="left"/>
        <w:rPr>
          <w:rFonts w:ascii="Arial" w:hAnsi="Arial" w:cs="Arial"/>
        </w:rPr>
      </w:pPr>
    </w:p>
    <w:p w14:paraId="589F85E6" w14:textId="0DE480FA" w:rsidR="00952DFE" w:rsidRPr="00C42735" w:rsidRDefault="00952DFE" w:rsidP="00952DFE">
      <w:pPr>
        <w:jc w:val="left"/>
        <w:rPr>
          <w:rFonts w:ascii="Arial" w:hAnsi="Arial" w:cs="Arial"/>
          <w:b/>
          <w:bCs/>
          <w:u w:val="single"/>
        </w:rPr>
      </w:pPr>
      <w:r w:rsidRPr="00C42735">
        <w:rPr>
          <w:rFonts w:ascii="Arial" w:hAnsi="Arial" w:cs="Arial"/>
          <w:b/>
          <w:bCs/>
          <w:u w:val="single"/>
        </w:rPr>
        <w:t>Income statement</w:t>
      </w:r>
    </w:p>
    <w:p w14:paraId="440C7E5A" w14:textId="77777777" w:rsidR="00936507" w:rsidRPr="00721C3E" w:rsidRDefault="00936507" w:rsidP="00952DFE">
      <w:pPr>
        <w:jc w:val="left"/>
        <w:rPr>
          <w:rFonts w:ascii="Arial" w:hAnsi="Arial" w:cs="Arial"/>
          <w:b/>
          <w:bCs/>
        </w:rPr>
      </w:pPr>
    </w:p>
    <w:p w14:paraId="7AE0A5FD" w14:textId="1234AF52" w:rsidR="00952DFE" w:rsidRPr="00C42735" w:rsidRDefault="00F64F86" w:rsidP="00C42735">
      <w:pPr>
        <w:pStyle w:val="ListParagraph"/>
        <w:numPr>
          <w:ilvl w:val="0"/>
          <w:numId w:val="25"/>
        </w:numPr>
        <w:ind w:left="360"/>
        <w:jc w:val="left"/>
        <w:rPr>
          <w:rFonts w:ascii="Arial" w:hAnsi="Arial" w:cs="Arial"/>
          <w:bCs/>
        </w:rPr>
      </w:pPr>
      <w:r w:rsidRPr="00C42735">
        <w:rPr>
          <w:rFonts w:ascii="Arial" w:hAnsi="Arial" w:cs="Arial"/>
          <w:bCs/>
        </w:rPr>
        <w:t>Space</w:t>
      </w:r>
    </w:p>
    <w:p w14:paraId="3076319D" w14:textId="05C173D5" w:rsidR="00952DFE" w:rsidRPr="002E6573" w:rsidRDefault="00F64F86" w:rsidP="00C42735">
      <w:pPr>
        <w:pStyle w:val="ListParagraph"/>
        <w:numPr>
          <w:ilvl w:val="1"/>
          <w:numId w:val="2"/>
        </w:numPr>
        <w:ind w:left="709"/>
        <w:jc w:val="left"/>
        <w:rPr>
          <w:rFonts w:ascii="Arial" w:hAnsi="Arial" w:cs="Arial"/>
          <w:bCs/>
        </w:rPr>
      </w:pPr>
      <w:r w:rsidRPr="00E6795C">
        <w:rPr>
          <w:rFonts w:ascii="Arial" w:hAnsi="Arial" w:cs="Arial"/>
          <w:bCs/>
        </w:rPr>
        <w:t xml:space="preserve">Anticipate net space growth to impact </w:t>
      </w:r>
      <w:r w:rsidRPr="002E6573">
        <w:rPr>
          <w:rFonts w:ascii="Arial" w:hAnsi="Arial" w:cs="Arial"/>
          <w:bCs/>
        </w:rPr>
        <w:t>total sales by c.+</w:t>
      </w:r>
      <w:r w:rsidRPr="003F41A1">
        <w:rPr>
          <w:rFonts w:ascii="Arial" w:hAnsi="Arial" w:cs="Arial"/>
          <w:bCs/>
        </w:rPr>
        <w:t>1.5%</w:t>
      </w:r>
      <w:r w:rsidR="00952DFE" w:rsidRPr="002E6573">
        <w:rPr>
          <w:rFonts w:ascii="Arial" w:hAnsi="Arial" w:cs="Arial"/>
          <w:bCs/>
        </w:rPr>
        <w:t xml:space="preserve">, largely from </w:t>
      </w:r>
      <w:r w:rsidR="00371F5A" w:rsidRPr="002E6573">
        <w:rPr>
          <w:rFonts w:ascii="Arial" w:hAnsi="Arial" w:cs="Arial"/>
          <w:bCs/>
        </w:rPr>
        <w:t xml:space="preserve">Screwfix </w:t>
      </w:r>
      <w:r w:rsidR="00952DFE" w:rsidRPr="002E6573">
        <w:rPr>
          <w:rFonts w:ascii="Arial" w:hAnsi="Arial" w:cs="Arial"/>
          <w:bCs/>
        </w:rPr>
        <w:t>and Poland</w:t>
      </w:r>
    </w:p>
    <w:p w14:paraId="2D941757" w14:textId="48200F50" w:rsidR="00830F77" w:rsidRPr="002E6573" w:rsidRDefault="00F31EA3" w:rsidP="00C42735">
      <w:pPr>
        <w:pStyle w:val="ListParagraph"/>
        <w:numPr>
          <w:ilvl w:val="0"/>
          <w:numId w:val="25"/>
        </w:numPr>
        <w:ind w:left="360"/>
        <w:jc w:val="left"/>
        <w:rPr>
          <w:rFonts w:ascii="Arial" w:hAnsi="Arial" w:cs="Arial"/>
          <w:bCs/>
        </w:rPr>
      </w:pPr>
      <w:r w:rsidRPr="002E6573">
        <w:rPr>
          <w:rFonts w:ascii="Arial" w:hAnsi="Arial" w:cs="Arial"/>
          <w:bCs/>
        </w:rPr>
        <w:t>N</w:t>
      </w:r>
      <w:r w:rsidR="00A817F0" w:rsidRPr="002E6573">
        <w:rPr>
          <w:rFonts w:ascii="Arial" w:hAnsi="Arial" w:cs="Arial"/>
          <w:bCs/>
        </w:rPr>
        <w:t>ew business</w:t>
      </w:r>
      <w:r w:rsidR="004D3F84" w:rsidRPr="002E6573">
        <w:rPr>
          <w:rFonts w:ascii="Arial" w:hAnsi="Arial" w:cs="Arial"/>
          <w:bCs/>
        </w:rPr>
        <w:t>es</w:t>
      </w:r>
    </w:p>
    <w:p w14:paraId="25502904" w14:textId="1C7DBF13" w:rsidR="00830F77" w:rsidRPr="002E6573" w:rsidRDefault="00524720" w:rsidP="00F31EA3">
      <w:pPr>
        <w:pStyle w:val="ListParagraph"/>
        <w:numPr>
          <w:ilvl w:val="1"/>
          <w:numId w:val="2"/>
        </w:numPr>
        <w:ind w:left="709"/>
        <w:jc w:val="left"/>
        <w:rPr>
          <w:rFonts w:ascii="Arial" w:hAnsi="Arial" w:cs="Arial"/>
          <w:bCs/>
        </w:rPr>
      </w:pPr>
      <w:r w:rsidRPr="002E6573">
        <w:rPr>
          <w:rFonts w:ascii="Arial" w:hAnsi="Arial" w:cs="Arial"/>
          <w:bCs/>
        </w:rPr>
        <w:t xml:space="preserve">Anticipate </w:t>
      </w:r>
      <w:r w:rsidR="00A817F0" w:rsidRPr="002E6573">
        <w:rPr>
          <w:rFonts w:ascii="Arial" w:hAnsi="Arial" w:cs="Arial"/>
          <w:bCs/>
        </w:rPr>
        <w:t xml:space="preserve">‘Other’ </w:t>
      </w:r>
      <w:r w:rsidR="00830F77" w:rsidRPr="002E6573">
        <w:rPr>
          <w:rFonts w:ascii="Arial" w:hAnsi="Arial" w:cs="Arial"/>
          <w:bCs/>
        </w:rPr>
        <w:t>retail losses of c.</w:t>
      </w:r>
      <w:r w:rsidR="00830F77" w:rsidRPr="003F41A1">
        <w:rPr>
          <w:rFonts w:ascii="Arial" w:hAnsi="Arial" w:cs="Arial"/>
          <w:bCs/>
        </w:rPr>
        <w:t>£</w:t>
      </w:r>
      <w:r w:rsidR="004421D9">
        <w:rPr>
          <w:rFonts w:ascii="Arial" w:hAnsi="Arial" w:cs="Arial"/>
          <w:bCs/>
        </w:rPr>
        <w:t>2</w:t>
      </w:r>
      <w:r w:rsidR="00F31EA3" w:rsidRPr="003F41A1">
        <w:rPr>
          <w:rFonts w:ascii="Arial" w:hAnsi="Arial" w:cs="Arial"/>
          <w:bCs/>
        </w:rPr>
        <w:t>0</w:t>
      </w:r>
      <w:r w:rsidR="00830F77" w:rsidRPr="003F41A1">
        <w:rPr>
          <w:rFonts w:ascii="Arial" w:hAnsi="Arial" w:cs="Arial"/>
          <w:bCs/>
        </w:rPr>
        <w:t>m</w:t>
      </w:r>
      <w:r w:rsidR="00830F77" w:rsidRPr="002E6573">
        <w:rPr>
          <w:rFonts w:ascii="Arial" w:hAnsi="Arial" w:cs="Arial"/>
          <w:bCs/>
        </w:rPr>
        <w:t xml:space="preserve"> </w:t>
      </w:r>
      <w:r w:rsidR="00A817F0" w:rsidRPr="002E6573">
        <w:rPr>
          <w:rFonts w:ascii="Arial" w:hAnsi="Arial" w:cs="Arial"/>
          <w:bCs/>
        </w:rPr>
        <w:t>(FY 2</w:t>
      </w:r>
      <w:r w:rsidR="004D3F84" w:rsidRPr="002E6573">
        <w:rPr>
          <w:rFonts w:ascii="Arial" w:hAnsi="Arial" w:cs="Arial"/>
          <w:bCs/>
        </w:rPr>
        <w:t>1</w:t>
      </w:r>
      <w:r w:rsidR="00A817F0" w:rsidRPr="002E6573">
        <w:rPr>
          <w:rFonts w:ascii="Arial" w:hAnsi="Arial" w:cs="Arial"/>
          <w:bCs/>
        </w:rPr>
        <w:t>/2</w:t>
      </w:r>
      <w:r w:rsidR="004D3F84" w:rsidRPr="002E6573">
        <w:rPr>
          <w:rFonts w:ascii="Arial" w:hAnsi="Arial" w:cs="Arial"/>
          <w:bCs/>
        </w:rPr>
        <w:t>2</w:t>
      </w:r>
      <w:r w:rsidR="00A817F0" w:rsidRPr="002E6573">
        <w:rPr>
          <w:rFonts w:ascii="Arial" w:hAnsi="Arial" w:cs="Arial"/>
          <w:bCs/>
        </w:rPr>
        <w:t>: £10m)</w:t>
      </w:r>
      <w:r w:rsidR="00F31EA3" w:rsidRPr="002E6573">
        <w:rPr>
          <w:rFonts w:ascii="Arial" w:hAnsi="Arial" w:cs="Arial"/>
          <w:bCs/>
        </w:rPr>
        <w:t xml:space="preserve">. </w:t>
      </w:r>
      <w:r w:rsidR="00A817F0" w:rsidRPr="002E6573">
        <w:rPr>
          <w:rFonts w:ascii="Arial" w:hAnsi="Arial" w:cs="Arial"/>
          <w:bCs/>
        </w:rPr>
        <w:t xml:space="preserve">‘Other’ consists of the consolidated results of NeedHelp, </w:t>
      </w:r>
      <w:r w:rsidR="00830F77" w:rsidRPr="002E6573">
        <w:rPr>
          <w:rFonts w:ascii="Arial" w:hAnsi="Arial" w:cs="Arial"/>
          <w:bCs/>
        </w:rPr>
        <w:t xml:space="preserve">Screwfix </w:t>
      </w:r>
      <w:r w:rsidR="00A817F0" w:rsidRPr="002E6573">
        <w:rPr>
          <w:rFonts w:ascii="Arial" w:hAnsi="Arial" w:cs="Arial"/>
          <w:bCs/>
        </w:rPr>
        <w:t>International</w:t>
      </w:r>
      <w:r w:rsidR="00830F77" w:rsidRPr="002E6573">
        <w:rPr>
          <w:rFonts w:ascii="Arial" w:hAnsi="Arial" w:cs="Arial"/>
          <w:bCs/>
        </w:rPr>
        <w:t xml:space="preserve">, and franchise </w:t>
      </w:r>
      <w:r w:rsidR="00A817F0" w:rsidRPr="002E6573">
        <w:rPr>
          <w:rFonts w:ascii="Arial" w:hAnsi="Arial" w:cs="Arial"/>
          <w:bCs/>
        </w:rPr>
        <w:t>agreements</w:t>
      </w:r>
      <w:r w:rsidR="00F31EA3" w:rsidRPr="002E6573">
        <w:rPr>
          <w:rFonts w:ascii="Arial" w:hAnsi="Arial" w:cs="Arial"/>
          <w:bCs/>
        </w:rPr>
        <w:t>, and is recorded within the ‘Other International’ division</w:t>
      </w:r>
    </w:p>
    <w:p w14:paraId="42F01F69" w14:textId="2BC3A68E" w:rsidR="00F76A4E" w:rsidRPr="002E6573" w:rsidRDefault="00F76A4E" w:rsidP="00F31EA3">
      <w:pPr>
        <w:pStyle w:val="ListParagraph"/>
        <w:numPr>
          <w:ilvl w:val="1"/>
          <w:numId w:val="2"/>
        </w:numPr>
        <w:ind w:left="709"/>
        <w:jc w:val="left"/>
        <w:rPr>
          <w:rFonts w:ascii="Arial" w:hAnsi="Arial" w:cs="Arial"/>
          <w:bCs/>
        </w:rPr>
      </w:pPr>
      <w:r w:rsidRPr="002E6573">
        <w:rPr>
          <w:rFonts w:ascii="Arial" w:hAnsi="Arial" w:cs="Arial"/>
          <w:bCs/>
        </w:rPr>
        <w:t xml:space="preserve">Anticipate </w:t>
      </w:r>
      <w:r w:rsidR="00FD4CA4" w:rsidRPr="002E6573">
        <w:rPr>
          <w:rFonts w:ascii="Arial" w:hAnsi="Arial" w:cs="Arial"/>
          <w:bCs/>
        </w:rPr>
        <w:t xml:space="preserve">retail loss of </w:t>
      </w:r>
      <w:r w:rsidRPr="002E6573">
        <w:rPr>
          <w:rFonts w:ascii="Arial" w:hAnsi="Arial" w:cs="Arial"/>
          <w:bCs/>
        </w:rPr>
        <w:t>c.</w:t>
      </w:r>
      <w:r w:rsidRPr="003F41A1">
        <w:rPr>
          <w:rFonts w:ascii="Arial" w:hAnsi="Arial" w:cs="Arial"/>
          <w:bCs/>
        </w:rPr>
        <w:t>£5m</w:t>
      </w:r>
      <w:r w:rsidRPr="002E6573">
        <w:rPr>
          <w:rFonts w:ascii="Arial" w:hAnsi="Arial" w:cs="Arial"/>
          <w:bCs/>
        </w:rPr>
        <w:t xml:space="preserve"> in relation to B&amp;Q’s e-commerce marketplace, recorded within the results of B&amp;Q in the ‘UK &amp; Ireland’ division</w:t>
      </w:r>
    </w:p>
    <w:p w14:paraId="05EF591F" w14:textId="35E20FED" w:rsidR="00936507" w:rsidRPr="002E6573" w:rsidRDefault="00936507" w:rsidP="00AB34F3">
      <w:pPr>
        <w:pStyle w:val="ListParagraph"/>
        <w:numPr>
          <w:ilvl w:val="0"/>
          <w:numId w:val="25"/>
        </w:numPr>
        <w:ind w:left="360"/>
        <w:jc w:val="left"/>
        <w:rPr>
          <w:rFonts w:ascii="Arial" w:hAnsi="Arial" w:cs="Arial"/>
          <w:bCs/>
        </w:rPr>
      </w:pPr>
      <w:r w:rsidRPr="002E6573">
        <w:rPr>
          <w:rFonts w:ascii="Arial" w:hAnsi="Arial" w:cs="Arial"/>
          <w:bCs/>
        </w:rPr>
        <w:t>Central costs</w:t>
      </w:r>
    </w:p>
    <w:p w14:paraId="2962E5A6" w14:textId="6EEAE303" w:rsidR="00936507" w:rsidRPr="00C42735" w:rsidRDefault="00936507" w:rsidP="00AB34F3">
      <w:pPr>
        <w:pStyle w:val="ListParagraph"/>
        <w:numPr>
          <w:ilvl w:val="1"/>
          <w:numId w:val="2"/>
        </w:numPr>
        <w:ind w:left="709"/>
        <w:jc w:val="left"/>
        <w:rPr>
          <w:rFonts w:ascii="Arial" w:hAnsi="Arial" w:cs="Arial"/>
          <w:bCs/>
        </w:rPr>
      </w:pPr>
      <w:bookmarkStart w:id="90" w:name="_Hlk65687520"/>
      <w:r w:rsidRPr="002E6573">
        <w:rPr>
          <w:rFonts w:ascii="Arial" w:hAnsi="Arial" w:cs="Arial"/>
          <w:bCs/>
        </w:rPr>
        <w:t>Expected to be</w:t>
      </w:r>
      <w:r w:rsidR="00214EA7" w:rsidRPr="002E6573">
        <w:rPr>
          <w:rFonts w:ascii="Arial" w:hAnsi="Arial" w:cs="Arial"/>
          <w:bCs/>
        </w:rPr>
        <w:t xml:space="preserve"> </w:t>
      </w:r>
      <w:r w:rsidR="001E50BC" w:rsidRPr="003F41A1">
        <w:rPr>
          <w:rFonts w:ascii="Arial" w:hAnsi="Arial" w:cs="Arial"/>
          <w:bCs/>
        </w:rPr>
        <w:t>broadly flat year on year</w:t>
      </w:r>
      <w:r w:rsidR="001E50BC" w:rsidRPr="002E6573">
        <w:rPr>
          <w:rFonts w:ascii="Arial" w:hAnsi="Arial" w:cs="Arial"/>
          <w:bCs/>
        </w:rPr>
        <w:t xml:space="preserve"> </w:t>
      </w:r>
      <w:r w:rsidRPr="002E6573">
        <w:rPr>
          <w:rFonts w:ascii="Arial" w:hAnsi="Arial" w:cs="Arial"/>
          <w:bCs/>
        </w:rPr>
        <w:t>(FY 21/22:</w:t>
      </w:r>
      <w:r w:rsidRPr="00C42735">
        <w:rPr>
          <w:rFonts w:ascii="Arial" w:hAnsi="Arial" w:cs="Arial"/>
          <w:bCs/>
        </w:rPr>
        <w:t xml:space="preserve"> £</w:t>
      </w:r>
      <w:r w:rsidR="00C42735" w:rsidRPr="00C42735">
        <w:rPr>
          <w:rFonts w:ascii="Arial" w:hAnsi="Arial" w:cs="Arial"/>
          <w:bCs/>
        </w:rPr>
        <w:t>60m</w:t>
      </w:r>
      <w:r w:rsidRPr="00C42735">
        <w:rPr>
          <w:rFonts w:ascii="Arial" w:hAnsi="Arial" w:cs="Arial"/>
          <w:bCs/>
        </w:rPr>
        <w:t>)</w:t>
      </w:r>
    </w:p>
    <w:bookmarkEnd w:id="90"/>
    <w:p w14:paraId="0695B37E" w14:textId="362308F3" w:rsidR="00952DFE" w:rsidRPr="00AB34F3" w:rsidRDefault="00952DFE" w:rsidP="00AB34F3">
      <w:pPr>
        <w:pStyle w:val="ListParagraph"/>
        <w:numPr>
          <w:ilvl w:val="0"/>
          <w:numId w:val="25"/>
        </w:numPr>
        <w:ind w:left="360"/>
        <w:jc w:val="left"/>
        <w:rPr>
          <w:rFonts w:ascii="Arial" w:hAnsi="Arial" w:cs="Arial"/>
          <w:bCs/>
        </w:rPr>
      </w:pPr>
      <w:r w:rsidRPr="00AB34F3">
        <w:rPr>
          <w:rFonts w:ascii="Arial" w:hAnsi="Arial" w:cs="Arial"/>
          <w:bCs/>
        </w:rPr>
        <w:t>Net finance costs</w:t>
      </w:r>
    </w:p>
    <w:p w14:paraId="3813A5D7" w14:textId="76BF9175" w:rsidR="00952DFE" w:rsidRPr="004D3F84" w:rsidRDefault="00952DFE" w:rsidP="00AB34F3">
      <w:pPr>
        <w:pStyle w:val="ListParagraph"/>
        <w:numPr>
          <w:ilvl w:val="1"/>
          <w:numId w:val="2"/>
        </w:numPr>
        <w:ind w:left="709"/>
        <w:jc w:val="left"/>
        <w:rPr>
          <w:rFonts w:ascii="Arial" w:hAnsi="Arial" w:cs="Arial"/>
          <w:bCs/>
        </w:rPr>
      </w:pPr>
      <w:r w:rsidRPr="004D3F84">
        <w:rPr>
          <w:rFonts w:ascii="Arial" w:hAnsi="Arial" w:cs="Arial"/>
          <w:bCs/>
        </w:rPr>
        <w:t xml:space="preserve">Expected to </w:t>
      </w:r>
      <w:r w:rsidRPr="002E6573">
        <w:rPr>
          <w:rFonts w:ascii="Arial" w:hAnsi="Arial" w:cs="Arial"/>
          <w:bCs/>
        </w:rPr>
        <w:t>decrease by c.</w:t>
      </w:r>
      <w:r w:rsidR="00214EA7" w:rsidRPr="003F41A1">
        <w:rPr>
          <w:rFonts w:ascii="Arial" w:hAnsi="Arial" w:cs="Arial"/>
          <w:bCs/>
        </w:rPr>
        <w:t>£15</w:t>
      </w:r>
      <w:r w:rsidRPr="003F41A1">
        <w:rPr>
          <w:rFonts w:ascii="Arial" w:hAnsi="Arial" w:cs="Arial"/>
          <w:bCs/>
        </w:rPr>
        <w:t>m</w:t>
      </w:r>
      <w:r w:rsidRPr="002E6573">
        <w:rPr>
          <w:rFonts w:ascii="Arial" w:hAnsi="Arial" w:cs="Arial"/>
          <w:bCs/>
        </w:rPr>
        <w:t xml:space="preserve"> </w:t>
      </w:r>
      <w:r w:rsidR="00D018C4">
        <w:rPr>
          <w:rFonts w:ascii="Arial" w:hAnsi="Arial" w:cs="Arial"/>
          <w:bCs/>
        </w:rPr>
        <w:t xml:space="preserve">mainly </w:t>
      </w:r>
      <w:r w:rsidRPr="00CD5005">
        <w:rPr>
          <w:rFonts w:ascii="Arial" w:hAnsi="Arial" w:cs="Arial"/>
          <w:bCs/>
        </w:rPr>
        <w:t xml:space="preserve">as a result of </w:t>
      </w:r>
      <w:r w:rsidRPr="003F41A1">
        <w:rPr>
          <w:rFonts w:ascii="Arial" w:hAnsi="Arial" w:cs="Arial"/>
          <w:bCs/>
        </w:rPr>
        <w:t xml:space="preserve">lower lease liability </w:t>
      </w:r>
      <w:r w:rsidR="005A3132">
        <w:rPr>
          <w:rFonts w:ascii="Arial" w:hAnsi="Arial" w:cs="Arial"/>
          <w:bCs/>
        </w:rPr>
        <w:t>interest rate</w:t>
      </w:r>
      <w:r w:rsidR="005A3132" w:rsidRPr="00CD5005">
        <w:rPr>
          <w:rFonts w:ascii="Arial" w:hAnsi="Arial" w:cs="Arial"/>
          <w:bCs/>
        </w:rPr>
        <w:t xml:space="preserve"> </w:t>
      </w:r>
      <w:r w:rsidRPr="00CD5005">
        <w:rPr>
          <w:rFonts w:ascii="Arial" w:hAnsi="Arial" w:cs="Arial"/>
          <w:bCs/>
        </w:rPr>
        <w:t>(FY</w:t>
      </w:r>
      <w:r w:rsidRPr="004D3F84">
        <w:rPr>
          <w:rFonts w:ascii="Arial" w:hAnsi="Arial" w:cs="Arial"/>
          <w:bCs/>
        </w:rPr>
        <w:t xml:space="preserve"> 21/22: £</w:t>
      </w:r>
      <w:r w:rsidR="004D3F84" w:rsidRPr="00AB34F3">
        <w:rPr>
          <w:rFonts w:ascii="Arial" w:hAnsi="Arial" w:cs="Arial"/>
          <w:bCs/>
        </w:rPr>
        <w:t>1</w:t>
      </w:r>
      <w:r w:rsidR="004D3F84" w:rsidRPr="004D3F84">
        <w:rPr>
          <w:rFonts w:ascii="Arial" w:hAnsi="Arial" w:cs="Arial"/>
          <w:bCs/>
        </w:rPr>
        <w:t>37m</w:t>
      </w:r>
      <w:r w:rsidRPr="004D3F84">
        <w:rPr>
          <w:rFonts w:ascii="Arial" w:hAnsi="Arial" w:cs="Arial"/>
          <w:bCs/>
        </w:rPr>
        <w:t>)</w:t>
      </w:r>
    </w:p>
    <w:p w14:paraId="64CE045E" w14:textId="77777777" w:rsidR="00952DFE" w:rsidRPr="00265E72" w:rsidRDefault="00952DFE" w:rsidP="00AB34F3">
      <w:pPr>
        <w:pStyle w:val="ListParagraph"/>
        <w:numPr>
          <w:ilvl w:val="0"/>
          <w:numId w:val="25"/>
        </w:numPr>
        <w:ind w:left="360"/>
        <w:jc w:val="left"/>
        <w:rPr>
          <w:rFonts w:ascii="Arial" w:hAnsi="Arial" w:cs="Arial"/>
          <w:bCs/>
        </w:rPr>
      </w:pPr>
      <w:r w:rsidRPr="00265E72">
        <w:rPr>
          <w:rFonts w:ascii="Arial" w:hAnsi="Arial" w:cs="Arial"/>
          <w:bCs/>
        </w:rPr>
        <w:t>Adjusted pre-tax profit</w:t>
      </w:r>
    </w:p>
    <w:p w14:paraId="1B66C71D" w14:textId="0264E209" w:rsidR="003177A9" w:rsidRPr="009C4279" w:rsidRDefault="00265E72" w:rsidP="00AB34F3">
      <w:pPr>
        <w:pStyle w:val="ListParagraph"/>
        <w:numPr>
          <w:ilvl w:val="1"/>
          <w:numId w:val="2"/>
        </w:numPr>
        <w:ind w:left="709"/>
        <w:jc w:val="left"/>
        <w:rPr>
          <w:rFonts w:ascii="Arial" w:hAnsi="Arial" w:cs="Arial"/>
          <w:bCs/>
        </w:rPr>
      </w:pPr>
      <w:r w:rsidRPr="006957EC">
        <w:rPr>
          <w:rFonts w:ascii="Arial" w:hAnsi="Arial" w:cs="Arial"/>
          <w:bCs/>
        </w:rPr>
        <w:t xml:space="preserve">Comfortable </w:t>
      </w:r>
      <w:r w:rsidR="00F6748E" w:rsidRPr="00265E72">
        <w:rPr>
          <w:rFonts w:ascii="Arial" w:hAnsi="Arial" w:cs="Arial"/>
          <w:bCs/>
        </w:rPr>
        <w:t xml:space="preserve">with </w:t>
      </w:r>
      <w:r w:rsidR="0097617F" w:rsidRPr="009C4279">
        <w:rPr>
          <w:rFonts w:ascii="Arial" w:hAnsi="Arial" w:cs="Arial"/>
          <w:bCs/>
        </w:rPr>
        <w:t xml:space="preserve">current </w:t>
      </w:r>
      <w:r w:rsidR="00F6748E" w:rsidRPr="009C4279">
        <w:rPr>
          <w:rFonts w:ascii="Arial" w:hAnsi="Arial" w:cs="Arial"/>
          <w:bCs/>
        </w:rPr>
        <w:t>consensus of sell-side analyst estimates</w:t>
      </w:r>
      <w:r w:rsidRPr="009C4279">
        <w:rPr>
          <w:rFonts w:ascii="Arial" w:hAnsi="Arial" w:cs="Arial"/>
          <w:bCs/>
        </w:rPr>
        <w:t xml:space="preserve"> for full year adjusted pre-tax profit</w:t>
      </w:r>
      <w:r w:rsidR="00AC268E" w:rsidRPr="009C4279">
        <w:rPr>
          <w:rFonts w:ascii="Arial" w:hAnsi="Arial" w:cs="Arial"/>
          <w:bCs/>
          <w:vertAlign w:val="superscript"/>
        </w:rPr>
        <w:t>(1)</w:t>
      </w:r>
    </w:p>
    <w:p w14:paraId="2F8962CE" w14:textId="77777777" w:rsidR="00952DFE" w:rsidRPr="009C4279" w:rsidRDefault="00952DFE" w:rsidP="00AB34F3">
      <w:pPr>
        <w:pStyle w:val="ListParagraph"/>
        <w:numPr>
          <w:ilvl w:val="0"/>
          <w:numId w:val="25"/>
        </w:numPr>
        <w:ind w:left="360"/>
        <w:jc w:val="left"/>
        <w:rPr>
          <w:rFonts w:ascii="Arial" w:hAnsi="Arial" w:cs="Arial"/>
          <w:bCs/>
        </w:rPr>
      </w:pPr>
      <w:r w:rsidRPr="009C4279">
        <w:rPr>
          <w:rFonts w:ascii="Arial" w:hAnsi="Arial" w:cs="Arial"/>
          <w:bCs/>
        </w:rPr>
        <w:t>Tax rate</w:t>
      </w:r>
    </w:p>
    <w:p w14:paraId="44A04E2E" w14:textId="53D5C653" w:rsidR="00952DFE" w:rsidRPr="009C4279" w:rsidRDefault="00952DFE" w:rsidP="00AB34F3">
      <w:pPr>
        <w:pStyle w:val="ListParagraph"/>
        <w:numPr>
          <w:ilvl w:val="1"/>
          <w:numId w:val="2"/>
        </w:numPr>
        <w:ind w:left="709"/>
        <w:jc w:val="left"/>
        <w:rPr>
          <w:rFonts w:ascii="Arial" w:hAnsi="Arial" w:cs="Arial"/>
          <w:bCs/>
        </w:rPr>
      </w:pPr>
      <w:r w:rsidRPr="009C4279">
        <w:rPr>
          <w:rFonts w:ascii="Arial" w:hAnsi="Arial" w:cs="Arial"/>
          <w:bCs/>
        </w:rPr>
        <w:t>Group adjusted effective tax rate</w:t>
      </w:r>
      <w:r w:rsidR="003160FA" w:rsidRPr="009C4279">
        <w:rPr>
          <w:rFonts w:ascii="Arial" w:hAnsi="Arial" w:cs="Arial"/>
          <w:bCs/>
        </w:rPr>
        <w:t>*</w:t>
      </w:r>
      <w:r w:rsidRPr="009C4279">
        <w:rPr>
          <w:rFonts w:ascii="Arial" w:hAnsi="Arial" w:cs="Arial"/>
          <w:bCs/>
        </w:rPr>
        <w:t xml:space="preserve"> expected to be c.</w:t>
      </w:r>
      <w:r w:rsidRPr="003F41A1">
        <w:rPr>
          <w:rFonts w:ascii="Arial" w:hAnsi="Arial" w:cs="Arial"/>
          <w:bCs/>
        </w:rPr>
        <w:t>2</w:t>
      </w:r>
      <w:r w:rsidR="004D3F84" w:rsidRPr="003F41A1">
        <w:rPr>
          <w:rFonts w:ascii="Arial" w:hAnsi="Arial" w:cs="Arial"/>
          <w:bCs/>
        </w:rPr>
        <w:t>2</w:t>
      </w:r>
      <w:r w:rsidRPr="003F41A1">
        <w:rPr>
          <w:rFonts w:ascii="Arial" w:hAnsi="Arial" w:cs="Arial"/>
          <w:bCs/>
        </w:rPr>
        <w:t>%</w:t>
      </w:r>
      <w:r w:rsidRPr="009C4279">
        <w:rPr>
          <w:rFonts w:ascii="Arial" w:hAnsi="Arial" w:cs="Arial"/>
          <w:bCs/>
          <w:vertAlign w:val="superscript"/>
        </w:rPr>
        <w:t>(</w:t>
      </w:r>
      <w:r w:rsidR="00AB34F3" w:rsidRPr="009C4279">
        <w:rPr>
          <w:rFonts w:ascii="Arial" w:hAnsi="Arial" w:cs="Arial"/>
          <w:bCs/>
          <w:vertAlign w:val="superscript"/>
        </w:rPr>
        <w:t>2</w:t>
      </w:r>
      <w:r w:rsidRPr="009C4279">
        <w:rPr>
          <w:rFonts w:ascii="Arial" w:hAnsi="Arial" w:cs="Arial"/>
          <w:bCs/>
          <w:vertAlign w:val="superscript"/>
        </w:rPr>
        <w:t>)</w:t>
      </w:r>
      <w:r w:rsidRPr="009C4279">
        <w:rPr>
          <w:rFonts w:ascii="Arial" w:hAnsi="Arial" w:cs="Arial"/>
          <w:bCs/>
        </w:rPr>
        <w:t xml:space="preserve"> (FY 21/22: 2</w:t>
      </w:r>
      <w:r w:rsidR="003177A9" w:rsidRPr="009C4279">
        <w:rPr>
          <w:rFonts w:ascii="Arial" w:hAnsi="Arial" w:cs="Arial"/>
          <w:bCs/>
        </w:rPr>
        <w:t>2</w:t>
      </w:r>
      <w:r w:rsidRPr="009C4279">
        <w:rPr>
          <w:rFonts w:ascii="Arial" w:hAnsi="Arial" w:cs="Arial"/>
          <w:bCs/>
        </w:rPr>
        <w:t>%)</w:t>
      </w:r>
    </w:p>
    <w:p w14:paraId="54E41047" w14:textId="77777777" w:rsidR="00952DFE" w:rsidRPr="00721C3E" w:rsidRDefault="00952DFE" w:rsidP="00952DFE">
      <w:pPr>
        <w:jc w:val="left"/>
        <w:rPr>
          <w:rFonts w:ascii="Arial" w:hAnsi="Arial" w:cs="Arial"/>
          <w:b/>
          <w:bCs/>
        </w:rPr>
      </w:pPr>
    </w:p>
    <w:p w14:paraId="4C515E44" w14:textId="4B264255" w:rsidR="00952DFE" w:rsidRPr="00C42735" w:rsidRDefault="00952DFE" w:rsidP="00952DFE">
      <w:pPr>
        <w:jc w:val="left"/>
        <w:rPr>
          <w:rFonts w:ascii="Arial" w:hAnsi="Arial" w:cs="Arial"/>
          <w:b/>
          <w:bCs/>
          <w:u w:val="single"/>
        </w:rPr>
      </w:pPr>
      <w:r w:rsidRPr="00C42735">
        <w:rPr>
          <w:rFonts w:ascii="Arial" w:hAnsi="Arial" w:cs="Arial"/>
          <w:b/>
          <w:bCs/>
          <w:u w:val="single"/>
        </w:rPr>
        <w:t>Cash flow</w:t>
      </w:r>
    </w:p>
    <w:p w14:paraId="6B4ED17E" w14:textId="77777777" w:rsidR="00936507" w:rsidRPr="00721C3E" w:rsidRDefault="00936507" w:rsidP="00952DFE">
      <w:pPr>
        <w:jc w:val="left"/>
        <w:rPr>
          <w:rFonts w:ascii="Arial" w:hAnsi="Arial" w:cs="Arial"/>
          <w:b/>
          <w:bCs/>
        </w:rPr>
      </w:pPr>
    </w:p>
    <w:p w14:paraId="689A34D0" w14:textId="7CF357E3" w:rsidR="00952DFE" w:rsidRPr="002E6573" w:rsidRDefault="00952DFE" w:rsidP="00AB34F3">
      <w:pPr>
        <w:pStyle w:val="ListParagraph"/>
        <w:numPr>
          <w:ilvl w:val="0"/>
          <w:numId w:val="25"/>
        </w:numPr>
        <w:ind w:left="360"/>
        <w:jc w:val="left"/>
        <w:rPr>
          <w:rFonts w:ascii="Arial" w:hAnsi="Arial" w:cs="Arial"/>
          <w:bCs/>
        </w:rPr>
      </w:pPr>
      <w:bookmarkStart w:id="91" w:name="_Hlk65608083"/>
      <w:r w:rsidRPr="00AB34F3">
        <w:rPr>
          <w:rFonts w:ascii="Arial" w:hAnsi="Arial" w:cs="Arial"/>
          <w:bCs/>
        </w:rPr>
        <w:t xml:space="preserve">Capital expenditure – targeting gross </w:t>
      </w:r>
      <w:r w:rsidRPr="002E6573">
        <w:rPr>
          <w:rFonts w:ascii="Arial" w:hAnsi="Arial" w:cs="Arial"/>
          <w:bCs/>
        </w:rPr>
        <w:t xml:space="preserve">capex of </w:t>
      </w:r>
      <w:r w:rsidR="002E6573">
        <w:rPr>
          <w:rFonts w:ascii="Arial" w:hAnsi="Arial" w:cs="Arial"/>
          <w:bCs/>
        </w:rPr>
        <w:t>c.</w:t>
      </w:r>
      <w:r w:rsidRPr="002E6573">
        <w:rPr>
          <w:rFonts w:ascii="Arial" w:hAnsi="Arial" w:cs="Arial"/>
          <w:bCs/>
        </w:rPr>
        <w:t>3.5% of total sales (FY 21/22: £</w:t>
      </w:r>
      <w:r w:rsidR="00AB34F3" w:rsidRPr="002E6573">
        <w:rPr>
          <w:rFonts w:ascii="Arial" w:hAnsi="Arial" w:cs="Arial"/>
          <w:bCs/>
        </w:rPr>
        <w:t>397m</w:t>
      </w:r>
      <w:r w:rsidRPr="002E6573">
        <w:rPr>
          <w:rFonts w:ascii="Arial" w:hAnsi="Arial" w:cs="Arial"/>
          <w:bCs/>
        </w:rPr>
        <w:t>)</w:t>
      </w:r>
      <w:bookmarkEnd w:id="91"/>
    </w:p>
    <w:p w14:paraId="6F57C68E" w14:textId="1209D783" w:rsidR="00F7645E" w:rsidRPr="002E6573" w:rsidRDefault="00F7645E" w:rsidP="00F6748E">
      <w:pPr>
        <w:pStyle w:val="ListParagraph"/>
        <w:numPr>
          <w:ilvl w:val="0"/>
          <w:numId w:val="25"/>
        </w:numPr>
        <w:ind w:left="360"/>
        <w:jc w:val="left"/>
        <w:rPr>
          <w:rFonts w:ascii="Arial" w:hAnsi="Arial" w:cs="Arial"/>
          <w:bCs/>
        </w:rPr>
      </w:pPr>
      <w:r w:rsidRPr="002E6573">
        <w:rPr>
          <w:rFonts w:ascii="Arial" w:hAnsi="Arial" w:cs="Arial"/>
          <w:bCs/>
        </w:rPr>
        <w:t xml:space="preserve">Tax – </w:t>
      </w:r>
      <w:r w:rsidR="001F15B9" w:rsidRPr="002E6573">
        <w:rPr>
          <w:rFonts w:ascii="Arial" w:hAnsi="Arial" w:cs="Arial"/>
          <w:bCs/>
        </w:rPr>
        <w:t xml:space="preserve">in February 2022, a payment of €40m was made to the French tax authorities </w:t>
      </w:r>
      <w:r w:rsidR="00A07D61" w:rsidRPr="002E6573">
        <w:rPr>
          <w:rFonts w:ascii="Arial" w:hAnsi="Arial" w:cs="Arial"/>
          <w:bCs/>
        </w:rPr>
        <w:t xml:space="preserve">with regards to </w:t>
      </w:r>
      <w:r w:rsidR="001F15B9" w:rsidRPr="002E6573">
        <w:rPr>
          <w:rFonts w:ascii="Arial" w:hAnsi="Arial" w:cs="Arial"/>
          <w:bCs/>
        </w:rPr>
        <w:t>a historic tax liability. Th</w:t>
      </w:r>
      <w:r w:rsidR="00BF1895" w:rsidRPr="002E6573">
        <w:rPr>
          <w:rFonts w:ascii="Arial" w:hAnsi="Arial" w:cs="Arial"/>
          <w:bCs/>
        </w:rPr>
        <w:t>e</w:t>
      </w:r>
      <w:r w:rsidR="001F15B9" w:rsidRPr="002E6573">
        <w:rPr>
          <w:rFonts w:ascii="Arial" w:hAnsi="Arial" w:cs="Arial"/>
          <w:bCs/>
        </w:rPr>
        <w:t xml:space="preserve"> amount was fully provided for in prior periods</w:t>
      </w:r>
    </w:p>
    <w:p w14:paraId="5E977004" w14:textId="7BF2E74F" w:rsidR="00D038C2" w:rsidRPr="002E6573" w:rsidRDefault="00D038C2" w:rsidP="00F6748E">
      <w:pPr>
        <w:pStyle w:val="ListParagraph"/>
        <w:numPr>
          <w:ilvl w:val="0"/>
          <w:numId w:val="25"/>
        </w:numPr>
        <w:ind w:left="360"/>
        <w:jc w:val="left"/>
        <w:rPr>
          <w:rFonts w:ascii="Arial" w:hAnsi="Arial" w:cs="Arial"/>
          <w:bCs/>
        </w:rPr>
      </w:pPr>
      <w:r w:rsidRPr="002E6573">
        <w:rPr>
          <w:rFonts w:ascii="Arial" w:hAnsi="Arial" w:cs="Arial"/>
          <w:bCs/>
        </w:rPr>
        <w:t xml:space="preserve">Share buyback – </w:t>
      </w:r>
      <w:r w:rsidR="00A233B1" w:rsidRPr="002E6573">
        <w:rPr>
          <w:rFonts w:ascii="Arial" w:hAnsi="Arial" w:cs="Arial"/>
          <w:bCs/>
        </w:rPr>
        <w:t>c.</w:t>
      </w:r>
      <w:r w:rsidR="005F5D26" w:rsidRPr="003F41A1">
        <w:rPr>
          <w:rFonts w:ascii="Arial" w:hAnsi="Arial" w:cs="Arial"/>
          <w:bCs/>
        </w:rPr>
        <w:t>£</w:t>
      </w:r>
      <w:r w:rsidR="00A233B1" w:rsidRPr="003F41A1">
        <w:rPr>
          <w:rFonts w:ascii="Arial" w:hAnsi="Arial" w:cs="Arial"/>
          <w:bCs/>
        </w:rPr>
        <w:t>1</w:t>
      </w:r>
      <w:r w:rsidR="000F6848" w:rsidRPr="003F41A1">
        <w:rPr>
          <w:rFonts w:ascii="Arial" w:hAnsi="Arial" w:cs="Arial"/>
          <w:bCs/>
        </w:rPr>
        <w:t>4</w:t>
      </w:r>
      <w:r w:rsidR="00FA15AA">
        <w:rPr>
          <w:rFonts w:ascii="Arial" w:hAnsi="Arial" w:cs="Arial"/>
          <w:bCs/>
        </w:rPr>
        <w:t>5</w:t>
      </w:r>
      <w:r w:rsidR="00A233B1" w:rsidRPr="003F41A1">
        <w:rPr>
          <w:rFonts w:ascii="Arial" w:hAnsi="Arial" w:cs="Arial"/>
          <w:bCs/>
        </w:rPr>
        <w:t>m</w:t>
      </w:r>
      <w:r w:rsidR="00A233B1" w:rsidRPr="002E6573">
        <w:rPr>
          <w:rFonts w:ascii="Arial" w:hAnsi="Arial" w:cs="Arial"/>
          <w:bCs/>
        </w:rPr>
        <w:t xml:space="preserve"> outflow for </w:t>
      </w:r>
      <w:r w:rsidR="005F5D26" w:rsidRPr="002E6573">
        <w:rPr>
          <w:rFonts w:ascii="Arial" w:hAnsi="Arial" w:cs="Arial"/>
          <w:bCs/>
        </w:rPr>
        <w:t>completion of current</w:t>
      </w:r>
      <w:r w:rsidR="00641E8F" w:rsidRPr="002E6573">
        <w:rPr>
          <w:rFonts w:ascii="Arial" w:hAnsi="Arial" w:cs="Arial"/>
          <w:bCs/>
        </w:rPr>
        <w:t xml:space="preserve"> </w:t>
      </w:r>
      <w:r w:rsidR="00A233B1" w:rsidRPr="002E6573">
        <w:rPr>
          <w:rFonts w:ascii="Arial" w:hAnsi="Arial" w:cs="Arial"/>
          <w:bCs/>
        </w:rPr>
        <w:t xml:space="preserve">£300m share buyback </w:t>
      </w:r>
      <w:r w:rsidR="00641E8F" w:rsidRPr="002E6573">
        <w:rPr>
          <w:rFonts w:ascii="Arial" w:hAnsi="Arial" w:cs="Arial"/>
          <w:bCs/>
        </w:rPr>
        <w:t>program</w:t>
      </w:r>
      <w:r w:rsidR="00A233B1" w:rsidRPr="002E6573">
        <w:rPr>
          <w:rFonts w:ascii="Arial" w:hAnsi="Arial" w:cs="Arial"/>
          <w:bCs/>
        </w:rPr>
        <w:t>me</w:t>
      </w:r>
    </w:p>
    <w:p w14:paraId="73B3220E" w14:textId="7711E0BA" w:rsidR="00AB34F3" w:rsidRPr="00AB34F3" w:rsidRDefault="00AB34F3" w:rsidP="00AB34F3">
      <w:pPr>
        <w:pStyle w:val="ListParagraph"/>
        <w:numPr>
          <w:ilvl w:val="0"/>
          <w:numId w:val="25"/>
        </w:numPr>
        <w:ind w:left="360"/>
        <w:jc w:val="left"/>
        <w:rPr>
          <w:rFonts w:ascii="Arial" w:hAnsi="Arial" w:cs="Arial"/>
          <w:bCs/>
        </w:rPr>
      </w:pPr>
      <w:r w:rsidRPr="002E6573">
        <w:rPr>
          <w:rFonts w:ascii="Arial" w:hAnsi="Arial" w:cs="Arial"/>
          <w:bCs/>
        </w:rPr>
        <w:t>Dividends – dividend policy target cover range of</w:t>
      </w:r>
      <w:r w:rsidRPr="00AB34F3">
        <w:rPr>
          <w:rFonts w:ascii="Arial" w:hAnsi="Arial" w:cs="Arial"/>
          <w:bCs/>
        </w:rPr>
        <w:t xml:space="preserve"> 2.25 to 2.75 times, based on adjusted basic earnings per share</w:t>
      </w:r>
    </w:p>
    <w:p w14:paraId="491DDCC7" w14:textId="77777777" w:rsidR="00952DFE" w:rsidRPr="00AB34F3" w:rsidRDefault="00952DFE" w:rsidP="00AB34F3">
      <w:pPr>
        <w:jc w:val="left"/>
        <w:rPr>
          <w:rFonts w:ascii="Arial" w:hAnsi="Arial" w:cs="Arial"/>
          <w:b/>
          <w:bCs/>
        </w:rPr>
      </w:pPr>
    </w:p>
    <w:p w14:paraId="3820A171" w14:textId="3B2C63D8" w:rsidR="00AB34F3" w:rsidRPr="00F33A20" w:rsidRDefault="00AB34F3" w:rsidP="00AB34F3">
      <w:pPr>
        <w:jc w:val="left"/>
        <w:rPr>
          <w:sz w:val="18"/>
          <w:szCs w:val="18"/>
        </w:rPr>
      </w:pPr>
      <w:r w:rsidRPr="00F33A20">
        <w:rPr>
          <w:rFonts w:ascii="Arial" w:hAnsi="Arial" w:cs="Arial"/>
          <w:bCs/>
          <w:sz w:val="18"/>
          <w:szCs w:val="18"/>
          <w:vertAlign w:val="superscript"/>
        </w:rPr>
        <w:t xml:space="preserve">(1) </w:t>
      </w:r>
      <w:r w:rsidR="00AC268E" w:rsidRPr="00F33A20">
        <w:rPr>
          <w:rFonts w:ascii="Arial" w:hAnsi="Arial" w:cs="Arial"/>
          <w:sz w:val="18"/>
          <w:szCs w:val="18"/>
        </w:rPr>
        <w:t>Guidance assumes current exchange rates. A</w:t>
      </w:r>
      <w:r w:rsidRPr="00F33A20">
        <w:rPr>
          <w:rFonts w:ascii="Arial" w:hAnsi="Arial" w:cs="Arial"/>
          <w:sz w:val="18"/>
          <w:szCs w:val="18"/>
        </w:rPr>
        <w:t xml:space="preserve">ccording to Company-compiled consensus estimates as of </w:t>
      </w:r>
      <w:r w:rsidR="00265E72" w:rsidRPr="003F41A1">
        <w:rPr>
          <w:rFonts w:ascii="Arial" w:hAnsi="Arial" w:cs="Arial"/>
          <w:sz w:val="18"/>
          <w:szCs w:val="18"/>
        </w:rPr>
        <w:t>1</w:t>
      </w:r>
      <w:r w:rsidR="00F33A20" w:rsidRPr="003F41A1">
        <w:rPr>
          <w:rFonts w:ascii="Arial" w:hAnsi="Arial" w:cs="Arial"/>
          <w:sz w:val="18"/>
          <w:szCs w:val="18"/>
        </w:rPr>
        <w:t>5</w:t>
      </w:r>
      <w:r w:rsidR="00265E72" w:rsidRPr="003F41A1">
        <w:rPr>
          <w:rFonts w:ascii="Arial" w:hAnsi="Arial" w:cs="Arial"/>
          <w:sz w:val="18"/>
          <w:szCs w:val="18"/>
        </w:rPr>
        <w:t xml:space="preserve"> March</w:t>
      </w:r>
      <w:r w:rsidRPr="003F41A1">
        <w:rPr>
          <w:rFonts w:ascii="Arial" w:hAnsi="Arial" w:cs="Arial"/>
          <w:sz w:val="18"/>
          <w:szCs w:val="18"/>
        </w:rPr>
        <w:t xml:space="preserve"> 202</w:t>
      </w:r>
      <w:r w:rsidR="00265E72" w:rsidRPr="003F41A1">
        <w:rPr>
          <w:rFonts w:ascii="Arial" w:hAnsi="Arial" w:cs="Arial"/>
          <w:sz w:val="18"/>
          <w:szCs w:val="18"/>
        </w:rPr>
        <w:t>2</w:t>
      </w:r>
      <w:r w:rsidRPr="00F33A20">
        <w:rPr>
          <w:rFonts w:ascii="Arial" w:hAnsi="Arial" w:cs="Arial"/>
          <w:sz w:val="18"/>
          <w:szCs w:val="18"/>
        </w:rPr>
        <w:t xml:space="preserve">, the </w:t>
      </w:r>
      <w:r w:rsidR="0097617F" w:rsidRPr="00F33A20">
        <w:rPr>
          <w:rFonts w:ascii="Arial" w:hAnsi="Arial" w:cs="Arial"/>
          <w:sz w:val="18"/>
          <w:szCs w:val="18"/>
        </w:rPr>
        <w:t xml:space="preserve">current </w:t>
      </w:r>
      <w:r w:rsidRPr="00F33A20">
        <w:rPr>
          <w:rFonts w:ascii="Arial" w:hAnsi="Arial" w:cs="Arial"/>
          <w:sz w:val="18"/>
          <w:szCs w:val="18"/>
        </w:rPr>
        <w:t xml:space="preserve">consensus of sell-side analyst expectations for FY 22/23 adjusted profit before tax is </w:t>
      </w:r>
      <w:r w:rsidRPr="003F41A1">
        <w:rPr>
          <w:rFonts w:ascii="Arial" w:hAnsi="Arial" w:cs="Arial"/>
          <w:sz w:val="18"/>
          <w:szCs w:val="18"/>
        </w:rPr>
        <w:t>£7</w:t>
      </w:r>
      <w:r w:rsidR="00D83253" w:rsidRPr="003F41A1">
        <w:rPr>
          <w:rFonts w:ascii="Arial" w:hAnsi="Arial" w:cs="Arial"/>
          <w:sz w:val="18"/>
          <w:szCs w:val="18"/>
        </w:rPr>
        <w:t>69</w:t>
      </w:r>
      <w:r w:rsidRPr="003F41A1">
        <w:rPr>
          <w:rFonts w:ascii="Arial" w:hAnsi="Arial" w:cs="Arial"/>
          <w:sz w:val="18"/>
          <w:szCs w:val="18"/>
        </w:rPr>
        <w:t>m</w:t>
      </w:r>
      <w:r w:rsidRPr="00F33A20">
        <w:rPr>
          <w:rFonts w:ascii="Arial" w:hAnsi="Arial" w:cs="Arial"/>
          <w:sz w:val="18"/>
          <w:szCs w:val="18"/>
        </w:rPr>
        <w:t>.</w:t>
      </w:r>
    </w:p>
    <w:p w14:paraId="687390F3" w14:textId="7C63B2DF" w:rsidR="00952DFE" w:rsidRPr="00F6748E" w:rsidRDefault="00952DFE" w:rsidP="00952DFE">
      <w:pPr>
        <w:jc w:val="left"/>
        <w:rPr>
          <w:rFonts w:ascii="Arial" w:hAnsi="Arial" w:cs="Arial"/>
          <w:sz w:val="18"/>
          <w:szCs w:val="18"/>
        </w:rPr>
      </w:pPr>
      <w:r w:rsidRPr="00F33A20">
        <w:rPr>
          <w:rFonts w:ascii="Arial" w:hAnsi="Arial" w:cs="Arial"/>
          <w:bCs/>
          <w:sz w:val="18"/>
          <w:szCs w:val="18"/>
          <w:vertAlign w:val="superscript"/>
        </w:rPr>
        <w:t>(</w:t>
      </w:r>
      <w:r w:rsidR="00AB34F3" w:rsidRPr="00F33A20">
        <w:rPr>
          <w:rFonts w:ascii="Arial" w:hAnsi="Arial" w:cs="Arial"/>
          <w:bCs/>
          <w:sz w:val="18"/>
          <w:szCs w:val="18"/>
          <w:vertAlign w:val="superscript"/>
        </w:rPr>
        <w:t>2</w:t>
      </w:r>
      <w:r w:rsidRPr="00F33A20">
        <w:rPr>
          <w:rFonts w:ascii="Arial" w:hAnsi="Arial" w:cs="Arial"/>
          <w:bCs/>
          <w:sz w:val="18"/>
          <w:szCs w:val="18"/>
          <w:vertAlign w:val="superscript"/>
        </w:rPr>
        <w:t xml:space="preserve">) </w:t>
      </w:r>
      <w:r w:rsidRPr="00F33A20">
        <w:rPr>
          <w:rFonts w:ascii="Arial" w:hAnsi="Arial" w:cs="Arial"/>
          <w:sz w:val="18"/>
          <w:szCs w:val="18"/>
        </w:rPr>
        <w:t>Subject to the blend of profit within the Group’s various jurisdictions.</w:t>
      </w:r>
    </w:p>
    <w:p w14:paraId="348CB323" w14:textId="77777777" w:rsidR="00952DFE" w:rsidRPr="00AB34F3" w:rsidRDefault="00952DFE" w:rsidP="00AB34F3">
      <w:pPr>
        <w:jc w:val="left"/>
        <w:rPr>
          <w:rFonts w:ascii="Arial" w:hAnsi="Arial" w:cs="Arial"/>
          <w:b/>
          <w:bCs/>
        </w:rPr>
      </w:pPr>
    </w:p>
    <w:p w14:paraId="128DEBA4" w14:textId="186D0B77" w:rsidR="00952484" w:rsidRPr="00AB34F3" w:rsidRDefault="00952484" w:rsidP="00AB34F3">
      <w:pPr>
        <w:jc w:val="left"/>
        <w:rPr>
          <w:rFonts w:ascii="Arial" w:hAnsi="Arial" w:cs="Arial"/>
          <w:b/>
          <w:bCs/>
        </w:rPr>
      </w:pPr>
      <w:r w:rsidRPr="00AB34F3">
        <w:rPr>
          <w:rFonts w:ascii="Arial" w:hAnsi="Arial" w:cs="Arial"/>
          <w:b/>
          <w:bCs/>
        </w:rPr>
        <w:br w:type="page"/>
      </w:r>
    </w:p>
    <w:p w14:paraId="1939F51D" w14:textId="77777777" w:rsidR="00D56B10" w:rsidRPr="00EB4495" w:rsidRDefault="00D56B10" w:rsidP="00D56B10">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color w:val="FFFFFF" w:themeColor="background1"/>
        </w:rPr>
      </w:pPr>
      <w:bookmarkStart w:id="92" w:name="_Hlk79067149"/>
      <w:r w:rsidRPr="00EB4495">
        <w:rPr>
          <w:rFonts w:ascii="Arial" w:hAnsi="Arial" w:cs="Arial"/>
          <w:b/>
          <w:bCs/>
          <w:color w:val="FFFFFF" w:themeColor="background1"/>
        </w:rPr>
        <w:lastRenderedPageBreak/>
        <w:t>Section 5: FY 2021/22 Financial review</w:t>
      </w:r>
      <w:bookmarkEnd w:id="92"/>
    </w:p>
    <w:p w14:paraId="2A5D8D67" w14:textId="1A40A6E4" w:rsidR="00952484" w:rsidRPr="00EB4495" w:rsidRDefault="00952484" w:rsidP="00084627">
      <w:pPr>
        <w:jc w:val="left"/>
        <w:rPr>
          <w:rFonts w:ascii="Arial" w:hAnsi="Arial" w:cs="Arial"/>
        </w:rPr>
      </w:pPr>
    </w:p>
    <w:p w14:paraId="4D9DCF8D" w14:textId="45FAA6CF" w:rsidR="0035042E" w:rsidRDefault="0035042E" w:rsidP="0035042E">
      <w:pPr>
        <w:jc w:val="left"/>
        <w:rPr>
          <w:rFonts w:ascii="Arial" w:hAnsi="Arial" w:cs="Arial"/>
          <w:szCs w:val="24"/>
        </w:rPr>
      </w:pPr>
      <w:r w:rsidRPr="00A845B7">
        <w:rPr>
          <w:rFonts w:ascii="Arial" w:hAnsi="Arial" w:cs="Arial"/>
        </w:rPr>
        <w:t xml:space="preserve">A summary of the reported financial results for the </w:t>
      </w:r>
      <w:r>
        <w:rPr>
          <w:rFonts w:ascii="Arial" w:hAnsi="Arial" w:cs="Arial"/>
        </w:rPr>
        <w:t>year ended 31 January</w:t>
      </w:r>
      <w:r w:rsidRPr="00A845B7">
        <w:rPr>
          <w:rFonts w:ascii="Arial" w:hAnsi="Arial" w:cs="Arial"/>
        </w:rPr>
        <w:t xml:space="preserve"> 20</w:t>
      </w:r>
      <w:r>
        <w:rPr>
          <w:rFonts w:ascii="Arial" w:hAnsi="Arial" w:cs="Arial"/>
        </w:rPr>
        <w:t>22</w:t>
      </w:r>
      <w:r w:rsidRPr="00A845B7">
        <w:rPr>
          <w:rFonts w:ascii="Arial" w:hAnsi="Arial" w:cs="Arial"/>
        </w:rPr>
        <w:t xml:space="preserve"> is set out below</w:t>
      </w:r>
      <w:r>
        <w:rPr>
          <w:rFonts w:ascii="Arial" w:hAnsi="Arial" w:cs="Arial"/>
        </w:rPr>
        <w:t>.</w:t>
      </w:r>
    </w:p>
    <w:p w14:paraId="3A303854" w14:textId="1695DF49" w:rsidR="0035042E" w:rsidRDefault="0035042E" w:rsidP="0035042E">
      <w:pPr>
        <w:jc w:val="left"/>
        <w:rPr>
          <w:rFonts w:ascii="Arial" w:hAnsi="Arial" w:cs="Arial"/>
          <w:szCs w:val="24"/>
        </w:rPr>
      </w:pPr>
    </w:p>
    <w:tbl>
      <w:tblPr>
        <w:tblStyle w:val="TableGrid"/>
        <w:tblW w:w="10125" w:type="dxa"/>
        <w:tblLayout w:type="fixed"/>
        <w:tblLook w:val="04A0" w:firstRow="1" w:lastRow="0" w:firstColumn="1" w:lastColumn="0" w:noHBand="0" w:noVBand="1"/>
      </w:tblPr>
      <w:tblGrid>
        <w:gridCol w:w="10125"/>
      </w:tblGrid>
      <w:tr w:rsidR="005C7761" w:rsidRPr="00EB4495" w14:paraId="68AFC736" w14:textId="77777777" w:rsidTr="00AD7F9C">
        <w:tc>
          <w:tcPr>
            <w:tcW w:w="10125" w:type="dxa"/>
          </w:tcPr>
          <w:tbl>
            <w:tblPr>
              <w:tblStyle w:val="TableGrid"/>
              <w:tblW w:w="10046" w:type="dxa"/>
              <w:tblLayout w:type="fixed"/>
              <w:tblLook w:val="04A0" w:firstRow="1" w:lastRow="0" w:firstColumn="1" w:lastColumn="0" w:noHBand="0" w:noVBand="1"/>
            </w:tblPr>
            <w:tblGrid>
              <w:gridCol w:w="3498"/>
              <w:gridCol w:w="1327"/>
              <w:gridCol w:w="1327"/>
              <w:gridCol w:w="1298"/>
              <w:gridCol w:w="1298"/>
              <w:gridCol w:w="1298"/>
            </w:tblGrid>
            <w:tr w:rsidR="005C7761" w:rsidRPr="00EB4495" w14:paraId="4E47C5F2" w14:textId="77777777" w:rsidTr="00AD7F9C">
              <w:trPr>
                <w:trHeight w:val="539"/>
              </w:trPr>
              <w:tc>
                <w:tcPr>
                  <w:tcW w:w="3498" w:type="dxa"/>
                  <w:tcBorders>
                    <w:top w:val="nil"/>
                    <w:left w:val="nil"/>
                    <w:bottom w:val="nil"/>
                    <w:right w:val="nil"/>
                  </w:tcBorders>
                  <w:vAlign w:val="center"/>
                </w:tcPr>
                <w:p w14:paraId="4D2B063C" w14:textId="77777777" w:rsidR="005C7761" w:rsidRPr="00EB4495" w:rsidRDefault="005C7761" w:rsidP="00FE2B4B">
                  <w:pPr>
                    <w:jc w:val="left"/>
                    <w:rPr>
                      <w:rFonts w:ascii="Arial" w:hAnsi="Arial" w:cs="Arial"/>
                      <w:sz w:val="22"/>
                      <w:szCs w:val="22"/>
                    </w:rPr>
                  </w:pPr>
                  <w:r w:rsidRPr="00EB4495">
                    <w:rPr>
                      <w:rFonts w:ascii="Arial" w:hAnsi="Arial" w:cs="Arial"/>
                      <w:b/>
                      <w:bCs/>
                      <w:sz w:val="22"/>
                      <w:szCs w:val="22"/>
                    </w:rPr>
                    <w:t>Financial summary</w:t>
                  </w:r>
                </w:p>
              </w:tc>
              <w:tc>
                <w:tcPr>
                  <w:tcW w:w="1327" w:type="dxa"/>
                  <w:tcBorders>
                    <w:top w:val="nil"/>
                    <w:left w:val="nil"/>
                    <w:bottom w:val="nil"/>
                    <w:right w:val="nil"/>
                  </w:tcBorders>
                  <w:vAlign w:val="center"/>
                </w:tcPr>
                <w:p w14:paraId="069B16CC" w14:textId="77777777" w:rsidR="005C7761" w:rsidRPr="00EB4495" w:rsidRDefault="005C7761" w:rsidP="00FE2B4B">
                  <w:pPr>
                    <w:jc w:val="right"/>
                    <w:rPr>
                      <w:rFonts w:ascii="Arial" w:hAnsi="Arial" w:cs="Arial"/>
                      <w:sz w:val="22"/>
                      <w:szCs w:val="22"/>
                    </w:rPr>
                  </w:pPr>
                </w:p>
              </w:tc>
              <w:tc>
                <w:tcPr>
                  <w:tcW w:w="1327" w:type="dxa"/>
                  <w:tcBorders>
                    <w:top w:val="nil"/>
                    <w:left w:val="nil"/>
                    <w:bottom w:val="nil"/>
                    <w:right w:val="nil"/>
                  </w:tcBorders>
                  <w:vAlign w:val="center"/>
                </w:tcPr>
                <w:p w14:paraId="06C65246" w14:textId="77777777" w:rsidR="005C7761" w:rsidRPr="00EB4495" w:rsidRDefault="005C7761" w:rsidP="00FE2B4B">
                  <w:pPr>
                    <w:jc w:val="right"/>
                    <w:rPr>
                      <w:rFonts w:ascii="Arial" w:hAnsi="Arial" w:cs="Arial"/>
                      <w:sz w:val="22"/>
                      <w:szCs w:val="22"/>
                    </w:rPr>
                  </w:pPr>
                </w:p>
              </w:tc>
              <w:tc>
                <w:tcPr>
                  <w:tcW w:w="1298" w:type="dxa"/>
                  <w:tcBorders>
                    <w:top w:val="nil"/>
                    <w:left w:val="nil"/>
                    <w:bottom w:val="single" w:sz="4" w:space="0" w:color="auto"/>
                    <w:right w:val="nil"/>
                  </w:tcBorders>
                  <w:vAlign w:val="center"/>
                </w:tcPr>
                <w:p w14:paraId="014F09D2" w14:textId="77777777" w:rsidR="005C7761" w:rsidRPr="00EB4495" w:rsidRDefault="005C7761" w:rsidP="00FE2B4B">
                  <w:pPr>
                    <w:jc w:val="right"/>
                    <w:rPr>
                      <w:rFonts w:ascii="Arial" w:hAnsi="Arial" w:cs="Arial"/>
                      <w:sz w:val="22"/>
                      <w:szCs w:val="22"/>
                    </w:rPr>
                  </w:pPr>
                  <w:r w:rsidRPr="00EB4495">
                    <w:rPr>
                      <w:rFonts w:ascii="Arial" w:hAnsi="Arial" w:cs="Arial"/>
                      <w:b/>
                      <w:bCs/>
                      <w:sz w:val="22"/>
                      <w:szCs w:val="22"/>
                    </w:rPr>
                    <w:t>% Total Change</w:t>
                  </w:r>
                </w:p>
              </w:tc>
              <w:tc>
                <w:tcPr>
                  <w:tcW w:w="1298" w:type="dxa"/>
                  <w:tcBorders>
                    <w:top w:val="nil"/>
                    <w:left w:val="nil"/>
                    <w:bottom w:val="single" w:sz="4" w:space="0" w:color="auto"/>
                    <w:right w:val="nil"/>
                  </w:tcBorders>
                  <w:vAlign w:val="center"/>
                </w:tcPr>
                <w:p w14:paraId="50386E37" w14:textId="77777777" w:rsidR="005C7761" w:rsidRPr="00EB4495" w:rsidRDefault="005C7761" w:rsidP="00FE2B4B">
                  <w:pPr>
                    <w:jc w:val="right"/>
                    <w:rPr>
                      <w:rFonts w:ascii="Arial" w:hAnsi="Arial" w:cs="Arial"/>
                      <w:sz w:val="22"/>
                      <w:szCs w:val="22"/>
                    </w:rPr>
                  </w:pPr>
                  <w:r w:rsidRPr="00EB4495">
                    <w:rPr>
                      <w:rFonts w:ascii="Arial" w:hAnsi="Arial" w:cs="Arial"/>
                      <w:b/>
                      <w:bCs/>
                      <w:sz w:val="22"/>
                      <w:szCs w:val="22"/>
                    </w:rPr>
                    <w:t>% Total Change</w:t>
                  </w:r>
                </w:p>
              </w:tc>
              <w:tc>
                <w:tcPr>
                  <w:tcW w:w="1298" w:type="dxa"/>
                  <w:tcBorders>
                    <w:top w:val="nil"/>
                    <w:left w:val="nil"/>
                    <w:bottom w:val="single" w:sz="4" w:space="0" w:color="auto"/>
                    <w:right w:val="nil"/>
                  </w:tcBorders>
                  <w:vAlign w:val="center"/>
                </w:tcPr>
                <w:p w14:paraId="1FE92547" w14:textId="17D2088E" w:rsidR="005C7761" w:rsidRPr="00EB4495" w:rsidRDefault="005C7761" w:rsidP="00FE2B4B">
                  <w:pPr>
                    <w:jc w:val="right"/>
                    <w:rPr>
                      <w:rFonts w:ascii="Arial" w:hAnsi="Arial" w:cs="Arial"/>
                      <w:sz w:val="22"/>
                      <w:szCs w:val="22"/>
                    </w:rPr>
                  </w:pPr>
                  <w:r w:rsidRPr="00EB4495">
                    <w:rPr>
                      <w:rFonts w:ascii="Arial" w:hAnsi="Arial" w:cs="Arial"/>
                      <w:b/>
                      <w:bCs/>
                      <w:sz w:val="22"/>
                      <w:szCs w:val="22"/>
                    </w:rPr>
                    <w:t>% LFL Change</w:t>
                  </w:r>
                </w:p>
              </w:tc>
            </w:tr>
            <w:tr w:rsidR="005C7761" w:rsidRPr="00EB4495" w14:paraId="053AF59B" w14:textId="77777777" w:rsidTr="00AD7F9C">
              <w:trPr>
                <w:trHeight w:val="539"/>
              </w:trPr>
              <w:tc>
                <w:tcPr>
                  <w:tcW w:w="3498" w:type="dxa"/>
                  <w:tcBorders>
                    <w:top w:val="nil"/>
                    <w:left w:val="nil"/>
                    <w:bottom w:val="single" w:sz="4" w:space="0" w:color="auto"/>
                    <w:right w:val="nil"/>
                  </w:tcBorders>
                  <w:vAlign w:val="center"/>
                </w:tcPr>
                <w:p w14:paraId="3281B4C0" w14:textId="77777777" w:rsidR="005C7761" w:rsidRPr="00EB4495" w:rsidRDefault="005C7761" w:rsidP="00FE2B4B">
                  <w:pPr>
                    <w:jc w:val="left"/>
                    <w:rPr>
                      <w:rFonts w:ascii="Arial" w:hAnsi="Arial" w:cs="Arial"/>
                      <w:sz w:val="22"/>
                      <w:szCs w:val="22"/>
                    </w:rPr>
                  </w:pPr>
                </w:p>
              </w:tc>
              <w:tc>
                <w:tcPr>
                  <w:tcW w:w="1327" w:type="dxa"/>
                  <w:tcBorders>
                    <w:top w:val="nil"/>
                    <w:left w:val="nil"/>
                    <w:bottom w:val="single" w:sz="4" w:space="0" w:color="auto"/>
                    <w:right w:val="nil"/>
                  </w:tcBorders>
                  <w:vAlign w:val="center"/>
                </w:tcPr>
                <w:p w14:paraId="34FFE971" w14:textId="77777777" w:rsidR="005C7761" w:rsidRPr="00EB4495" w:rsidRDefault="005C7761" w:rsidP="00FE2B4B">
                  <w:pPr>
                    <w:jc w:val="right"/>
                    <w:rPr>
                      <w:rFonts w:ascii="Arial" w:hAnsi="Arial" w:cs="Arial"/>
                      <w:b/>
                      <w:bCs/>
                      <w:sz w:val="22"/>
                      <w:szCs w:val="22"/>
                    </w:rPr>
                  </w:pPr>
                  <w:r w:rsidRPr="00EB4495">
                    <w:rPr>
                      <w:rFonts w:ascii="Arial" w:hAnsi="Arial" w:cs="Arial"/>
                      <w:b/>
                      <w:bCs/>
                      <w:sz w:val="22"/>
                      <w:szCs w:val="22"/>
                    </w:rPr>
                    <w:t>2021/22</w:t>
                  </w:r>
                </w:p>
              </w:tc>
              <w:tc>
                <w:tcPr>
                  <w:tcW w:w="1327" w:type="dxa"/>
                  <w:tcBorders>
                    <w:top w:val="nil"/>
                    <w:left w:val="nil"/>
                    <w:bottom w:val="single" w:sz="4" w:space="0" w:color="auto"/>
                    <w:right w:val="nil"/>
                  </w:tcBorders>
                  <w:vAlign w:val="center"/>
                </w:tcPr>
                <w:p w14:paraId="58AB56A9" w14:textId="77777777" w:rsidR="005C7761" w:rsidRPr="00EB4495" w:rsidRDefault="005C7761" w:rsidP="00FE2B4B">
                  <w:pPr>
                    <w:jc w:val="right"/>
                    <w:rPr>
                      <w:rFonts w:ascii="Arial" w:hAnsi="Arial" w:cs="Arial"/>
                      <w:b/>
                      <w:bCs/>
                      <w:sz w:val="22"/>
                      <w:szCs w:val="22"/>
                    </w:rPr>
                  </w:pPr>
                  <w:r w:rsidRPr="00EB4495">
                    <w:rPr>
                      <w:rFonts w:ascii="Arial" w:hAnsi="Arial" w:cs="Arial"/>
                      <w:b/>
                      <w:bCs/>
                      <w:sz w:val="22"/>
                      <w:szCs w:val="22"/>
                    </w:rPr>
                    <w:t>2020/21</w:t>
                  </w:r>
                </w:p>
              </w:tc>
              <w:tc>
                <w:tcPr>
                  <w:tcW w:w="1298" w:type="dxa"/>
                  <w:tcBorders>
                    <w:top w:val="single" w:sz="4" w:space="0" w:color="auto"/>
                    <w:left w:val="nil"/>
                    <w:bottom w:val="single" w:sz="4" w:space="0" w:color="auto"/>
                    <w:right w:val="nil"/>
                  </w:tcBorders>
                  <w:vAlign w:val="center"/>
                </w:tcPr>
                <w:p w14:paraId="40287D97" w14:textId="77777777" w:rsidR="005C7761" w:rsidRPr="00EB4495" w:rsidRDefault="005C7761" w:rsidP="00FE2B4B">
                  <w:pPr>
                    <w:jc w:val="right"/>
                    <w:rPr>
                      <w:rFonts w:ascii="Arial" w:hAnsi="Arial" w:cs="Arial"/>
                      <w:b/>
                      <w:bCs/>
                      <w:sz w:val="22"/>
                      <w:szCs w:val="22"/>
                    </w:rPr>
                  </w:pPr>
                  <w:r w:rsidRPr="00EB4495">
                    <w:rPr>
                      <w:rFonts w:ascii="Arial" w:hAnsi="Arial" w:cs="Arial"/>
                      <w:b/>
                      <w:bCs/>
                      <w:sz w:val="22"/>
                      <w:szCs w:val="22"/>
                    </w:rPr>
                    <w:t>Reported</w:t>
                  </w:r>
                </w:p>
              </w:tc>
              <w:tc>
                <w:tcPr>
                  <w:tcW w:w="1298" w:type="dxa"/>
                  <w:tcBorders>
                    <w:top w:val="single" w:sz="4" w:space="0" w:color="auto"/>
                    <w:left w:val="nil"/>
                    <w:bottom w:val="single" w:sz="4" w:space="0" w:color="auto"/>
                    <w:right w:val="nil"/>
                  </w:tcBorders>
                  <w:vAlign w:val="center"/>
                </w:tcPr>
                <w:p w14:paraId="6C66EEC8" w14:textId="6F9EE6A8" w:rsidR="005C7761" w:rsidRPr="00EB4495" w:rsidRDefault="005C7761" w:rsidP="00FE2B4B">
                  <w:pPr>
                    <w:jc w:val="right"/>
                    <w:rPr>
                      <w:rFonts w:ascii="Arial" w:hAnsi="Arial" w:cs="Arial"/>
                      <w:b/>
                      <w:bCs/>
                      <w:sz w:val="22"/>
                      <w:szCs w:val="22"/>
                    </w:rPr>
                  </w:pPr>
                  <w:r w:rsidRPr="00EB4495">
                    <w:rPr>
                      <w:rFonts w:ascii="Arial" w:hAnsi="Arial" w:cs="Arial"/>
                      <w:b/>
                      <w:bCs/>
                      <w:sz w:val="22"/>
                      <w:szCs w:val="22"/>
                    </w:rPr>
                    <w:t>Constant currency</w:t>
                  </w:r>
                </w:p>
              </w:tc>
              <w:tc>
                <w:tcPr>
                  <w:tcW w:w="1298" w:type="dxa"/>
                  <w:tcBorders>
                    <w:top w:val="single" w:sz="4" w:space="0" w:color="auto"/>
                    <w:left w:val="nil"/>
                    <w:bottom w:val="single" w:sz="4" w:space="0" w:color="auto"/>
                    <w:right w:val="nil"/>
                  </w:tcBorders>
                  <w:vAlign w:val="center"/>
                </w:tcPr>
                <w:p w14:paraId="43E36232" w14:textId="77777777" w:rsidR="005C7761" w:rsidRPr="00EB4495" w:rsidRDefault="005C7761" w:rsidP="00FE2B4B">
                  <w:pPr>
                    <w:jc w:val="right"/>
                    <w:rPr>
                      <w:rFonts w:ascii="Arial" w:hAnsi="Arial" w:cs="Arial"/>
                      <w:b/>
                      <w:bCs/>
                      <w:sz w:val="22"/>
                      <w:szCs w:val="22"/>
                    </w:rPr>
                  </w:pPr>
                  <w:r w:rsidRPr="00EB4495">
                    <w:rPr>
                      <w:rFonts w:ascii="Arial" w:hAnsi="Arial" w:cs="Arial"/>
                      <w:b/>
                      <w:bCs/>
                      <w:sz w:val="22"/>
                      <w:szCs w:val="22"/>
                    </w:rPr>
                    <w:t>Constant currency</w:t>
                  </w:r>
                </w:p>
              </w:tc>
            </w:tr>
            <w:tr w:rsidR="005C7761" w:rsidRPr="00EB4495" w14:paraId="34E4C2CC" w14:textId="77777777" w:rsidTr="00AD7F9C">
              <w:trPr>
                <w:trHeight w:val="269"/>
              </w:trPr>
              <w:tc>
                <w:tcPr>
                  <w:tcW w:w="3498" w:type="dxa"/>
                  <w:tcBorders>
                    <w:top w:val="single" w:sz="4" w:space="0" w:color="auto"/>
                    <w:left w:val="nil"/>
                    <w:bottom w:val="nil"/>
                    <w:right w:val="nil"/>
                  </w:tcBorders>
                  <w:vAlign w:val="center"/>
                </w:tcPr>
                <w:p w14:paraId="41ECDBD4" w14:textId="0BCC6ADC" w:rsidR="005C7761" w:rsidRPr="00EB4495" w:rsidRDefault="005C7761" w:rsidP="00FE2B4B">
                  <w:pPr>
                    <w:jc w:val="left"/>
                    <w:rPr>
                      <w:rFonts w:ascii="Arial" w:hAnsi="Arial" w:cs="Arial"/>
                      <w:sz w:val="22"/>
                      <w:szCs w:val="22"/>
                    </w:rPr>
                  </w:pPr>
                  <w:r w:rsidRPr="00EB4495">
                    <w:rPr>
                      <w:rFonts w:ascii="Arial" w:hAnsi="Arial" w:cs="Arial"/>
                      <w:sz w:val="22"/>
                      <w:szCs w:val="22"/>
                    </w:rPr>
                    <w:t>Sales</w:t>
                  </w:r>
                </w:p>
              </w:tc>
              <w:tc>
                <w:tcPr>
                  <w:tcW w:w="1327" w:type="dxa"/>
                  <w:tcBorders>
                    <w:top w:val="single" w:sz="4" w:space="0" w:color="auto"/>
                    <w:left w:val="nil"/>
                    <w:bottom w:val="nil"/>
                    <w:right w:val="nil"/>
                  </w:tcBorders>
                  <w:vAlign w:val="center"/>
                </w:tcPr>
                <w:p w14:paraId="36BA2769" w14:textId="77777777" w:rsidR="005C7761" w:rsidRPr="00EB4495" w:rsidRDefault="005C7761" w:rsidP="00FE2B4B">
                  <w:pPr>
                    <w:jc w:val="right"/>
                    <w:rPr>
                      <w:rFonts w:ascii="Arial" w:hAnsi="Arial" w:cs="Arial"/>
                      <w:sz w:val="22"/>
                      <w:szCs w:val="22"/>
                    </w:rPr>
                  </w:pPr>
                  <w:r w:rsidRPr="00EB4495">
                    <w:rPr>
                      <w:rFonts w:ascii="Arial" w:hAnsi="Arial" w:cs="Arial"/>
                      <w:sz w:val="22"/>
                      <w:szCs w:val="22"/>
                    </w:rPr>
                    <w:t>£13,183m</w:t>
                  </w:r>
                </w:p>
              </w:tc>
              <w:tc>
                <w:tcPr>
                  <w:tcW w:w="1327" w:type="dxa"/>
                  <w:tcBorders>
                    <w:top w:val="single" w:sz="4" w:space="0" w:color="auto"/>
                    <w:left w:val="nil"/>
                    <w:bottom w:val="nil"/>
                    <w:right w:val="nil"/>
                  </w:tcBorders>
                  <w:shd w:val="clear" w:color="auto" w:fill="auto"/>
                  <w:vAlign w:val="center"/>
                </w:tcPr>
                <w:p w14:paraId="1E86C75B" w14:textId="77777777" w:rsidR="005C7761" w:rsidRPr="00EB4495" w:rsidRDefault="005C7761" w:rsidP="00FE2B4B">
                  <w:pPr>
                    <w:jc w:val="right"/>
                    <w:rPr>
                      <w:rFonts w:ascii="Arial" w:hAnsi="Arial" w:cs="Arial"/>
                      <w:sz w:val="22"/>
                      <w:szCs w:val="22"/>
                    </w:rPr>
                  </w:pPr>
                  <w:r w:rsidRPr="00EB4495">
                    <w:rPr>
                      <w:rFonts w:ascii="Arial" w:hAnsi="Arial" w:cs="Arial"/>
                      <w:sz w:val="22"/>
                      <w:szCs w:val="22"/>
                    </w:rPr>
                    <w:t>£12,343m</w:t>
                  </w:r>
                </w:p>
              </w:tc>
              <w:tc>
                <w:tcPr>
                  <w:tcW w:w="1298" w:type="dxa"/>
                  <w:tcBorders>
                    <w:top w:val="single" w:sz="4" w:space="0" w:color="auto"/>
                    <w:left w:val="nil"/>
                    <w:bottom w:val="nil"/>
                    <w:right w:val="nil"/>
                  </w:tcBorders>
                  <w:vAlign w:val="center"/>
                </w:tcPr>
                <w:p w14:paraId="339AAA3A" w14:textId="77777777" w:rsidR="005C7761" w:rsidRPr="00EB4495" w:rsidRDefault="005C7761" w:rsidP="00FE2B4B">
                  <w:pPr>
                    <w:jc w:val="right"/>
                    <w:rPr>
                      <w:rFonts w:ascii="Arial" w:hAnsi="Arial" w:cs="Arial"/>
                      <w:sz w:val="22"/>
                      <w:szCs w:val="22"/>
                    </w:rPr>
                  </w:pPr>
                  <w:r w:rsidRPr="00EB4495">
                    <w:rPr>
                      <w:rFonts w:ascii="Arial" w:hAnsi="Arial" w:cs="Arial"/>
                      <w:sz w:val="22"/>
                      <w:szCs w:val="22"/>
                    </w:rPr>
                    <w:t>+6.8%</w:t>
                  </w:r>
                </w:p>
              </w:tc>
              <w:tc>
                <w:tcPr>
                  <w:tcW w:w="1298" w:type="dxa"/>
                  <w:tcBorders>
                    <w:top w:val="single" w:sz="4" w:space="0" w:color="auto"/>
                    <w:left w:val="nil"/>
                    <w:bottom w:val="nil"/>
                    <w:right w:val="nil"/>
                  </w:tcBorders>
                  <w:vAlign w:val="center"/>
                </w:tcPr>
                <w:p w14:paraId="4F814770" w14:textId="77777777" w:rsidR="005C7761" w:rsidRPr="00EB4495" w:rsidRDefault="005C7761" w:rsidP="00FE2B4B">
                  <w:pPr>
                    <w:jc w:val="right"/>
                    <w:rPr>
                      <w:rFonts w:ascii="Arial" w:hAnsi="Arial" w:cs="Arial"/>
                      <w:sz w:val="22"/>
                      <w:szCs w:val="22"/>
                    </w:rPr>
                  </w:pPr>
                  <w:r w:rsidRPr="00EB4495">
                    <w:rPr>
                      <w:rFonts w:ascii="Arial" w:hAnsi="Arial" w:cs="Arial"/>
                      <w:sz w:val="22"/>
                      <w:szCs w:val="22"/>
                    </w:rPr>
                    <w:t>+9.7%</w:t>
                  </w:r>
                </w:p>
              </w:tc>
              <w:tc>
                <w:tcPr>
                  <w:tcW w:w="1298" w:type="dxa"/>
                  <w:tcBorders>
                    <w:top w:val="single" w:sz="4" w:space="0" w:color="auto"/>
                    <w:left w:val="nil"/>
                    <w:bottom w:val="nil"/>
                    <w:right w:val="nil"/>
                  </w:tcBorders>
                  <w:vAlign w:val="center"/>
                </w:tcPr>
                <w:p w14:paraId="2D9E81C2" w14:textId="77777777" w:rsidR="005C7761" w:rsidRPr="00EB4495" w:rsidRDefault="005C7761" w:rsidP="00FE2B4B">
                  <w:pPr>
                    <w:jc w:val="right"/>
                    <w:rPr>
                      <w:rFonts w:ascii="Arial" w:hAnsi="Arial" w:cs="Arial"/>
                      <w:sz w:val="22"/>
                      <w:szCs w:val="22"/>
                    </w:rPr>
                  </w:pPr>
                  <w:r w:rsidRPr="00EB4495">
                    <w:rPr>
                      <w:rFonts w:ascii="Arial" w:hAnsi="Arial" w:cs="Arial"/>
                      <w:sz w:val="22"/>
                      <w:szCs w:val="22"/>
                    </w:rPr>
                    <w:t>+9.9%</w:t>
                  </w:r>
                </w:p>
              </w:tc>
            </w:tr>
            <w:tr w:rsidR="005C7761" w:rsidRPr="00EB4495" w14:paraId="6A00EBBD" w14:textId="77777777" w:rsidTr="00AD7F9C">
              <w:trPr>
                <w:trHeight w:val="269"/>
              </w:trPr>
              <w:tc>
                <w:tcPr>
                  <w:tcW w:w="3498" w:type="dxa"/>
                  <w:tcBorders>
                    <w:top w:val="nil"/>
                    <w:left w:val="nil"/>
                    <w:bottom w:val="nil"/>
                    <w:right w:val="nil"/>
                  </w:tcBorders>
                  <w:vAlign w:val="center"/>
                </w:tcPr>
                <w:p w14:paraId="4711E559" w14:textId="77777777" w:rsidR="005C7761" w:rsidRPr="00EB4495" w:rsidRDefault="005C7761" w:rsidP="00FE2B4B">
                  <w:pPr>
                    <w:jc w:val="left"/>
                    <w:rPr>
                      <w:rFonts w:ascii="Arial" w:hAnsi="Arial" w:cs="Arial"/>
                      <w:sz w:val="22"/>
                      <w:szCs w:val="22"/>
                    </w:rPr>
                  </w:pPr>
                  <w:r w:rsidRPr="00EB4495">
                    <w:rPr>
                      <w:rFonts w:ascii="Arial" w:hAnsi="Arial" w:cs="Arial"/>
                      <w:sz w:val="22"/>
                      <w:szCs w:val="22"/>
                    </w:rPr>
                    <w:t>Gross profit</w:t>
                  </w:r>
                </w:p>
              </w:tc>
              <w:tc>
                <w:tcPr>
                  <w:tcW w:w="1327" w:type="dxa"/>
                  <w:tcBorders>
                    <w:top w:val="nil"/>
                    <w:left w:val="nil"/>
                    <w:bottom w:val="nil"/>
                    <w:right w:val="nil"/>
                  </w:tcBorders>
                  <w:vAlign w:val="center"/>
                </w:tcPr>
                <w:p w14:paraId="14986DFD"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£4,935m</w:t>
                  </w:r>
                </w:p>
              </w:tc>
              <w:tc>
                <w:tcPr>
                  <w:tcW w:w="1327" w:type="dxa"/>
                  <w:tcBorders>
                    <w:top w:val="nil"/>
                    <w:left w:val="nil"/>
                    <w:bottom w:val="nil"/>
                    <w:right w:val="nil"/>
                  </w:tcBorders>
                  <w:shd w:val="clear" w:color="auto" w:fill="auto"/>
                  <w:vAlign w:val="center"/>
                </w:tcPr>
                <w:p w14:paraId="36C0308B" w14:textId="77777777" w:rsidR="005C7761" w:rsidRPr="00EB4495" w:rsidRDefault="005C7761" w:rsidP="00FE2B4B">
                  <w:pPr>
                    <w:jc w:val="right"/>
                    <w:rPr>
                      <w:rFonts w:ascii="Arial" w:hAnsi="Arial" w:cs="Arial"/>
                      <w:sz w:val="22"/>
                      <w:szCs w:val="22"/>
                    </w:rPr>
                  </w:pPr>
                  <w:r w:rsidRPr="00EB4495">
                    <w:rPr>
                      <w:rFonts w:ascii="Arial" w:hAnsi="Arial" w:cs="Arial"/>
                      <w:sz w:val="22"/>
                      <w:szCs w:val="22"/>
                    </w:rPr>
                    <w:t>£4,573m</w:t>
                  </w:r>
                </w:p>
              </w:tc>
              <w:tc>
                <w:tcPr>
                  <w:tcW w:w="1298" w:type="dxa"/>
                  <w:tcBorders>
                    <w:top w:val="nil"/>
                    <w:left w:val="nil"/>
                    <w:bottom w:val="nil"/>
                    <w:right w:val="nil"/>
                  </w:tcBorders>
                  <w:vAlign w:val="center"/>
                </w:tcPr>
                <w:p w14:paraId="06130FBA"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+7.9%</w:t>
                  </w:r>
                </w:p>
              </w:tc>
              <w:tc>
                <w:tcPr>
                  <w:tcW w:w="1298" w:type="dxa"/>
                  <w:tcBorders>
                    <w:top w:val="nil"/>
                    <w:left w:val="nil"/>
                    <w:bottom w:val="nil"/>
                    <w:right w:val="nil"/>
                  </w:tcBorders>
                  <w:vAlign w:val="center"/>
                </w:tcPr>
                <w:p w14:paraId="244F1422"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+10.6%</w:t>
                  </w:r>
                </w:p>
              </w:tc>
              <w:tc>
                <w:tcPr>
                  <w:tcW w:w="1298" w:type="dxa"/>
                  <w:tcBorders>
                    <w:top w:val="nil"/>
                    <w:left w:val="nil"/>
                    <w:bottom w:val="nil"/>
                    <w:right w:val="nil"/>
                  </w:tcBorders>
                  <w:vAlign w:val="center"/>
                </w:tcPr>
                <w:p w14:paraId="08C433B9" w14:textId="77777777" w:rsidR="005C7761" w:rsidRPr="00EB4495" w:rsidRDefault="005C7761" w:rsidP="00FE2B4B">
                  <w:pPr>
                    <w:jc w:val="right"/>
                    <w:rPr>
                      <w:rFonts w:ascii="Arial" w:hAnsi="Arial" w:cs="Arial"/>
                      <w:sz w:val="22"/>
                      <w:szCs w:val="22"/>
                    </w:rPr>
                  </w:pPr>
                </w:p>
              </w:tc>
            </w:tr>
            <w:tr w:rsidR="005C7761" w:rsidRPr="00EB4495" w14:paraId="213991EA" w14:textId="77777777" w:rsidTr="00AD7F9C">
              <w:trPr>
                <w:trHeight w:val="269"/>
              </w:trPr>
              <w:tc>
                <w:tcPr>
                  <w:tcW w:w="3498" w:type="dxa"/>
                  <w:tcBorders>
                    <w:top w:val="nil"/>
                    <w:left w:val="nil"/>
                    <w:bottom w:val="nil"/>
                    <w:right w:val="nil"/>
                  </w:tcBorders>
                  <w:vAlign w:val="center"/>
                </w:tcPr>
                <w:p w14:paraId="40609FF4" w14:textId="521F7EE3" w:rsidR="005C7761" w:rsidRPr="00EB4495" w:rsidRDefault="005C7761" w:rsidP="00FE2B4B">
                  <w:pPr>
                    <w:jc w:val="left"/>
                    <w:rPr>
                      <w:rFonts w:ascii="Arial" w:hAnsi="Arial" w:cs="Arial"/>
                      <w:sz w:val="22"/>
                      <w:szCs w:val="22"/>
                    </w:rPr>
                  </w:pPr>
                  <w:r w:rsidRPr="00EB4495">
                    <w:rPr>
                      <w:rFonts w:ascii="Arial" w:hAnsi="Arial" w:cs="Arial"/>
                      <w:sz w:val="22"/>
                      <w:szCs w:val="22"/>
                    </w:rPr>
                    <w:t>Gross margin %</w:t>
                  </w:r>
                </w:p>
              </w:tc>
              <w:tc>
                <w:tcPr>
                  <w:tcW w:w="1327" w:type="dxa"/>
                  <w:tcBorders>
                    <w:top w:val="nil"/>
                    <w:left w:val="nil"/>
                    <w:bottom w:val="nil"/>
                    <w:right w:val="nil"/>
                  </w:tcBorders>
                  <w:vAlign w:val="center"/>
                </w:tcPr>
                <w:p w14:paraId="55E53BDD"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37.4%</w:t>
                  </w:r>
                </w:p>
              </w:tc>
              <w:tc>
                <w:tcPr>
                  <w:tcW w:w="1327" w:type="dxa"/>
                  <w:tcBorders>
                    <w:top w:val="nil"/>
                    <w:left w:val="nil"/>
                    <w:bottom w:val="nil"/>
                    <w:right w:val="nil"/>
                  </w:tcBorders>
                  <w:shd w:val="clear" w:color="auto" w:fill="auto"/>
                  <w:vAlign w:val="center"/>
                </w:tcPr>
                <w:p w14:paraId="56368086" w14:textId="77777777" w:rsidR="005C7761" w:rsidRPr="00EB4495" w:rsidRDefault="005C7761" w:rsidP="00FE2B4B">
                  <w:pPr>
                    <w:jc w:val="right"/>
                    <w:rPr>
                      <w:rFonts w:ascii="Arial" w:hAnsi="Arial" w:cs="Arial"/>
                      <w:sz w:val="22"/>
                      <w:szCs w:val="22"/>
                    </w:rPr>
                  </w:pPr>
                  <w:r w:rsidRPr="00EB4495">
                    <w:rPr>
                      <w:rFonts w:ascii="Arial" w:hAnsi="Arial" w:cs="Arial"/>
                      <w:sz w:val="22"/>
                      <w:szCs w:val="22"/>
                    </w:rPr>
                    <w:t>37.1%</w:t>
                  </w:r>
                </w:p>
              </w:tc>
              <w:tc>
                <w:tcPr>
                  <w:tcW w:w="1298" w:type="dxa"/>
                  <w:tcBorders>
                    <w:top w:val="nil"/>
                    <w:left w:val="nil"/>
                    <w:bottom w:val="nil"/>
                    <w:right w:val="nil"/>
                  </w:tcBorders>
                  <w:vAlign w:val="center"/>
                </w:tcPr>
                <w:p w14:paraId="03ED7C76"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+30bps</w:t>
                  </w:r>
                </w:p>
              </w:tc>
              <w:tc>
                <w:tcPr>
                  <w:tcW w:w="1298" w:type="dxa"/>
                  <w:tcBorders>
                    <w:top w:val="nil"/>
                    <w:left w:val="nil"/>
                    <w:bottom w:val="nil"/>
                    <w:right w:val="nil"/>
                  </w:tcBorders>
                  <w:vAlign w:val="center"/>
                </w:tcPr>
                <w:p w14:paraId="48CC5DEF"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+30bps</w:t>
                  </w:r>
                </w:p>
              </w:tc>
              <w:tc>
                <w:tcPr>
                  <w:tcW w:w="1298" w:type="dxa"/>
                  <w:tcBorders>
                    <w:top w:val="nil"/>
                    <w:left w:val="nil"/>
                    <w:bottom w:val="nil"/>
                    <w:right w:val="nil"/>
                  </w:tcBorders>
                  <w:vAlign w:val="center"/>
                </w:tcPr>
                <w:p w14:paraId="633C73F6" w14:textId="77777777" w:rsidR="005C7761" w:rsidRPr="00EB4495" w:rsidRDefault="005C7761" w:rsidP="00FE2B4B">
                  <w:pPr>
                    <w:jc w:val="right"/>
                    <w:rPr>
                      <w:rFonts w:ascii="Arial" w:hAnsi="Arial" w:cs="Arial"/>
                      <w:sz w:val="22"/>
                      <w:szCs w:val="22"/>
                    </w:rPr>
                  </w:pPr>
                </w:p>
              </w:tc>
            </w:tr>
            <w:tr w:rsidR="005C7761" w:rsidRPr="00EB4495" w14:paraId="06348989" w14:textId="77777777" w:rsidTr="00AD7F9C">
              <w:trPr>
                <w:trHeight w:val="269"/>
              </w:trPr>
              <w:tc>
                <w:tcPr>
                  <w:tcW w:w="3498" w:type="dxa"/>
                  <w:tcBorders>
                    <w:top w:val="nil"/>
                    <w:left w:val="nil"/>
                    <w:bottom w:val="nil"/>
                    <w:right w:val="nil"/>
                  </w:tcBorders>
                  <w:vAlign w:val="center"/>
                </w:tcPr>
                <w:p w14:paraId="389F86EA" w14:textId="77777777" w:rsidR="005C7761" w:rsidRPr="00EB4495" w:rsidRDefault="005C7761" w:rsidP="00FE2B4B">
                  <w:pPr>
                    <w:jc w:val="left"/>
                    <w:rPr>
                      <w:rFonts w:ascii="Arial" w:hAnsi="Arial" w:cs="Arial"/>
                      <w:sz w:val="22"/>
                      <w:szCs w:val="22"/>
                    </w:rPr>
                  </w:pPr>
                  <w:r w:rsidRPr="00EB4495">
                    <w:rPr>
                      <w:rFonts w:ascii="Arial" w:hAnsi="Arial" w:cs="Arial"/>
                      <w:sz w:val="22"/>
                      <w:szCs w:val="22"/>
                    </w:rPr>
                    <w:t>Operating profit</w:t>
                  </w:r>
                </w:p>
              </w:tc>
              <w:tc>
                <w:tcPr>
                  <w:tcW w:w="1327" w:type="dxa"/>
                  <w:tcBorders>
                    <w:top w:val="nil"/>
                    <w:left w:val="nil"/>
                    <w:bottom w:val="nil"/>
                    <w:right w:val="nil"/>
                  </w:tcBorders>
                  <w:vAlign w:val="center"/>
                </w:tcPr>
                <w:p w14:paraId="5B078EBB"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£1,144m</w:t>
                  </w:r>
                </w:p>
              </w:tc>
              <w:tc>
                <w:tcPr>
                  <w:tcW w:w="1327" w:type="dxa"/>
                  <w:tcBorders>
                    <w:top w:val="nil"/>
                    <w:left w:val="nil"/>
                    <w:bottom w:val="nil"/>
                    <w:right w:val="nil"/>
                  </w:tcBorders>
                  <w:shd w:val="clear" w:color="auto" w:fill="auto"/>
                  <w:vAlign w:val="center"/>
                </w:tcPr>
                <w:p w14:paraId="4BFB7FF6" w14:textId="77777777" w:rsidR="005C7761" w:rsidRPr="00EB4495" w:rsidRDefault="005C7761" w:rsidP="00FE2B4B">
                  <w:pPr>
                    <w:jc w:val="right"/>
                    <w:rPr>
                      <w:rFonts w:ascii="Arial" w:hAnsi="Arial" w:cs="Arial"/>
                      <w:sz w:val="22"/>
                      <w:szCs w:val="22"/>
                    </w:rPr>
                  </w:pPr>
                  <w:r w:rsidRPr="00EB4495">
                    <w:rPr>
                      <w:rFonts w:ascii="Arial" w:hAnsi="Arial" w:cs="Arial"/>
                      <w:sz w:val="22"/>
                      <w:szCs w:val="22"/>
                    </w:rPr>
                    <w:t>£916m</w:t>
                  </w:r>
                </w:p>
              </w:tc>
              <w:tc>
                <w:tcPr>
                  <w:tcW w:w="1298" w:type="dxa"/>
                  <w:tcBorders>
                    <w:top w:val="nil"/>
                    <w:left w:val="nil"/>
                    <w:bottom w:val="nil"/>
                    <w:right w:val="nil"/>
                  </w:tcBorders>
                  <w:vAlign w:val="center"/>
                </w:tcPr>
                <w:p w14:paraId="0A68ED04" w14:textId="3E03A84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+24.</w:t>
                  </w:r>
                  <w:r>
                    <w:rPr>
                      <w:rFonts w:ascii="Arial" w:hAnsi="Arial" w:cs="Arial"/>
                      <w:sz w:val="22"/>
                      <w:szCs w:val="22"/>
                    </w:rPr>
                    <w:t>7</w:t>
                  </w:r>
                  <w:r w:rsidRPr="00EB4495">
                    <w:rPr>
                      <w:rFonts w:ascii="Arial" w:hAnsi="Arial" w:cs="Arial"/>
                      <w:sz w:val="22"/>
                      <w:szCs w:val="22"/>
                    </w:rPr>
                    <w:t>%</w:t>
                  </w:r>
                </w:p>
              </w:tc>
              <w:tc>
                <w:tcPr>
                  <w:tcW w:w="1298" w:type="dxa"/>
                  <w:tcBorders>
                    <w:top w:val="nil"/>
                    <w:left w:val="nil"/>
                    <w:bottom w:val="nil"/>
                    <w:right w:val="nil"/>
                  </w:tcBorders>
                  <w:vAlign w:val="center"/>
                </w:tcPr>
                <w:p w14:paraId="76597476" w14:textId="77777777" w:rsidR="005C7761" w:rsidRPr="00EB4495"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60D5D40B" w14:textId="77777777" w:rsidR="005C7761" w:rsidRPr="00EB4495" w:rsidRDefault="005C7761" w:rsidP="00FE2B4B">
                  <w:pPr>
                    <w:jc w:val="right"/>
                    <w:rPr>
                      <w:rFonts w:ascii="Arial" w:hAnsi="Arial" w:cs="Arial"/>
                      <w:sz w:val="22"/>
                      <w:szCs w:val="22"/>
                    </w:rPr>
                  </w:pPr>
                </w:p>
              </w:tc>
            </w:tr>
            <w:tr w:rsidR="005C7761" w:rsidRPr="00EB4495" w14:paraId="0A955E1F" w14:textId="77777777" w:rsidTr="00AD7F9C">
              <w:trPr>
                <w:trHeight w:val="269"/>
              </w:trPr>
              <w:tc>
                <w:tcPr>
                  <w:tcW w:w="3498" w:type="dxa"/>
                  <w:tcBorders>
                    <w:top w:val="nil"/>
                    <w:left w:val="nil"/>
                    <w:bottom w:val="nil"/>
                    <w:right w:val="nil"/>
                  </w:tcBorders>
                  <w:vAlign w:val="center"/>
                </w:tcPr>
                <w:p w14:paraId="288CF096" w14:textId="77777777" w:rsidR="005C7761" w:rsidRPr="00EB4495" w:rsidRDefault="005C7761" w:rsidP="00FE2B4B">
                  <w:pPr>
                    <w:jc w:val="left"/>
                    <w:rPr>
                      <w:rFonts w:ascii="Arial" w:hAnsi="Arial" w:cs="Arial"/>
                      <w:sz w:val="22"/>
                      <w:szCs w:val="22"/>
                    </w:rPr>
                  </w:pPr>
                  <w:r w:rsidRPr="00EB4495">
                    <w:rPr>
                      <w:rFonts w:ascii="Arial" w:hAnsi="Arial" w:cs="Arial"/>
                      <w:sz w:val="22"/>
                      <w:szCs w:val="22"/>
                    </w:rPr>
                    <w:t>Statutory pre-tax profit</w:t>
                  </w:r>
                </w:p>
              </w:tc>
              <w:tc>
                <w:tcPr>
                  <w:tcW w:w="1327" w:type="dxa"/>
                  <w:tcBorders>
                    <w:top w:val="nil"/>
                    <w:left w:val="nil"/>
                    <w:bottom w:val="nil"/>
                    <w:right w:val="nil"/>
                  </w:tcBorders>
                  <w:vAlign w:val="center"/>
                </w:tcPr>
                <w:p w14:paraId="41F67D96" w14:textId="77777777" w:rsidR="005C7761" w:rsidRPr="00804101" w:rsidRDefault="005C7761" w:rsidP="00FE2B4B">
                  <w:pPr>
                    <w:jc w:val="right"/>
                    <w:rPr>
                      <w:rFonts w:ascii="Arial" w:hAnsi="Arial" w:cs="Arial"/>
                      <w:sz w:val="22"/>
                      <w:szCs w:val="22"/>
                    </w:rPr>
                  </w:pPr>
                  <w:r w:rsidRPr="0056048C">
                    <w:rPr>
                      <w:rFonts w:ascii="Arial" w:hAnsi="Arial" w:cs="Arial"/>
                      <w:sz w:val="22"/>
                      <w:szCs w:val="22"/>
                    </w:rPr>
                    <w:t>£1,007m</w:t>
                  </w:r>
                </w:p>
              </w:tc>
              <w:tc>
                <w:tcPr>
                  <w:tcW w:w="1327" w:type="dxa"/>
                  <w:tcBorders>
                    <w:top w:val="nil"/>
                    <w:left w:val="nil"/>
                    <w:bottom w:val="nil"/>
                    <w:right w:val="nil"/>
                  </w:tcBorders>
                  <w:shd w:val="clear" w:color="auto" w:fill="auto"/>
                  <w:vAlign w:val="center"/>
                </w:tcPr>
                <w:p w14:paraId="283CCE31" w14:textId="77777777" w:rsidR="005C7761" w:rsidRPr="0056048C" w:rsidRDefault="005C7761" w:rsidP="00FE2B4B">
                  <w:pPr>
                    <w:jc w:val="right"/>
                    <w:rPr>
                      <w:rFonts w:ascii="Arial" w:hAnsi="Arial" w:cs="Arial"/>
                      <w:sz w:val="22"/>
                      <w:szCs w:val="22"/>
                    </w:rPr>
                  </w:pPr>
                  <w:r w:rsidRPr="0056048C">
                    <w:rPr>
                      <w:rFonts w:ascii="Arial" w:hAnsi="Arial" w:cs="Arial"/>
                      <w:sz w:val="22"/>
                      <w:szCs w:val="22"/>
                    </w:rPr>
                    <w:t>£756m</w:t>
                  </w:r>
                </w:p>
              </w:tc>
              <w:tc>
                <w:tcPr>
                  <w:tcW w:w="1298" w:type="dxa"/>
                  <w:tcBorders>
                    <w:top w:val="nil"/>
                    <w:left w:val="nil"/>
                    <w:bottom w:val="nil"/>
                    <w:right w:val="nil"/>
                  </w:tcBorders>
                  <w:vAlign w:val="center"/>
                </w:tcPr>
                <w:p w14:paraId="3FBEFA74" w14:textId="2D5B7F57" w:rsidR="005C7761" w:rsidRPr="00804101" w:rsidRDefault="005C7761" w:rsidP="00FE2B4B">
                  <w:pPr>
                    <w:jc w:val="right"/>
                    <w:rPr>
                      <w:rFonts w:ascii="Arial" w:hAnsi="Arial" w:cs="Arial"/>
                      <w:sz w:val="22"/>
                      <w:szCs w:val="22"/>
                    </w:rPr>
                  </w:pPr>
                  <w:r w:rsidRPr="0056048C">
                    <w:rPr>
                      <w:rFonts w:ascii="Arial" w:hAnsi="Arial" w:cs="Arial"/>
                      <w:sz w:val="22"/>
                      <w:szCs w:val="22"/>
                    </w:rPr>
                    <w:t>+33.1%</w:t>
                  </w:r>
                </w:p>
              </w:tc>
              <w:tc>
                <w:tcPr>
                  <w:tcW w:w="1298" w:type="dxa"/>
                  <w:tcBorders>
                    <w:top w:val="nil"/>
                    <w:left w:val="nil"/>
                    <w:bottom w:val="nil"/>
                    <w:right w:val="nil"/>
                  </w:tcBorders>
                  <w:vAlign w:val="center"/>
                </w:tcPr>
                <w:p w14:paraId="1C9B0704" w14:textId="77777777" w:rsidR="005C7761" w:rsidRPr="00EB4495"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0268D3E3" w14:textId="77777777" w:rsidR="005C7761" w:rsidRPr="00EB4495" w:rsidRDefault="005C7761" w:rsidP="00FE2B4B">
                  <w:pPr>
                    <w:jc w:val="right"/>
                    <w:rPr>
                      <w:rFonts w:ascii="Arial" w:hAnsi="Arial" w:cs="Arial"/>
                      <w:sz w:val="22"/>
                      <w:szCs w:val="22"/>
                    </w:rPr>
                  </w:pPr>
                </w:p>
              </w:tc>
            </w:tr>
            <w:tr w:rsidR="005C7761" w:rsidRPr="00EB4495" w14:paraId="74609EF4" w14:textId="77777777" w:rsidTr="00AD7F9C">
              <w:trPr>
                <w:trHeight w:val="269"/>
              </w:trPr>
              <w:tc>
                <w:tcPr>
                  <w:tcW w:w="3498" w:type="dxa"/>
                  <w:tcBorders>
                    <w:top w:val="nil"/>
                    <w:left w:val="nil"/>
                    <w:bottom w:val="nil"/>
                    <w:right w:val="nil"/>
                  </w:tcBorders>
                  <w:shd w:val="clear" w:color="auto" w:fill="auto"/>
                  <w:vAlign w:val="center"/>
                </w:tcPr>
                <w:p w14:paraId="1F4876A6" w14:textId="77777777" w:rsidR="005C7761" w:rsidRPr="00EB4495" w:rsidRDefault="005C7761" w:rsidP="00FE2B4B">
                  <w:pPr>
                    <w:jc w:val="left"/>
                    <w:rPr>
                      <w:rFonts w:ascii="Arial" w:hAnsi="Arial" w:cs="Arial"/>
                      <w:sz w:val="22"/>
                      <w:szCs w:val="22"/>
                    </w:rPr>
                  </w:pPr>
                  <w:r w:rsidRPr="00EB4495">
                    <w:rPr>
                      <w:rFonts w:ascii="Arial" w:hAnsi="Arial" w:cs="Arial"/>
                      <w:sz w:val="22"/>
                      <w:szCs w:val="22"/>
                    </w:rPr>
                    <w:t>Statutory post-tax profit</w:t>
                  </w:r>
                </w:p>
              </w:tc>
              <w:tc>
                <w:tcPr>
                  <w:tcW w:w="1327" w:type="dxa"/>
                  <w:tcBorders>
                    <w:top w:val="nil"/>
                    <w:left w:val="nil"/>
                    <w:bottom w:val="nil"/>
                    <w:right w:val="nil"/>
                  </w:tcBorders>
                  <w:vAlign w:val="center"/>
                </w:tcPr>
                <w:p w14:paraId="39FC8F4B" w14:textId="77777777" w:rsidR="005C7761" w:rsidRPr="00804101" w:rsidRDefault="005C7761" w:rsidP="00FE2B4B">
                  <w:pPr>
                    <w:jc w:val="right"/>
                    <w:rPr>
                      <w:rFonts w:ascii="Arial" w:hAnsi="Arial" w:cs="Arial"/>
                      <w:sz w:val="22"/>
                      <w:szCs w:val="22"/>
                    </w:rPr>
                  </w:pPr>
                  <w:r w:rsidRPr="00804101">
                    <w:rPr>
                      <w:rFonts w:ascii="Arial" w:hAnsi="Arial" w:cs="Arial"/>
                      <w:sz w:val="22"/>
                      <w:szCs w:val="22"/>
                    </w:rPr>
                    <w:t>£843m</w:t>
                  </w:r>
                </w:p>
              </w:tc>
              <w:tc>
                <w:tcPr>
                  <w:tcW w:w="1327" w:type="dxa"/>
                  <w:tcBorders>
                    <w:top w:val="nil"/>
                    <w:left w:val="nil"/>
                    <w:bottom w:val="nil"/>
                    <w:right w:val="nil"/>
                  </w:tcBorders>
                  <w:shd w:val="clear" w:color="auto" w:fill="auto"/>
                  <w:vAlign w:val="center"/>
                </w:tcPr>
                <w:p w14:paraId="29120867" w14:textId="77777777" w:rsidR="005C7761" w:rsidRPr="0056048C" w:rsidRDefault="005C7761" w:rsidP="00FE2B4B">
                  <w:pPr>
                    <w:jc w:val="right"/>
                    <w:rPr>
                      <w:rFonts w:ascii="Arial" w:hAnsi="Arial" w:cs="Arial"/>
                      <w:sz w:val="22"/>
                      <w:szCs w:val="22"/>
                    </w:rPr>
                  </w:pPr>
                  <w:r w:rsidRPr="0056048C">
                    <w:rPr>
                      <w:rFonts w:ascii="Arial" w:hAnsi="Arial" w:cs="Arial"/>
                      <w:sz w:val="22"/>
                      <w:szCs w:val="22"/>
                    </w:rPr>
                    <w:t>£592m</w:t>
                  </w:r>
                </w:p>
              </w:tc>
              <w:tc>
                <w:tcPr>
                  <w:tcW w:w="1298" w:type="dxa"/>
                  <w:tcBorders>
                    <w:top w:val="nil"/>
                    <w:left w:val="nil"/>
                    <w:bottom w:val="nil"/>
                    <w:right w:val="nil"/>
                  </w:tcBorders>
                  <w:vAlign w:val="center"/>
                </w:tcPr>
                <w:p w14:paraId="33D9129D" w14:textId="77777777" w:rsidR="005C7761" w:rsidRPr="00804101" w:rsidRDefault="005C7761" w:rsidP="00FE2B4B">
                  <w:pPr>
                    <w:jc w:val="right"/>
                    <w:rPr>
                      <w:rFonts w:ascii="Arial" w:hAnsi="Arial" w:cs="Arial"/>
                      <w:sz w:val="22"/>
                      <w:szCs w:val="22"/>
                    </w:rPr>
                  </w:pPr>
                  <w:r w:rsidRPr="00804101">
                    <w:rPr>
                      <w:rFonts w:ascii="Arial" w:hAnsi="Arial" w:cs="Arial"/>
                      <w:sz w:val="22"/>
                      <w:szCs w:val="22"/>
                    </w:rPr>
                    <w:t>+42.3%</w:t>
                  </w:r>
                </w:p>
              </w:tc>
              <w:tc>
                <w:tcPr>
                  <w:tcW w:w="1298" w:type="dxa"/>
                  <w:tcBorders>
                    <w:top w:val="nil"/>
                    <w:left w:val="nil"/>
                    <w:bottom w:val="nil"/>
                    <w:right w:val="nil"/>
                  </w:tcBorders>
                  <w:vAlign w:val="center"/>
                </w:tcPr>
                <w:p w14:paraId="29ABD78B" w14:textId="77777777" w:rsidR="005C7761" w:rsidRPr="00EB4495"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4078C66A" w14:textId="77777777" w:rsidR="005C7761" w:rsidRPr="00EB4495" w:rsidRDefault="005C7761" w:rsidP="00FE2B4B">
                  <w:pPr>
                    <w:jc w:val="right"/>
                    <w:rPr>
                      <w:rFonts w:ascii="Arial" w:hAnsi="Arial" w:cs="Arial"/>
                      <w:sz w:val="22"/>
                      <w:szCs w:val="22"/>
                    </w:rPr>
                  </w:pPr>
                </w:p>
              </w:tc>
            </w:tr>
            <w:tr w:rsidR="005C7761" w:rsidRPr="00EB4495" w14:paraId="2E06179D" w14:textId="77777777" w:rsidTr="00AD7F9C">
              <w:trPr>
                <w:trHeight w:val="269"/>
              </w:trPr>
              <w:tc>
                <w:tcPr>
                  <w:tcW w:w="3498" w:type="dxa"/>
                  <w:tcBorders>
                    <w:top w:val="nil"/>
                    <w:left w:val="nil"/>
                    <w:bottom w:val="nil"/>
                    <w:right w:val="nil"/>
                  </w:tcBorders>
                  <w:shd w:val="clear" w:color="auto" w:fill="auto"/>
                  <w:vAlign w:val="center"/>
                </w:tcPr>
                <w:p w14:paraId="39BEFDAA" w14:textId="77777777" w:rsidR="005C7761" w:rsidRPr="00AD7F9C" w:rsidRDefault="005C7761" w:rsidP="00FE2B4B">
                  <w:pPr>
                    <w:jc w:val="left"/>
                    <w:rPr>
                      <w:rFonts w:ascii="Arial" w:hAnsi="Arial" w:cs="Arial"/>
                      <w:sz w:val="22"/>
                      <w:szCs w:val="22"/>
                    </w:rPr>
                  </w:pPr>
                  <w:r w:rsidRPr="00AD7F9C">
                    <w:rPr>
                      <w:rFonts w:ascii="Arial" w:hAnsi="Arial" w:cs="Arial"/>
                      <w:sz w:val="22"/>
                      <w:szCs w:val="22"/>
                    </w:rPr>
                    <w:t>Statutory basic EPS</w:t>
                  </w:r>
                </w:p>
              </w:tc>
              <w:tc>
                <w:tcPr>
                  <w:tcW w:w="1327" w:type="dxa"/>
                  <w:tcBorders>
                    <w:top w:val="nil"/>
                    <w:left w:val="nil"/>
                    <w:bottom w:val="nil"/>
                    <w:right w:val="nil"/>
                  </w:tcBorders>
                  <w:vAlign w:val="center"/>
                </w:tcPr>
                <w:p w14:paraId="6F162285" w14:textId="77777777" w:rsidR="005C7761" w:rsidRPr="00AD7F9C" w:rsidRDefault="005C7761" w:rsidP="00FE2B4B">
                  <w:pPr>
                    <w:jc w:val="right"/>
                    <w:rPr>
                      <w:rFonts w:ascii="Arial" w:hAnsi="Arial" w:cs="Arial"/>
                      <w:sz w:val="22"/>
                      <w:szCs w:val="22"/>
                    </w:rPr>
                  </w:pPr>
                  <w:r w:rsidRPr="00AD7F9C">
                    <w:rPr>
                      <w:rFonts w:ascii="Arial" w:hAnsi="Arial" w:cs="Arial"/>
                      <w:sz w:val="22"/>
                      <w:szCs w:val="22"/>
                    </w:rPr>
                    <w:t>40.3p</w:t>
                  </w:r>
                </w:p>
              </w:tc>
              <w:tc>
                <w:tcPr>
                  <w:tcW w:w="1327" w:type="dxa"/>
                  <w:tcBorders>
                    <w:top w:val="nil"/>
                    <w:left w:val="nil"/>
                    <w:bottom w:val="nil"/>
                    <w:right w:val="nil"/>
                  </w:tcBorders>
                  <w:shd w:val="clear" w:color="auto" w:fill="auto"/>
                  <w:vAlign w:val="center"/>
                </w:tcPr>
                <w:p w14:paraId="3F373842" w14:textId="77777777" w:rsidR="005C7761" w:rsidRPr="00AD7F9C" w:rsidRDefault="005C7761" w:rsidP="00FE2B4B">
                  <w:pPr>
                    <w:jc w:val="right"/>
                    <w:rPr>
                      <w:rFonts w:ascii="Arial" w:hAnsi="Arial" w:cs="Arial"/>
                      <w:sz w:val="22"/>
                      <w:szCs w:val="22"/>
                    </w:rPr>
                  </w:pPr>
                  <w:r w:rsidRPr="00AD7F9C">
                    <w:rPr>
                      <w:rFonts w:ascii="Arial" w:hAnsi="Arial" w:cs="Arial"/>
                      <w:sz w:val="22"/>
                      <w:szCs w:val="22"/>
                    </w:rPr>
                    <w:t>28.1p</w:t>
                  </w:r>
                </w:p>
              </w:tc>
              <w:tc>
                <w:tcPr>
                  <w:tcW w:w="1298" w:type="dxa"/>
                  <w:tcBorders>
                    <w:top w:val="nil"/>
                    <w:left w:val="nil"/>
                    <w:bottom w:val="nil"/>
                    <w:right w:val="nil"/>
                  </w:tcBorders>
                  <w:vAlign w:val="center"/>
                </w:tcPr>
                <w:p w14:paraId="44762434" w14:textId="77777777" w:rsidR="005C7761" w:rsidRPr="00AD7F9C" w:rsidRDefault="005C7761" w:rsidP="00FE2B4B">
                  <w:pPr>
                    <w:jc w:val="right"/>
                    <w:rPr>
                      <w:rFonts w:ascii="Arial" w:hAnsi="Arial" w:cs="Arial"/>
                      <w:sz w:val="22"/>
                      <w:szCs w:val="22"/>
                    </w:rPr>
                  </w:pPr>
                  <w:r w:rsidRPr="00AD7F9C">
                    <w:rPr>
                      <w:rFonts w:ascii="Arial" w:hAnsi="Arial" w:cs="Arial"/>
                      <w:sz w:val="22"/>
                      <w:szCs w:val="22"/>
                    </w:rPr>
                    <w:t>+43.4%</w:t>
                  </w:r>
                </w:p>
              </w:tc>
              <w:tc>
                <w:tcPr>
                  <w:tcW w:w="1298" w:type="dxa"/>
                  <w:tcBorders>
                    <w:top w:val="nil"/>
                    <w:left w:val="nil"/>
                    <w:bottom w:val="nil"/>
                    <w:right w:val="nil"/>
                  </w:tcBorders>
                  <w:vAlign w:val="center"/>
                </w:tcPr>
                <w:p w14:paraId="0357ABC5" w14:textId="77777777" w:rsidR="005C7761" w:rsidRPr="00AD7F9C"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556565FA" w14:textId="77777777" w:rsidR="005C7761" w:rsidRPr="00EB4495" w:rsidRDefault="005C7761" w:rsidP="00FE2B4B">
                  <w:pPr>
                    <w:jc w:val="right"/>
                    <w:rPr>
                      <w:rFonts w:ascii="Arial" w:hAnsi="Arial" w:cs="Arial"/>
                      <w:sz w:val="22"/>
                      <w:szCs w:val="22"/>
                    </w:rPr>
                  </w:pPr>
                </w:p>
              </w:tc>
            </w:tr>
            <w:tr w:rsidR="005C7761" w:rsidRPr="00EB4495" w14:paraId="496261BD" w14:textId="77777777" w:rsidTr="00AD7F9C">
              <w:trPr>
                <w:trHeight w:val="269"/>
              </w:trPr>
              <w:tc>
                <w:tcPr>
                  <w:tcW w:w="3498" w:type="dxa"/>
                  <w:tcBorders>
                    <w:top w:val="nil"/>
                    <w:left w:val="nil"/>
                    <w:bottom w:val="nil"/>
                    <w:right w:val="nil"/>
                  </w:tcBorders>
                  <w:shd w:val="clear" w:color="auto" w:fill="auto"/>
                  <w:vAlign w:val="center"/>
                </w:tcPr>
                <w:p w14:paraId="3AC4BC2D" w14:textId="4F55088A" w:rsidR="005C7761" w:rsidRPr="00AD7F9C" w:rsidRDefault="005C7761" w:rsidP="00FE2B4B">
                  <w:pPr>
                    <w:jc w:val="left"/>
                    <w:rPr>
                      <w:rFonts w:ascii="Arial" w:hAnsi="Arial" w:cs="Arial"/>
                      <w:sz w:val="22"/>
                      <w:szCs w:val="22"/>
                    </w:rPr>
                  </w:pPr>
                  <w:r w:rsidRPr="00AD7F9C">
                    <w:rPr>
                      <w:rFonts w:ascii="Arial" w:hAnsi="Arial" w:cs="Arial"/>
                      <w:sz w:val="22"/>
                      <w:szCs w:val="22"/>
                    </w:rPr>
                    <w:t xml:space="preserve">Net </w:t>
                  </w:r>
                  <w:r w:rsidR="009A4250" w:rsidRPr="00AD7F9C">
                    <w:rPr>
                      <w:rFonts w:ascii="Arial" w:hAnsi="Arial" w:cs="Arial"/>
                      <w:sz w:val="22"/>
                      <w:szCs w:val="22"/>
                    </w:rPr>
                    <w:t>(decreas</w:t>
                  </w:r>
                  <w:r w:rsidR="00AD7F9C" w:rsidRPr="00AD7F9C">
                    <w:rPr>
                      <w:rFonts w:ascii="Arial" w:hAnsi="Arial" w:cs="Arial"/>
                      <w:sz w:val="22"/>
                      <w:szCs w:val="22"/>
                    </w:rPr>
                    <w:t>e)/</w:t>
                  </w:r>
                  <w:r w:rsidRPr="00AD7F9C">
                    <w:rPr>
                      <w:rFonts w:ascii="Arial" w:hAnsi="Arial" w:cs="Arial"/>
                      <w:sz w:val="22"/>
                      <w:szCs w:val="22"/>
                    </w:rPr>
                    <w:t>increase in cash</w:t>
                  </w:r>
                  <w:r w:rsidR="00E5306B" w:rsidRPr="00AD7F9C">
                    <w:rPr>
                      <w:rFonts w:ascii="Arial" w:hAnsi="Arial" w:cs="Arial"/>
                      <w:sz w:val="22"/>
                      <w:szCs w:val="22"/>
                      <w:vertAlign w:val="superscript"/>
                    </w:rPr>
                    <w:t>(1)</w:t>
                  </w:r>
                </w:p>
              </w:tc>
              <w:tc>
                <w:tcPr>
                  <w:tcW w:w="1327" w:type="dxa"/>
                  <w:tcBorders>
                    <w:top w:val="nil"/>
                    <w:left w:val="nil"/>
                    <w:bottom w:val="nil"/>
                    <w:right w:val="nil"/>
                  </w:tcBorders>
                  <w:vAlign w:val="center"/>
                </w:tcPr>
                <w:p w14:paraId="2873D188" w14:textId="49587990" w:rsidR="005C7761" w:rsidRPr="00337BFB" w:rsidRDefault="005C7761" w:rsidP="00FE2B4B">
                  <w:pPr>
                    <w:jc w:val="right"/>
                    <w:rPr>
                      <w:rFonts w:ascii="Arial" w:hAnsi="Arial" w:cs="Arial"/>
                      <w:sz w:val="22"/>
                      <w:szCs w:val="22"/>
                    </w:rPr>
                  </w:pPr>
                  <w:r w:rsidRPr="00337BFB">
                    <w:rPr>
                      <w:rFonts w:ascii="Arial" w:hAnsi="Arial" w:cs="Arial"/>
                      <w:sz w:val="22"/>
                      <w:szCs w:val="22"/>
                    </w:rPr>
                    <w:t>£</w:t>
                  </w:r>
                  <w:r w:rsidR="00AD7F9C" w:rsidRPr="00337BFB">
                    <w:rPr>
                      <w:rFonts w:ascii="Arial" w:hAnsi="Arial" w:cs="Arial"/>
                      <w:sz w:val="22"/>
                      <w:szCs w:val="22"/>
                    </w:rPr>
                    <w:t>(23</w:t>
                  </w:r>
                  <w:r w:rsidR="005F642E">
                    <w:rPr>
                      <w:rFonts w:ascii="Arial" w:hAnsi="Arial" w:cs="Arial"/>
                      <w:sz w:val="22"/>
                      <w:szCs w:val="22"/>
                    </w:rPr>
                    <w:t>7</w:t>
                  </w:r>
                  <w:r w:rsidR="00AD7F9C" w:rsidRPr="00337BFB">
                    <w:rPr>
                      <w:rFonts w:ascii="Arial" w:hAnsi="Arial" w:cs="Arial"/>
                      <w:sz w:val="22"/>
                      <w:szCs w:val="22"/>
                    </w:rPr>
                    <w:t>)m</w:t>
                  </w:r>
                </w:p>
              </w:tc>
              <w:tc>
                <w:tcPr>
                  <w:tcW w:w="1327" w:type="dxa"/>
                  <w:tcBorders>
                    <w:top w:val="nil"/>
                    <w:left w:val="nil"/>
                    <w:bottom w:val="nil"/>
                    <w:right w:val="nil"/>
                  </w:tcBorders>
                  <w:shd w:val="clear" w:color="auto" w:fill="auto"/>
                  <w:vAlign w:val="center"/>
                </w:tcPr>
                <w:p w14:paraId="7E3A174F" w14:textId="77777777" w:rsidR="005C7761" w:rsidRPr="00AD7F9C" w:rsidRDefault="005C7761" w:rsidP="00FE2B4B">
                  <w:pPr>
                    <w:jc w:val="right"/>
                    <w:rPr>
                      <w:rFonts w:ascii="Arial" w:hAnsi="Arial" w:cs="Arial"/>
                      <w:sz w:val="22"/>
                      <w:szCs w:val="22"/>
                    </w:rPr>
                  </w:pPr>
                  <w:r w:rsidRPr="00AD7F9C">
                    <w:rPr>
                      <w:rFonts w:ascii="Arial" w:hAnsi="Arial" w:cs="Arial"/>
                      <w:sz w:val="22"/>
                      <w:szCs w:val="22"/>
                    </w:rPr>
                    <w:t>£881m</w:t>
                  </w:r>
                </w:p>
              </w:tc>
              <w:tc>
                <w:tcPr>
                  <w:tcW w:w="1298" w:type="dxa"/>
                  <w:tcBorders>
                    <w:top w:val="nil"/>
                    <w:left w:val="nil"/>
                    <w:bottom w:val="nil"/>
                    <w:right w:val="nil"/>
                  </w:tcBorders>
                  <w:vAlign w:val="center"/>
                </w:tcPr>
                <w:p w14:paraId="159D27CA" w14:textId="7745B363" w:rsidR="005C7761" w:rsidRPr="00337BFB" w:rsidRDefault="00AD7F9C" w:rsidP="00FE2B4B">
                  <w:pPr>
                    <w:jc w:val="right"/>
                    <w:rPr>
                      <w:rFonts w:ascii="Arial" w:hAnsi="Arial" w:cs="Arial"/>
                      <w:sz w:val="22"/>
                      <w:szCs w:val="22"/>
                    </w:rPr>
                  </w:pPr>
                  <w:r w:rsidRPr="00337BFB">
                    <w:rPr>
                      <w:rFonts w:ascii="Arial" w:hAnsi="Arial" w:cs="Arial"/>
                      <w:sz w:val="22"/>
                      <w:szCs w:val="22"/>
                    </w:rPr>
                    <w:t>n/a</w:t>
                  </w:r>
                </w:p>
              </w:tc>
              <w:tc>
                <w:tcPr>
                  <w:tcW w:w="1298" w:type="dxa"/>
                  <w:tcBorders>
                    <w:top w:val="nil"/>
                    <w:left w:val="nil"/>
                    <w:bottom w:val="nil"/>
                    <w:right w:val="nil"/>
                  </w:tcBorders>
                  <w:vAlign w:val="center"/>
                </w:tcPr>
                <w:p w14:paraId="490C2E0C" w14:textId="77777777" w:rsidR="005C7761" w:rsidRPr="00AD7F9C"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734F6F01" w14:textId="77777777" w:rsidR="005C7761" w:rsidRPr="00EB4495" w:rsidRDefault="005C7761" w:rsidP="00FE2B4B">
                  <w:pPr>
                    <w:jc w:val="right"/>
                    <w:rPr>
                      <w:rFonts w:ascii="Arial" w:hAnsi="Arial" w:cs="Arial"/>
                      <w:sz w:val="22"/>
                      <w:szCs w:val="22"/>
                    </w:rPr>
                  </w:pPr>
                </w:p>
              </w:tc>
            </w:tr>
            <w:tr w:rsidR="005C7761" w:rsidRPr="00EB4495" w14:paraId="01A3EEEA" w14:textId="77777777" w:rsidTr="00AD7F9C">
              <w:trPr>
                <w:trHeight w:val="269"/>
              </w:trPr>
              <w:tc>
                <w:tcPr>
                  <w:tcW w:w="3498" w:type="dxa"/>
                  <w:tcBorders>
                    <w:top w:val="nil"/>
                    <w:left w:val="nil"/>
                    <w:bottom w:val="nil"/>
                    <w:right w:val="nil"/>
                  </w:tcBorders>
                  <w:shd w:val="clear" w:color="auto" w:fill="auto"/>
                  <w:vAlign w:val="center"/>
                </w:tcPr>
                <w:p w14:paraId="5E4C6A8C" w14:textId="346D0E18" w:rsidR="005C7761" w:rsidRPr="00AD7F9C" w:rsidRDefault="005C7761" w:rsidP="00FE2B4B">
                  <w:pPr>
                    <w:jc w:val="left"/>
                    <w:rPr>
                      <w:rFonts w:ascii="Arial" w:hAnsi="Arial" w:cs="Arial"/>
                      <w:sz w:val="22"/>
                      <w:szCs w:val="22"/>
                    </w:rPr>
                  </w:pPr>
                  <w:r w:rsidRPr="00AD7F9C">
                    <w:rPr>
                      <w:rFonts w:ascii="Arial" w:hAnsi="Arial" w:cs="Arial"/>
                      <w:sz w:val="22"/>
                      <w:szCs w:val="22"/>
                    </w:rPr>
                    <w:t>Total dividend</w:t>
                  </w:r>
                </w:p>
              </w:tc>
              <w:tc>
                <w:tcPr>
                  <w:tcW w:w="1327" w:type="dxa"/>
                  <w:tcBorders>
                    <w:top w:val="nil"/>
                    <w:left w:val="nil"/>
                    <w:bottom w:val="nil"/>
                    <w:right w:val="nil"/>
                  </w:tcBorders>
                  <w:vAlign w:val="center"/>
                </w:tcPr>
                <w:p w14:paraId="34A0635D" w14:textId="77777777" w:rsidR="005C7761" w:rsidRPr="00AD7F9C" w:rsidRDefault="005C7761" w:rsidP="00FE2B4B">
                  <w:pPr>
                    <w:jc w:val="right"/>
                    <w:rPr>
                      <w:rFonts w:ascii="Arial" w:hAnsi="Arial" w:cs="Arial"/>
                      <w:sz w:val="22"/>
                      <w:szCs w:val="22"/>
                    </w:rPr>
                  </w:pPr>
                  <w:r w:rsidRPr="00AD7F9C">
                    <w:rPr>
                      <w:rFonts w:ascii="Arial" w:hAnsi="Arial" w:cs="Arial"/>
                      <w:sz w:val="22"/>
                      <w:szCs w:val="22"/>
                    </w:rPr>
                    <w:t>12.40p</w:t>
                  </w:r>
                </w:p>
              </w:tc>
              <w:tc>
                <w:tcPr>
                  <w:tcW w:w="1327" w:type="dxa"/>
                  <w:tcBorders>
                    <w:top w:val="nil"/>
                    <w:left w:val="nil"/>
                    <w:bottom w:val="nil"/>
                    <w:right w:val="nil"/>
                  </w:tcBorders>
                  <w:shd w:val="clear" w:color="auto" w:fill="auto"/>
                  <w:vAlign w:val="center"/>
                </w:tcPr>
                <w:p w14:paraId="0810ACD9" w14:textId="77777777" w:rsidR="005C7761" w:rsidRPr="00AD7F9C" w:rsidRDefault="005C7761" w:rsidP="00FE2B4B">
                  <w:pPr>
                    <w:jc w:val="right"/>
                    <w:rPr>
                      <w:rFonts w:ascii="Arial" w:hAnsi="Arial" w:cs="Arial"/>
                      <w:sz w:val="22"/>
                      <w:szCs w:val="22"/>
                    </w:rPr>
                  </w:pPr>
                  <w:r w:rsidRPr="00AD7F9C">
                    <w:rPr>
                      <w:rFonts w:ascii="Arial" w:hAnsi="Arial" w:cs="Arial"/>
                      <w:sz w:val="22"/>
                      <w:szCs w:val="22"/>
                    </w:rPr>
                    <w:t>8.25p</w:t>
                  </w:r>
                </w:p>
              </w:tc>
              <w:tc>
                <w:tcPr>
                  <w:tcW w:w="1298" w:type="dxa"/>
                  <w:tcBorders>
                    <w:top w:val="nil"/>
                    <w:left w:val="nil"/>
                    <w:bottom w:val="nil"/>
                    <w:right w:val="nil"/>
                  </w:tcBorders>
                  <w:vAlign w:val="center"/>
                </w:tcPr>
                <w:p w14:paraId="02C3ADF1" w14:textId="77777777" w:rsidR="005C7761" w:rsidRPr="00AD7F9C" w:rsidRDefault="005C7761" w:rsidP="00FE2B4B">
                  <w:pPr>
                    <w:jc w:val="right"/>
                    <w:rPr>
                      <w:rFonts w:ascii="Arial" w:hAnsi="Arial" w:cs="Arial"/>
                      <w:sz w:val="22"/>
                      <w:szCs w:val="22"/>
                    </w:rPr>
                  </w:pPr>
                  <w:r w:rsidRPr="00AD7F9C">
                    <w:rPr>
                      <w:rFonts w:ascii="Arial" w:hAnsi="Arial" w:cs="Arial"/>
                      <w:sz w:val="22"/>
                      <w:szCs w:val="22"/>
                    </w:rPr>
                    <w:t>+50.3%</w:t>
                  </w:r>
                </w:p>
              </w:tc>
              <w:tc>
                <w:tcPr>
                  <w:tcW w:w="1298" w:type="dxa"/>
                  <w:tcBorders>
                    <w:top w:val="nil"/>
                    <w:left w:val="nil"/>
                    <w:bottom w:val="nil"/>
                    <w:right w:val="nil"/>
                  </w:tcBorders>
                  <w:vAlign w:val="center"/>
                </w:tcPr>
                <w:p w14:paraId="27F4B75E" w14:textId="77777777" w:rsidR="005C7761" w:rsidRPr="00AD7F9C"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722B4932" w14:textId="77777777" w:rsidR="005C7761" w:rsidRPr="00EB4495" w:rsidRDefault="005C7761" w:rsidP="00FE2B4B">
                  <w:pPr>
                    <w:jc w:val="right"/>
                    <w:rPr>
                      <w:rFonts w:ascii="Arial" w:hAnsi="Arial" w:cs="Arial"/>
                      <w:sz w:val="22"/>
                      <w:szCs w:val="22"/>
                    </w:rPr>
                  </w:pPr>
                </w:p>
              </w:tc>
            </w:tr>
            <w:tr w:rsidR="005C7761" w:rsidRPr="00EB4495" w14:paraId="7F4429EF" w14:textId="77777777" w:rsidTr="00AD7F9C">
              <w:trPr>
                <w:trHeight w:val="269"/>
              </w:trPr>
              <w:tc>
                <w:tcPr>
                  <w:tcW w:w="3498" w:type="dxa"/>
                  <w:tcBorders>
                    <w:top w:val="nil"/>
                    <w:left w:val="nil"/>
                    <w:bottom w:val="nil"/>
                    <w:right w:val="nil"/>
                  </w:tcBorders>
                  <w:shd w:val="clear" w:color="auto" w:fill="auto"/>
                  <w:vAlign w:val="center"/>
                </w:tcPr>
                <w:p w14:paraId="09114248" w14:textId="77777777" w:rsidR="005C7761" w:rsidRPr="00EB4495" w:rsidRDefault="005C7761" w:rsidP="00FE2B4B">
                  <w:pPr>
                    <w:jc w:val="left"/>
                    <w:rPr>
                      <w:rFonts w:ascii="Arial" w:hAnsi="Arial" w:cs="Arial"/>
                      <w:sz w:val="22"/>
                      <w:szCs w:val="22"/>
                    </w:rPr>
                  </w:pPr>
                </w:p>
              </w:tc>
              <w:tc>
                <w:tcPr>
                  <w:tcW w:w="1327" w:type="dxa"/>
                  <w:tcBorders>
                    <w:top w:val="nil"/>
                    <w:left w:val="nil"/>
                    <w:bottom w:val="nil"/>
                    <w:right w:val="nil"/>
                  </w:tcBorders>
                  <w:vAlign w:val="center"/>
                </w:tcPr>
                <w:p w14:paraId="76286B44" w14:textId="77777777" w:rsidR="005C7761" w:rsidRPr="00EB4495" w:rsidRDefault="005C7761" w:rsidP="00FE2B4B">
                  <w:pPr>
                    <w:jc w:val="right"/>
                    <w:rPr>
                      <w:rFonts w:ascii="Arial" w:hAnsi="Arial" w:cs="Arial"/>
                      <w:sz w:val="22"/>
                      <w:szCs w:val="22"/>
                    </w:rPr>
                  </w:pPr>
                </w:p>
              </w:tc>
              <w:tc>
                <w:tcPr>
                  <w:tcW w:w="1327" w:type="dxa"/>
                  <w:tcBorders>
                    <w:top w:val="nil"/>
                    <w:left w:val="nil"/>
                    <w:bottom w:val="nil"/>
                    <w:right w:val="nil"/>
                  </w:tcBorders>
                  <w:vAlign w:val="center"/>
                </w:tcPr>
                <w:p w14:paraId="07A8145E" w14:textId="77777777" w:rsidR="005C7761" w:rsidRPr="00EB4495"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5622115F" w14:textId="77777777" w:rsidR="005C7761" w:rsidRPr="00EB4495"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74013E54" w14:textId="77777777" w:rsidR="005C7761" w:rsidRPr="00EB4495"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6EC10E08" w14:textId="77777777" w:rsidR="005C7761" w:rsidRPr="00EB4495" w:rsidRDefault="005C7761" w:rsidP="00FE2B4B">
                  <w:pPr>
                    <w:jc w:val="right"/>
                    <w:rPr>
                      <w:rFonts w:ascii="Arial" w:hAnsi="Arial" w:cs="Arial"/>
                      <w:sz w:val="22"/>
                      <w:szCs w:val="22"/>
                    </w:rPr>
                  </w:pPr>
                </w:p>
              </w:tc>
            </w:tr>
            <w:tr w:rsidR="005C7761" w:rsidRPr="00EB4495" w14:paraId="37BF8B11" w14:textId="77777777" w:rsidTr="00AD7F9C">
              <w:trPr>
                <w:trHeight w:val="269"/>
              </w:trPr>
              <w:tc>
                <w:tcPr>
                  <w:tcW w:w="3498" w:type="dxa"/>
                  <w:tcBorders>
                    <w:top w:val="nil"/>
                    <w:left w:val="nil"/>
                    <w:bottom w:val="nil"/>
                    <w:right w:val="nil"/>
                  </w:tcBorders>
                  <w:shd w:val="clear" w:color="auto" w:fill="auto"/>
                  <w:vAlign w:val="center"/>
                </w:tcPr>
                <w:p w14:paraId="7509BEB7" w14:textId="77777777" w:rsidR="005C7761" w:rsidRPr="00EB4495" w:rsidRDefault="005C7761" w:rsidP="00FE2B4B">
                  <w:pPr>
                    <w:jc w:val="left"/>
                    <w:rPr>
                      <w:rFonts w:ascii="Arial" w:hAnsi="Arial" w:cs="Arial"/>
                      <w:sz w:val="22"/>
                      <w:szCs w:val="22"/>
                    </w:rPr>
                  </w:pPr>
                  <w:r w:rsidRPr="00EB4495">
                    <w:rPr>
                      <w:rFonts w:ascii="Arial" w:hAnsi="Arial" w:cs="Arial"/>
                      <w:b/>
                      <w:bCs/>
                      <w:sz w:val="22"/>
                      <w:szCs w:val="22"/>
                      <w:u w:val="single"/>
                    </w:rPr>
                    <w:t>Adjusted metrics</w:t>
                  </w:r>
                </w:p>
              </w:tc>
              <w:tc>
                <w:tcPr>
                  <w:tcW w:w="1327" w:type="dxa"/>
                  <w:tcBorders>
                    <w:top w:val="nil"/>
                    <w:left w:val="nil"/>
                    <w:bottom w:val="nil"/>
                    <w:right w:val="nil"/>
                  </w:tcBorders>
                  <w:vAlign w:val="center"/>
                </w:tcPr>
                <w:p w14:paraId="11E66D4B" w14:textId="77777777" w:rsidR="005C7761" w:rsidRPr="00EB4495" w:rsidRDefault="005C7761" w:rsidP="00FE2B4B">
                  <w:pPr>
                    <w:jc w:val="right"/>
                    <w:rPr>
                      <w:rFonts w:ascii="Arial" w:hAnsi="Arial" w:cs="Arial"/>
                      <w:sz w:val="22"/>
                      <w:szCs w:val="22"/>
                    </w:rPr>
                  </w:pPr>
                </w:p>
              </w:tc>
              <w:tc>
                <w:tcPr>
                  <w:tcW w:w="1327" w:type="dxa"/>
                  <w:tcBorders>
                    <w:top w:val="nil"/>
                    <w:left w:val="nil"/>
                    <w:bottom w:val="nil"/>
                    <w:right w:val="nil"/>
                  </w:tcBorders>
                  <w:vAlign w:val="center"/>
                </w:tcPr>
                <w:p w14:paraId="4FFB7EA2" w14:textId="77777777" w:rsidR="005C7761" w:rsidRPr="00EB4495"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7E35E304" w14:textId="77777777" w:rsidR="005C7761" w:rsidRPr="00EB4495"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74530C4F" w14:textId="77777777" w:rsidR="005C7761" w:rsidRPr="00EB4495"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310C1648" w14:textId="77777777" w:rsidR="005C7761" w:rsidRPr="00EB4495" w:rsidRDefault="005C7761" w:rsidP="00FE2B4B">
                  <w:pPr>
                    <w:jc w:val="right"/>
                    <w:rPr>
                      <w:rFonts w:ascii="Arial" w:hAnsi="Arial" w:cs="Arial"/>
                      <w:sz w:val="22"/>
                      <w:szCs w:val="22"/>
                    </w:rPr>
                  </w:pPr>
                </w:p>
              </w:tc>
            </w:tr>
            <w:tr w:rsidR="005C7761" w:rsidRPr="00EB4495" w14:paraId="2D6975DB" w14:textId="77777777" w:rsidTr="00AD7F9C">
              <w:trPr>
                <w:trHeight w:val="269"/>
              </w:trPr>
              <w:tc>
                <w:tcPr>
                  <w:tcW w:w="3498" w:type="dxa"/>
                  <w:tcBorders>
                    <w:top w:val="nil"/>
                    <w:left w:val="nil"/>
                    <w:bottom w:val="nil"/>
                    <w:right w:val="nil"/>
                  </w:tcBorders>
                  <w:shd w:val="clear" w:color="auto" w:fill="auto"/>
                  <w:vAlign w:val="center"/>
                </w:tcPr>
                <w:p w14:paraId="4A46ECE2" w14:textId="4E4E3BA8" w:rsidR="005C7761" w:rsidRPr="00EB4495" w:rsidRDefault="005C7761" w:rsidP="00FE2B4B">
                  <w:pPr>
                    <w:jc w:val="left"/>
                    <w:rPr>
                      <w:rFonts w:ascii="Arial" w:hAnsi="Arial" w:cs="Arial"/>
                      <w:sz w:val="22"/>
                      <w:szCs w:val="22"/>
                    </w:rPr>
                  </w:pPr>
                  <w:r w:rsidRPr="00EB4495">
                    <w:rPr>
                      <w:rFonts w:ascii="Arial" w:hAnsi="Arial" w:cs="Arial"/>
                      <w:sz w:val="22"/>
                      <w:szCs w:val="22"/>
                    </w:rPr>
                    <w:t>Retail profit</w:t>
                  </w:r>
                </w:p>
              </w:tc>
              <w:tc>
                <w:tcPr>
                  <w:tcW w:w="1327" w:type="dxa"/>
                  <w:tcBorders>
                    <w:top w:val="nil"/>
                    <w:left w:val="nil"/>
                    <w:bottom w:val="nil"/>
                    <w:right w:val="nil"/>
                  </w:tcBorders>
                  <w:vAlign w:val="center"/>
                </w:tcPr>
                <w:p w14:paraId="1DFA6E8C"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£1,148m</w:t>
                  </w:r>
                </w:p>
              </w:tc>
              <w:tc>
                <w:tcPr>
                  <w:tcW w:w="1327" w:type="dxa"/>
                  <w:tcBorders>
                    <w:top w:val="nil"/>
                    <w:left w:val="nil"/>
                    <w:bottom w:val="nil"/>
                    <w:right w:val="nil"/>
                  </w:tcBorders>
                  <w:vAlign w:val="center"/>
                </w:tcPr>
                <w:p w14:paraId="2B6FBF89" w14:textId="77777777" w:rsidR="005C7761" w:rsidRPr="00EB4495" w:rsidRDefault="005C7761" w:rsidP="00FE2B4B">
                  <w:pPr>
                    <w:jc w:val="right"/>
                    <w:rPr>
                      <w:rFonts w:ascii="Arial" w:hAnsi="Arial" w:cs="Arial"/>
                      <w:sz w:val="22"/>
                      <w:szCs w:val="22"/>
                    </w:rPr>
                  </w:pPr>
                  <w:r w:rsidRPr="00EB4495">
                    <w:rPr>
                      <w:rFonts w:ascii="Arial" w:hAnsi="Arial" w:cs="Arial"/>
                      <w:sz w:val="22"/>
                      <w:szCs w:val="22"/>
                    </w:rPr>
                    <w:t>£1,003m</w:t>
                  </w:r>
                </w:p>
              </w:tc>
              <w:tc>
                <w:tcPr>
                  <w:tcW w:w="1298" w:type="dxa"/>
                  <w:tcBorders>
                    <w:top w:val="nil"/>
                    <w:left w:val="nil"/>
                    <w:bottom w:val="nil"/>
                    <w:right w:val="nil"/>
                  </w:tcBorders>
                  <w:vAlign w:val="center"/>
                </w:tcPr>
                <w:p w14:paraId="7913B9F7"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+14.5%</w:t>
                  </w:r>
                </w:p>
              </w:tc>
              <w:tc>
                <w:tcPr>
                  <w:tcW w:w="1298" w:type="dxa"/>
                  <w:tcBorders>
                    <w:top w:val="nil"/>
                    <w:left w:val="nil"/>
                    <w:bottom w:val="nil"/>
                    <w:right w:val="nil"/>
                  </w:tcBorders>
                  <w:vAlign w:val="center"/>
                </w:tcPr>
                <w:p w14:paraId="04D238B6"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+16.7%</w:t>
                  </w:r>
                </w:p>
              </w:tc>
              <w:tc>
                <w:tcPr>
                  <w:tcW w:w="1298" w:type="dxa"/>
                  <w:tcBorders>
                    <w:top w:val="nil"/>
                    <w:left w:val="nil"/>
                    <w:bottom w:val="nil"/>
                    <w:right w:val="nil"/>
                  </w:tcBorders>
                  <w:vAlign w:val="center"/>
                </w:tcPr>
                <w:p w14:paraId="0FD65AE3" w14:textId="77777777" w:rsidR="005C7761" w:rsidRPr="00EB4495" w:rsidRDefault="005C7761" w:rsidP="00FE2B4B">
                  <w:pPr>
                    <w:jc w:val="right"/>
                    <w:rPr>
                      <w:rFonts w:ascii="Arial" w:hAnsi="Arial" w:cs="Arial"/>
                      <w:sz w:val="22"/>
                      <w:szCs w:val="22"/>
                    </w:rPr>
                  </w:pPr>
                </w:p>
              </w:tc>
            </w:tr>
            <w:tr w:rsidR="005C7761" w:rsidRPr="00EB4495" w14:paraId="4B83A3F3" w14:textId="77777777" w:rsidTr="00AD7F9C">
              <w:trPr>
                <w:trHeight w:val="269"/>
              </w:trPr>
              <w:tc>
                <w:tcPr>
                  <w:tcW w:w="3498" w:type="dxa"/>
                  <w:tcBorders>
                    <w:top w:val="nil"/>
                    <w:left w:val="nil"/>
                    <w:bottom w:val="nil"/>
                    <w:right w:val="nil"/>
                  </w:tcBorders>
                  <w:shd w:val="clear" w:color="auto" w:fill="auto"/>
                  <w:vAlign w:val="center"/>
                </w:tcPr>
                <w:p w14:paraId="41DB1FA9" w14:textId="275076F8" w:rsidR="005C7761" w:rsidRPr="00EB4495" w:rsidRDefault="005C7761" w:rsidP="00FE2B4B">
                  <w:pPr>
                    <w:jc w:val="left"/>
                    <w:rPr>
                      <w:rFonts w:ascii="Arial" w:hAnsi="Arial" w:cs="Arial"/>
                      <w:sz w:val="22"/>
                      <w:szCs w:val="22"/>
                    </w:rPr>
                  </w:pPr>
                  <w:r w:rsidRPr="00EB4495">
                    <w:rPr>
                      <w:rFonts w:ascii="Arial" w:hAnsi="Arial" w:cs="Arial"/>
                      <w:sz w:val="22"/>
                      <w:szCs w:val="22"/>
                    </w:rPr>
                    <w:t>Retail profit margin %</w:t>
                  </w:r>
                </w:p>
              </w:tc>
              <w:tc>
                <w:tcPr>
                  <w:tcW w:w="1327" w:type="dxa"/>
                  <w:tcBorders>
                    <w:top w:val="nil"/>
                    <w:left w:val="nil"/>
                    <w:bottom w:val="nil"/>
                    <w:right w:val="nil"/>
                  </w:tcBorders>
                  <w:vAlign w:val="center"/>
                </w:tcPr>
                <w:p w14:paraId="0E5A6CB7"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8.7%</w:t>
                  </w:r>
                </w:p>
              </w:tc>
              <w:tc>
                <w:tcPr>
                  <w:tcW w:w="1327" w:type="dxa"/>
                  <w:tcBorders>
                    <w:top w:val="nil"/>
                    <w:left w:val="nil"/>
                    <w:bottom w:val="nil"/>
                    <w:right w:val="nil"/>
                  </w:tcBorders>
                  <w:shd w:val="clear" w:color="auto" w:fill="auto"/>
                  <w:vAlign w:val="center"/>
                </w:tcPr>
                <w:p w14:paraId="3E09658C" w14:textId="77777777" w:rsidR="005C7761" w:rsidRPr="00EB4495" w:rsidRDefault="005C7761" w:rsidP="00FE2B4B">
                  <w:pPr>
                    <w:jc w:val="right"/>
                    <w:rPr>
                      <w:rFonts w:ascii="Arial" w:hAnsi="Arial" w:cs="Arial"/>
                      <w:sz w:val="22"/>
                      <w:szCs w:val="22"/>
                    </w:rPr>
                  </w:pPr>
                  <w:r w:rsidRPr="00EB4495">
                    <w:rPr>
                      <w:rFonts w:ascii="Arial" w:hAnsi="Arial" w:cs="Arial"/>
                      <w:sz w:val="22"/>
                      <w:szCs w:val="22"/>
                    </w:rPr>
                    <w:t>8.1%</w:t>
                  </w:r>
                </w:p>
              </w:tc>
              <w:tc>
                <w:tcPr>
                  <w:tcW w:w="1298" w:type="dxa"/>
                  <w:tcBorders>
                    <w:top w:val="nil"/>
                    <w:left w:val="nil"/>
                    <w:bottom w:val="nil"/>
                    <w:right w:val="nil"/>
                  </w:tcBorders>
                  <w:vAlign w:val="center"/>
                </w:tcPr>
                <w:p w14:paraId="09898720"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+60bps</w:t>
                  </w:r>
                </w:p>
              </w:tc>
              <w:tc>
                <w:tcPr>
                  <w:tcW w:w="1298" w:type="dxa"/>
                  <w:tcBorders>
                    <w:top w:val="nil"/>
                    <w:left w:val="nil"/>
                    <w:bottom w:val="nil"/>
                    <w:right w:val="nil"/>
                  </w:tcBorders>
                  <w:vAlign w:val="center"/>
                </w:tcPr>
                <w:p w14:paraId="7C11933D" w14:textId="77777777" w:rsidR="005C7761" w:rsidRPr="00EB4495" w:rsidRDefault="005C7761" w:rsidP="00FE2B4B">
                  <w:pPr>
                    <w:jc w:val="right"/>
                    <w:rPr>
                      <w:rFonts w:ascii="Arial" w:hAnsi="Arial" w:cs="Arial"/>
                      <w:sz w:val="22"/>
                      <w:szCs w:val="22"/>
                      <w:highlight w:val="yellow"/>
                    </w:rPr>
                  </w:pPr>
                  <w:r w:rsidRPr="00EB4495">
                    <w:rPr>
                      <w:rFonts w:ascii="Arial" w:hAnsi="Arial" w:cs="Arial"/>
                      <w:sz w:val="22"/>
                      <w:szCs w:val="22"/>
                    </w:rPr>
                    <w:t>+50bps</w:t>
                  </w:r>
                </w:p>
              </w:tc>
              <w:tc>
                <w:tcPr>
                  <w:tcW w:w="1298" w:type="dxa"/>
                  <w:tcBorders>
                    <w:top w:val="nil"/>
                    <w:left w:val="nil"/>
                    <w:bottom w:val="nil"/>
                    <w:right w:val="nil"/>
                  </w:tcBorders>
                  <w:vAlign w:val="center"/>
                </w:tcPr>
                <w:p w14:paraId="494A8957" w14:textId="77777777" w:rsidR="005C7761" w:rsidRPr="00EB4495" w:rsidRDefault="005C7761" w:rsidP="00FE2B4B">
                  <w:pPr>
                    <w:jc w:val="right"/>
                    <w:rPr>
                      <w:rFonts w:ascii="Arial" w:hAnsi="Arial" w:cs="Arial"/>
                      <w:sz w:val="22"/>
                      <w:szCs w:val="22"/>
                    </w:rPr>
                  </w:pPr>
                </w:p>
              </w:tc>
            </w:tr>
            <w:tr w:rsidR="005C7761" w:rsidRPr="00EB4495" w14:paraId="100BA573" w14:textId="77777777" w:rsidTr="00AD7F9C">
              <w:trPr>
                <w:trHeight w:val="269"/>
              </w:trPr>
              <w:tc>
                <w:tcPr>
                  <w:tcW w:w="3498" w:type="dxa"/>
                  <w:tcBorders>
                    <w:top w:val="nil"/>
                    <w:left w:val="nil"/>
                    <w:bottom w:val="nil"/>
                    <w:right w:val="nil"/>
                  </w:tcBorders>
                  <w:shd w:val="clear" w:color="auto" w:fill="auto"/>
                  <w:vAlign w:val="center"/>
                </w:tcPr>
                <w:p w14:paraId="143576D9" w14:textId="3141EE9A" w:rsidR="005C7761" w:rsidRPr="00804101" w:rsidRDefault="005C7761" w:rsidP="00FE2B4B">
                  <w:pPr>
                    <w:jc w:val="left"/>
                    <w:rPr>
                      <w:rFonts w:ascii="Arial" w:hAnsi="Arial" w:cs="Arial"/>
                      <w:sz w:val="22"/>
                      <w:szCs w:val="22"/>
                    </w:rPr>
                  </w:pPr>
                  <w:r w:rsidRPr="00804101">
                    <w:rPr>
                      <w:rFonts w:ascii="Arial" w:hAnsi="Arial" w:cs="Arial"/>
                      <w:sz w:val="22"/>
                      <w:szCs w:val="22"/>
                    </w:rPr>
                    <w:t>Adjusted pre-tax profit</w:t>
                  </w:r>
                </w:p>
              </w:tc>
              <w:tc>
                <w:tcPr>
                  <w:tcW w:w="1327" w:type="dxa"/>
                  <w:tcBorders>
                    <w:top w:val="nil"/>
                    <w:left w:val="nil"/>
                    <w:bottom w:val="nil"/>
                    <w:right w:val="nil"/>
                  </w:tcBorders>
                  <w:vAlign w:val="center"/>
                </w:tcPr>
                <w:p w14:paraId="621D26F1" w14:textId="77777777" w:rsidR="005C7761" w:rsidRPr="00804101" w:rsidRDefault="005C7761" w:rsidP="00FE2B4B">
                  <w:pPr>
                    <w:jc w:val="right"/>
                    <w:rPr>
                      <w:rFonts w:ascii="Arial" w:hAnsi="Arial" w:cs="Arial"/>
                      <w:sz w:val="22"/>
                      <w:szCs w:val="22"/>
                    </w:rPr>
                  </w:pPr>
                  <w:r w:rsidRPr="00804101">
                    <w:rPr>
                      <w:rFonts w:ascii="Arial" w:hAnsi="Arial" w:cs="Arial"/>
                      <w:sz w:val="22"/>
                      <w:szCs w:val="22"/>
                    </w:rPr>
                    <w:t>£949m</w:t>
                  </w:r>
                </w:p>
              </w:tc>
              <w:tc>
                <w:tcPr>
                  <w:tcW w:w="1327" w:type="dxa"/>
                  <w:tcBorders>
                    <w:top w:val="nil"/>
                    <w:left w:val="nil"/>
                    <w:bottom w:val="nil"/>
                    <w:right w:val="nil"/>
                  </w:tcBorders>
                  <w:shd w:val="clear" w:color="auto" w:fill="auto"/>
                  <w:vAlign w:val="center"/>
                </w:tcPr>
                <w:p w14:paraId="136BC9AA" w14:textId="77777777" w:rsidR="005C7761" w:rsidRPr="00804101" w:rsidRDefault="005C7761" w:rsidP="00FE2B4B">
                  <w:pPr>
                    <w:jc w:val="right"/>
                    <w:rPr>
                      <w:rFonts w:ascii="Arial" w:hAnsi="Arial" w:cs="Arial"/>
                      <w:sz w:val="22"/>
                      <w:szCs w:val="22"/>
                    </w:rPr>
                  </w:pPr>
                  <w:r w:rsidRPr="00804101">
                    <w:rPr>
                      <w:rFonts w:ascii="Arial" w:hAnsi="Arial" w:cs="Arial"/>
                      <w:sz w:val="22"/>
                      <w:szCs w:val="22"/>
                    </w:rPr>
                    <w:t>£786m</w:t>
                  </w:r>
                </w:p>
              </w:tc>
              <w:tc>
                <w:tcPr>
                  <w:tcW w:w="1298" w:type="dxa"/>
                  <w:tcBorders>
                    <w:top w:val="nil"/>
                    <w:left w:val="nil"/>
                    <w:bottom w:val="nil"/>
                    <w:right w:val="nil"/>
                  </w:tcBorders>
                  <w:vAlign w:val="center"/>
                </w:tcPr>
                <w:p w14:paraId="292437A1" w14:textId="2A30F463" w:rsidR="005C7761" w:rsidRPr="00804101" w:rsidRDefault="005C7761" w:rsidP="00FE2B4B">
                  <w:pPr>
                    <w:jc w:val="right"/>
                    <w:rPr>
                      <w:rFonts w:ascii="Arial" w:hAnsi="Arial" w:cs="Arial"/>
                      <w:sz w:val="22"/>
                      <w:szCs w:val="22"/>
                    </w:rPr>
                  </w:pPr>
                  <w:r w:rsidRPr="00804101">
                    <w:rPr>
                      <w:rFonts w:ascii="Arial" w:hAnsi="Arial" w:cs="Arial"/>
                      <w:sz w:val="22"/>
                      <w:szCs w:val="22"/>
                    </w:rPr>
                    <w:t>+20.9%</w:t>
                  </w:r>
                </w:p>
              </w:tc>
              <w:tc>
                <w:tcPr>
                  <w:tcW w:w="1298" w:type="dxa"/>
                  <w:tcBorders>
                    <w:top w:val="nil"/>
                    <w:left w:val="nil"/>
                    <w:bottom w:val="nil"/>
                    <w:right w:val="nil"/>
                  </w:tcBorders>
                  <w:vAlign w:val="center"/>
                </w:tcPr>
                <w:p w14:paraId="6D76F028" w14:textId="77777777" w:rsidR="005C7761" w:rsidRPr="00EB4495" w:rsidRDefault="005C7761" w:rsidP="00FE2B4B">
                  <w:pPr>
                    <w:jc w:val="right"/>
                    <w:rPr>
                      <w:rFonts w:ascii="Arial" w:hAnsi="Arial" w:cs="Arial"/>
                      <w:sz w:val="22"/>
                      <w:szCs w:val="22"/>
                    </w:rPr>
                  </w:pPr>
                </w:p>
              </w:tc>
              <w:tc>
                <w:tcPr>
                  <w:tcW w:w="1298" w:type="dxa"/>
                  <w:tcBorders>
                    <w:top w:val="nil"/>
                    <w:left w:val="nil"/>
                    <w:bottom w:val="nil"/>
                    <w:right w:val="nil"/>
                  </w:tcBorders>
                  <w:vAlign w:val="center"/>
                </w:tcPr>
                <w:p w14:paraId="06E8121D" w14:textId="77777777" w:rsidR="005C7761" w:rsidRPr="00EB4495" w:rsidRDefault="005C7761" w:rsidP="00FE2B4B">
                  <w:pPr>
                    <w:jc w:val="right"/>
                    <w:rPr>
                      <w:rFonts w:ascii="Arial" w:hAnsi="Arial" w:cs="Arial"/>
                      <w:sz w:val="22"/>
                      <w:szCs w:val="22"/>
                    </w:rPr>
                  </w:pPr>
                </w:p>
              </w:tc>
            </w:tr>
            <w:tr w:rsidR="00804101" w:rsidRPr="00EB4495" w14:paraId="77E72083" w14:textId="77777777" w:rsidTr="00AD7F9C">
              <w:trPr>
                <w:trHeight w:val="269"/>
              </w:trPr>
              <w:tc>
                <w:tcPr>
                  <w:tcW w:w="3498" w:type="dxa"/>
                  <w:tcBorders>
                    <w:top w:val="nil"/>
                    <w:left w:val="nil"/>
                    <w:bottom w:val="nil"/>
                    <w:right w:val="nil"/>
                  </w:tcBorders>
                  <w:shd w:val="clear" w:color="auto" w:fill="auto"/>
                  <w:vAlign w:val="center"/>
                </w:tcPr>
                <w:p w14:paraId="585F8129" w14:textId="5D19AFC9" w:rsidR="00804101" w:rsidRPr="00804101" w:rsidRDefault="00804101" w:rsidP="00804101">
                  <w:pPr>
                    <w:jc w:val="left"/>
                    <w:rPr>
                      <w:rFonts w:ascii="Arial" w:hAnsi="Arial" w:cs="Arial"/>
                    </w:rPr>
                  </w:pPr>
                  <w:r w:rsidRPr="00804101">
                    <w:rPr>
                      <w:rFonts w:ascii="Arial" w:hAnsi="Arial" w:cs="Arial"/>
                      <w:sz w:val="22"/>
                      <w:szCs w:val="22"/>
                    </w:rPr>
                    <w:t>Adjusted pre-tax profit margin %</w:t>
                  </w:r>
                </w:p>
              </w:tc>
              <w:tc>
                <w:tcPr>
                  <w:tcW w:w="1327" w:type="dxa"/>
                  <w:tcBorders>
                    <w:top w:val="nil"/>
                    <w:left w:val="nil"/>
                    <w:bottom w:val="nil"/>
                    <w:right w:val="nil"/>
                  </w:tcBorders>
                  <w:vAlign w:val="center"/>
                </w:tcPr>
                <w:p w14:paraId="62EAE03A" w14:textId="1E611A45" w:rsidR="00804101" w:rsidRPr="00BD7E90" w:rsidRDefault="00804101" w:rsidP="00804101">
                  <w:pPr>
                    <w:jc w:val="right"/>
                    <w:rPr>
                      <w:rFonts w:ascii="Arial" w:hAnsi="Arial" w:cs="Arial"/>
                    </w:rPr>
                  </w:pPr>
                  <w:r w:rsidRPr="00BD7E90">
                    <w:rPr>
                      <w:rFonts w:ascii="Arial" w:hAnsi="Arial" w:cs="Arial"/>
                      <w:sz w:val="22"/>
                      <w:szCs w:val="22"/>
                    </w:rPr>
                    <w:t>7.2%</w:t>
                  </w:r>
                </w:p>
              </w:tc>
              <w:tc>
                <w:tcPr>
                  <w:tcW w:w="1327" w:type="dxa"/>
                  <w:tcBorders>
                    <w:top w:val="nil"/>
                    <w:left w:val="nil"/>
                    <w:bottom w:val="nil"/>
                    <w:right w:val="nil"/>
                  </w:tcBorders>
                  <w:shd w:val="clear" w:color="auto" w:fill="auto"/>
                  <w:vAlign w:val="center"/>
                </w:tcPr>
                <w:p w14:paraId="67A90535" w14:textId="01D81381" w:rsidR="00804101" w:rsidRPr="00BD7E90" w:rsidRDefault="00804101" w:rsidP="00804101">
                  <w:pPr>
                    <w:jc w:val="right"/>
                    <w:rPr>
                      <w:rFonts w:ascii="Arial" w:hAnsi="Arial" w:cs="Arial"/>
                    </w:rPr>
                  </w:pPr>
                  <w:r w:rsidRPr="00BD7E90">
                    <w:rPr>
                      <w:rFonts w:ascii="Arial" w:hAnsi="Arial" w:cs="Arial"/>
                      <w:sz w:val="22"/>
                      <w:szCs w:val="22"/>
                    </w:rPr>
                    <w:t>6.4%</w:t>
                  </w:r>
                </w:p>
              </w:tc>
              <w:tc>
                <w:tcPr>
                  <w:tcW w:w="1298" w:type="dxa"/>
                  <w:tcBorders>
                    <w:top w:val="nil"/>
                    <w:left w:val="nil"/>
                    <w:bottom w:val="nil"/>
                    <w:right w:val="nil"/>
                  </w:tcBorders>
                  <w:vAlign w:val="center"/>
                </w:tcPr>
                <w:p w14:paraId="5A39B0EC" w14:textId="6213E726" w:rsidR="00804101" w:rsidRPr="00BD7E90" w:rsidRDefault="00804101" w:rsidP="00804101">
                  <w:pPr>
                    <w:jc w:val="right"/>
                    <w:rPr>
                      <w:rFonts w:ascii="Arial" w:hAnsi="Arial" w:cs="Arial"/>
                    </w:rPr>
                  </w:pPr>
                  <w:r w:rsidRPr="00BD7E90">
                    <w:rPr>
                      <w:rFonts w:ascii="Arial" w:hAnsi="Arial" w:cs="Arial"/>
                      <w:sz w:val="22"/>
                      <w:szCs w:val="22"/>
                    </w:rPr>
                    <w:t>+80bps</w:t>
                  </w:r>
                </w:p>
              </w:tc>
              <w:tc>
                <w:tcPr>
                  <w:tcW w:w="1298" w:type="dxa"/>
                  <w:tcBorders>
                    <w:top w:val="nil"/>
                    <w:left w:val="nil"/>
                    <w:bottom w:val="nil"/>
                    <w:right w:val="nil"/>
                  </w:tcBorders>
                  <w:vAlign w:val="center"/>
                </w:tcPr>
                <w:p w14:paraId="7245326F" w14:textId="77777777" w:rsidR="00804101" w:rsidRPr="00EB4495" w:rsidRDefault="00804101" w:rsidP="00804101">
                  <w:pPr>
                    <w:jc w:val="right"/>
                    <w:rPr>
                      <w:rFonts w:ascii="Arial" w:hAnsi="Arial" w:cs="Arial"/>
                    </w:rPr>
                  </w:pPr>
                </w:p>
              </w:tc>
              <w:tc>
                <w:tcPr>
                  <w:tcW w:w="1298" w:type="dxa"/>
                  <w:tcBorders>
                    <w:top w:val="nil"/>
                    <w:left w:val="nil"/>
                    <w:bottom w:val="nil"/>
                    <w:right w:val="nil"/>
                  </w:tcBorders>
                  <w:vAlign w:val="center"/>
                </w:tcPr>
                <w:p w14:paraId="63ACD152" w14:textId="77777777" w:rsidR="00804101" w:rsidRPr="00EB4495" w:rsidRDefault="00804101" w:rsidP="00804101">
                  <w:pPr>
                    <w:jc w:val="right"/>
                    <w:rPr>
                      <w:rFonts w:ascii="Arial" w:hAnsi="Arial" w:cs="Arial"/>
                    </w:rPr>
                  </w:pPr>
                </w:p>
              </w:tc>
            </w:tr>
            <w:tr w:rsidR="00E5306B" w:rsidRPr="00EB4495" w14:paraId="214B8ED0" w14:textId="77777777" w:rsidTr="00AD7F9C">
              <w:trPr>
                <w:trHeight w:val="269"/>
              </w:trPr>
              <w:tc>
                <w:tcPr>
                  <w:tcW w:w="3498" w:type="dxa"/>
                  <w:tcBorders>
                    <w:top w:val="nil"/>
                    <w:left w:val="nil"/>
                    <w:bottom w:val="nil"/>
                    <w:right w:val="nil"/>
                  </w:tcBorders>
                  <w:shd w:val="clear" w:color="auto" w:fill="auto"/>
                  <w:vAlign w:val="center"/>
                </w:tcPr>
                <w:p w14:paraId="29D6E81F" w14:textId="1E04B0A6" w:rsidR="00E5306B" w:rsidRPr="00804101" w:rsidRDefault="00E5306B" w:rsidP="00E5306B">
                  <w:pPr>
                    <w:jc w:val="left"/>
                    <w:rPr>
                      <w:rFonts w:ascii="Arial" w:hAnsi="Arial" w:cs="Arial"/>
                      <w:sz w:val="22"/>
                      <w:szCs w:val="22"/>
                    </w:rPr>
                  </w:pPr>
                  <w:r w:rsidRPr="00804101">
                    <w:rPr>
                      <w:rFonts w:ascii="Arial" w:hAnsi="Arial" w:cs="Arial"/>
                      <w:sz w:val="22"/>
                      <w:szCs w:val="22"/>
                    </w:rPr>
                    <w:t>Adjusted post-tax profit</w:t>
                  </w:r>
                </w:p>
              </w:tc>
              <w:tc>
                <w:tcPr>
                  <w:tcW w:w="1327" w:type="dxa"/>
                  <w:tcBorders>
                    <w:top w:val="nil"/>
                    <w:left w:val="nil"/>
                    <w:bottom w:val="nil"/>
                    <w:right w:val="nil"/>
                  </w:tcBorders>
                  <w:vAlign w:val="center"/>
                </w:tcPr>
                <w:p w14:paraId="3493C1B5" w14:textId="247A0A38" w:rsidR="00E5306B" w:rsidRPr="00804101" w:rsidRDefault="00E5306B" w:rsidP="00E5306B">
                  <w:pPr>
                    <w:jc w:val="right"/>
                    <w:rPr>
                      <w:rFonts w:ascii="Arial" w:hAnsi="Arial" w:cs="Arial"/>
                      <w:sz w:val="22"/>
                      <w:szCs w:val="22"/>
                    </w:rPr>
                  </w:pPr>
                  <w:r w:rsidRPr="00804101">
                    <w:rPr>
                      <w:rFonts w:ascii="Arial" w:hAnsi="Arial" w:cs="Arial"/>
                      <w:sz w:val="22"/>
                      <w:szCs w:val="22"/>
                    </w:rPr>
                    <w:t>£737m</w:t>
                  </w:r>
                </w:p>
              </w:tc>
              <w:tc>
                <w:tcPr>
                  <w:tcW w:w="1327" w:type="dxa"/>
                  <w:tcBorders>
                    <w:top w:val="nil"/>
                    <w:left w:val="nil"/>
                    <w:bottom w:val="nil"/>
                    <w:right w:val="nil"/>
                  </w:tcBorders>
                  <w:shd w:val="clear" w:color="auto" w:fill="auto"/>
                  <w:vAlign w:val="center"/>
                </w:tcPr>
                <w:p w14:paraId="237B0B6E" w14:textId="77777777" w:rsidR="00E5306B" w:rsidRPr="00804101" w:rsidRDefault="00E5306B" w:rsidP="00E5306B">
                  <w:pPr>
                    <w:jc w:val="right"/>
                    <w:rPr>
                      <w:rFonts w:ascii="Arial" w:hAnsi="Arial" w:cs="Arial"/>
                      <w:sz w:val="22"/>
                      <w:szCs w:val="22"/>
                    </w:rPr>
                  </w:pPr>
                  <w:r w:rsidRPr="00804101">
                    <w:rPr>
                      <w:rFonts w:ascii="Arial" w:hAnsi="Arial" w:cs="Arial"/>
                      <w:sz w:val="22"/>
                      <w:szCs w:val="22"/>
                    </w:rPr>
                    <w:t>£604m</w:t>
                  </w:r>
                </w:p>
              </w:tc>
              <w:tc>
                <w:tcPr>
                  <w:tcW w:w="1298" w:type="dxa"/>
                  <w:tcBorders>
                    <w:top w:val="nil"/>
                    <w:left w:val="nil"/>
                    <w:bottom w:val="nil"/>
                    <w:right w:val="nil"/>
                  </w:tcBorders>
                  <w:vAlign w:val="center"/>
                </w:tcPr>
                <w:p w14:paraId="42724A29" w14:textId="71EE73EA" w:rsidR="00E5306B" w:rsidRPr="00804101" w:rsidRDefault="00E5306B" w:rsidP="00E5306B">
                  <w:pPr>
                    <w:jc w:val="right"/>
                    <w:rPr>
                      <w:rFonts w:ascii="Arial" w:hAnsi="Arial" w:cs="Arial"/>
                      <w:sz w:val="22"/>
                      <w:szCs w:val="22"/>
                    </w:rPr>
                  </w:pPr>
                  <w:r w:rsidRPr="00804101">
                    <w:rPr>
                      <w:rFonts w:ascii="Arial" w:hAnsi="Arial" w:cs="Arial"/>
                      <w:sz w:val="22"/>
                      <w:szCs w:val="22"/>
                    </w:rPr>
                    <w:t>+22.0%</w:t>
                  </w:r>
                </w:p>
              </w:tc>
              <w:tc>
                <w:tcPr>
                  <w:tcW w:w="1298" w:type="dxa"/>
                  <w:tcBorders>
                    <w:top w:val="nil"/>
                    <w:left w:val="nil"/>
                    <w:bottom w:val="nil"/>
                    <w:right w:val="nil"/>
                  </w:tcBorders>
                  <w:vAlign w:val="center"/>
                </w:tcPr>
                <w:p w14:paraId="3593E082" w14:textId="77777777" w:rsidR="00E5306B" w:rsidRPr="00EB4495" w:rsidRDefault="00E5306B" w:rsidP="00E5306B">
                  <w:pPr>
                    <w:jc w:val="right"/>
                    <w:rPr>
                      <w:rFonts w:ascii="Arial" w:hAnsi="Arial" w:cs="Arial"/>
                      <w:sz w:val="22"/>
                      <w:szCs w:val="22"/>
                      <w:highlight w:val="yellow"/>
                    </w:rPr>
                  </w:pPr>
                </w:p>
              </w:tc>
              <w:tc>
                <w:tcPr>
                  <w:tcW w:w="1298" w:type="dxa"/>
                  <w:tcBorders>
                    <w:top w:val="nil"/>
                    <w:left w:val="nil"/>
                    <w:bottom w:val="nil"/>
                    <w:right w:val="nil"/>
                  </w:tcBorders>
                  <w:vAlign w:val="center"/>
                </w:tcPr>
                <w:p w14:paraId="0518BE5C" w14:textId="77777777" w:rsidR="00E5306B" w:rsidRPr="00EB4495" w:rsidRDefault="00E5306B" w:rsidP="00E5306B">
                  <w:pPr>
                    <w:jc w:val="right"/>
                    <w:rPr>
                      <w:rFonts w:ascii="Arial" w:hAnsi="Arial" w:cs="Arial"/>
                      <w:sz w:val="22"/>
                      <w:szCs w:val="22"/>
                    </w:rPr>
                  </w:pPr>
                </w:p>
              </w:tc>
            </w:tr>
            <w:tr w:rsidR="00E5306B" w:rsidRPr="00EB4495" w14:paraId="4A434B0C" w14:textId="77777777" w:rsidTr="00AD7F9C">
              <w:trPr>
                <w:trHeight w:val="269"/>
              </w:trPr>
              <w:tc>
                <w:tcPr>
                  <w:tcW w:w="3498" w:type="dxa"/>
                  <w:tcBorders>
                    <w:top w:val="nil"/>
                    <w:left w:val="nil"/>
                    <w:bottom w:val="nil"/>
                    <w:right w:val="nil"/>
                  </w:tcBorders>
                  <w:shd w:val="clear" w:color="auto" w:fill="auto"/>
                  <w:vAlign w:val="center"/>
                </w:tcPr>
                <w:p w14:paraId="6AB28EA9" w14:textId="45559AA8" w:rsidR="00E5306B" w:rsidRPr="00EB4495" w:rsidRDefault="00E5306B" w:rsidP="00E5306B">
                  <w:pPr>
                    <w:jc w:val="left"/>
                    <w:rPr>
                      <w:rFonts w:ascii="Arial" w:hAnsi="Arial" w:cs="Arial"/>
                      <w:sz w:val="22"/>
                      <w:szCs w:val="22"/>
                    </w:rPr>
                  </w:pPr>
                  <w:r w:rsidRPr="00EB4495">
                    <w:rPr>
                      <w:rFonts w:ascii="Arial" w:hAnsi="Arial" w:cs="Arial"/>
                      <w:sz w:val="22"/>
                      <w:szCs w:val="22"/>
                    </w:rPr>
                    <w:t>Adjusted basic EPS</w:t>
                  </w:r>
                </w:p>
              </w:tc>
              <w:tc>
                <w:tcPr>
                  <w:tcW w:w="1327" w:type="dxa"/>
                  <w:tcBorders>
                    <w:top w:val="nil"/>
                    <w:left w:val="nil"/>
                    <w:bottom w:val="nil"/>
                    <w:right w:val="nil"/>
                  </w:tcBorders>
                  <w:vAlign w:val="center"/>
                </w:tcPr>
                <w:p w14:paraId="5F17E613" w14:textId="4E2975E9" w:rsidR="00E5306B" w:rsidRPr="00804101" w:rsidRDefault="00E5306B" w:rsidP="00E5306B">
                  <w:pPr>
                    <w:jc w:val="right"/>
                    <w:rPr>
                      <w:rFonts w:ascii="Arial" w:hAnsi="Arial" w:cs="Arial"/>
                      <w:sz w:val="22"/>
                      <w:szCs w:val="22"/>
                    </w:rPr>
                  </w:pPr>
                  <w:r w:rsidRPr="00804101">
                    <w:rPr>
                      <w:rFonts w:ascii="Arial" w:hAnsi="Arial" w:cs="Arial"/>
                      <w:sz w:val="22"/>
                      <w:szCs w:val="22"/>
                    </w:rPr>
                    <w:t>35.2p</w:t>
                  </w:r>
                </w:p>
              </w:tc>
              <w:tc>
                <w:tcPr>
                  <w:tcW w:w="1327" w:type="dxa"/>
                  <w:tcBorders>
                    <w:top w:val="nil"/>
                    <w:left w:val="nil"/>
                    <w:bottom w:val="nil"/>
                    <w:right w:val="nil"/>
                  </w:tcBorders>
                  <w:vAlign w:val="center"/>
                </w:tcPr>
                <w:p w14:paraId="32E24A55" w14:textId="77777777" w:rsidR="00E5306B" w:rsidRPr="0056048C" w:rsidRDefault="00E5306B" w:rsidP="00E5306B">
                  <w:pPr>
                    <w:jc w:val="right"/>
                    <w:rPr>
                      <w:rFonts w:ascii="Arial" w:hAnsi="Arial" w:cs="Arial"/>
                      <w:sz w:val="22"/>
                      <w:szCs w:val="22"/>
                    </w:rPr>
                  </w:pPr>
                  <w:r w:rsidRPr="0056048C">
                    <w:rPr>
                      <w:rFonts w:ascii="Arial" w:hAnsi="Arial" w:cs="Arial"/>
                      <w:sz w:val="22"/>
                      <w:szCs w:val="22"/>
                    </w:rPr>
                    <w:t>28.7p</w:t>
                  </w:r>
                </w:p>
              </w:tc>
              <w:tc>
                <w:tcPr>
                  <w:tcW w:w="1298" w:type="dxa"/>
                  <w:tcBorders>
                    <w:top w:val="nil"/>
                    <w:left w:val="nil"/>
                    <w:bottom w:val="nil"/>
                    <w:right w:val="nil"/>
                  </w:tcBorders>
                  <w:vAlign w:val="center"/>
                </w:tcPr>
                <w:p w14:paraId="2E4A7A25" w14:textId="45605C83" w:rsidR="00E5306B" w:rsidRPr="00804101" w:rsidRDefault="00E5306B" w:rsidP="00E5306B">
                  <w:pPr>
                    <w:jc w:val="right"/>
                    <w:rPr>
                      <w:rFonts w:ascii="Arial" w:hAnsi="Arial" w:cs="Arial"/>
                      <w:sz w:val="22"/>
                      <w:szCs w:val="22"/>
                    </w:rPr>
                  </w:pPr>
                  <w:r w:rsidRPr="00804101">
                    <w:rPr>
                      <w:rFonts w:ascii="Arial" w:hAnsi="Arial" w:cs="Arial"/>
                      <w:sz w:val="22"/>
                      <w:szCs w:val="22"/>
                    </w:rPr>
                    <w:t>+</w:t>
                  </w:r>
                  <w:r>
                    <w:rPr>
                      <w:rFonts w:ascii="Arial" w:hAnsi="Arial" w:cs="Arial"/>
                      <w:sz w:val="22"/>
                      <w:szCs w:val="22"/>
                    </w:rPr>
                    <w:t>22</w:t>
                  </w:r>
                  <w:r w:rsidRPr="00804101">
                    <w:rPr>
                      <w:rFonts w:ascii="Arial" w:hAnsi="Arial" w:cs="Arial"/>
                      <w:sz w:val="22"/>
                      <w:szCs w:val="22"/>
                    </w:rPr>
                    <w:t>.</w:t>
                  </w:r>
                  <w:r>
                    <w:rPr>
                      <w:rFonts w:ascii="Arial" w:hAnsi="Arial" w:cs="Arial"/>
                      <w:sz w:val="22"/>
                      <w:szCs w:val="22"/>
                    </w:rPr>
                    <w:t>6</w:t>
                  </w:r>
                  <w:r w:rsidRPr="00804101">
                    <w:rPr>
                      <w:rFonts w:ascii="Arial" w:hAnsi="Arial" w:cs="Arial"/>
                      <w:sz w:val="22"/>
                      <w:szCs w:val="22"/>
                    </w:rPr>
                    <w:t>%</w:t>
                  </w:r>
                </w:p>
              </w:tc>
              <w:tc>
                <w:tcPr>
                  <w:tcW w:w="1298" w:type="dxa"/>
                  <w:tcBorders>
                    <w:top w:val="nil"/>
                    <w:left w:val="nil"/>
                    <w:bottom w:val="nil"/>
                    <w:right w:val="nil"/>
                  </w:tcBorders>
                  <w:vAlign w:val="center"/>
                </w:tcPr>
                <w:p w14:paraId="7A3C9A0E" w14:textId="77777777" w:rsidR="00E5306B" w:rsidRPr="00EB4495" w:rsidRDefault="00E5306B" w:rsidP="00E5306B">
                  <w:pPr>
                    <w:jc w:val="right"/>
                    <w:rPr>
                      <w:rFonts w:ascii="Arial" w:hAnsi="Arial" w:cs="Arial"/>
                      <w:sz w:val="22"/>
                      <w:szCs w:val="22"/>
                      <w:highlight w:val="yellow"/>
                    </w:rPr>
                  </w:pPr>
                </w:p>
              </w:tc>
              <w:tc>
                <w:tcPr>
                  <w:tcW w:w="1298" w:type="dxa"/>
                  <w:tcBorders>
                    <w:top w:val="nil"/>
                    <w:left w:val="nil"/>
                    <w:bottom w:val="nil"/>
                    <w:right w:val="nil"/>
                  </w:tcBorders>
                  <w:vAlign w:val="center"/>
                </w:tcPr>
                <w:p w14:paraId="01EF0945" w14:textId="77777777" w:rsidR="00E5306B" w:rsidRPr="00EB4495" w:rsidRDefault="00E5306B" w:rsidP="00E5306B">
                  <w:pPr>
                    <w:jc w:val="right"/>
                    <w:rPr>
                      <w:rFonts w:ascii="Arial" w:hAnsi="Arial" w:cs="Arial"/>
                      <w:sz w:val="22"/>
                      <w:szCs w:val="22"/>
                    </w:rPr>
                  </w:pPr>
                </w:p>
              </w:tc>
            </w:tr>
            <w:tr w:rsidR="00E5306B" w:rsidRPr="00EB4495" w14:paraId="7A774DB2" w14:textId="77777777" w:rsidTr="00AD7F9C">
              <w:trPr>
                <w:trHeight w:val="269"/>
              </w:trPr>
              <w:tc>
                <w:tcPr>
                  <w:tcW w:w="3498" w:type="dxa"/>
                  <w:tcBorders>
                    <w:top w:val="nil"/>
                    <w:left w:val="nil"/>
                    <w:bottom w:val="nil"/>
                    <w:right w:val="nil"/>
                  </w:tcBorders>
                  <w:vAlign w:val="center"/>
                </w:tcPr>
                <w:p w14:paraId="12A2E0EF" w14:textId="2B02728D" w:rsidR="00E5306B" w:rsidRPr="00EB4495" w:rsidRDefault="00E5306B" w:rsidP="00E5306B">
                  <w:pPr>
                    <w:jc w:val="left"/>
                    <w:rPr>
                      <w:rFonts w:ascii="Arial" w:hAnsi="Arial" w:cs="Arial"/>
                      <w:sz w:val="22"/>
                      <w:szCs w:val="22"/>
                    </w:rPr>
                  </w:pPr>
                  <w:r w:rsidRPr="00EB4495">
                    <w:rPr>
                      <w:rFonts w:ascii="Arial" w:hAnsi="Arial" w:cs="Arial"/>
                      <w:sz w:val="22"/>
                      <w:szCs w:val="22"/>
                    </w:rPr>
                    <w:t>Free cash flow</w:t>
                  </w:r>
                </w:p>
              </w:tc>
              <w:tc>
                <w:tcPr>
                  <w:tcW w:w="1327" w:type="dxa"/>
                  <w:tcBorders>
                    <w:top w:val="nil"/>
                    <w:left w:val="nil"/>
                    <w:bottom w:val="nil"/>
                    <w:right w:val="nil"/>
                  </w:tcBorders>
                  <w:vAlign w:val="center"/>
                </w:tcPr>
                <w:p w14:paraId="0D9BE594" w14:textId="77777777" w:rsidR="00E5306B" w:rsidRPr="00EB4495" w:rsidRDefault="00E5306B" w:rsidP="00E5306B">
                  <w:pPr>
                    <w:jc w:val="right"/>
                    <w:rPr>
                      <w:rFonts w:ascii="Arial" w:hAnsi="Arial" w:cs="Arial"/>
                      <w:sz w:val="22"/>
                      <w:szCs w:val="22"/>
                      <w:highlight w:val="yellow"/>
                    </w:rPr>
                  </w:pPr>
                  <w:r w:rsidRPr="00EB4495">
                    <w:rPr>
                      <w:rFonts w:ascii="Arial" w:hAnsi="Arial" w:cs="Arial"/>
                      <w:sz w:val="22"/>
                      <w:szCs w:val="22"/>
                    </w:rPr>
                    <w:t>£385m</w:t>
                  </w:r>
                </w:p>
              </w:tc>
              <w:tc>
                <w:tcPr>
                  <w:tcW w:w="1327" w:type="dxa"/>
                  <w:tcBorders>
                    <w:top w:val="nil"/>
                    <w:left w:val="nil"/>
                    <w:bottom w:val="nil"/>
                    <w:right w:val="nil"/>
                  </w:tcBorders>
                  <w:vAlign w:val="center"/>
                </w:tcPr>
                <w:p w14:paraId="30C30D72" w14:textId="77777777" w:rsidR="00E5306B" w:rsidRPr="00EB4495" w:rsidRDefault="00E5306B" w:rsidP="00E5306B">
                  <w:pPr>
                    <w:jc w:val="right"/>
                    <w:rPr>
                      <w:rFonts w:ascii="Arial" w:hAnsi="Arial" w:cs="Arial"/>
                      <w:sz w:val="22"/>
                      <w:szCs w:val="22"/>
                    </w:rPr>
                  </w:pPr>
                  <w:r w:rsidRPr="00EB4495">
                    <w:rPr>
                      <w:rFonts w:ascii="Arial" w:hAnsi="Arial" w:cs="Arial"/>
                      <w:sz w:val="22"/>
                      <w:szCs w:val="22"/>
                    </w:rPr>
                    <w:t>£938m</w:t>
                  </w:r>
                </w:p>
              </w:tc>
              <w:tc>
                <w:tcPr>
                  <w:tcW w:w="1298" w:type="dxa"/>
                  <w:tcBorders>
                    <w:top w:val="nil"/>
                    <w:left w:val="nil"/>
                    <w:bottom w:val="nil"/>
                    <w:right w:val="nil"/>
                  </w:tcBorders>
                  <w:vAlign w:val="center"/>
                </w:tcPr>
                <w:p w14:paraId="45E7AE79" w14:textId="77777777" w:rsidR="00E5306B" w:rsidRPr="00EB4495" w:rsidRDefault="00E5306B" w:rsidP="00E5306B">
                  <w:pPr>
                    <w:jc w:val="right"/>
                    <w:rPr>
                      <w:rFonts w:ascii="Arial" w:hAnsi="Arial" w:cs="Arial"/>
                      <w:sz w:val="22"/>
                      <w:szCs w:val="22"/>
                      <w:highlight w:val="yellow"/>
                    </w:rPr>
                  </w:pPr>
                  <w:r w:rsidRPr="00EB4495">
                    <w:rPr>
                      <w:rFonts w:ascii="Arial" w:hAnsi="Arial" w:cs="Arial"/>
                      <w:sz w:val="22"/>
                      <w:szCs w:val="22"/>
                    </w:rPr>
                    <w:t>(59.0)%</w:t>
                  </w:r>
                </w:p>
              </w:tc>
              <w:tc>
                <w:tcPr>
                  <w:tcW w:w="1298" w:type="dxa"/>
                  <w:tcBorders>
                    <w:top w:val="nil"/>
                    <w:left w:val="nil"/>
                    <w:bottom w:val="nil"/>
                    <w:right w:val="nil"/>
                  </w:tcBorders>
                  <w:vAlign w:val="center"/>
                </w:tcPr>
                <w:p w14:paraId="641D2C8D" w14:textId="77777777" w:rsidR="00E5306B" w:rsidRPr="00EB4495" w:rsidRDefault="00E5306B" w:rsidP="00E5306B">
                  <w:pPr>
                    <w:jc w:val="right"/>
                    <w:rPr>
                      <w:rFonts w:ascii="Arial" w:hAnsi="Arial" w:cs="Arial"/>
                      <w:sz w:val="22"/>
                      <w:szCs w:val="22"/>
                      <w:highlight w:val="yellow"/>
                    </w:rPr>
                  </w:pPr>
                </w:p>
              </w:tc>
              <w:tc>
                <w:tcPr>
                  <w:tcW w:w="1298" w:type="dxa"/>
                  <w:tcBorders>
                    <w:top w:val="nil"/>
                    <w:left w:val="nil"/>
                    <w:bottom w:val="nil"/>
                    <w:right w:val="nil"/>
                  </w:tcBorders>
                  <w:vAlign w:val="center"/>
                </w:tcPr>
                <w:p w14:paraId="4E42F9D5" w14:textId="77777777" w:rsidR="00E5306B" w:rsidRPr="00EB4495" w:rsidRDefault="00E5306B" w:rsidP="00E5306B">
                  <w:pPr>
                    <w:jc w:val="right"/>
                    <w:rPr>
                      <w:rFonts w:ascii="Arial" w:hAnsi="Arial" w:cs="Arial"/>
                      <w:sz w:val="22"/>
                      <w:szCs w:val="22"/>
                    </w:rPr>
                  </w:pPr>
                </w:p>
              </w:tc>
            </w:tr>
            <w:tr w:rsidR="00E5306B" w:rsidRPr="00EB4495" w14:paraId="116761D3" w14:textId="77777777" w:rsidTr="00AD7F9C">
              <w:trPr>
                <w:trHeight w:val="269"/>
              </w:trPr>
              <w:tc>
                <w:tcPr>
                  <w:tcW w:w="3498" w:type="dxa"/>
                  <w:tcBorders>
                    <w:top w:val="nil"/>
                    <w:left w:val="nil"/>
                    <w:bottom w:val="nil"/>
                    <w:right w:val="nil"/>
                  </w:tcBorders>
                  <w:vAlign w:val="center"/>
                </w:tcPr>
                <w:p w14:paraId="4DECA664" w14:textId="29FB250B" w:rsidR="00E5306B" w:rsidRPr="00EB4495" w:rsidRDefault="00E5306B" w:rsidP="00E5306B">
                  <w:pPr>
                    <w:jc w:val="left"/>
                    <w:rPr>
                      <w:rFonts w:ascii="Arial" w:hAnsi="Arial" w:cs="Arial"/>
                      <w:sz w:val="22"/>
                      <w:szCs w:val="22"/>
                    </w:rPr>
                  </w:pPr>
                  <w:r w:rsidRPr="00EB4495">
                    <w:rPr>
                      <w:rFonts w:ascii="Arial" w:hAnsi="Arial" w:cs="Arial"/>
                      <w:sz w:val="22"/>
                      <w:szCs w:val="22"/>
                    </w:rPr>
                    <w:t>Net debt</w:t>
                  </w:r>
                  <w:r w:rsidRPr="00EB4495">
                    <w:rPr>
                      <w:rFonts w:ascii="Arial" w:hAnsi="Arial" w:cs="Arial"/>
                      <w:sz w:val="22"/>
                      <w:szCs w:val="22"/>
                      <w:vertAlign w:val="superscript"/>
                    </w:rPr>
                    <w:t>(2)</w:t>
                  </w:r>
                </w:p>
              </w:tc>
              <w:tc>
                <w:tcPr>
                  <w:tcW w:w="1327" w:type="dxa"/>
                  <w:tcBorders>
                    <w:top w:val="nil"/>
                    <w:left w:val="nil"/>
                    <w:bottom w:val="nil"/>
                    <w:right w:val="nil"/>
                  </w:tcBorders>
                  <w:vAlign w:val="center"/>
                </w:tcPr>
                <w:p w14:paraId="0AB82692" w14:textId="331C5441" w:rsidR="00E5306B" w:rsidRPr="00EB4495" w:rsidRDefault="00E5306B" w:rsidP="00E5306B">
                  <w:pPr>
                    <w:jc w:val="right"/>
                    <w:rPr>
                      <w:rFonts w:ascii="Arial" w:hAnsi="Arial" w:cs="Arial"/>
                      <w:sz w:val="22"/>
                      <w:szCs w:val="22"/>
                      <w:highlight w:val="yellow"/>
                    </w:rPr>
                  </w:pPr>
                  <w:r w:rsidRPr="00EB4495">
                    <w:rPr>
                      <w:rFonts w:ascii="Arial" w:hAnsi="Arial" w:cs="Arial"/>
                      <w:sz w:val="22"/>
                      <w:szCs w:val="22"/>
                    </w:rPr>
                    <w:t>£(1,5</w:t>
                  </w:r>
                  <w:r>
                    <w:rPr>
                      <w:rFonts w:ascii="Arial" w:hAnsi="Arial" w:cs="Arial"/>
                      <w:sz w:val="22"/>
                      <w:szCs w:val="22"/>
                    </w:rPr>
                    <w:t>72</w:t>
                  </w:r>
                  <w:r w:rsidRPr="00EB4495">
                    <w:rPr>
                      <w:rFonts w:ascii="Arial" w:hAnsi="Arial" w:cs="Arial"/>
                      <w:sz w:val="22"/>
                      <w:szCs w:val="22"/>
                    </w:rPr>
                    <w:t>)m</w:t>
                  </w:r>
                </w:p>
              </w:tc>
              <w:tc>
                <w:tcPr>
                  <w:tcW w:w="1327" w:type="dxa"/>
                  <w:tcBorders>
                    <w:top w:val="nil"/>
                    <w:left w:val="nil"/>
                    <w:bottom w:val="nil"/>
                    <w:right w:val="nil"/>
                  </w:tcBorders>
                  <w:vAlign w:val="center"/>
                </w:tcPr>
                <w:p w14:paraId="55AC5327" w14:textId="77777777" w:rsidR="00E5306B" w:rsidRPr="00EB4495" w:rsidRDefault="00E5306B" w:rsidP="00E5306B">
                  <w:pPr>
                    <w:jc w:val="right"/>
                    <w:rPr>
                      <w:rFonts w:ascii="Arial" w:hAnsi="Arial" w:cs="Arial"/>
                      <w:sz w:val="22"/>
                      <w:szCs w:val="22"/>
                    </w:rPr>
                  </w:pPr>
                  <w:r w:rsidRPr="00EB4495">
                    <w:rPr>
                      <w:rFonts w:ascii="Arial" w:hAnsi="Arial" w:cs="Arial"/>
                      <w:sz w:val="22"/>
                      <w:szCs w:val="22"/>
                    </w:rPr>
                    <w:t>£(1,394)m</w:t>
                  </w:r>
                </w:p>
              </w:tc>
              <w:tc>
                <w:tcPr>
                  <w:tcW w:w="1298" w:type="dxa"/>
                  <w:tcBorders>
                    <w:top w:val="nil"/>
                    <w:left w:val="nil"/>
                    <w:bottom w:val="nil"/>
                    <w:right w:val="nil"/>
                  </w:tcBorders>
                  <w:vAlign w:val="center"/>
                </w:tcPr>
                <w:p w14:paraId="4EFEEE23" w14:textId="0349EAF7" w:rsidR="00E5306B" w:rsidRPr="00EB4495" w:rsidRDefault="00E5306B" w:rsidP="00E5306B">
                  <w:pPr>
                    <w:jc w:val="right"/>
                    <w:rPr>
                      <w:rFonts w:ascii="Arial" w:hAnsi="Arial" w:cs="Arial"/>
                      <w:sz w:val="22"/>
                      <w:szCs w:val="22"/>
                      <w:highlight w:val="yellow"/>
                    </w:rPr>
                  </w:pPr>
                  <w:r w:rsidRPr="00EB4495">
                    <w:rPr>
                      <w:rFonts w:ascii="Arial" w:hAnsi="Arial" w:cs="Arial"/>
                      <w:sz w:val="22"/>
                      <w:szCs w:val="22"/>
                    </w:rPr>
                    <w:t>(1</w:t>
                  </w:r>
                  <w:r>
                    <w:rPr>
                      <w:rFonts w:ascii="Arial" w:hAnsi="Arial" w:cs="Arial"/>
                      <w:sz w:val="22"/>
                      <w:szCs w:val="22"/>
                    </w:rPr>
                    <w:t>2</w:t>
                  </w:r>
                  <w:r w:rsidRPr="00EB4495">
                    <w:rPr>
                      <w:rFonts w:ascii="Arial" w:hAnsi="Arial" w:cs="Arial"/>
                      <w:sz w:val="22"/>
                      <w:szCs w:val="22"/>
                    </w:rPr>
                    <w:t>.</w:t>
                  </w:r>
                  <w:r>
                    <w:rPr>
                      <w:rFonts w:ascii="Arial" w:hAnsi="Arial" w:cs="Arial"/>
                      <w:sz w:val="22"/>
                      <w:szCs w:val="22"/>
                    </w:rPr>
                    <w:t>7</w:t>
                  </w:r>
                  <w:r w:rsidRPr="00EB4495">
                    <w:rPr>
                      <w:rFonts w:ascii="Arial" w:hAnsi="Arial" w:cs="Arial"/>
                      <w:sz w:val="22"/>
                      <w:szCs w:val="22"/>
                    </w:rPr>
                    <w:t>)%</w:t>
                  </w:r>
                </w:p>
              </w:tc>
              <w:tc>
                <w:tcPr>
                  <w:tcW w:w="1298" w:type="dxa"/>
                  <w:tcBorders>
                    <w:top w:val="nil"/>
                    <w:left w:val="nil"/>
                    <w:bottom w:val="nil"/>
                    <w:right w:val="nil"/>
                  </w:tcBorders>
                  <w:vAlign w:val="center"/>
                </w:tcPr>
                <w:p w14:paraId="25028EEE" w14:textId="77777777" w:rsidR="00E5306B" w:rsidRPr="00EB4495" w:rsidRDefault="00E5306B" w:rsidP="00E5306B">
                  <w:pPr>
                    <w:jc w:val="right"/>
                    <w:rPr>
                      <w:rFonts w:ascii="Arial" w:hAnsi="Arial" w:cs="Arial"/>
                      <w:sz w:val="22"/>
                      <w:szCs w:val="22"/>
                      <w:highlight w:val="yellow"/>
                    </w:rPr>
                  </w:pPr>
                </w:p>
              </w:tc>
              <w:tc>
                <w:tcPr>
                  <w:tcW w:w="1298" w:type="dxa"/>
                  <w:tcBorders>
                    <w:top w:val="nil"/>
                    <w:left w:val="nil"/>
                    <w:bottom w:val="nil"/>
                    <w:right w:val="nil"/>
                  </w:tcBorders>
                  <w:vAlign w:val="center"/>
                </w:tcPr>
                <w:p w14:paraId="6E320E9C" w14:textId="77777777" w:rsidR="00E5306B" w:rsidRPr="00EB4495" w:rsidRDefault="00E5306B" w:rsidP="00E5306B">
                  <w:pPr>
                    <w:jc w:val="right"/>
                    <w:rPr>
                      <w:rFonts w:ascii="Arial" w:hAnsi="Arial" w:cs="Arial"/>
                      <w:sz w:val="22"/>
                      <w:szCs w:val="22"/>
                    </w:rPr>
                  </w:pPr>
                </w:p>
              </w:tc>
            </w:tr>
          </w:tbl>
          <w:p w14:paraId="4620858A" w14:textId="77777777" w:rsidR="005C7761" w:rsidRPr="00EB4495" w:rsidRDefault="005C7761" w:rsidP="00FE2B4B">
            <w:pPr>
              <w:jc w:val="left"/>
              <w:rPr>
                <w:rFonts w:ascii="Arial" w:hAnsi="Arial" w:cs="Arial"/>
                <w:b/>
                <w:bCs/>
                <w:sz w:val="24"/>
                <w:szCs w:val="24"/>
                <w:u w:val="single"/>
              </w:rPr>
            </w:pPr>
          </w:p>
        </w:tc>
      </w:tr>
    </w:tbl>
    <w:p w14:paraId="36B3C069" w14:textId="77777777" w:rsidR="005C7761" w:rsidRPr="00DE0F31" w:rsidRDefault="005C7761" w:rsidP="005C7761">
      <w:pPr>
        <w:jc w:val="left"/>
        <w:rPr>
          <w:rFonts w:ascii="Arial" w:hAnsi="Arial" w:cs="Arial"/>
          <w:szCs w:val="24"/>
        </w:rPr>
      </w:pPr>
    </w:p>
    <w:p w14:paraId="7F3C3D72" w14:textId="1595B335" w:rsidR="0035042E" w:rsidRPr="00DE0F31" w:rsidRDefault="0035042E" w:rsidP="0035042E">
      <w:pPr>
        <w:jc w:val="left"/>
        <w:rPr>
          <w:rFonts w:ascii="Arial" w:hAnsi="Arial" w:cs="Arial"/>
          <w:sz w:val="18"/>
          <w:szCs w:val="18"/>
          <w:vertAlign w:val="superscript"/>
        </w:rPr>
      </w:pPr>
      <w:r w:rsidRPr="00DE0F31">
        <w:rPr>
          <w:rFonts w:ascii="Arial" w:hAnsi="Arial" w:cs="Arial"/>
          <w:sz w:val="18"/>
          <w:vertAlign w:val="superscript"/>
        </w:rPr>
        <w:t>(1)</w:t>
      </w:r>
      <w:r w:rsidRPr="00DE0F31">
        <w:rPr>
          <w:rFonts w:ascii="Arial" w:hAnsi="Arial" w:cs="Arial"/>
          <w:sz w:val="18"/>
        </w:rPr>
        <w:t xml:space="preserve"> Net </w:t>
      </w:r>
      <w:r w:rsidR="00AD7F9C">
        <w:rPr>
          <w:rFonts w:ascii="Arial" w:hAnsi="Arial" w:cs="Arial"/>
          <w:sz w:val="18"/>
        </w:rPr>
        <w:t>(decrease)/</w:t>
      </w:r>
      <w:r w:rsidRPr="00DE0F31">
        <w:rPr>
          <w:rFonts w:ascii="Arial" w:hAnsi="Arial" w:cs="Arial"/>
          <w:sz w:val="18"/>
        </w:rPr>
        <w:t>increase in cash and cash equivalents and bank overdrafts.</w:t>
      </w:r>
      <w:r w:rsidRPr="00DE0F31">
        <w:rPr>
          <w:rFonts w:ascii="Arial" w:hAnsi="Arial" w:cs="Arial"/>
          <w:sz w:val="18"/>
          <w:szCs w:val="18"/>
          <w:vertAlign w:val="superscript"/>
        </w:rPr>
        <w:t xml:space="preserve"> </w:t>
      </w:r>
    </w:p>
    <w:p w14:paraId="450E2BA9" w14:textId="18B1A819" w:rsidR="0035042E" w:rsidRPr="00DE0F31" w:rsidRDefault="0035042E" w:rsidP="0035042E">
      <w:pPr>
        <w:jc w:val="left"/>
        <w:rPr>
          <w:rFonts w:ascii="Arial" w:hAnsi="Arial" w:cs="Arial"/>
          <w:sz w:val="18"/>
          <w:szCs w:val="18"/>
        </w:rPr>
      </w:pPr>
      <w:r w:rsidRPr="00DE0F31">
        <w:rPr>
          <w:rFonts w:ascii="Arial" w:hAnsi="Arial" w:cs="Arial"/>
          <w:sz w:val="18"/>
          <w:szCs w:val="18"/>
          <w:vertAlign w:val="superscript"/>
        </w:rPr>
        <w:t>(2)</w:t>
      </w:r>
      <w:r w:rsidRPr="00DE0F31">
        <w:rPr>
          <w:rFonts w:ascii="Arial" w:hAnsi="Arial" w:cs="Arial"/>
          <w:sz w:val="18"/>
          <w:szCs w:val="18"/>
        </w:rPr>
        <w:t xml:space="preserve"> Net debt includes c.£2.4</w:t>
      </w:r>
      <w:r w:rsidR="000F2F06" w:rsidRPr="00DE0F31">
        <w:rPr>
          <w:rFonts w:ascii="Arial" w:hAnsi="Arial" w:cs="Arial"/>
          <w:sz w:val="18"/>
          <w:szCs w:val="18"/>
        </w:rPr>
        <w:t>bn</w:t>
      </w:r>
      <w:r w:rsidRPr="00DE0F31">
        <w:rPr>
          <w:rFonts w:ascii="Arial" w:hAnsi="Arial" w:cs="Arial"/>
          <w:sz w:val="18"/>
          <w:szCs w:val="18"/>
        </w:rPr>
        <w:t xml:space="preserve"> lease liabilities under IFRS 16 in FY 21/22 (FY 20/21: c.£2.4</w:t>
      </w:r>
      <w:r w:rsidR="000F2F06" w:rsidRPr="00DE0F31">
        <w:rPr>
          <w:rFonts w:ascii="Arial" w:hAnsi="Arial" w:cs="Arial"/>
          <w:sz w:val="18"/>
          <w:szCs w:val="18"/>
        </w:rPr>
        <w:t>bn</w:t>
      </w:r>
      <w:r w:rsidRPr="00DE0F31">
        <w:rPr>
          <w:rFonts w:ascii="Arial" w:hAnsi="Arial" w:cs="Arial"/>
          <w:sz w:val="18"/>
          <w:szCs w:val="18"/>
        </w:rPr>
        <w:t>).</w:t>
      </w:r>
    </w:p>
    <w:p w14:paraId="4BADC5F0" w14:textId="77777777" w:rsidR="0035042E" w:rsidRPr="00DE0F31" w:rsidRDefault="0035042E" w:rsidP="0035042E">
      <w:pPr>
        <w:jc w:val="left"/>
        <w:rPr>
          <w:rFonts w:ascii="Arial" w:hAnsi="Arial" w:cs="Arial"/>
          <w:szCs w:val="24"/>
        </w:rPr>
      </w:pPr>
    </w:p>
    <w:p w14:paraId="1F00E574" w14:textId="728A7B28" w:rsidR="006C0FF7" w:rsidRDefault="0035042E" w:rsidP="0035042E">
      <w:pPr>
        <w:jc w:val="left"/>
        <w:rPr>
          <w:rFonts w:ascii="Arial" w:hAnsi="Arial" w:cs="Arial"/>
        </w:rPr>
      </w:pPr>
      <w:r w:rsidRPr="00E344C4">
        <w:rPr>
          <w:rFonts w:ascii="Arial" w:hAnsi="Arial" w:cs="Arial"/>
        </w:rPr>
        <w:t xml:space="preserve">Total </w:t>
      </w:r>
      <w:r w:rsidRPr="00E344C4">
        <w:rPr>
          <w:rFonts w:ascii="Arial" w:hAnsi="Arial" w:cs="Arial"/>
          <w:b/>
        </w:rPr>
        <w:t>sales</w:t>
      </w:r>
      <w:r w:rsidRPr="00E344C4">
        <w:rPr>
          <w:rFonts w:ascii="Arial" w:hAnsi="Arial" w:cs="Arial"/>
        </w:rPr>
        <w:t xml:space="preserve"> </w:t>
      </w:r>
      <w:r w:rsidRPr="00302695">
        <w:rPr>
          <w:rFonts w:ascii="Arial" w:hAnsi="Arial" w:cs="Arial"/>
        </w:rPr>
        <w:t xml:space="preserve">increased by </w:t>
      </w:r>
      <w:r w:rsidRPr="00D10BA2">
        <w:rPr>
          <w:rFonts w:ascii="Arial" w:hAnsi="Arial" w:cs="Arial"/>
        </w:rPr>
        <w:t>9.7</w:t>
      </w:r>
      <w:r w:rsidRPr="00302695">
        <w:rPr>
          <w:rFonts w:ascii="Arial" w:hAnsi="Arial" w:cs="Arial"/>
        </w:rPr>
        <w:t>% on a constant currency basis, to £</w:t>
      </w:r>
      <w:r w:rsidRPr="00D10BA2">
        <w:rPr>
          <w:rFonts w:ascii="Arial" w:hAnsi="Arial" w:cs="Arial"/>
        </w:rPr>
        <w:t>13,183</w:t>
      </w:r>
      <w:r w:rsidR="000F2F06">
        <w:rPr>
          <w:rFonts w:ascii="Arial" w:hAnsi="Arial" w:cs="Arial"/>
        </w:rPr>
        <w:t>m</w:t>
      </w:r>
      <w:r w:rsidRPr="00302695">
        <w:rPr>
          <w:rFonts w:ascii="Arial" w:hAnsi="Arial" w:cs="Arial"/>
        </w:rPr>
        <w:t xml:space="preserve">, largely driven </w:t>
      </w:r>
      <w:r w:rsidRPr="00302695">
        <w:rPr>
          <w:rFonts w:ascii="Arial" w:hAnsi="Arial" w:cs="Arial"/>
          <w:bCs/>
        </w:rPr>
        <w:t xml:space="preserve">by </w:t>
      </w:r>
      <w:r w:rsidRPr="00302695">
        <w:rPr>
          <w:rFonts w:ascii="Arial" w:hAnsi="Arial" w:cs="Arial"/>
        </w:rPr>
        <w:t xml:space="preserve">a strong sales performance in the UK and France. On a reported basis, which includes the impact of exchange rates, total sales increased by </w:t>
      </w:r>
      <w:r w:rsidRPr="00D10BA2">
        <w:rPr>
          <w:rFonts w:ascii="Arial" w:hAnsi="Arial" w:cs="Arial"/>
        </w:rPr>
        <w:t>6.8</w:t>
      </w:r>
      <w:r w:rsidRPr="00302695">
        <w:rPr>
          <w:rFonts w:ascii="Arial" w:hAnsi="Arial" w:cs="Arial"/>
        </w:rPr>
        <w:t xml:space="preserve">%. </w:t>
      </w:r>
    </w:p>
    <w:p w14:paraId="73CA91E6" w14:textId="77777777" w:rsidR="006C0FF7" w:rsidRDefault="006C0FF7" w:rsidP="0035042E">
      <w:pPr>
        <w:jc w:val="left"/>
        <w:rPr>
          <w:rFonts w:ascii="Arial" w:hAnsi="Arial" w:cs="Arial"/>
        </w:rPr>
      </w:pPr>
    </w:p>
    <w:p w14:paraId="648F7655" w14:textId="205E6223" w:rsidR="0035042E" w:rsidRDefault="0035042E" w:rsidP="0035042E">
      <w:pPr>
        <w:jc w:val="left"/>
        <w:rPr>
          <w:rFonts w:ascii="Arial" w:hAnsi="Arial" w:cs="Arial"/>
        </w:rPr>
      </w:pPr>
      <w:r w:rsidRPr="00AC05F3">
        <w:rPr>
          <w:rFonts w:ascii="Arial" w:hAnsi="Arial" w:cs="Arial"/>
          <w:b/>
          <w:bCs/>
        </w:rPr>
        <w:t>LFL sales</w:t>
      </w:r>
      <w:r w:rsidRPr="00302695">
        <w:rPr>
          <w:rFonts w:ascii="Arial" w:hAnsi="Arial" w:cs="Arial"/>
        </w:rPr>
        <w:t xml:space="preserve"> increased by </w:t>
      </w:r>
      <w:r w:rsidRPr="00D10BA2">
        <w:rPr>
          <w:rFonts w:ascii="Arial" w:hAnsi="Arial" w:cs="Arial"/>
        </w:rPr>
        <w:t>9.9</w:t>
      </w:r>
      <w:r w:rsidRPr="00302695">
        <w:rPr>
          <w:rFonts w:ascii="Arial" w:hAnsi="Arial" w:cs="Arial"/>
        </w:rPr>
        <w:t xml:space="preserve">%, which excludes the sales impact from a net reduction in space of </w:t>
      </w:r>
      <w:r w:rsidRPr="00D10BA2">
        <w:rPr>
          <w:rFonts w:ascii="Arial" w:hAnsi="Arial" w:cs="Arial"/>
        </w:rPr>
        <w:t>-0.2</w:t>
      </w:r>
      <w:r w:rsidRPr="00302695">
        <w:rPr>
          <w:rFonts w:ascii="Arial" w:hAnsi="Arial" w:cs="Arial"/>
        </w:rPr>
        <w:t>%,</w:t>
      </w:r>
      <w:r w:rsidRPr="003A1B1F">
        <w:rPr>
          <w:rFonts w:ascii="Arial" w:hAnsi="Arial" w:cs="Arial"/>
        </w:rPr>
        <w:t xml:space="preserve"> </w:t>
      </w:r>
      <w:r>
        <w:rPr>
          <w:rFonts w:ascii="Arial" w:hAnsi="Arial" w:cs="Arial"/>
        </w:rPr>
        <w:t xml:space="preserve">with space growth in the UK and France offset </w:t>
      </w:r>
      <w:r w:rsidRPr="003A1B1F">
        <w:rPr>
          <w:rFonts w:ascii="Arial" w:hAnsi="Arial" w:cs="Arial"/>
        </w:rPr>
        <w:t xml:space="preserve">by the </w:t>
      </w:r>
      <w:r>
        <w:rPr>
          <w:rFonts w:ascii="Arial" w:hAnsi="Arial" w:cs="Arial"/>
        </w:rPr>
        <w:t>space annuali</w:t>
      </w:r>
      <w:r w:rsidR="0047435D">
        <w:rPr>
          <w:rFonts w:ascii="Arial" w:hAnsi="Arial" w:cs="Arial"/>
        </w:rPr>
        <w:t>s</w:t>
      </w:r>
      <w:r>
        <w:rPr>
          <w:rFonts w:ascii="Arial" w:hAnsi="Arial" w:cs="Arial"/>
        </w:rPr>
        <w:t xml:space="preserve">ation impact from the </w:t>
      </w:r>
      <w:r w:rsidRPr="003A1B1F">
        <w:rPr>
          <w:rFonts w:ascii="Arial" w:hAnsi="Arial" w:cs="Arial"/>
        </w:rPr>
        <w:t xml:space="preserve">disposal of Russia </w:t>
      </w:r>
      <w:r>
        <w:rPr>
          <w:rFonts w:ascii="Arial" w:hAnsi="Arial" w:cs="Arial"/>
        </w:rPr>
        <w:t xml:space="preserve">in </w:t>
      </w:r>
      <w:r w:rsidRPr="0006231B">
        <w:rPr>
          <w:rFonts w:ascii="Arial" w:hAnsi="Arial" w:cs="Arial"/>
        </w:rPr>
        <w:t xml:space="preserve">September 2020. During FY 21/22, we opened </w:t>
      </w:r>
      <w:r w:rsidR="009640FA">
        <w:rPr>
          <w:rFonts w:ascii="Arial" w:hAnsi="Arial" w:cs="Arial"/>
        </w:rPr>
        <w:t>90</w:t>
      </w:r>
      <w:r w:rsidR="009640FA" w:rsidRPr="0006231B">
        <w:rPr>
          <w:rFonts w:ascii="Arial" w:hAnsi="Arial" w:cs="Arial"/>
        </w:rPr>
        <w:t xml:space="preserve"> </w:t>
      </w:r>
      <w:r w:rsidRPr="0006231B">
        <w:rPr>
          <w:rFonts w:ascii="Arial" w:hAnsi="Arial" w:cs="Arial"/>
        </w:rPr>
        <w:t xml:space="preserve">new stores (including </w:t>
      </w:r>
      <w:r w:rsidR="00C347D7">
        <w:rPr>
          <w:rFonts w:ascii="Arial" w:hAnsi="Arial" w:cs="Arial"/>
        </w:rPr>
        <w:t>69</w:t>
      </w:r>
      <w:r w:rsidR="00C347D7" w:rsidRPr="0006231B">
        <w:rPr>
          <w:rFonts w:ascii="Arial" w:hAnsi="Arial" w:cs="Arial"/>
        </w:rPr>
        <w:t xml:space="preserve"> </w:t>
      </w:r>
      <w:r w:rsidRPr="0006231B">
        <w:rPr>
          <w:rFonts w:ascii="Arial" w:hAnsi="Arial" w:cs="Arial"/>
        </w:rPr>
        <w:t>stores in the UK</w:t>
      </w:r>
      <w:r w:rsidRPr="0030552A">
        <w:rPr>
          <w:rFonts w:ascii="Arial" w:hAnsi="Arial" w:cs="Arial"/>
        </w:rPr>
        <w:t xml:space="preserve">, </w:t>
      </w:r>
      <w:r w:rsidR="0006231B" w:rsidRPr="0006231B">
        <w:rPr>
          <w:rFonts w:ascii="Arial" w:hAnsi="Arial" w:cs="Arial"/>
        </w:rPr>
        <w:t xml:space="preserve">12 </w:t>
      </w:r>
      <w:r w:rsidRPr="0006231B">
        <w:rPr>
          <w:rFonts w:ascii="Arial" w:hAnsi="Arial" w:cs="Arial"/>
        </w:rPr>
        <w:t xml:space="preserve">in Ireland, </w:t>
      </w:r>
      <w:r w:rsidR="000F38C2">
        <w:rPr>
          <w:rFonts w:ascii="Arial" w:hAnsi="Arial" w:cs="Arial"/>
        </w:rPr>
        <w:t>seven</w:t>
      </w:r>
      <w:r w:rsidR="0006231B" w:rsidRPr="0006231B">
        <w:rPr>
          <w:rFonts w:ascii="Arial" w:hAnsi="Arial" w:cs="Arial"/>
        </w:rPr>
        <w:t xml:space="preserve"> </w:t>
      </w:r>
      <w:r w:rsidRPr="0006231B">
        <w:rPr>
          <w:rFonts w:ascii="Arial" w:hAnsi="Arial" w:cs="Arial"/>
        </w:rPr>
        <w:t xml:space="preserve">in Poland and </w:t>
      </w:r>
      <w:r w:rsidR="000F38C2">
        <w:rPr>
          <w:rFonts w:ascii="Arial" w:hAnsi="Arial" w:cs="Arial"/>
        </w:rPr>
        <w:t xml:space="preserve">two </w:t>
      </w:r>
      <w:r w:rsidRPr="0006231B">
        <w:rPr>
          <w:rFonts w:ascii="Arial" w:hAnsi="Arial" w:cs="Arial"/>
        </w:rPr>
        <w:t xml:space="preserve">in France) and closed </w:t>
      </w:r>
      <w:r w:rsidR="00812DD3">
        <w:rPr>
          <w:rFonts w:ascii="Arial" w:hAnsi="Arial" w:cs="Arial"/>
        </w:rPr>
        <w:t xml:space="preserve">two </w:t>
      </w:r>
      <w:r w:rsidR="009640FA">
        <w:rPr>
          <w:rFonts w:ascii="Arial" w:hAnsi="Arial" w:cs="Arial"/>
        </w:rPr>
        <w:t>store</w:t>
      </w:r>
      <w:r w:rsidR="00812DD3">
        <w:rPr>
          <w:rFonts w:ascii="Arial" w:hAnsi="Arial" w:cs="Arial"/>
        </w:rPr>
        <w:t>s</w:t>
      </w:r>
      <w:r w:rsidR="009640FA">
        <w:rPr>
          <w:rFonts w:ascii="Arial" w:hAnsi="Arial" w:cs="Arial"/>
        </w:rPr>
        <w:t xml:space="preserve"> </w:t>
      </w:r>
      <w:r w:rsidRPr="0006231B">
        <w:rPr>
          <w:rFonts w:ascii="Arial" w:hAnsi="Arial" w:cs="Arial"/>
        </w:rPr>
        <w:t>in the UK</w:t>
      </w:r>
      <w:r w:rsidR="009640FA">
        <w:rPr>
          <w:rFonts w:ascii="Arial" w:hAnsi="Arial" w:cs="Arial"/>
        </w:rPr>
        <w:t>.</w:t>
      </w:r>
      <w:r w:rsidR="0006231B" w:rsidRPr="0006231B">
        <w:rPr>
          <w:rFonts w:ascii="Arial" w:hAnsi="Arial" w:cs="Arial"/>
        </w:rPr>
        <w:t xml:space="preserve"> </w:t>
      </w:r>
    </w:p>
    <w:p w14:paraId="6EBB752A" w14:textId="016FCB75" w:rsidR="0035042E" w:rsidRDefault="0035042E" w:rsidP="0035042E">
      <w:pPr>
        <w:jc w:val="left"/>
        <w:rPr>
          <w:rFonts w:ascii="Arial" w:hAnsi="Arial" w:cs="Arial"/>
        </w:rPr>
      </w:pPr>
    </w:p>
    <w:p w14:paraId="288AC7BE" w14:textId="2643B7E0" w:rsidR="0035042E" w:rsidRDefault="0035042E" w:rsidP="0035042E">
      <w:pPr>
        <w:jc w:val="left"/>
        <w:rPr>
          <w:rFonts w:ascii="Arial" w:hAnsi="Arial" w:cs="Arial"/>
        </w:rPr>
      </w:pPr>
      <w:bookmarkStart w:id="93" w:name="_Hlk97197754"/>
      <w:r w:rsidRPr="00B31068">
        <w:rPr>
          <w:rFonts w:ascii="Arial" w:hAnsi="Arial" w:cs="Arial"/>
          <w:b/>
        </w:rPr>
        <w:t>Gross margin</w:t>
      </w:r>
      <w:r w:rsidRPr="00B31068">
        <w:rPr>
          <w:rFonts w:ascii="Arial" w:hAnsi="Arial" w:cs="Arial"/>
        </w:rPr>
        <w:t xml:space="preserve"> </w:t>
      </w:r>
      <w:r w:rsidRPr="00B31068">
        <w:rPr>
          <w:rFonts w:ascii="Arial" w:hAnsi="Arial" w:cs="Arial"/>
          <w:b/>
          <w:bCs/>
        </w:rPr>
        <w:t>%</w:t>
      </w:r>
      <w:r w:rsidRPr="00B31068">
        <w:rPr>
          <w:rFonts w:ascii="Arial" w:hAnsi="Arial" w:cs="Arial"/>
        </w:rPr>
        <w:t xml:space="preserve"> increased by 30 basis points on a constant currency basis, </w:t>
      </w:r>
      <w:r w:rsidR="002264CA">
        <w:rPr>
          <w:rFonts w:ascii="Arial" w:hAnsi="Arial" w:cs="Arial"/>
        </w:rPr>
        <w:t xml:space="preserve">reflecting </w:t>
      </w:r>
      <w:r w:rsidR="002B5168" w:rsidRPr="00733C64">
        <w:rPr>
          <w:rFonts w:ascii="Arial" w:hAnsi="Arial" w:cs="Arial"/>
          <w:bCs/>
        </w:rPr>
        <w:t>our effective management of inflation, logistics and inventory holding cost savings</w:t>
      </w:r>
      <w:r w:rsidR="002264CA">
        <w:rPr>
          <w:rFonts w:ascii="Arial" w:hAnsi="Arial" w:cs="Arial"/>
          <w:bCs/>
        </w:rPr>
        <w:t>,</w:t>
      </w:r>
      <w:r w:rsidR="002B5168" w:rsidRPr="00733C64">
        <w:rPr>
          <w:rFonts w:ascii="Arial" w:hAnsi="Arial" w:cs="Arial"/>
          <w:bCs/>
        </w:rPr>
        <w:t xml:space="preserve"> and the disposal of Russia. This was partially offset by upweighting of promotions and trading events</w:t>
      </w:r>
      <w:r w:rsidR="003D795C">
        <w:rPr>
          <w:rFonts w:ascii="Arial" w:hAnsi="Arial" w:cs="Arial"/>
          <w:bCs/>
        </w:rPr>
        <w:t xml:space="preserve"> in France</w:t>
      </w:r>
      <w:r w:rsidR="00FD4B36">
        <w:rPr>
          <w:rFonts w:ascii="Arial" w:hAnsi="Arial" w:cs="Arial"/>
          <w:bCs/>
        </w:rPr>
        <w:t>,</w:t>
      </w:r>
      <w:r w:rsidR="002B5168" w:rsidRPr="00733C64">
        <w:rPr>
          <w:rFonts w:ascii="Arial" w:hAnsi="Arial" w:cs="Arial"/>
          <w:bCs/>
        </w:rPr>
        <w:t xml:space="preserve"> and changes in category and channel mix</w:t>
      </w:r>
      <w:r w:rsidRPr="00B31068">
        <w:rPr>
          <w:rFonts w:ascii="Arial" w:hAnsi="Arial" w:cs="Arial"/>
        </w:rPr>
        <w:t xml:space="preserve">. On a reported basis, gross margin % </w:t>
      </w:r>
      <w:r w:rsidR="002B5168">
        <w:rPr>
          <w:rFonts w:ascii="Arial" w:hAnsi="Arial" w:cs="Arial"/>
        </w:rPr>
        <w:t xml:space="preserve">also </w:t>
      </w:r>
      <w:r w:rsidRPr="00B31068">
        <w:rPr>
          <w:rFonts w:ascii="Arial" w:hAnsi="Arial" w:cs="Arial"/>
        </w:rPr>
        <w:t>increased by 30 basis points.</w:t>
      </w:r>
    </w:p>
    <w:p w14:paraId="6F1D84AF" w14:textId="77777777" w:rsidR="0035042E" w:rsidRPr="0030552A" w:rsidRDefault="0035042E" w:rsidP="0035042E">
      <w:pPr>
        <w:jc w:val="left"/>
        <w:rPr>
          <w:rFonts w:ascii="Arial" w:hAnsi="Arial" w:cs="Arial"/>
        </w:rPr>
      </w:pPr>
    </w:p>
    <w:bookmarkEnd w:id="93"/>
    <w:p w14:paraId="5A782469" w14:textId="1B4D36CA" w:rsidR="0035042E" w:rsidRDefault="0035042E" w:rsidP="0035042E">
      <w:pPr>
        <w:ind w:right="-368"/>
        <w:jc w:val="left"/>
        <w:rPr>
          <w:rFonts w:ascii="Arial" w:hAnsi="Arial" w:cs="Arial"/>
        </w:rPr>
      </w:pPr>
      <w:r w:rsidRPr="0006231B">
        <w:rPr>
          <w:rFonts w:ascii="Arial" w:hAnsi="Arial" w:cs="Arial"/>
          <w:szCs w:val="24"/>
        </w:rPr>
        <w:t xml:space="preserve">Reported </w:t>
      </w:r>
      <w:r w:rsidRPr="0006231B">
        <w:rPr>
          <w:rFonts w:ascii="Arial" w:hAnsi="Arial" w:cs="Arial"/>
          <w:b/>
          <w:szCs w:val="24"/>
        </w:rPr>
        <w:t>retail profit</w:t>
      </w:r>
      <w:r w:rsidRPr="0006231B">
        <w:rPr>
          <w:rFonts w:ascii="Arial" w:hAnsi="Arial" w:cs="Arial"/>
          <w:szCs w:val="24"/>
        </w:rPr>
        <w:t xml:space="preserve"> increased by </w:t>
      </w:r>
      <w:r w:rsidRPr="0006231B">
        <w:rPr>
          <w:rFonts w:ascii="Arial" w:hAnsi="Arial" w:cs="Arial"/>
        </w:rPr>
        <w:t>14.5</w:t>
      </w:r>
      <w:r w:rsidRPr="0006231B">
        <w:rPr>
          <w:rFonts w:ascii="Arial" w:hAnsi="Arial" w:cs="Arial"/>
          <w:szCs w:val="24"/>
        </w:rPr>
        <w:t>% including £</w:t>
      </w:r>
      <w:r w:rsidR="0006231B" w:rsidRPr="0030552A">
        <w:rPr>
          <w:rFonts w:ascii="Arial" w:hAnsi="Arial" w:cs="Arial"/>
        </w:rPr>
        <w:t>19</w:t>
      </w:r>
      <w:r w:rsidR="000F2F06" w:rsidRPr="0006231B">
        <w:rPr>
          <w:rFonts w:ascii="Arial" w:hAnsi="Arial" w:cs="Arial"/>
        </w:rPr>
        <w:t>m</w:t>
      </w:r>
      <w:r w:rsidRPr="0006231B">
        <w:rPr>
          <w:rFonts w:ascii="Arial" w:hAnsi="Arial" w:cs="Arial"/>
          <w:szCs w:val="24"/>
        </w:rPr>
        <w:t xml:space="preserve"> of unfavourable foreign exchange movement on translating foreign currency results into sterling. </w:t>
      </w:r>
      <w:r w:rsidR="008806B6">
        <w:rPr>
          <w:rFonts w:ascii="Arial" w:hAnsi="Arial" w:cs="Arial"/>
          <w:szCs w:val="24"/>
        </w:rPr>
        <w:t xml:space="preserve">£15m of this movement came in the second half of the year. </w:t>
      </w:r>
      <w:r w:rsidRPr="0006231B">
        <w:rPr>
          <w:rFonts w:ascii="Arial" w:hAnsi="Arial" w:cs="Arial"/>
          <w:szCs w:val="24"/>
        </w:rPr>
        <w:t>In const</w:t>
      </w:r>
      <w:r w:rsidRPr="003A1B1F">
        <w:rPr>
          <w:rFonts w:ascii="Arial" w:hAnsi="Arial" w:cs="Arial"/>
          <w:szCs w:val="24"/>
        </w:rPr>
        <w:t xml:space="preserve">ant currency, retail </w:t>
      </w:r>
      <w:r w:rsidRPr="00A4049D">
        <w:rPr>
          <w:rFonts w:ascii="Arial" w:hAnsi="Arial" w:cs="Arial"/>
          <w:szCs w:val="24"/>
        </w:rPr>
        <w:t xml:space="preserve">profit increased by </w:t>
      </w:r>
      <w:r w:rsidRPr="00A4049D">
        <w:rPr>
          <w:rFonts w:ascii="Arial" w:hAnsi="Arial" w:cs="Arial"/>
        </w:rPr>
        <w:t>16.7</w:t>
      </w:r>
      <w:r w:rsidRPr="00A4049D">
        <w:rPr>
          <w:rFonts w:ascii="Arial" w:hAnsi="Arial" w:cs="Arial"/>
          <w:szCs w:val="24"/>
        </w:rPr>
        <w:t xml:space="preserve">%, </w:t>
      </w:r>
      <w:r w:rsidRPr="00A4049D">
        <w:rPr>
          <w:rFonts w:ascii="Arial" w:hAnsi="Arial" w:cs="Arial"/>
        </w:rPr>
        <w:t xml:space="preserve">driven by a strong performance in all key markets. The Group’s strong gross profit performance (an increase of 10.6% in constant currency) was partly offset by higher operating costs. </w:t>
      </w:r>
      <w:r w:rsidRPr="00FF3FFB">
        <w:rPr>
          <w:rFonts w:ascii="Arial" w:hAnsi="Arial" w:cs="Arial"/>
          <w:b/>
          <w:bCs/>
        </w:rPr>
        <w:t>Operating costs</w:t>
      </w:r>
      <w:r w:rsidRPr="00FF3FFB">
        <w:rPr>
          <w:rFonts w:ascii="Arial" w:hAnsi="Arial" w:cs="Arial"/>
        </w:rPr>
        <w:t xml:space="preserve"> increased by 8.9% on a constant currency basis, largely reflecting higher costs associated with strong trading (including headcount increases and higher staff incentives), </w:t>
      </w:r>
      <w:r w:rsidR="00553494">
        <w:rPr>
          <w:rFonts w:ascii="Arial" w:hAnsi="Arial" w:cs="Arial"/>
        </w:rPr>
        <w:t xml:space="preserve">inflationary increases, </w:t>
      </w:r>
      <w:r w:rsidRPr="00FF3FFB">
        <w:rPr>
          <w:rFonts w:ascii="Arial" w:hAnsi="Arial" w:cs="Arial"/>
        </w:rPr>
        <w:t xml:space="preserve">new store openings, </w:t>
      </w:r>
      <w:r w:rsidR="002B5168" w:rsidRPr="002B5168">
        <w:rPr>
          <w:rFonts w:ascii="Arial" w:hAnsi="Arial" w:cs="Arial"/>
          <w:szCs w:val="24"/>
        </w:rPr>
        <w:t xml:space="preserve">higher </w:t>
      </w:r>
      <w:r w:rsidR="003D795C">
        <w:rPr>
          <w:rFonts w:ascii="Arial" w:hAnsi="Arial" w:cs="Arial"/>
          <w:szCs w:val="24"/>
        </w:rPr>
        <w:t>digital</w:t>
      </w:r>
      <w:r w:rsidR="002B5168" w:rsidRPr="002B5168">
        <w:rPr>
          <w:rFonts w:ascii="Arial" w:hAnsi="Arial" w:cs="Arial"/>
          <w:szCs w:val="24"/>
        </w:rPr>
        <w:t xml:space="preserve"> costs (including the impact of software accounting changes)</w:t>
      </w:r>
      <w:r w:rsidR="007342A5">
        <w:rPr>
          <w:rFonts w:ascii="Arial" w:hAnsi="Arial" w:cs="Arial"/>
          <w:szCs w:val="24"/>
        </w:rPr>
        <w:t xml:space="preserve"> </w:t>
      </w:r>
      <w:r w:rsidRPr="00FF3FFB">
        <w:rPr>
          <w:rFonts w:ascii="Arial" w:hAnsi="Arial" w:cs="Arial"/>
        </w:rPr>
        <w:t>and the reversal of some temporary cost measures implemented in FY 20/21 (e.g. advertising and marketing)</w:t>
      </w:r>
      <w:r w:rsidR="007C61C4" w:rsidRPr="00FF3FFB">
        <w:rPr>
          <w:rFonts w:ascii="Arial" w:hAnsi="Arial" w:cs="Arial"/>
        </w:rPr>
        <w:t>;</w:t>
      </w:r>
      <w:r w:rsidRPr="00FF3FFB">
        <w:rPr>
          <w:rFonts w:ascii="Arial" w:hAnsi="Arial" w:cs="Arial"/>
        </w:rPr>
        <w:t xml:space="preserve"> partially offset by the delivery of </w:t>
      </w:r>
      <w:r w:rsidR="00A4049D">
        <w:rPr>
          <w:rFonts w:ascii="Arial" w:hAnsi="Arial" w:cs="Arial"/>
        </w:rPr>
        <w:t xml:space="preserve">strategic </w:t>
      </w:r>
      <w:r w:rsidRPr="00FF3FFB">
        <w:rPr>
          <w:rFonts w:ascii="Arial" w:hAnsi="Arial" w:cs="Arial"/>
        </w:rPr>
        <w:t xml:space="preserve">cost </w:t>
      </w:r>
      <w:r w:rsidR="00A4049D">
        <w:rPr>
          <w:rFonts w:ascii="Arial" w:hAnsi="Arial" w:cs="Arial"/>
        </w:rPr>
        <w:t xml:space="preserve">reduction </w:t>
      </w:r>
      <w:r w:rsidRPr="00FF3FFB">
        <w:rPr>
          <w:rFonts w:ascii="Arial" w:hAnsi="Arial" w:cs="Arial"/>
        </w:rPr>
        <w:t>initiatives, the annualisation of cost benefits from the disposal of Russia and the permanent closure of eight Castorama France stores, both in FY 20/21.</w:t>
      </w:r>
    </w:p>
    <w:p w14:paraId="4E19AD48" w14:textId="77777777" w:rsidR="0035042E" w:rsidRPr="00FF3FFB" w:rsidRDefault="0035042E" w:rsidP="0035042E">
      <w:pPr>
        <w:ind w:right="-368"/>
        <w:jc w:val="left"/>
        <w:rPr>
          <w:rFonts w:ascii="Arial" w:hAnsi="Arial" w:cs="Arial"/>
          <w:sz w:val="24"/>
          <w:szCs w:val="24"/>
        </w:rPr>
      </w:pPr>
    </w:p>
    <w:p w14:paraId="4A197487" w14:textId="763128A3" w:rsidR="0035042E" w:rsidRPr="003A1B1F" w:rsidRDefault="0035042E" w:rsidP="0035042E">
      <w:pPr>
        <w:jc w:val="left"/>
        <w:rPr>
          <w:rFonts w:ascii="Arial" w:hAnsi="Arial" w:cs="Arial"/>
        </w:rPr>
      </w:pPr>
      <w:r w:rsidRPr="00625520">
        <w:rPr>
          <w:rFonts w:ascii="Arial" w:hAnsi="Arial" w:cs="Arial"/>
          <w:b/>
        </w:rPr>
        <w:lastRenderedPageBreak/>
        <w:t>Statutory pre-tax profit</w:t>
      </w:r>
      <w:r w:rsidRPr="00625520">
        <w:rPr>
          <w:rFonts w:ascii="Arial" w:hAnsi="Arial" w:cs="Arial"/>
        </w:rPr>
        <w:t>, w</w:t>
      </w:r>
      <w:r w:rsidRPr="00FC41B5">
        <w:rPr>
          <w:rFonts w:ascii="Arial" w:hAnsi="Arial" w:cs="Arial"/>
        </w:rPr>
        <w:t xml:space="preserve">hich includes </w:t>
      </w:r>
      <w:r w:rsidRPr="003A1B1F">
        <w:rPr>
          <w:rFonts w:ascii="Arial" w:hAnsi="Arial" w:cs="Arial"/>
        </w:rPr>
        <w:t xml:space="preserve">adjusting items, </w:t>
      </w:r>
      <w:r w:rsidRPr="00302695">
        <w:rPr>
          <w:rFonts w:ascii="Arial" w:hAnsi="Arial" w:cs="Arial"/>
        </w:rPr>
        <w:t xml:space="preserve">increased by </w:t>
      </w:r>
      <w:r w:rsidRPr="00D10BA2">
        <w:rPr>
          <w:rFonts w:ascii="Arial" w:hAnsi="Arial" w:cs="Arial"/>
        </w:rPr>
        <w:t>33.</w:t>
      </w:r>
      <w:r w:rsidR="008806B6">
        <w:rPr>
          <w:rFonts w:ascii="Arial" w:hAnsi="Arial" w:cs="Arial"/>
        </w:rPr>
        <w:t>1</w:t>
      </w:r>
      <w:r w:rsidRPr="00302695">
        <w:rPr>
          <w:rFonts w:ascii="Arial" w:hAnsi="Arial" w:cs="Arial"/>
        </w:rPr>
        <w:t>% to £</w:t>
      </w:r>
      <w:r w:rsidRPr="00D10BA2">
        <w:rPr>
          <w:rFonts w:ascii="Arial" w:hAnsi="Arial" w:cs="Arial"/>
        </w:rPr>
        <w:t>1,007</w:t>
      </w:r>
      <w:r w:rsidR="000F2F06">
        <w:rPr>
          <w:rFonts w:ascii="Arial" w:hAnsi="Arial" w:cs="Arial"/>
        </w:rPr>
        <w:t>m</w:t>
      </w:r>
      <w:r w:rsidRPr="003A1B1F">
        <w:rPr>
          <w:rFonts w:ascii="Arial" w:hAnsi="Arial" w:cs="Arial"/>
        </w:rPr>
        <w:t xml:space="preserve">. This reflects higher operating profit, and lower net finance costs and </w:t>
      </w:r>
      <w:r w:rsidR="00A43E4C">
        <w:rPr>
          <w:rFonts w:ascii="Arial" w:hAnsi="Arial" w:cs="Arial"/>
        </w:rPr>
        <w:t xml:space="preserve">more favourable </w:t>
      </w:r>
      <w:r w:rsidRPr="003A1B1F">
        <w:rPr>
          <w:rFonts w:ascii="Arial" w:hAnsi="Arial" w:cs="Arial"/>
        </w:rPr>
        <w:t>adjusting items before tax.</w:t>
      </w:r>
    </w:p>
    <w:p w14:paraId="4D9842EC" w14:textId="77777777" w:rsidR="0035042E" w:rsidRDefault="0035042E" w:rsidP="0035042E">
      <w:pPr>
        <w:jc w:val="left"/>
        <w:rPr>
          <w:rFonts w:ascii="Arial" w:hAnsi="Arial" w:cs="Arial"/>
        </w:rPr>
      </w:pPr>
    </w:p>
    <w:p w14:paraId="654C3671" w14:textId="77777777" w:rsidR="0035042E" w:rsidRPr="00A845B7" w:rsidRDefault="0035042E" w:rsidP="0035042E">
      <w:pPr>
        <w:jc w:val="left"/>
        <w:rPr>
          <w:rFonts w:ascii="Arial" w:hAnsi="Arial" w:cs="Arial"/>
        </w:rPr>
      </w:pPr>
      <w:r w:rsidRPr="00A845B7">
        <w:rPr>
          <w:rFonts w:ascii="Arial" w:hAnsi="Arial" w:cs="Arial"/>
        </w:rPr>
        <w:t xml:space="preserve">A reconciliation from the </w:t>
      </w:r>
      <w:r>
        <w:rPr>
          <w:rFonts w:ascii="Arial" w:hAnsi="Arial" w:cs="Arial"/>
        </w:rPr>
        <w:t>adjusted</w:t>
      </w:r>
      <w:r w:rsidRPr="00A845B7">
        <w:rPr>
          <w:rFonts w:ascii="Arial" w:hAnsi="Arial" w:cs="Arial"/>
        </w:rPr>
        <w:t xml:space="preserve"> basis to the statutory basis for pre-tax profit is set out below:</w:t>
      </w:r>
    </w:p>
    <w:p w14:paraId="37D17DAB" w14:textId="77777777" w:rsidR="0035042E" w:rsidRPr="00686C6E" w:rsidRDefault="0035042E" w:rsidP="0035042E">
      <w:pPr>
        <w:jc w:val="lef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52"/>
        <w:gridCol w:w="1296"/>
        <w:gridCol w:w="1278"/>
        <w:gridCol w:w="1578"/>
      </w:tblGrid>
      <w:tr w:rsidR="0035042E" w:rsidRPr="000A6599" w14:paraId="1DAEF293" w14:textId="77777777" w:rsidTr="0030552A">
        <w:tc>
          <w:tcPr>
            <w:tcW w:w="2966" w:type="pct"/>
            <w:tcBorders>
              <w:bottom w:val="single" w:sz="4" w:space="0" w:color="auto"/>
            </w:tcBorders>
          </w:tcPr>
          <w:p w14:paraId="7ACEE32E" w14:textId="77777777" w:rsidR="0035042E" w:rsidRPr="00A9490E" w:rsidRDefault="0035042E" w:rsidP="007B244C">
            <w:pPr>
              <w:jc w:val="left"/>
              <w:rPr>
                <w:rFonts w:ascii="Arial" w:hAnsi="Arial" w:cs="Arial"/>
                <w:sz w:val="22"/>
                <w:szCs w:val="22"/>
              </w:rPr>
            </w:pPr>
          </w:p>
        </w:tc>
        <w:tc>
          <w:tcPr>
            <w:tcW w:w="635" w:type="pct"/>
            <w:tcBorders>
              <w:bottom w:val="single" w:sz="4" w:space="0" w:color="auto"/>
            </w:tcBorders>
            <w:vAlign w:val="center"/>
          </w:tcPr>
          <w:p w14:paraId="6DEE68A6" w14:textId="77777777" w:rsidR="0035042E" w:rsidRPr="00A9490E" w:rsidRDefault="0035042E" w:rsidP="008806B6">
            <w:pPr>
              <w:jc w:val="right"/>
              <w:rPr>
                <w:rFonts w:ascii="Arial" w:hAnsi="Arial" w:cs="Arial"/>
                <w:b/>
                <w:sz w:val="22"/>
                <w:szCs w:val="22"/>
              </w:rPr>
            </w:pPr>
            <w:r w:rsidRPr="00A9490E">
              <w:rPr>
                <w:rFonts w:ascii="Arial" w:hAnsi="Arial" w:cs="Arial"/>
                <w:b/>
                <w:sz w:val="22"/>
                <w:szCs w:val="22"/>
              </w:rPr>
              <w:t>2021/22</w:t>
            </w:r>
          </w:p>
          <w:p w14:paraId="6E319BC4" w14:textId="77777777" w:rsidR="0035042E" w:rsidRPr="00A9490E" w:rsidRDefault="0035042E" w:rsidP="008806B6">
            <w:pPr>
              <w:jc w:val="right"/>
              <w:rPr>
                <w:rFonts w:ascii="Arial" w:hAnsi="Arial" w:cs="Arial"/>
                <w:b/>
                <w:sz w:val="22"/>
                <w:szCs w:val="22"/>
              </w:rPr>
            </w:pPr>
            <w:r w:rsidRPr="00A9490E">
              <w:rPr>
                <w:rFonts w:ascii="Arial" w:hAnsi="Arial" w:cs="Arial"/>
                <w:b/>
                <w:sz w:val="22"/>
                <w:szCs w:val="22"/>
              </w:rPr>
              <w:t>£m</w:t>
            </w:r>
          </w:p>
        </w:tc>
        <w:tc>
          <w:tcPr>
            <w:tcW w:w="626" w:type="pct"/>
            <w:tcBorders>
              <w:bottom w:val="single" w:sz="4" w:space="0" w:color="auto"/>
            </w:tcBorders>
            <w:vAlign w:val="center"/>
          </w:tcPr>
          <w:p w14:paraId="0031AAF7" w14:textId="77777777" w:rsidR="0035042E" w:rsidRPr="00A9490E" w:rsidRDefault="0035042E" w:rsidP="008806B6">
            <w:pPr>
              <w:jc w:val="right"/>
              <w:rPr>
                <w:rFonts w:ascii="Arial" w:hAnsi="Arial" w:cs="Arial"/>
                <w:sz w:val="22"/>
                <w:szCs w:val="22"/>
              </w:rPr>
            </w:pPr>
            <w:r w:rsidRPr="00A9490E">
              <w:rPr>
                <w:rFonts w:ascii="Arial" w:hAnsi="Arial" w:cs="Arial"/>
                <w:sz w:val="22"/>
                <w:szCs w:val="22"/>
              </w:rPr>
              <w:t>2020/21</w:t>
            </w:r>
          </w:p>
          <w:p w14:paraId="0C78637B" w14:textId="77777777" w:rsidR="0035042E" w:rsidRPr="00A9490E" w:rsidRDefault="0035042E" w:rsidP="008806B6">
            <w:pPr>
              <w:jc w:val="right"/>
              <w:rPr>
                <w:rFonts w:ascii="Arial" w:hAnsi="Arial" w:cs="Arial"/>
                <w:sz w:val="22"/>
                <w:szCs w:val="22"/>
              </w:rPr>
            </w:pPr>
            <w:r w:rsidRPr="00A9490E">
              <w:rPr>
                <w:rFonts w:ascii="Arial" w:hAnsi="Arial" w:cs="Arial"/>
                <w:sz w:val="22"/>
                <w:szCs w:val="22"/>
              </w:rPr>
              <w:t>£m</w:t>
            </w:r>
          </w:p>
        </w:tc>
        <w:tc>
          <w:tcPr>
            <w:tcW w:w="773" w:type="pct"/>
            <w:tcBorders>
              <w:bottom w:val="single" w:sz="4" w:space="0" w:color="auto"/>
            </w:tcBorders>
            <w:vAlign w:val="center"/>
          </w:tcPr>
          <w:p w14:paraId="018D1D70" w14:textId="77777777" w:rsidR="0035042E" w:rsidRPr="00A9490E" w:rsidRDefault="0035042E" w:rsidP="008806B6">
            <w:pPr>
              <w:jc w:val="right"/>
              <w:rPr>
                <w:rFonts w:ascii="Arial" w:hAnsi="Arial" w:cs="Arial"/>
                <w:sz w:val="22"/>
                <w:szCs w:val="22"/>
              </w:rPr>
            </w:pPr>
            <w:r w:rsidRPr="00A9490E">
              <w:rPr>
                <w:rFonts w:ascii="Arial" w:hAnsi="Arial" w:cs="Arial"/>
                <w:sz w:val="22"/>
                <w:szCs w:val="22"/>
              </w:rPr>
              <w:t xml:space="preserve">Increase/ (decrease) </w:t>
            </w:r>
          </w:p>
        </w:tc>
      </w:tr>
      <w:tr w:rsidR="008806B6" w:rsidRPr="00F40457" w14:paraId="142567EF" w14:textId="77777777" w:rsidTr="0030552A">
        <w:trPr>
          <w:trHeight w:val="266"/>
        </w:trPr>
        <w:tc>
          <w:tcPr>
            <w:tcW w:w="2966" w:type="pct"/>
            <w:tcBorders>
              <w:top w:val="single" w:sz="4" w:space="0" w:color="auto"/>
            </w:tcBorders>
            <w:vAlign w:val="center"/>
          </w:tcPr>
          <w:p w14:paraId="5B9CB205" w14:textId="77777777" w:rsidR="008806B6" w:rsidRPr="00231377" w:rsidRDefault="008806B6" w:rsidP="008806B6">
            <w:pPr>
              <w:jc w:val="left"/>
              <w:rPr>
                <w:rFonts w:ascii="Arial" w:hAnsi="Arial" w:cs="Arial"/>
                <w:b/>
                <w:sz w:val="22"/>
                <w:szCs w:val="22"/>
              </w:rPr>
            </w:pPr>
            <w:r w:rsidRPr="00231377">
              <w:rPr>
                <w:rFonts w:ascii="Arial" w:hAnsi="Arial" w:cs="Arial"/>
                <w:b/>
                <w:sz w:val="22"/>
                <w:szCs w:val="22"/>
              </w:rPr>
              <w:t>Retail profit (constant currency)</w:t>
            </w:r>
          </w:p>
        </w:tc>
        <w:tc>
          <w:tcPr>
            <w:tcW w:w="635" w:type="pct"/>
            <w:tcBorders>
              <w:top w:val="single" w:sz="4" w:space="0" w:color="auto"/>
            </w:tcBorders>
            <w:vAlign w:val="center"/>
          </w:tcPr>
          <w:p w14:paraId="2566463E" w14:textId="4335AF59" w:rsidR="008806B6" w:rsidRPr="00231377" w:rsidRDefault="008806B6" w:rsidP="008806B6">
            <w:pPr>
              <w:jc w:val="right"/>
              <w:rPr>
                <w:rFonts w:ascii="Arial" w:hAnsi="Arial" w:cs="Arial"/>
                <w:b/>
                <w:sz w:val="22"/>
                <w:szCs w:val="22"/>
                <w:highlight w:val="yellow"/>
              </w:rPr>
            </w:pPr>
            <w:r w:rsidRPr="00231377">
              <w:rPr>
                <w:rFonts w:ascii="Arial" w:hAnsi="Arial" w:cs="Arial"/>
                <w:b/>
                <w:sz w:val="22"/>
                <w:szCs w:val="22"/>
              </w:rPr>
              <w:t>1,148</w:t>
            </w:r>
          </w:p>
        </w:tc>
        <w:tc>
          <w:tcPr>
            <w:tcW w:w="626" w:type="pct"/>
            <w:tcBorders>
              <w:top w:val="single" w:sz="4" w:space="0" w:color="auto"/>
            </w:tcBorders>
            <w:vAlign w:val="center"/>
          </w:tcPr>
          <w:p w14:paraId="5FA18134" w14:textId="77777777" w:rsidR="008806B6" w:rsidRPr="00231377" w:rsidRDefault="008806B6" w:rsidP="008806B6">
            <w:pPr>
              <w:jc w:val="right"/>
              <w:rPr>
                <w:rFonts w:ascii="Arial" w:hAnsi="Arial" w:cs="Arial"/>
                <w:bCs/>
                <w:sz w:val="22"/>
                <w:szCs w:val="22"/>
              </w:rPr>
            </w:pPr>
            <w:r w:rsidRPr="00231377">
              <w:rPr>
                <w:rFonts w:ascii="Arial" w:hAnsi="Arial" w:cs="Arial"/>
                <w:bCs/>
                <w:sz w:val="22"/>
                <w:szCs w:val="22"/>
              </w:rPr>
              <w:t>984</w:t>
            </w:r>
          </w:p>
        </w:tc>
        <w:tc>
          <w:tcPr>
            <w:tcW w:w="773" w:type="pct"/>
            <w:tcBorders>
              <w:top w:val="single" w:sz="4" w:space="0" w:color="auto"/>
            </w:tcBorders>
            <w:shd w:val="clear" w:color="auto" w:fill="auto"/>
            <w:vAlign w:val="center"/>
          </w:tcPr>
          <w:p w14:paraId="51E68912" w14:textId="00E16084" w:rsidR="008806B6" w:rsidRPr="0030552A" w:rsidRDefault="008806B6" w:rsidP="008806B6">
            <w:pPr>
              <w:jc w:val="right"/>
              <w:rPr>
                <w:rFonts w:ascii="Arial" w:hAnsi="Arial" w:cs="Arial"/>
                <w:sz w:val="22"/>
                <w:szCs w:val="22"/>
              </w:rPr>
            </w:pPr>
            <w:r w:rsidRPr="0030552A">
              <w:rPr>
                <w:rFonts w:ascii="Arial" w:hAnsi="Arial" w:cs="Arial"/>
                <w:sz w:val="22"/>
                <w:szCs w:val="22"/>
              </w:rPr>
              <w:t>16.7%</w:t>
            </w:r>
          </w:p>
        </w:tc>
      </w:tr>
      <w:tr w:rsidR="0030552A" w:rsidRPr="00F40457" w14:paraId="5965E64B" w14:textId="77777777" w:rsidTr="0030552A">
        <w:trPr>
          <w:trHeight w:val="266"/>
        </w:trPr>
        <w:tc>
          <w:tcPr>
            <w:tcW w:w="2966" w:type="pct"/>
            <w:tcBorders>
              <w:bottom w:val="single" w:sz="4" w:space="0" w:color="auto"/>
            </w:tcBorders>
            <w:vAlign w:val="center"/>
          </w:tcPr>
          <w:p w14:paraId="7A1100FB" w14:textId="77777777" w:rsidR="0030552A" w:rsidRPr="00231377" w:rsidRDefault="0030552A" w:rsidP="0030552A">
            <w:pPr>
              <w:jc w:val="left"/>
              <w:rPr>
                <w:rFonts w:ascii="Arial" w:hAnsi="Arial" w:cs="Arial"/>
                <w:sz w:val="22"/>
                <w:szCs w:val="22"/>
              </w:rPr>
            </w:pPr>
            <w:r w:rsidRPr="00231377">
              <w:rPr>
                <w:rFonts w:ascii="Arial" w:hAnsi="Arial" w:cs="Arial"/>
                <w:sz w:val="22"/>
                <w:szCs w:val="22"/>
              </w:rPr>
              <w:t>Impact of exchange rates</w:t>
            </w:r>
          </w:p>
        </w:tc>
        <w:tc>
          <w:tcPr>
            <w:tcW w:w="635" w:type="pct"/>
            <w:tcBorders>
              <w:bottom w:val="single" w:sz="4" w:space="0" w:color="auto"/>
            </w:tcBorders>
            <w:vAlign w:val="center"/>
          </w:tcPr>
          <w:p w14:paraId="795F901F" w14:textId="703D4BB6" w:rsidR="0030552A" w:rsidRPr="006957EC" w:rsidRDefault="0030552A" w:rsidP="0030552A">
            <w:pPr>
              <w:jc w:val="right"/>
              <w:rPr>
                <w:rFonts w:ascii="Arial" w:hAnsi="Arial" w:cs="Arial"/>
                <w:bCs/>
                <w:sz w:val="22"/>
                <w:szCs w:val="22"/>
              </w:rPr>
            </w:pPr>
            <w:r w:rsidRPr="006957EC">
              <w:rPr>
                <w:rFonts w:ascii="Arial" w:hAnsi="Arial" w:cs="Arial"/>
                <w:bCs/>
              </w:rPr>
              <w:t>-</w:t>
            </w:r>
          </w:p>
        </w:tc>
        <w:tc>
          <w:tcPr>
            <w:tcW w:w="626" w:type="pct"/>
            <w:tcBorders>
              <w:bottom w:val="single" w:sz="4" w:space="0" w:color="auto"/>
            </w:tcBorders>
            <w:vAlign w:val="center"/>
          </w:tcPr>
          <w:p w14:paraId="6228E7AD" w14:textId="77777777" w:rsidR="0030552A" w:rsidRPr="00231377" w:rsidRDefault="0030552A" w:rsidP="0030552A">
            <w:pPr>
              <w:jc w:val="right"/>
              <w:rPr>
                <w:rFonts w:ascii="Arial" w:hAnsi="Arial" w:cs="Arial"/>
                <w:bCs/>
                <w:sz w:val="22"/>
                <w:szCs w:val="22"/>
              </w:rPr>
            </w:pPr>
            <w:r w:rsidRPr="00231377">
              <w:rPr>
                <w:rFonts w:ascii="Arial" w:hAnsi="Arial" w:cs="Arial"/>
                <w:bCs/>
                <w:sz w:val="22"/>
                <w:szCs w:val="22"/>
              </w:rPr>
              <w:t>19</w:t>
            </w:r>
          </w:p>
        </w:tc>
        <w:tc>
          <w:tcPr>
            <w:tcW w:w="773" w:type="pct"/>
            <w:tcBorders>
              <w:bottom w:val="single" w:sz="4" w:space="0" w:color="auto"/>
            </w:tcBorders>
            <w:shd w:val="clear" w:color="auto" w:fill="auto"/>
            <w:vAlign w:val="center"/>
          </w:tcPr>
          <w:p w14:paraId="564CBFC6" w14:textId="60B1096B" w:rsidR="0030552A" w:rsidRPr="0030552A" w:rsidRDefault="0030552A" w:rsidP="0030552A">
            <w:pPr>
              <w:jc w:val="right"/>
              <w:rPr>
                <w:rFonts w:ascii="Arial" w:hAnsi="Arial" w:cs="Arial"/>
                <w:sz w:val="22"/>
                <w:szCs w:val="22"/>
              </w:rPr>
            </w:pPr>
            <w:r w:rsidRPr="008806B6">
              <w:rPr>
                <w:rFonts w:ascii="Arial" w:hAnsi="Arial" w:cs="Arial"/>
                <w:sz w:val="22"/>
                <w:szCs w:val="22"/>
              </w:rPr>
              <w:t>n/a</w:t>
            </w:r>
          </w:p>
        </w:tc>
      </w:tr>
      <w:tr w:rsidR="0035042E" w:rsidRPr="00302695" w14:paraId="5D5C7F78" w14:textId="77777777" w:rsidTr="0030552A">
        <w:trPr>
          <w:trHeight w:val="266"/>
        </w:trPr>
        <w:tc>
          <w:tcPr>
            <w:tcW w:w="2966" w:type="pct"/>
            <w:tcBorders>
              <w:top w:val="single" w:sz="4" w:space="0" w:color="auto"/>
            </w:tcBorders>
            <w:vAlign w:val="center"/>
          </w:tcPr>
          <w:p w14:paraId="3540C382" w14:textId="4F30FBF7" w:rsidR="0035042E" w:rsidRPr="00231377" w:rsidRDefault="0035042E" w:rsidP="008806B6">
            <w:pPr>
              <w:jc w:val="left"/>
              <w:rPr>
                <w:rFonts w:ascii="Arial" w:hAnsi="Arial" w:cs="Arial"/>
                <w:b/>
                <w:bCs/>
                <w:sz w:val="22"/>
                <w:szCs w:val="22"/>
              </w:rPr>
            </w:pPr>
            <w:r w:rsidRPr="00231377">
              <w:rPr>
                <w:rFonts w:ascii="Arial" w:hAnsi="Arial" w:cs="Arial"/>
                <w:b/>
                <w:bCs/>
                <w:sz w:val="22"/>
                <w:szCs w:val="22"/>
              </w:rPr>
              <w:t xml:space="preserve">Retail </w:t>
            </w:r>
            <w:r w:rsidR="007C61C4">
              <w:rPr>
                <w:rFonts w:ascii="Arial" w:hAnsi="Arial" w:cs="Arial"/>
                <w:b/>
                <w:bCs/>
                <w:sz w:val="22"/>
                <w:szCs w:val="22"/>
              </w:rPr>
              <w:t>p</w:t>
            </w:r>
            <w:r w:rsidRPr="00231377">
              <w:rPr>
                <w:rFonts w:ascii="Arial" w:hAnsi="Arial" w:cs="Arial"/>
                <w:b/>
                <w:bCs/>
                <w:sz w:val="22"/>
                <w:szCs w:val="22"/>
              </w:rPr>
              <w:t>rofit (reported)</w:t>
            </w:r>
          </w:p>
        </w:tc>
        <w:tc>
          <w:tcPr>
            <w:tcW w:w="635" w:type="pct"/>
            <w:tcBorders>
              <w:top w:val="single" w:sz="4" w:space="0" w:color="auto"/>
            </w:tcBorders>
            <w:vAlign w:val="center"/>
          </w:tcPr>
          <w:p w14:paraId="10991A29" w14:textId="77777777" w:rsidR="0035042E" w:rsidRPr="00231377" w:rsidRDefault="0035042E" w:rsidP="008806B6">
            <w:pPr>
              <w:jc w:val="right"/>
              <w:rPr>
                <w:rFonts w:ascii="Arial" w:hAnsi="Arial" w:cs="Arial"/>
                <w:b/>
                <w:sz w:val="22"/>
                <w:szCs w:val="22"/>
              </w:rPr>
            </w:pPr>
            <w:r w:rsidRPr="00231377">
              <w:rPr>
                <w:rFonts w:ascii="Arial" w:hAnsi="Arial" w:cs="Arial"/>
                <w:b/>
                <w:sz w:val="22"/>
                <w:szCs w:val="22"/>
              </w:rPr>
              <w:t>1,148</w:t>
            </w:r>
          </w:p>
        </w:tc>
        <w:tc>
          <w:tcPr>
            <w:tcW w:w="626" w:type="pct"/>
            <w:tcBorders>
              <w:top w:val="single" w:sz="4" w:space="0" w:color="auto"/>
            </w:tcBorders>
            <w:vAlign w:val="center"/>
          </w:tcPr>
          <w:p w14:paraId="5C8D58C1" w14:textId="77777777" w:rsidR="0035042E" w:rsidRPr="00231377" w:rsidRDefault="0035042E" w:rsidP="008806B6">
            <w:pPr>
              <w:jc w:val="right"/>
              <w:rPr>
                <w:rFonts w:ascii="Arial" w:hAnsi="Arial" w:cs="Arial"/>
                <w:bCs/>
                <w:sz w:val="22"/>
                <w:szCs w:val="22"/>
              </w:rPr>
            </w:pPr>
            <w:r w:rsidRPr="00231377">
              <w:rPr>
                <w:rFonts w:ascii="Arial" w:hAnsi="Arial" w:cs="Arial"/>
                <w:bCs/>
                <w:sz w:val="22"/>
                <w:szCs w:val="22"/>
              </w:rPr>
              <w:t>1,003</w:t>
            </w:r>
          </w:p>
        </w:tc>
        <w:tc>
          <w:tcPr>
            <w:tcW w:w="773" w:type="pct"/>
            <w:tcBorders>
              <w:top w:val="single" w:sz="4" w:space="0" w:color="auto"/>
            </w:tcBorders>
            <w:shd w:val="clear" w:color="auto" w:fill="auto"/>
            <w:vAlign w:val="center"/>
          </w:tcPr>
          <w:p w14:paraId="3592D75B" w14:textId="253F13D7" w:rsidR="0035042E" w:rsidRPr="008806B6" w:rsidRDefault="0035042E" w:rsidP="008806B6">
            <w:pPr>
              <w:jc w:val="right"/>
              <w:rPr>
                <w:rFonts w:ascii="Arial" w:hAnsi="Arial" w:cs="Arial"/>
                <w:sz w:val="22"/>
                <w:szCs w:val="22"/>
              </w:rPr>
            </w:pPr>
            <w:r w:rsidRPr="008806B6">
              <w:rPr>
                <w:rFonts w:ascii="Arial" w:hAnsi="Arial" w:cs="Arial"/>
                <w:sz w:val="22"/>
                <w:szCs w:val="22"/>
              </w:rPr>
              <w:t>14.5%</w:t>
            </w:r>
          </w:p>
        </w:tc>
      </w:tr>
      <w:tr w:rsidR="0035042E" w:rsidRPr="00302695" w14:paraId="3DBC496F" w14:textId="77777777" w:rsidTr="0030552A">
        <w:trPr>
          <w:trHeight w:val="266"/>
        </w:trPr>
        <w:tc>
          <w:tcPr>
            <w:tcW w:w="2966" w:type="pct"/>
            <w:vAlign w:val="center"/>
          </w:tcPr>
          <w:p w14:paraId="40930E63" w14:textId="77777777" w:rsidR="0035042E" w:rsidRPr="00231377" w:rsidRDefault="0035042E" w:rsidP="008806B6">
            <w:pPr>
              <w:jc w:val="left"/>
              <w:rPr>
                <w:rFonts w:ascii="Arial" w:hAnsi="Arial" w:cs="Arial"/>
                <w:sz w:val="22"/>
                <w:szCs w:val="22"/>
              </w:rPr>
            </w:pPr>
            <w:r w:rsidRPr="00231377">
              <w:rPr>
                <w:rFonts w:ascii="Arial" w:hAnsi="Arial" w:cs="Arial"/>
                <w:sz w:val="22"/>
                <w:szCs w:val="22"/>
              </w:rPr>
              <w:t>Central costs</w:t>
            </w:r>
          </w:p>
        </w:tc>
        <w:tc>
          <w:tcPr>
            <w:tcW w:w="635" w:type="pct"/>
            <w:vAlign w:val="center"/>
          </w:tcPr>
          <w:p w14:paraId="649BC61A" w14:textId="77777777" w:rsidR="0035042E" w:rsidRPr="00231377" w:rsidRDefault="0035042E" w:rsidP="008806B6">
            <w:pPr>
              <w:jc w:val="right"/>
              <w:rPr>
                <w:rFonts w:ascii="Arial" w:hAnsi="Arial" w:cs="Arial"/>
                <w:b/>
                <w:sz w:val="22"/>
                <w:szCs w:val="22"/>
              </w:rPr>
            </w:pPr>
            <w:r w:rsidRPr="00231377">
              <w:rPr>
                <w:rFonts w:ascii="Arial" w:hAnsi="Arial" w:cs="Arial"/>
                <w:b/>
                <w:sz w:val="22"/>
                <w:szCs w:val="22"/>
              </w:rPr>
              <w:t>(60)</w:t>
            </w:r>
          </w:p>
        </w:tc>
        <w:tc>
          <w:tcPr>
            <w:tcW w:w="626" w:type="pct"/>
            <w:vAlign w:val="center"/>
          </w:tcPr>
          <w:p w14:paraId="470BC0FE" w14:textId="77777777" w:rsidR="0035042E" w:rsidRPr="00231377" w:rsidRDefault="0035042E" w:rsidP="008806B6">
            <w:pPr>
              <w:jc w:val="right"/>
              <w:rPr>
                <w:rFonts w:ascii="Arial" w:hAnsi="Arial" w:cs="Arial"/>
                <w:bCs/>
                <w:sz w:val="22"/>
                <w:szCs w:val="22"/>
              </w:rPr>
            </w:pPr>
            <w:r w:rsidRPr="00231377">
              <w:rPr>
                <w:rFonts w:ascii="Arial" w:hAnsi="Arial" w:cs="Arial"/>
                <w:bCs/>
                <w:sz w:val="22"/>
                <w:szCs w:val="22"/>
              </w:rPr>
              <w:t>(54)</w:t>
            </w:r>
          </w:p>
        </w:tc>
        <w:tc>
          <w:tcPr>
            <w:tcW w:w="773" w:type="pct"/>
            <w:shd w:val="clear" w:color="auto" w:fill="auto"/>
            <w:vAlign w:val="center"/>
          </w:tcPr>
          <w:p w14:paraId="28F7992E" w14:textId="77777777" w:rsidR="0035042E" w:rsidRPr="008806B6" w:rsidRDefault="0035042E" w:rsidP="008806B6">
            <w:pPr>
              <w:jc w:val="right"/>
              <w:rPr>
                <w:rFonts w:ascii="Arial" w:hAnsi="Arial" w:cs="Arial"/>
                <w:sz w:val="22"/>
                <w:szCs w:val="22"/>
              </w:rPr>
            </w:pPr>
            <w:r w:rsidRPr="008806B6">
              <w:rPr>
                <w:rFonts w:ascii="Arial" w:hAnsi="Arial" w:cs="Arial"/>
                <w:sz w:val="22"/>
                <w:szCs w:val="22"/>
              </w:rPr>
              <w:t>n/a</w:t>
            </w:r>
          </w:p>
        </w:tc>
      </w:tr>
      <w:tr w:rsidR="0035042E" w:rsidRPr="00302695" w14:paraId="178665F4" w14:textId="77777777" w:rsidTr="0030552A">
        <w:trPr>
          <w:trHeight w:val="266"/>
        </w:trPr>
        <w:tc>
          <w:tcPr>
            <w:tcW w:w="2966" w:type="pct"/>
            <w:vAlign w:val="center"/>
          </w:tcPr>
          <w:p w14:paraId="7B5A0B5A" w14:textId="77777777" w:rsidR="0035042E" w:rsidRPr="00231377" w:rsidRDefault="0035042E" w:rsidP="008806B6">
            <w:pPr>
              <w:jc w:val="left"/>
              <w:rPr>
                <w:rFonts w:ascii="Arial" w:hAnsi="Arial" w:cs="Arial"/>
                <w:sz w:val="22"/>
                <w:szCs w:val="22"/>
              </w:rPr>
            </w:pPr>
            <w:r w:rsidRPr="00231377">
              <w:rPr>
                <w:rFonts w:ascii="Arial" w:hAnsi="Arial" w:cs="Arial"/>
                <w:sz w:val="22"/>
                <w:szCs w:val="22"/>
              </w:rPr>
              <w:t>Share of interest and tax of joint ventures &amp; associates</w:t>
            </w:r>
          </w:p>
        </w:tc>
        <w:tc>
          <w:tcPr>
            <w:tcW w:w="635" w:type="pct"/>
            <w:vAlign w:val="center"/>
          </w:tcPr>
          <w:p w14:paraId="48726857" w14:textId="77777777" w:rsidR="0035042E" w:rsidRPr="00231377" w:rsidRDefault="0035042E" w:rsidP="008806B6">
            <w:pPr>
              <w:jc w:val="right"/>
              <w:rPr>
                <w:rFonts w:ascii="Arial" w:hAnsi="Arial" w:cs="Arial"/>
                <w:b/>
                <w:sz w:val="22"/>
                <w:szCs w:val="22"/>
              </w:rPr>
            </w:pPr>
            <w:r w:rsidRPr="00231377">
              <w:rPr>
                <w:rFonts w:ascii="Arial" w:hAnsi="Arial" w:cs="Arial"/>
                <w:b/>
                <w:sz w:val="22"/>
                <w:szCs w:val="22"/>
              </w:rPr>
              <w:t>(2)</w:t>
            </w:r>
          </w:p>
        </w:tc>
        <w:tc>
          <w:tcPr>
            <w:tcW w:w="626" w:type="pct"/>
            <w:vAlign w:val="center"/>
          </w:tcPr>
          <w:p w14:paraId="6819BA21" w14:textId="77777777" w:rsidR="0035042E" w:rsidRPr="00231377" w:rsidRDefault="0035042E" w:rsidP="008806B6">
            <w:pPr>
              <w:jc w:val="right"/>
              <w:rPr>
                <w:rFonts w:ascii="Arial" w:hAnsi="Arial" w:cs="Arial"/>
                <w:bCs/>
                <w:sz w:val="22"/>
                <w:szCs w:val="22"/>
              </w:rPr>
            </w:pPr>
            <w:r w:rsidRPr="00231377">
              <w:rPr>
                <w:rFonts w:ascii="Arial" w:hAnsi="Arial" w:cs="Arial"/>
                <w:bCs/>
                <w:sz w:val="22"/>
                <w:szCs w:val="22"/>
              </w:rPr>
              <w:t>(3)</w:t>
            </w:r>
          </w:p>
        </w:tc>
        <w:tc>
          <w:tcPr>
            <w:tcW w:w="773" w:type="pct"/>
            <w:shd w:val="clear" w:color="auto" w:fill="auto"/>
            <w:vAlign w:val="center"/>
          </w:tcPr>
          <w:p w14:paraId="3E066CBD" w14:textId="77777777" w:rsidR="0035042E" w:rsidRPr="008806B6" w:rsidRDefault="0035042E" w:rsidP="008806B6">
            <w:pPr>
              <w:jc w:val="right"/>
              <w:rPr>
                <w:rFonts w:ascii="Arial" w:hAnsi="Arial" w:cs="Arial"/>
                <w:sz w:val="22"/>
                <w:szCs w:val="22"/>
              </w:rPr>
            </w:pPr>
            <w:r w:rsidRPr="008806B6">
              <w:rPr>
                <w:rFonts w:ascii="Arial" w:hAnsi="Arial" w:cs="Arial"/>
                <w:sz w:val="22"/>
                <w:szCs w:val="22"/>
              </w:rPr>
              <w:t>n/a</w:t>
            </w:r>
          </w:p>
        </w:tc>
      </w:tr>
      <w:tr w:rsidR="0035042E" w:rsidRPr="00302695" w14:paraId="42F3D0C3" w14:textId="77777777" w:rsidTr="0030552A">
        <w:trPr>
          <w:trHeight w:val="266"/>
        </w:trPr>
        <w:tc>
          <w:tcPr>
            <w:tcW w:w="2966" w:type="pct"/>
            <w:tcBorders>
              <w:bottom w:val="single" w:sz="4" w:space="0" w:color="auto"/>
            </w:tcBorders>
            <w:vAlign w:val="center"/>
          </w:tcPr>
          <w:p w14:paraId="1A020C92" w14:textId="77777777" w:rsidR="0035042E" w:rsidRPr="00231377" w:rsidRDefault="0035042E" w:rsidP="008806B6">
            <w:pPr>
              <w:jc w:val="left"/>
              <w:rPr>
                <w:rFonts w:ascii="Arial" w:hAnsi="Arial" w:cs="Arial"/>
                <w:b/>
                <w:strike/>
                <w:sz w:val="22"/>
                <w:szCs w:val="22"/>
              </w:rPr>
            </w:pPr>
            <w:r w:rsidRPr="00231377">
              <w:rPr>
                <w:rFonts w:ascii="Arial" w:hAnsi="Arial" w:cs="Arial"/>
                <w:sz w:val="22"/>
                <w:szCs w:val="22"/>
              </w:rPr>
              <w:t>Net finance costs</w:t>
            </w:r>
          </w:p>
        </w:tc>
        <w:tc>
          <w:tcPr>
            <w:tcW w:w="635" w:type="pct"/>
            <w:tcBorders>
              <w:bottom w:val="single" w:sz="4" w:space="0" w:color="auto"/>
            </w:tcBorders>
            <w:vAlign w:val="center"/>
          </w:tcPr>
          <w:p w14:paraId="5BA90917" w14:textId="77777777" w:rsidR="0035042E" w:rsidRPr="00231377" w:rsidRDefault="0035042E" w:rsidP="008806B6">
            <w:pPr>
              <w:jc w:val="right"/>
              <w:rPr>
                <w:rFonts w:ascii="Arial" w:hAnsi="Arial" w:cs="Arial"/>
                <w:b/>
                <w:strike/>
                <w:sz w:val="22"/>
                <w:szCs w:val="22"/>
              </w:rPr>
            </w:pPr>
            <w:r w:rsidRPr="00231377">
              <w:rPr>
                <w:rFonts w:ascii="Arial" w:hAnsi="Arial" w:cs="Arial"/>
                <w:b/>
                <w:sz w:val="22"/>
                <w:szCs w:val="22"/>
              </w:rPr>
              <w:t>(137)</w:t>
            </w:r>
          </w:p>
        </w:tc>
        <w:tc>
          <w:tcPr>
            <w:tcW w:w="626" w:type="pct"/>
            <w:tcBorders>
              <w:bottom w:val="single" w:sz="4" w:space="0" w:color="auto"/>
            </w:tcBorders>
            <w:vAlign w:val="center"/>
          </w:tcPr>
          <w:p w14:paraId="7ECE9F34" w14:textId="77777777" w:rsidR="0035042E" w:rsidRPr="00231377" w:rsidRDefault="0035042E" w:rsidP="008806B6">
            <w:pPr>
              <w:jc w:val="right"/>
              <w:rPr>
                <w:rFonts w:ascii="Arial" w:hAnsi="Arial" w:cs="Arial"/>
                <w:bCs/>
                <w:strike/>
                <w:sz w:val="22"/>
                <w:szCs w:val="22"/>
              </w:rPr>
            </w:pPr>
            <w:r w:rsidRPr="00231377">
              <w:rPr>
                <w:rFonts w:ascii="Arial" w:hAnsi="Arial" w:cs="Arial"/>
                <w:bCs/>
                <w:sz w:val="22"/>
                <w:szCs w:val="22"/>
              </w:rPr>
              <w:t>(160)</w:t>
            </w:r>
          </w:p>
        </w:tc>
        <w:tc>
          <w:tcPr>
            <w:tcW w:w="773" w:type="pct"/>
            <w:tcBorders>
              <w:bottom w:val="single" w:sz="4" w:space="0" w:color="auto"/>
            </w:tcBorders>
            <w:shd w:val="clear" w:color="auto" w:fill="auto"/>
            <w:vAlign w:val="center"/>
          </w:tcPr>
          <w:p w14:paraId="57BE84A7" w14:textId="77777777" w:rsidR="0035042E" w:rsidRPr="008806B6" w:rsidRDefault="0035042E" w:rsidP="008806B6">
            <w:pPr>
              <w:jc w:val="right"/>
              <w:rPr>
                <w:rFonts w:ascii="Arial" w:hAnsi="Arial" w:cs="Arial"/>
                <w:strike/>
                <w:sz w:val="22"/>
                <w:szCs w:val="22"/>
              </w:rPr>
            </w:pPr>
            <w:r w:rsidRPr="008806B6">
              <w:rPr>
                <w:rFonts w:ascii="Arial" w:hAnsi="Arial" w:cs="Arial"/>
                <w:sz w:val="22"/>
                <w:szCs w:val="22"/>
              </w:rPr>
              <w:t>n/a</w:t>
            </w:r>
          </w:p>
        </w:tc>
      </w:tr>
      <w:tr w:rsidR="0035042E" w:rsidRPr="00302695" w14:paraId="378FD7C7" w14:textId="77777777" w:rsidTr="0030552A">
        <w:trPr>
          <w:trHeight w:val="266"/>
        </w:trPr>
        <w:tc>
          <w:tcPr>
            <w:tcW w:w="2966" w:type="pct"/>
            <w:tcBorders>
              <w:top w:val="single" w:sz="4" w:space="0" w:color="auto"/>
            </w:tcBorders>
            <w:vAlign w:val="center"/>
          </w:tcPr>
          <w:p w14:paraId="1E9C975E" w14:textId="77777777" w:rsidR="0035042E" w:rsidRPr="00231377" w:rsidRDefault="0035042E" w:rsidP="008806B6">
            <w:pPr>
              <w:jc w:val="left"/>
              <w:rPr>
                <w:rFonts w:ascii="Arial" w:hAnsi="Arial" w:cs="Arial"/>
                <w:sz w:val="22"/>
                <w:szCs w:val="22"/>
              </w:rPr>
            </w:pPr>
            <w:r w:rsidRPr="00231377">
              <w:rPr>
                <w:rFonts w:ascii="Arial" w:hAnsi="Arial" w:cs="Arial"/>
                <w:b/>
                <w:sz w:val="22"/>
                <w:szCs w:val="22"/>
              </w:rPr>
              <w:t>Adjusted pre-tax profit</w:t>
            </w:r>
          </w:p>
        </w:tc>
        <w:tc>
          <w:tcPr>
            <w:tcW w:w="635" w:type="pct"/>
            <w:tcBorders>
              <w:top w:val="single" w:sz="4" w:space="0" w:color="auto"/>
            </w:tcBorders>
            <w:vAlign w:val="center"/>
          </w:tcPr>
          <w:p w14:paraId="7867B268" w14:textId="77777777" w:rsidR="0035042E" w:rsidRPr="00231377" w:rsidRDefault="0035042E" w:rsidP="008806B6">
            <w:pPr>
              <w:jc w:val="right"/>
              <w:rPr>
                <w:rFonts w:ascii="Arial" w:hAnsi="Arial" w:cs="Arial"/>
                <w:b/>
                <w:sz w:val="22"/>
                <w:szCs w:val="22"/>
              </w:rPr>
            </w:pPr>
            <w:r w:rsidRPr="00231377">
              <w:rPr>
                <w:rFonts w:ascii="Arial" w:hAnsi="Arial" w:cs="Arial"/>
                <w:b/>
                <w:sz w:val="22"/>
                <w:szCs w:val="22"/>
              </w:rPr>
              <w:t>949</w:t>
            </w:r>
          </w:p>
        </w:tc>
        <w:tc>
          <w:tcPr>
            <w:tcW w:w="626" w:type="pct"/>
            <w:tcBorders>
              <w:top w:val="single" w:sz="4" w:space="0" w:color="auto"/>
            </w:tcBorders>
            <w:vAlign w:val="center"/>
          </w:tcPr>
          <w:p w14:paraId="3D344800" w14:textId="77777777" w:rsidR="0035042E" w:rsidRPr="00231377" w:rsidRDefault="0035042E" w:rsidP="008806B6">
            <w:pPr>
              <w:jc w:val="right"/>
              <w:rPr>
                <w:rFonts w:ascii="Arial" w:hAnsi="Arial" w:cs="Arial"/>
                <w:bCs/>
                <w:sz w:val="22"/>
                <w:szCs w:val="22"/>
              </w:rPr>
            </w:pPr>
            <w:r w:rsidRPr="00231377">
              <w:rPr>
                <w:rFonts w:ascii="Arial" w:hAnsi="Arial" w:cs="Arial"/>
                <w:bCs/>
                <w:sz w:val="22"/>
                <w:szCs w:val="22"/>
              </w:rPr>
              <w:t>786</w:t>
            </w:r>
          </w:p>
        </w:tc>
        <w:tc>
          <w:tcPr>
            <w:tcW w:w="773" w:type="pct"/>
            <w:tcBorders>
              <w:top w:val="single" w:sz="4" w:space="0" w:color="auto"/>
            </w:tcBorders>
            <w:shd w:val="clear" w:color="auto" w:fill="auto"/>
            <w:vAlign w:val="center"/>
          </w:tcPr>
          <w:p w14:paraId="19BB0A89" w14:textId="7FE8E22A" w:rsidR="0035042E" w:rsidRPr="008806B6" w:rsidRDefault="0035042E" w:rsidP="008806B6">
            <w:pPr>
              <w:jc w:val="right"/>
              <w:rPr>
                <w:rFonts w:ascii="Arial" w:hAnsi="Arial" w:cs="Arial"/>
                <w:sz w:val="22"/>
                <w:szCs w:val="22"/>
              </w:rPr>
            </w:pPr>
            <w:r w:rsidRPr="008806B6">
              <w:rPr>
                <w:rFonts w:ascii="Arial" w:hAnsi="Arial" w:cs="Arial"/>
                <w:sz w:val="22"/>
                <w:szCs w:val="22"/>
              </w:rPr>
              <w:t>20.</w:t>
            </w:r>
            <w:r w:rsidR="0030552A">
              <w:rPr>
                <w:rFonts w:ascii="Arial" w:hAnsi="Arial" w:cs="Arial"/>
                <w:sz w:val="22"/>
                <w:szCs w:val="22"/>
              </w:rPr>
              <w:t>9</w:t>
            </w:r>
            <w:r w:rsidRPr="008806B6">
              <w:rPr>
                <w:rFonts w:ascii="Arial" w:hAnsi="Arial" w:cs="Arial"/>
                <w:sz w:val="22"/>
                <w:szCs w:val="22"/>
              </w:rPr>
              <w:t>%</w:t>
            </w:r>
          </w:p>
        </w:tc>
      </w:tr>
      <w:tr w:rsidR="0035042E" w:rsidRPr="00302695" w14:paraId="2EAEF829" w14:textId="77777777" w:rsidTr="0030552A">
        <w:trPr>
          <w:trHeight w:val="266"/>
        </w:trPr>
        <w:tc>
          <w:tcPr>
            <w:tcW w:w="2966" w:type="pct"/>
            <w:vAlign w:val="center"/>
          </w:tcPr>
          <w:p w14:paraId="2455B500" w14:textId="77777777" w:rsidR="0035042E" w:rsidRPr="00231377" w:rsidRDefault="0035042E" w:rsidP="008806B6">
            <w:pPr>
              <w:jc w:val="left"/>
              <w:rPr>
                <w:rFonts w:ascii="Arial" w:hAnsi="Arial" w:cs="Arial"/>
                <w:sz w:val="22"/>
                <w:szCs w:val="22"/>
              </w:rPr>
            </w:pPr>
            <w:r w:rsidRPr="00231377">
              <w:rPr>
                <w:rFonts w:ascii="Arial" w:hAnsi="Arial" w:cs="Arial"/>
                <w:sz w:val="22"/>
                <w:szCs w:val="22"/>
              </w:rPr>
              <w:t>Adjusting items before tax</w:t>
            </w:r>
          </w:p>
        </w:tc>
        <w:tc>
          <w:tcPr>
            <w:tcW w:w="635" w:type="pct"/>
            <w:vAlign w:val="center"/>
          </w:tcPr>
          <w:p w14:paraId="070D9453" w14:textId="77777777" w:rsidR="0035042E" w:rsidRPr="00231377" w:rsidRDefault="0035042E" w:rsidP="008806B6">
            <w:pPr>
              <w:jc w:val="right"/>
              <w:rPr>
                <w:rFonts w:ascii="Arial" w:hAnsi="Arial" w:cs="Arial"/>
                <w:b/>
                <w:sz w:val="22"/>
                <w:szCs w:val="22"/>
              </w:rPr>
            </w:pPr>
            <w:r w:rsidRPr="00231377">
              <w:rPr>
                <w:rFonts w:ascii="Arial" w:hAnsi="Arial" w:cs="Arial"/>
                <w:b/>
                <w:sz w:val="22"/>
                <w:szCs w:val="22"/>
              </w:rPr>
              <w:t>58</w:t>
            </w:r>
          </w:p>
        </w:tc>
        <w:tc>
          <w:tcPr>
            <w:tcW w:w="626" w:type="pct"/>
            <w:vAlign w:val="center"/>
          </w:tcPr>
          <w:p w14:paraId="2EFFE708" w14:textId="77777777" w:rsidR="0035042E" w:rsidRPr="00231377" w:rsidRDefault="0035042E" w:rsidP="008806B6">
            <w:pPr>
              <w:jc w:val="right"/>
              <w:rPr>
                <w:rFonts w:ascii="Arial" w:hAnsi="Arial" w:cs="Arial"/>
                <w:bCs/>
                <w:sz w:val="22"/>
                <w:szCs w:val="22"/>
              </w:rPr>
            </w:pPr>
            <w:r w:rsidRPr="00231377">
              <w:rPr>
                <w:rFonts w:ascii="Arial" w:hAnsi="Arial" w:cs="Arial"/>
                <w:bCs/>
                <w:sz w:val="22"/>
                <w:szCs w:val="22"/>
              </w:rPr>
              <w:t>(30)</w:t>
            </w:r>
          </w:p>
        </w:tc>
        <w:tc>
          <w:tcPr>
            <w:tcW w:w="773" w:type="pct"/>
            <w:shd w:val="clear" w:color="auto" w:fill="auto"/>
            <w:vAlign w:val="center"/>
          </w:tcPr>
          <w:p w14:paraId="2A4EDE32" w14:textId="77777777" w:rsidR="0035042E" w:rsidRPr="008806B6" w:rsidRDefault="0035042E" w:rsidP="008806B6">
            <w:pPr>
              <w:jc w:val="right"/>
              <w:rPr>
                <w:rFonts w:ascii="Arial" w:hAnsi="Arial" w:cs="Arial"/>
                <w:sz w:val="22"/>
                <w:szCs w:val="22"/>
              </w:rPr>
            </w:pPr>
            <w:r w:rsidRPr="008806B6">
              <w:rPr>
                <w:rFonts w:ascii="Arial" w:hAnsi="Arial" w:cs="Arial"/>
                <w:sz w:val="22"/>
                <w:szCs w:val="22"/>
              </w:rPr>
              <w:t>n/a</w:t>
            </w:r>
          </w:p>
        </w:tc>
      </w:tr>
      <w:tr w:rsidR="0035042E" w:rsidRPr="00302695" w14:paraId="6E6B753A" w14:textId="77777777" w:rsidTr="0030552A">
        <w:trPr>
          <w:trHeight w:val="266"/>
        </w:trPr>
        <w:tc>
          <w:tcPr>
            <w:tcW w:w="2966" w:type="pct"/>
            <w:tcBorders>
              <w:top w:val="single" w:sz="4" w:space="0" w:color="auto"/>
              <w:bottom w:val="single" w:sz="4" w:space="0" w:color="auto"/>
            </w:tcBorders>
            <w:vAlign w:val="center"/>
          </w:tcPr>
          <w:p w14:paraId="09730820" w14:textId="77777777" w:rsidR="0035042E" w:rsidRPr="00231377" w:rsidRDefault="0035042E" w:rsidP="008806B6">
            <w:pPr>
              <w:jc w:val="left"/>
              <w:rPr>
                <w:rFonts w:ascii="Arial" w:hAnsi="Arial" w:cs="Arial"/>
                <w:b/>
                <w:sz w:val="22"/>
                <w:szCs w:val="22"/>
              </w:rPr>
            </w:pPr>
            <w:r w:rsidRPr="00231377">
              <w:rPr>
                <w:rFonts w:ascii="Arial" w:hAnsi="Arial" w:cs="Arial"/>
                <w:b/>
                <w:sz w:val="22"/>
                <w:szCs w:val="22"/>
              </w:rPr>
              <w:t>Statutory pre-tax profit</w:t>
            </w:r>
          </w:p>
        </w:tc>
        <w:tc>
          <w:tcPr>
            <w:tcW w:w="635" w:type="pct"/>
            <w:tcBorders>
              <w:top w:val="single" w:sz="4" w:space="0" w:color="auto"/>
              <w:bottom w:val="single" w:sz="4" w:space="0" w:color="auto"/>
            </w:tcBorders>
            <w:vAlign w:val="center"/>
          </w:tcPr>
          <w:p w14:paraId="1D0B7531" w14:textId="77777777" w:rsidR="0035042E" w:rsidRPr="00231377" w:rsidRDefault="0035042E" w:rsidP="008806B6">
            <w:pPr>
              <w:jc w:val="right"/>
              <w:rPr>
                <w:rFonts w:ascii="Arial" w:hAnsi="Arial" w:cs="Arial"/>
                <w:b/>
                <w:sz w:val="22"/>
                <w:szCs w:val="22"/>
              </w:rPr>
            </w:pPr>
            <w:r w:rsidRPr="00231377">
              <w:rPr>
                <w:rFonts w:ascii="Arial" w:hAnsi="Arial" w:cs="Arial"/>
                <w:b/>
                <w:sz w:val="22"/>
                <w:szCs w:val="22"/>
              </w:rPr>
              <w:t>1,007</w:t>
            </w:r>
          </w:p>
        </w:tc>
        <w:tc>
          <w:tcPr>
            <w:tcW w:w="626" w:type="pct"/>
            <w:tcBorders>
              <w:top w:val="single" w:sz="4" w:space="0" w:color="auto"/>
              <w:bottom w:val="single" w:sz="4" w:space="0" w:color="auto"/>
            </w:tcBorders>
            <w:vAlign w:val="center"/>
          </w:tcPr>
          <w:p w14:paraId="5B9B89CD" w14:textId="77777777" w:rsidR="0035042E" w:rsidRPr="00231377" w:rsidRDefault="0035042E" w:rsidP="008806B6">
            <w:pPr>
              <w:jc w:val="right"/>
              <w:rPr>
                <w:rFonts w:ascii="Arial" w:hAnsi="Arial" w:cs="Arial"/>
                <w:bCs/>
                <w:sz w:val="22"/>
                <w:szCs w:val="22"/>
              </w:rPr>
            </w:pPr>
            <w:r w:rsidRPr="00231377">
              <w:rPr>
                <w:rFonts w:ascii="Arial" w:hAnsi="Arial" w:cs="Arial"/>
                <w:bCs/>
                <w:sz w:val="22"/>
                <w:szCs w:val="22"/>
              </w:rPr>
              <w:t>756</w:t>
            </w:r>
          </w:p>
        </w:tc>
        <w:tc>
          <w:tcPr>
            <w:tcW w:w="773" w:type="pct"/>
            <w:tcBorders>
              <w:top w:val="single" w:sz="4" w:space="0" w:color="auto"/>
              <w:bottom w:val="single" w:sz="4" w:space="0" w:color="auto"/>
            </w:tcBorders>
            <w:shd w:val="clear" w:color="auto" w:fill="auto"/>
            <w:vAlign w:val="center"/>
          </w:tcPr>
          <w:p w14:paraId="790275BB" w14:textId="243954E7" w:rsidR="0035042E" w:rsidRPr="008806B6" w:rsidRDefault="0035042E" w:rsidP="008806B6">
            <w:pPr>
              <w:jc w:val="right"/>
              <w:rPr>
                <w:rFonts w:ascii="Arial" w:hAnsi="Arial" w:cs="Arial"/>
                <w:sz w:val="22"/>
                <w:szCs w:val="22"/>
              </w:rPr>
            </w:pPr>
            <w:r w:rsidRPr="008806B6">
              <w:rPr>
                <w:rFonts w:ascii="Arial" w:hAnsi="Arial" w:cs="Arial"/>
                <w:sz w:val="22"/>
                <w:szCs w:val="22"/>
              </w:rPr>
              <w:t>33.</w:t>
            </w:r>
            <w:r w:rsidR="0030552A">
              <w:rPr>
                <w:rFonts w:ascii="Arial" w:hAnsi="Arial" w:cs="Arial"/>
                <w:sz w:val="22"/>
                <w:szCs w:val="22"/>
              </w:rPr>
              <w:t>1</w:t>
            </w:r>
            <w:r w:rsidRPr="008806B6">
              <w:rPr>
                <w:rFonts w:ascii="Arial" w:hAnsi="Arial" w:cs="Arial"/>
                <w:sz w:val="22"/>
                <w:szCs w:val="22"/>
              </w:rPr>
              <w:t>%</w:t>
            </w:r>
          </w:p>
        </w:tc>
      </w:tr>
    </w:tbl>
    <w:p w14:paraId="2B7D1A4C" w14:textId="77777777" w:rsidR="0035042E" w:rsidRPr="003A1B1F" w:rsidRDefault="0035042E" w:rsidP="0035042E">
      <w:pPr>
        <w:jc w:val="left"/>
        <w:rPr>
          <w:rFonts w:ascii="Arial" w:hAnsi="Arial" w:cs="Arial"/>
          <w:b/>
          <w:bCs/>
          <w:szCs w:val="24"/>
        </w:rPr>
      </w:pPr>
    </w:p>
    <w:p w14:paraId="7966A28F" w14:textId="10F7363E" w:rsidR="0035042E" w:rsidRPr="002110D5" w:rsidRDefault="0035042E" w:rsidP="0035042E">
      <w:pPr>
        <w:jc w:val="left"/>
        <w:rPr>
          <w:rFonts w:ascii="Arial" w:hAnsi="Arial" w:cs="Arial"/>
          <w:b/>
          <w:bCs/>
          <w:szCs w:val="24"/>
        </w:rPr>
      </w:pPr>
      <w:bookmarkStart w:id="94" w:name="_Hlk98754745"/>
      <w:r w:rsidRPr="003A1B1F">
        <w:rPr>
          <w:rFonts w:ascii="Arial" w:hAnsi="Arial" w:cs="Arial"/>
          <w:b/>
          <w:bCs/>
          <w:szCs w:val="24"/>
        </w:rPr>
        <w:t xml:space="preserve">Net finance costs </w:t>
      </w:r>
      <w:r w:rsidRPr="00302695">
        <w:rPr>
          <w:rFonts w:ascii="Arial" w:hAnsi="Arial" w:cs="Arial"/>
          <w:szCs w:val="24"/>
        </w:rPr>
        <w:t>of £</w:t>
      </w:r>
      <w:r w:rsidRPr="00D10BA2">
        <w:rPr>
          <w:rFonts w:ascii="Arial" w:hAnsi="Arial" w:cs="Arial"/>
          <w:szCs w:val="24"/>
        </w:rPr>
        <w:t>137</w:t>
      </w:r>
      <w:r w:rsidR="000F2F06">
        <w:rPr>
          <w:rFonts w:ascii="Arial" w:hAnsi="Arial" w:cs="Arial"/>
          <w:szCs w:val="24"/>
        </w:rPr>
        <w:t>m</w:t>
      </w:r>
      <w:r w:rsidRPr="003A1B1F">
        <w:rPr>
          <w:rFonts w:ascii="Arial" w:hAnsi="Arial" w:cs="Arial"/>
          <w:szCs w:val="24"/>
        </w:rPr>
        <w:t xml:space="preserve"> (</w:t>
      </w:r>
      <w:r w:rsidR="00720EDB">
        <w:rPr>
          <w:rFonts w:ascii="Arial" w:hAnsi="Arial" w:cs="Arial"/>
          <w:szCs w:val="24"/>
        </w:rPr>
        <w:t>FY 20/21</w:t>
      </w:r>
      <w:r w:rsidRPr="003A1B1F">
        <w:rPr>
          <w:rFonts w:ascii="Arial" w:hAnsi="Arial" w:cs="Arial"/>
          <w:szCs w:val="24"/>
        </w:rPr>
        <w:t xml:space="preserve">: </w:t>
      </w:r>
      <w:r w:rsidRPr="00D10BA2">
        <w:rPr>
          <w:rFonts w:ascii="Arial" w:hAnsi="Arial" w:cs="Arial"/>
          <w:szCs w:val="24"/>
        </w:rPr>
        <w:t>£160</w:t>
      </w:r>
      <w:r w:rsidR="000F2F06">
        <w:rPr>
          <w:rFonts w:ascii="Arial" w:hAnsi="Arial" w:cs="Arial"/>
          <w:szCs w:val="24"/>
        </w:rPr>
        <w:t>m</w:t>
      </w:r>
      <w:r w:rsidRPr="003A1B1F">
        <w:rPr>
          <w:rFonts w:ascii="Arial" w:hAnsi="Arial" w:cs="Arial"/>
          <w:szCs w:val="24"/>
        </w:rPr>
        <w:t>) consist principally of interest on IFRS 16 lease</w:t>
      </w:r>
      <w:r w:rsidR="00C1178A">
        <w:rPr>
          <w:rFonts w:ascii="Arial" w:hAnsi="Arial" w:cs="Arial"/>
          <w:szCs w:val="24"/>
        </w:rPr>
        <w:t xml:space="preserve"> </w:t>
      </w:r>
      <w:r w:rsidRPr="003A1B1F">
        <w:rPr>
          <w:rFonts w:ascii="Arial" w:hAnsi="Arial" w:cs="Arial"/>
          <w:szCs w:val="24"/>
        </w:rPr>
        <w:t>liabilitie</w:t>
      </w:r>
      <w:r w:rsidRPr="002424F0">
        <w:rPr>
          <w:rFonts w:ascii="Arial" w:hAnsi="Arial" w:cs="Arial"/>
          <w:szCs w:val="24"/>
        </w:rPr>
        <w:t xml:space="preserve">s. Net finance costs decreased due to lower </w:t>
      </w:r>
      <w:r w:rsidR="00B42290">
        <w:rPr>
          <w:rFonts w:ascii="Arial" w:hAnsi="Arial" w:cs="Arial"/>
          <w:szCs w:val="24"/>
        </w:rPr>
        <w:t xml:space="preserve">interest on </w:t>
      </w:r>
      <w:r w:rsidRPr="002424F0">
        <w:rPr>
          <w:rFonts w:ascii="Arial" w:hAnsi="Arial" w:cs="Arial"/>
          <w:szCs w:val="24"/>
        </w:rPr>
        <w:t xml:space="preserve">lease liabilities </w:t>
      </w:r>
      <w:r w:rsidRPr="007C3E3F">
        <w:rPr>
          <w:rFonts w:ascii="Arial" w:hAnsi="Arial" w:cs="Arial"/>
          <w:szCs w:val="24"/>
        </w:rPr>
        <w:t>and debt repayments.</w:t>
      </w:r>
    </w:p>
    <w:bookmarkEnd w:id="94"/>
    <w:p w14:paraId="717736B1" w14:textId="77777777" w:rsidR="0035042E" w:rsidRPr="00BB1AF0" w:rsidRDefault="0035042E" w:rsidP="0035042E">
      <w:pPr>
        <w:jc w:val="left"/>
        <w:rPr>
          <w:rFonts w:ascii="Arial" w:hAnsi="Arial" w:cs="Arial"/>
          <w:b/>
          <w:bCs/>
          <w:szCs w:val="24"/>
        </w:rPr>
      </w:pPr>
    </w:p>
    <w:p w14:paraId="057A1020" w14:textId="37056CFC" w:rsidR="0035042E" w:rsidRPr="00FA6BF3" w:rsidRDefault="0035042E" w:rsidP="0035042E">
      <w:pPr>
        <w:jc w:val="left"/>
        <w:rPr>
          <w:rFonts w:ascii="Arial" w:hAnsi="Arial" w:cs="Arial"/>
          <w:b/>
          <w:bCs/>
          <w:szCs w:val="24"/>
        </w:rPr>
      </w:pPr>
      <w:r w:rsidRPr="00FA6BF3">
        <w:rPr>
          <w:rFonts w:ascii="Arial" w:hAnsi="Arial" w:cs="Arial"/>
          <w:b/>
          <w:bCs/>
          <w:szCs w:val="24"/>
        </w:rPr>
        <w:t xml:space="preserve">Adjusting items after tax </w:t>
      </w:r>
      <w:r w:rsidRPr="00FA6BF3">
        <w:rPr>
          <w:rFonts w:ascii="Arial" w:hAnsi="Arial" w:cs="Arial"/>
          <w:szCs w:val="24"/>
        </w:rPr>
        <w:t xml:space="preserve">were </w:t>
      </w:r>
      <w:r w:rsidR="0030552A" w:rsidRPr="00FA6BF3">
        <w:rPr>
          <w:rFonts w:ascii="Arial" w:hAnsi="Arial" w:cs="Arial"/>
          <w:szCs w:val="24"/>
        </w:rPr>
        <w:t xml:space="preserve">a gain of </w:t>
      </w:r>
      <w:r w:rsidRPr="00FA6BF3">
        <w:rPr>
          <w:rFonts w:ascii="Arial" w:hAnsi="Arial" w:cs="Arial"/>
          <w:szCs w:val="24"/>
        </w:rPr>
        <w:t>£</w:t>
      </w:r>
      <w:r w:rsidR="0030552A" w:rsidRPr="00FA6BF3">
        <w:rPr>
          <w:rFonts w:ascii="Arial" w:hAnsi="Arial" w:cs="Arial"/>
          <w:szCs w:val="24"/>
        </w:rPr>
        <w:t>106</w:t>
      </w:r>
      <w:r w:rsidR="000F2F06" w:rsidRPr="00FA6BF3">
        <w:rPr>
          <w:rFonts w:ascii="Arial" w:hAnsi="Arial" w:cs="Arial"/>
          <w:szCs w:val="24"/>
        </w:rPr>
        <w:t>m</w:t>
      </w:r>
      <w:r w:rsidRPr="00FA6BF3">
        <w:rPr>
          <w:rFonts w:ascii="Arial" w:hAnsi="Arial" w:cs="Arial"/>
          <w:szCs w:val="24"/>
        </w:rPr>
        <w:t xml:space="preserve"> (</w:t>
      </w:r>
      <w:r w:rsidR="00720EDB" w:rsidRPr="00FA6BF3">
        <w:rPr>
          <w:rFonts w:ascii="Arial" w:hAnsi="Arial" w:cs="Arial"/>
          <w:szCs w:val="24"/>
        </w:rPr>
        <w:t>FY 20/21</w:t>
      </w:r>
      <w:r w:rsidRPr="00FA6BF3">
        <w:rPr>
          <w:rFonts w:ascii="Arial" w:hAnsi="Arial" w:cs="Arial"/>
          <w:szCs w:val="24"/>
        </w:rPr>
        <w:t xml:space="preserve">: </w:t>
      </w:r>
      <w:r w:rsidR="0030552A" w:rsidRPr="00FA6BF3">
        <w:rPr>
          <w:rFonts w:ascii="Arial" w:hAnsi="Arial" w:cs="Arial"/>
          <w:szCs w:val="24"/>
        </w:rPr>
        <w:t xml:space="preserve">charge of </w:t>
      </w:r>
      <w:r w:rsidRPr="00FA6BF3">
        <w:rPr>
          <w:rFonts w:ascii="Arial" w:hAnsi="Arial" w:cs="Arial"/>
          <w:szCs w:val="24"/>
        </w:rPr>
        <w:t>£</w:t>
      </w:r>
      <w:r w:rsidR="0030552A" w:rsidRPr="00FA6BF3">
        <w:rPr>
          <w:rFonts w:ascii="Arial" w:hAnsi="Arial" w:cs="Arial"/>
          <w:szCs w:val="24"/>
        </w:rPr>
        <w:t>12</w:t>
      </w:r>
      <w:r w:rsidRPr="00FA6BF3">
        <w:rPr>
          <w:rFonts w:ascii="Arial" w:hAnsi="Arial" w:cs="Arial"/>
          <w:szCs w:val="24"/>
        </w:rPr>
        <w:t>m), as detailed below:</w:t>
      </w:r>
    </w:p>
    <w:p w14:paraId="36C95DCA" w14:textId="77777777" w:rsidR="0035042E" w:rsidRPr="00FA6BF3" w:rsidRDefault="0035042E" w:rsidP="0035042E">
      <w:pPr>
        <w:jc w:val="left"/>
        <w:rPr>
          <w:rFonts w:ascii="Arial" w:hAnsi="Arial" w:cs="Arial"/>
          <w:b/>
          <w:bCs/>
          <w:szCs w:val="24"/>
        </w:rPr>
      </w:pPr>
    </w:p>
    <w:tbl>
      <w:tblPr>
        <w:tblW w:w="5001" w:type="pct"/>
        <w:tblLook w:val="04A0" w:firstRow="1" w:lastRow="0" w:firstColumn="1" w:lastColumn="0" w:noHBand="0" w:noVBand="1"/>
      </w:tblPr>
      <w:tblGrid>
        <w:gridCol w:w="6310"/>
        <w:gridCol w:w="1992"/>
        <w:gridCol w:w="1904"/>
      </w:tblGrid>
      <w:tr w:rsidR="0035042E" w:rsidRPr="00FA6BF3" w14:paraId="0A8D6427" w14:textId="77777777" w:rsidTr="00FA6BF3">
        <w:trPr>
          <w:trHeight w:val="525"/>
        </w:trPr>
        <w:tc>
          <w:tcPr>
            <w:tcW w:w="3091" w:type="pct"/>
            <w:tcBorders>
              <w:top w:val="nil"/>
              <w:left w:val="nil"/>
              <w:bottom w:val="single" w:sz="4" w:space="0" w:color="auto"/>
              <w:right w:val="nil"/>
            </w:tcBorders>
            <w:vAlign w:val="center"/>
          </w:tcPr>
          <w:p w14:paraId="661FD0C4" w14:textId="77777777" w:rsidR="0035042E" w:rsidRPr="00FA6BF3" w:rsidRDefault="0035042E" w:rsidP="00FA6BF3">
            <w:pPr>
              <w:jc w:val="left"/>
              <w:rPr>
                <w:rFonts w:ascii="Arial" w:hAnsi="Arial" w:cs="Arial"/>
                <w:bCs/>
              </w:rPr>
            </w:pPr>
          </w:p>
        </w:tc>
        <w:tc>
          <w:tcPr>
            <w:tcW w:w="976" w:type="pct"/>
            <w:tcBorders>
              <w:top w:val="nil"/>
              <w:left w:val="nil"/>
              <w:bottom w:val="single" w:sz="4" w:space="0" w:color="auto"/>
              <w:right w:val="nil"/>
            </w:tcBorders>
            <w:vAlign w:val="center"/>
            <w:hideMark/>
          </w:tcPr>
          <w:p w14:paraId="6D98ECDB" w14:textId="77777777" w:rsidR="0035042E" w:rsidRPr="00FA6BF3" w:rsidRDefault="0035042E" w:rsidP="00FA6BF3">
            <w:pPr>
              <w:jc w:val="right"/>
              <w:rPr>
                <w:rFonts w:ascii="Arial" w:hAnsi="Arial" w:cs="Arial"/>
                <w:b/>
                <w:bCs/>
              </w:rPr>
            </w:pPr>
            <w:r w:rsidRPr="00FA6BF3">
              <w:rPr>
                <w:rFonts w:ascii="Arial" w:hAnsi="Arial" w:cs="Arial"/>
                <w:b/>
                <w:bCs/>
              </w:rPr>
              <w:t>2021/22</w:t>
            </w:r>
          </w:p>
          <w:p w14:paraId="1EC37EDA" w14:textId="77777777" w:rsidR="0035042E" w:rsidRPr="00FA6BF3" w:rsidRDefault="0035042E" w:rsidP="00FA6BF3">
            <w:pPr>
              <w:jc w:val="right"/>
              <w:rPr>
                <w:rFonts w:ascii="Arial" w:hAnsi="Arial" w:cs="Arial"/>
                <w:b/>
                <w:bCs/>
              </w:rPr>
            </w:pPr>
            <w:r w:rsidRPr="00FA6BF3">
              <w:rPr>
                <w:rFonts w:ascii="Arial" w:hAnsi="Arial" w:cs="Arial"/>
                <w:b/>
                <w:bCs/>
              </w:rPr>
              <w:t>£m</w:t>
            </w:r>
          </w:p>
          <w:p w14:paraId="4CE63D3F" w14:textId="77777777" w:rsidR="0035042E" w:rsidRPr="00FA6BF3" w:rsidRDefault="0035042E" w:rsidP="00FA6BF3">
            <w:pPr>
              <w:jc w:val="right"/>
              <w:rPr>
                <w:rFonts w:ascii="Arial" w:hAnsi="Arial" w:cs="Arial"/>
                <w:b/>
                <w:bCs/>
              </w:rPr>
            </w:pPr>
            <w:r w:rsidRPr="00FA6BF3">
              <w:rPr>
                <w:rFonts w:ascii="Arial" w:hAnsi="Arial" w:cs="Arial"/>
                <w:b/>
                <w:bCs/>
              </w:rPr>
              <w:t>Gain/(charge)</w:t>
            </w:r>
          </w:p>
        </w:tc>
        <w:tc>
          <w:tcPr>
            <w:tcW w:w="933" w:type="pct"/>
            <w:tcBorders>
              <w:top w:val="nil"/>
              <w:left w:val="nil"/>
              <w:bottom w:val="single" w:sz="4" w:space="0" w:color="auto"/>
              <w:right w:val="nil"/>
            </w:tcBorders>
            <w:vAlign w:val="center"/>
            <w:hideMark/>
          </w:tcPr>
          <w:p w14:paraId="37C881BD" w14:textId="77777777" w:rsidR="0035042E" w:rsidRPr="00FA6BF3" w:rsidRDefault="0035042E" w:rsidP="00FA6BF3">
            <w:pPr>
              <w:jc w:val="right"/>
              <w:rPr>
                <w:rFonts w:ascii="Arial" w:hAnsi="Arial" w:cs="Arial"/>
                <w:bCs/>
              </w:rPr>
            </w:pPr>
            <w:r w:rsidRPr="00FA6BF3">
              <w:rPr>
                <w:rFonts w:ascii="Arial" w:hAnsi="Arial" w:cs="Arial"/>
                <w:bCs/>
              </w:rPr>
              <w:t>2020/21</w:t>
            </w:r>
          </w:p>
          <w:p w14:paraId="2226000F" w14:textId="77777777" w:rsidR="0035042E" w:rsidRPr="00FA6BF3" w:rsidRDefault="0035042E" w:rsidP="00FA6BF3">
            <w:pPr>
              <w:jc w:val="right"/>
              <w:rPr>
                <w:rFonts w:ascii="Arial" w:hAnsi="Arial" w:cs="Arial"/>
                <w:bCs/>
              </w:rPr>
            </w:pPr>
            <w:r w:rsidRPr="00FA6BF3">
              <w:rPr>
                <w:rFonts w:ascii="Arial" w:hAnsi="Arial" w:cs="Arial"/>
                <w:bCs/>
              </w:rPr>
              <w:t>£m</w:t>
            </w:r>
          </w:p>
          <w:p w14:paraId="26DD1578" w14:textId="77777777" w:rsidR="0035042E" w:rsidRPr="00FA6BF3" w:rsidRDefault="0035042E" w:rsidP="00FA6BF3">
            <w:pPr>
              <w:jc w:val="right"/>
              <w:rPr>
                <w:rFonts w:ascii="Arial" w:hAnsi="Arial" w:cs="Arial"/>
                <w:bCs/>
              </w:rPr>
            </w:pPr>
            <w:r w:rsidRPr="00FA6BF3">
              <w:rPr>
                <w:rFonts w:ascii="Arial" w:hAnsi="Arial" w:cs="Arial"/>
                <w:bCs/>
              </w:rPr>
              <w:t>Gain/(charge)</w:t>
            </w:r>
          </w:p>
        </w:tc>
      </w:tr>
      <w:tr w:rsidR="00FA6BF3" w:rsidRPr="00FA6BF3" w14:paraId="448E423B" w14:textId="77777777" w:rsidTr="00FA6BF3">
        <w:trPr>
          <w:trHeight w:val="266"/>
        </w:trPr>
        <w:tc>
          <w:tcPr>
            <w:tcW w:w="3091" w:type="pct"/>
            <w:vAlign w:val="center"/>
          </w:tcPr>
          <w:p w14:paraId="6D47F18D" w14:textId="627A759F" w:rsidR="00FA6BF3" w:rsidRPr="00FA6BF3" w:rsidRDefault="00FA6BF3" w:rsidP="00FA6BF3">
            <w:pPr>
              <w:jc w:val="left"/>
              <w:rPr>
                <w:rFonts w:ascii="Arial" w:hAnsi="Arial" w:cs="Arial"/>
              </w:rPr>
            </w:pPr>
            <w:r w:rsidRPr="00FA6BF3">
              <w:rPr>
                <w:rFonts w:ascii="Arial" w:hAnsi="Arial" w:cs="Arial"/>
              </w:rPr>
              <w:t>Net store asset impairment reversals</w:t>
            </w:r>
          </w:p>
        </w:tc>
        <w:tc>
          <w:tcPr>
            <w:tcW w:w="976" w:type="pct"/>
            <w:vAlign w:val="center"/>
          </w:tcPr>
          <w:p w14:paraId="7C0A8FB3" w14:textId="6632CB39" w:rsidR="00FA6BF3" w:rsidRPr="00FA6BF3" w:rsidRDefault="00FA6BF3" w:rsidP="00FA6BF3">
            <w:pPr>
              <w:jc w:val="right"/>
              <w:rPr>
                <w:rFonts w:ascii="Arial" w:hAnsi="Arial" w:cs="Arial"/>
                <w:b/>
              </w:rPr>
            </w:pPr>
            <w:r w:rsidRPr="00FA6BF3">
              <w:rPr>
                <w:rFonts w:ascii="Arial" w:hAnsi="Arial" w:cs="Arial"/>
                <w:b/>
              </w:rPr>
              <w:t>33</w:t>
            </w:r>
          </w:p>
        </w:tc>
        <w:tc>
          <w:tcPr>
            <w:tcW w:w="933" w:type="pct"/>
            <w:vAlign w:val="center"/>
          </w:tcPr>
          <w:p w14:paraId="3C37D25E" w14:textId="45AB3514" w:rsidR="00FA6BF3" w:rsidRPr="00FA6BF3" w:rsidRDefault="00FA6BF3" w:rsidP="00FA6BF3">
            <w:pPr>
              <w:jc w:val="right"/>
              <w:rPr>
                <w:rFonts w:ascii="Arial" w:hAnsi="Arial" w:cs="Arial"/>
                <w:bCs/>
              </w:rPr>
            </w:pPr>
            <w:r w:rsidRPr="00FA6BF3">
              <w:rPr>
                <w:rFonts w:ascii="Arial" w:hAnsi="Arial" w:cs="Arial"/>
                <w:bCs/>
              </w:rPr>
              <w:t>42</w:t>
            </w:r>
          </w:p>
        </w:tc>
      </w:tr>
      <w:tr w:rsidR="00FA6BF3" w:rsidRPr="00FA6BF3" w14:paraId="32163AF7" w14:textId="77777777" w:rsidTr="00FA6BF3">
        <w:trPr>
          <w:trHeight w:val="266"/>
        </w:trPr>
        <w:tc>
          <w:tcPr>
            <w:tcW w:w="3091" w:type="pct"/>
            <w:vAlign w:val="center"/>
          </w:tcPr>
          <w:p w14:paraId="0006BEDC" w14:textId="0EFF38CB" w:rsidR="00FA6BF3" w:rsidRPr="00FA6BF3" w:rsidRDefault="00FA6BF3" w:rsidP="00FA6BF3">
            <w:pPr>
              <w:jc w:val="left"/>
              <w:rPr>
                <w:rFonts w:ascii="Arial" w:hAnsi="Arial" w:cs="Arial"/>
              </w:rPr>
            </w:pPr>
            <w:r w:rsidRPr="00FA6BF3">
              <w:rPr>
                <w:rFonts w:ascii="Arial" w:hAnsi="Arial" w:cs="Arial"/>
              </w:rPr>
              <w:t>Release of France and other restructuring provisions</w:t>
            </w:r>
          </w:p>
        </w:tc>
        <w:tc>
          <w:tcPr>
            <w:tcW w:w="976" w:type="pct"/>
            <w:vAlign w:val="center"/>
          </w:tcPr>
          <w:p w14:paraId="1DD4A004" w14:textId="50868666" w:rsidR="00FA6BF3" w:rsidRPr="00FA6BF3" w:rsidRDefault="00FA6BF3" w:rsidP="00FA6BF3">
            <w:pPr>
              <w:jc w:val="right"/>
              <w:rPr>
                <w:rFonts w:ascii="Arial" w:hAnsi="Arial" w:cs="Arial"/>
                <w:b/>
              </w:rPr>
            </w:pPr>
            <w:r w:rsidRPr="00FA6BF3">
              <w:rPr>
                <w:rFonts w:ascii="Arial" w:hAnsi="Arial" w:cs="Arial"/>
                <w:b/>
              </w:rPr>
              <w:t>9</w:t>
            </w:r>
          </w:p>
        </w:tc>
        <w:tc>
          <w:tcPr>
            <w:tcW w:w="933" w:type="pct"/>
            <w:vAlign w:val="center"/>
          </w:tcPr>
          <w:p w14:paraId="010B85BC" w14:textId="3DE03CDC" w:rsidR="00FA6BF3" w:rsidRPr="00FA6BF3" w:rsidRDefault="00FA6BF3" w:rsidP="00FA6BF3">
            <w:pPr>
              <w:jc w:val="right"/>
              <w:rPr>
                <w:rFonts w:ascii="Arial" w:hAnsi="Arial" w:cs="Arial"/>
                <w:bCs/>
              </w:rPr>
            </w:pPr>
            <w:r w:rsidRPr="00FA6BF3">
              <w:rPr>
                <w:rFonts w:ascii="Arial" w:hAnsi="Arial" w:cs="Arial"/>
                <w:bCs/>
              </w:rPr>
              <w:t>-</w:t>
            </w:r>
          </w:p>
        </w:tc>
      </w:tr>
      <w:tr w:rsidR="00FA6BF3" w:rsidRPr="00FA6BF3" w14:paraId="3B20C43E" w14:textId="77777777" w:rsidTr="00FA6BF3">
        <w:trPr>
          <w:trHeight w:val="266"/>
        </w:trPr>
        <w:tc>
          <w:tcPr>
            <w:tcW w:w="3091" w:type="pct"/>
            <w:vAlign w:val="center"/>
          </w:tcPr>
          <w:p w14:paraId="4222B711" w14:textId="70328A07" w:rsidR="00FA6BF3" w:rsidRPr="00FA6BF3" w:rsidRDefault="00FA6BF3" w:rsidP="00FA6BF3">
            <w:pPr>
              <w:jc w:val="left"/>
              <w:rPr>
                <w:rFonts w:ascii="Arial" w:hAnsi="Arial" w:cs="Arial"/>
              </w:rPr>
            </w:pPr>
            <w:r w:rsidRPr="00FA6BF3">
              <w:rPr>
                <w:rFonts w:ascii="Arial" w:hAnsi="Arial" w:cs="Arial"/>
              </w:rPr>
              <w:t>Commercial operating model restructuring</w:t>
            </w:r>
          </w:p>
        </w:tc>
        <w:tc>
          <w:tcPr>
            <w:tcW w:w="976" w:type="pct"/>
            <w:vAlign w:val="center"/>
          </w:tcPr>
          <w:p w14:paraId="48D5EF40" w14:textId="53DEE247" w:rsidR="00FA6BF3" w:rsidRPr="00FA6BF3" w:rsidRDefault="00FA6BF3" w:rsidP="00FA6BF3">
            <w:pPr>
              <w:jc w:val="right"/>
              <w:rPr>
                <w:rFonts w:ascii="Arial" w:hAnsi="Arial" w:cs="Arial"/>
                <w:b/>
              </w:rPr>
            </w:pPr>
            <w:r w:rsidRPr="00FA6BF3">
              <w:rPr>
                <w:rFonts w:ascii="Arial" w:hAnsi="Arial" w:cs="Arial"/>
                <w:b/>
              </w:rPr>
              <w:t>4</w:t>
            </w:r>
          </w:p>
        </w:tc>
        <w:tc>
          <w:tcPr>
            <w:tcW w:w="933" w:type="pct"/>
            <w:vAlign w:val="center"/>
          </w:tcPr>
          <w:p w14:paraId="52484F8D" w14:textId="5E8BA062" w:rsidR="00FA6BF3" w:rsidRPr="00FA6BF3" w:rsidRDefault="00FA6BF3" w:rsidP="00FA6BF3">
            <w:pPr>
              <w:jc w:val="right"/>
              <w:rPr>
                <w:rFonts w:ascii="Arial" w:hAnsi="Arial" w:cs="Arial"/>
                <w:bCs/>
              </w:rPr>
            </w:pPr>
            <w:r w:rsidRPr="00FA6BF3">
              <w:rPr>
                <w:rFonts w:ascii="Arial" w:hAnsi="Arial" w:cs="Arial"/>
                <w:bCs/>
              </w:rPr>
              <w:t>(16)</w:t>
            </w:r>
          </w:p>
        </w:tc>
      </w:tr>
      <w:tr w:rsidR="00FA6BF3" w:rsidRPr="00FA6BF3" w14:paraId="339F4F9B" w14:textId="77777777" w:rsidTr="00FA6BF3">
        <w:trPr>
          <w:trHeight w:val="266"/>
        </w:trPr>
        <w:tc>
          <w:tcPr>
            <w:tcW w:w="3091" w:type="pct"/>
            <w:vAlign w:val="center"/>
          </w:tcPr>
          <w:p w14:paraId="2D76DD3B" w14:textId="7C3BA70A" w:rsidR="00FA6BF3" w:rsidRPr="00FA6BF3" w:rsidRDefault="00FA6BF3" w:rsidP="00FA6BF3">
            <w:pPr>
              <w:jc w:val="left"/>
              <w:rPr>
                <w:rFonts w:ascii="Arial" w:hAnsi="Arial" w:cs="Arial"/>
              </w:rPr>
            </w:pPr>
            <w:r w:rsidRPr="00FA6BF3">
              <w:rPr>
                <w:rFonts w:ascii="Arial" w:hAnsi="Arial" w:cs="Arial"/>
              </w:rPr>
              <w:t xml:space="preserve">Release of France </w:t>
            </w:r>
            <w:r w:rsidR="00E33EA5">
              <w:rPr>
                <w:rFonts w:ascii="Arial" w:hAnsi="Arial" w:cs="Arial"/>
              </w:rPr>
              <w:t>uncertain operating tax position</w:t>
            </w:r>
          </w:p>
        </w:tc>
        <w:tc>
          <w:tcPr>
            <w:tcW w:w="976" w:type="pct"/>
            <w:vAlign w:val="center"/>
          </w:tcPr>
          <w:p w14:paraId="4411FE8B" w14:textId="289B94DD" w:rsidR="00FA6BF3" w:rsidRPr="00FA6BF3" w:rsidRDefault="00FA6BF3" w:rsidP="00FA6BF3">
            <w:pPr>
              <w:jc w:val="right"/>
              <w:rPr>
                <w:rFonts w:ascii="Arial" w:hAnsi="Arial" w:cs="Arial"/>
                <w:b/>
              </w:rPr>
            </w:pPr>
            <w:r w:rsidRPr="00FA6BF3">
              <w:rPr>
                <w:rFonts w:ascii="Arial" w:hAnsi="Arial" w:cs="Arial"/>
                <w:b/>
              </w:rPr>
              <w:t>9</w:t>
            </w:r>
          </w:p>
        </w:tc>
        <w:tc>
          <w:tcPr>
            <w:tcW w:w="933" w:type="pct"/>
            <w:vAlign w:val="center"/>
          </w:tcPr>
          <w:p w14:paraId="015EF9BC" w14:textId="2D94AEFD" w:rsidR="00FA6BF3" w:rsidRPr="00FA6BF3" w:rsidRDefault="00FA6BF3" w:rsidP="00FA6BF3">
            <w:pPr>
              <w:jc w:val="right"/>
              <w:rPr>
                <w:rFonts w:ascii="Arial" w:hAnsi="Arial" w:cs="Arial"/>
                <w:bCs/>
              </w:rPr>
            </w:pPr>
            <w:r w:rsidRPr="00FA6BF3">
              <w:rPr>
                <w:rFonts w:ascii="Arial" w:hAnsi="Arial" w:cs="Arial"/>
                <w:bCs/>
              </w:rPr>
              <w:t>-</w:t>
            </w:r>
          </w:p>
        </w:tc>
      </w:tr>
      <w:tr w:rsidR="00FA6BF3" w:rsidRPr="00FA6BF3" w14:paraId="7174FF89" w14:textId="77777777" w:rsidTr="00FA6BF3">
        <w:trPr>
          <w:trHeight w:val="266"/>
        </w:trPr>
        <w:tc>
          <w:tcPr>
            <w:tcW w:w="3091" w:type="pct"/>
            <w:vAlign w:val="center"/>
          </w:tcPr>
          <w:p w14:paraId="4FA52907" w14:textId="231E919E" w:rsidR="00FA6BF3" w:rsidRPr="00FA6BF3" w:rsidRDefault="00FA6BF3" w:rsidP="00FA6BF3">
            <w:pPr>
              <w:jc w:val="left"/>
              <w:rPr>
                <w:rFonts w:ascii="Arial" w:hAnsi="Arial" w:cs="Arial"/>
              </w:rPr>
            </w:pPr>
            <w:r w:rsidRPr="00FA6BF3">
              <w:rPr>
                <w:rFonts w:ascii="Arial" w:hAnsi="Arial" w:cs="Arial"/>
              </w:rPr>
              <w:t>Russia impairments &amp; other exit costs</w:t>
            </w:r>
          </w:p>
        </w:tc>
        <w:tc>
          <w:tcPr>
            <w:tcW w:w="976" w:type="pct"/>
            <w:vAlign w:val="center"/>
          </w:tcPr>
          <w:p w14:paraId="0E23CDA2" w14:textId="54202545" w:rsidR="00FA6BF3" w:rsidRPr="00FA6BF3" w:rsidRDefault="00FA6BF3" w:rsidP="00FA6BF3">
            <w:pPr>
              <w:jc w:val="right"/>
              <w:rPr>
                <w:rFonts w:ascii="Arial" w:hAnsi="Arial" w:cs="Arial"/>
                <w:b/>
              </w:rPr>
            </w:pPr>
            <w:r w:rsidRPr="00FA6BF3">
              <w:rPr>
                <w:rFonts w:ascii="Arial" w:hAnsi="Arial" w:cs="Arial"/>
                <w:b/>
              </w:rPr>
              <w:t>-</w:t>
            </w:r>
          </w:p>
        </w:tc>
        <w:tc>
          <w:tcPr>
            <w:tcW w:w="933" w:type="pct"/>
            <w:vAlign w:val="center"/>
          </w:tcPr>
          <w:p w14:paraId="0E947C66" w14:textId="70429C35" w:rsidR="00FA6BF3" w:rsidRPr="00FA6BF3" w:rsidRDefault="00FA6BF3" w:rsidP="00FA6BF3">
            <w:pPr>
              <w:jc w:val="right"/>
              <w:rPr>
                <w:rFonts w:ascii="Arial" w:hAnsi="Arial" w:cs="Arial"/>
                <w:bCs/>
              </w:rPr>
            </w:pPr>
            <w:r w:rsidRPr="00FA6BF3">
              <w:rPr>
                <w:rFonts w:ascii="Arial" w:hAnsi="Arial" w:cs="Arial"/>
                <w:bCs/>
              </w:rPr>
              <w:t>(27)</w:t>
            </w:r>
          </w:p>
        </w:tc>
      </w:tr>
      <w:tr w:rsidR="00FA6BF3" w:rsidRPr="00FA6BF3" w14:paraId="2102FBD7" w14:textId="77777777" w:rsidTr="00FA6BF3">
        <w:trPr>
          <w:trHeight w:val="266"/>
        </w:trPr>
        <w:tc>
          <w:tcPr>
            <w:tcW w:w="3091" w:type="pct"/>
            <w:vAlign w:val="center"/>
          </w:tcPr>
          <w:p w14:paraId="208FA25C" w14:textId="17842BAA" w:rsidR="00FA6BF3" w:rsidRPr="00FA6BF3" w:rsidRDefault="00FA6BF3" w:rsidP="00FA6BF3">
            <w:pPr>
              <w:jc w:val="left"/>
              <w:rPr>
                <w:rFonts w:ascii="Arial" w:hAnsi="Arial" w:cs="Arial"/>
              </w:rPr>
            </w:pPr>
            <w:r w:rsidRPr="00FA6BF3">
              <w:rPr>
                <w:rFonts w:ascii="Arial" w:hAnsi="Arial" w:cs="Arial"/>
              </w:rPr>
              <w:t xml:space="preserve">Property </w:t>
            </w:r>
            <w:r w:rsidR="00E33EA5">
              <w:rPr>
                <w:rFonts w:ascii="Arial" w:hAnsi="Arial" w:cs="Arial"/>
              </w:rPr>
              <w:t>gains</w:t>
            </w:r>
          </w:p>
        </w:tc>
        <w:tc>
          <w:tcPr>
            <w:tcW w:w="976" w:type="pct"/>
            <w:vAlign w:val="center"/>
          </w:tcPr>
          <w:p w14:paraId="41545D7E" w14:textId="466F9CC8" w:rsidR="00FA6BF3" w:rsidRPr="00FA6BF3" w:rsidRDefault="00FA6BF3" w:rsidP="00FA6BF3">
            <w:pPr>
              <w:jc w:val="right"/>
              <w:rPr>
                <w:rFonts w:ascii="Arial" w:hAnsi="Arial" w:cs="Arial"/>
                <w:b/>
              </w:rPr>
            </w:pPr>
            <w:r w:rsidRPr="00FA6BF3">
              <w:rPr>
                <w:rFonts w:ascii="Arial" w:hAnsi="Arial" w:cs="Arial"/>
                <w:b/>
              </w:rPr>
              <w:t>3</w:t>
            </w:r>
          </w:p>
        </w:tc>
        <w:tc>
          <w:tcPr>
            <w:tcW w:w="933" w:type="pct"/>
            <w:vAlign w:val="center"/>
          </w:tcPr>
          <w:p w14:paraId="5C937BD8" w14:textId="42DE847D" w:rsidR="00FA6BF3" w:rsidRPr="00FA6BF3" w:rsidRDefault="00FA6BF3" w:rsidP="00FA6BF3">
            <w:pPr>
              <w:jc w:val="right"/>
              <w:rPr>
                <w:rFonts w:ascii="Arial" w:hAnsi="Arial" w:cs="Arial"/>
                <w:bCs/>
              </w:rPr>
            </w:pPr>
            <w:r w:rsidRPr="00FA6BF3">
              <w:rPr>
                <w:rFonts w:ascii="Arial" w:hAnsi="Arial" w:cs="Arial"/>
                <w:bCs/>
              </w:rPr>
              <w:t>13</w:t>
            </w:r>
          </w:p>
        </w:tc>
      </w:tr>
      <w:tr w:rsidR="00FA6BF3" w:rsidRPr="00FA6BF3" w14:paraId="7E44EF99" w14:textId="77777777" w:rsidTr="00FA6BF3">
        <w:trPr>
          <w:trHeight w:val="266"/>
        </w:trPr>
        <w:tc>
          <w:tcPr>
            <w:tcW w:w="3091" w:type="pct"/>
            <w:vAlign w:val="center"/>
          </w:tcPr>
          <w:p w14:paraId="7D66A9A0" w14:textId="3BAA7756" w:rsidR="00FA6BF3" w:rsidRPr="00FA6BF3" w:rsidRDefault="00FA6BF3" w:rsidP="00FA6BF3">
            <w:pPr>
              <w:jc w:val="left"/>
              <w:rPr>
                <w:rFonts w:ascii="Arial" w:hAnsi="Arial" w:cs="Arial"/>
              </w:rPr>
            </w:pPr>
            <w:r w:rsidRPr="00FA6BF3">
              <w:rPr>
                <w:rFonts w:ascii="Arial" w:hAnsi="Arial" w:cs="Arial"/>
              </w:rPr>
              <w:t>Release of B&amp;Q China disposal warranty liability</w:t>
            </w:r>
          </w:p>
        </w:tc>
        <w:tc>
          <w:tcPr>
            <w:tcW w:w="976" w:type="pct"/>
            <w:vAlign w:val="center"/>
          </w:tcPr>
          <w:p w14:paraId="66866D30" w14:textId="74198250" w:rsidR="00FA6BF3" w:rsidRPr="00FA6BF3" w:rsidRDefault="00FA6BF3" w:rsidP="00FA6BF3">
            <w:pPr>
              <w:jc w:val="right"/>
              <w:rPr>
                <w:rFonts w:ascii="Arial" w:hAnsi="Arial" w:cs="Arial"/>
                <w:b/>
              </w:rPr>
            </w:pPr>
            <w:r w:rsidRPr="00FA6BF3">
              <w:rPr>
                <w:rFonts w:ascii="Arial" w:hAnsi="Arial" w:cs="Arial"/>
                <w:b/>
              </w:rPr>
              <w:t>-</w:t>
            </w:r>
          </w:p>
        </w:tc>
        <w:tc>
          <w:tcPr>
            <w:tcW w:w="933" w:type="pct"/>
            <w:vAlign w:val="center"/>
          </w:tcPr>
          <w:p w14:paraId="4E17B343" w14:textId="05C925B3" w:rsidR="00FA6BF3" w:rsidRPr="00FA6BF3" w:rsidRDefault="00FA6BF3" w:rsidP="00FA6BF3">
            <w:pPr>
              <w:jc w:val="right"/>
              <w:rPr>
                <w:rFonts w:ascii="Arial" w:hAnsi="Arial" w:cs="Arial"/>
                <w:bCs/>
              </w:rPr>
            </w:pPr>
            <w:r w:rsidRPr="00FA6BF3">
              <w:rPr>
                <w:rFonts w:ascii="Arial" w:hAnsi="Arial" w:cs="Arial"/>
                <w:bCs/>
              </w:rPr>
              <w:t>10</w:t>
            </w:r>
          </w:p>
        </w:tc>
      </w:tr>
      <w:tr w:rsidR="00FA6BF3" w:rsidRPr="00FA6BF3" w14:paraId="6FCE1B3A" w14:textId="77777777" w:rsidTr="00FA6BF3">
        <w:trPr>
          <w:trHeight w:val="266"/>
        </w:trPr>
        <w:tc>
          <w:tcPr>
            <w:tcW w:w="3091" w:type="pct"/>
            <w:vAlign w:val="center"/>
          </w:tcPr>
          <w:p w14:paraId="227CB2B6" w14:textId="59272224" w:rsidR="00FA6BF3" w:rsidRPr="00FA6BF3" w:rsidRDefault="00FA6BF3" w:rsidP="00FA6BF3">
            <w:pPr>
              <w:jc w:val="left"/>
              <w:rPr>
                <w:rFonts w:ascii="Arial" w:hAnsi="Arial" w:cs="Arial"/>
              </w:rPr>
            </w:pPr>
            <w:r w:rsidRPr="00FA6BF3">
              <w:rPr>
                <w:rFonts w:ascii="Arial" w:hAnsi="Arial" w:cs="Arial"/>
              </w:rPr>
              <w:t>IT asset write-downs and related costs</w:t>
            </w:r>
          </w:p>
        </w:tc>
        <w:tc>
          <w:tcPr>
            <w:tcW w:w="976" w:type="pct"/>
            <w:vAlign w:val="center"/>
          </w:tcPr>
          <w:p w14:paraId="24E0B6C7" w14:textId="11A91B3F" w:rsidR="00FA6BF3" w:rsidRPr="00FA6BF3" w:rsidRDefault="00FA6BF3" w:rsidP="00FA6BF3">
            <w:pPr>
              <w:jc w:val="right"/>
              <w:rPr>
                <w:rFonts w:ascii="Arial" w:hAnsi="Arial" w:cs="Arial"/>
                <w:b/>
              </w:rPr>
            </w:pPr>
            <w:r w:rsidRPr="00FA6BF3">
              <w:rPr>
                <w:rFonts w:ascii="Arial" w:hAnsi="Arial" w:cs="Arial"/>
                <w:b/>
              </w:rPr>
              <w:t>-</w:t>
            </w:r>
          </w:p>
        </w:tc>
        <w:tc>
          <w:tcPr>
            <w:tcW w:w="933" w:type="pct"/>
            <w:vAlign w:val="center"/>
          </w:tcPr>
          <w:p w14:paraId="5BD0AEC8" w14:textId="10B7EFB7" w:rsidR="00FA6BF3" w:rsidRPr="00FA6BF3" w:rsidRDefault="00FA6BF3" w:rsidP="00FA6BF3">
            <w:pPr>
              <w:jc w:val="right"/>
              <w:rPr>
                <w:rFonts w:ascii="Arial" w:hAnsi="Arial" w:cs="Arial"/>
                <w:bCs/>
              </w:rPr>
            </w:pPr>
            <w:r w:rsidRPr="00FA6BF3">
              <w:rPr>
                <w:rFonts w:ascii="Arial" w:hAnsi="Arial" w:cs="Arial"/>
                <w:bCs/>
              </w:rPr>
              <w:t>(3)</w:t>
            </w:r>
          </w:p>
        </w:tc>
      </w:tr>
      <w:tr w:rsidR="00FA6BF3" w:rsidRPr="00FA6BF3" w14:paraId="504A724C" w14:textId="77777777" w:rsidTr="00FA6BF3">
        <w:trPr>
          <w:trHeight w:val="266"/>
        </w:trPr>
        <w:tc>
          <w:tcPr>
            <w:tcW w:w="3091" w:type="pct"/>
            <w:vAlign w:val="center"/>
          </w:tcPr>
          <w:p w14:paraId="0A842FF0" w14:textId="6D8D9576" w:rsidR="00FA6BF3" w:rsidRPr="00FA6BF3" w:rsidRDefault="00FA6BF3" w:rsidP="00FA6BF3">
            <w:pPr>
              <w:jc w:val="left"/>
              <w:rPr>
                <w:rFonts w:ascii="Arial" w:hAnsi="Arial" w:cs="Arial"/>
              </w:rPr>
            </w:pPr>
            <w:r w:rsidRPr="00FA6BF3">
              <w:rPr>
                <w:rFonts w:ascii="Arial" w:hAnsi="Arial" w:cs="Arial"/>
              </w:rPr>
              <w:t>Loss on disposal of Castorama Russia</w:t>
            </w:r>
          </w:p>
        </w:tc>
        <w:tc>
          <w:tcPr>
            <w:tcW w:w="976" w:type="pct"/>
            <w:vAlign w:val="center"/>
          </w:tcPr>
          <w:p w14:paraId="0C2FD2F2" w14:textId="6BABB8D7" w:rsidR="00FA6BF3" w:rsidRPr="00FA6BF3" w:rsidRDefault="00FA6BF3" w:rsidP="00FA6BF3">
            <w:pPr>
              <w:jc w:val="right"/>
              <w:rPr>
                <w:rFonts w:ascii="Arial" w:hAnsi="Arial" w:cs="Arial"/>
                <w:b/>
              </w:rPr>
            </w:pPr>
            <w:r w:rsidRPr="00FA6BF3">
              <w:rPr>
                <w:rFonts w:ascii="Arial" w:hAnsi="Arial" w:cs="Arial"/>
                <w:b/>
              </w:rPr>
              <w:t>-</w:t>
            </w:r>
          </w:p>
        </w:tc>
        <w:tc>
          <w:tcPr>
            <w:tcW w:w="933" w:type="pct"/>
            <w:vAlign w:val="center"/>
          </w:tcPr>
          <w:p w14:paraId="21BC4FB4" w14:textId="35DEFC61" w:rsidR="00FA6BF3" w:rsidRPr="00FA6BF3" w:rsidRDefault="00FA6BF3" w:rsidP="00FA6BF3">
            <w:pPr>
              <w:jc w:val="right"/>
              <w:rPr>
                <w:rFonts w:ascii="Arial" w:hAnsi="Arial" w:cs="Arial"/>
                <w:bCs/>
              </w:rPr>
            </w:pPr>
            <w:r w:rsidRPr="00FA6BF3">
              <w:rPr>
                <w:rFonts w:ascii="Arial" w:hAnsi="Arial" w:cs="Arial"/>
                <w:bCs/>
              </w:rPr>
              <w:t>(49)</w:t>
            </w:r>
          </w:p>
        </w:tc>
      </w:tr>
      <w:tr w:rsidR="00FA6BF3" w:rsidRPr="00FA6BF3" w14:paraId="32EDD9B7" w14:textId="77777777" w:rsidTr="00FA6BF3">
        <w:trPr>
          <w:trHeight w:val="266"/>
        </w:trPr>
        <w:tc>
          <w:tcPr>
            <w:tcW w:w="3091" w:type="pct"/>
            <w:tcBorders>
              <w:top w:val="single" w:sz="4" w:space="0" w:color="auto"/>
              <w:left w:val="nil"/>
              <w:bottom w:val="nil"/>
              <w:right w:val="nil"/>
            </w:tcBorders>
            <w:vAlign w:val="center"/>
            <w:hideMark/>
          </w:tcPr>
          <w:p w14:paraId="530FB981" w14:textId="77777777" w:rsidR="00FA6BF3" w:rsidRPr="00FA6BF3" w:rsidRDefault="00FA6BF3" w:rsidP="00FA6BF3">
            <w:pPr>
              <w:jc w:val="left"/>
              <w:rPr>
                <w:rFonts w:ascii="Arial" w:hAnsi="Arial" w:cs="Arial"/>
              </w:rPr>
            </w:pPr>
            <w:r w:rsidRPr="00FA6BF3">
              <w:rPr>
                <w:rFonts w:ascii="Arial" w:hAnsi="Arial" w:cs="Arial"/>
                <w:b/>
              </w:rPr>
              <w:t>Adjusting items before tax</w:t>
            </w:r>
          </w:p>
        </w:tc>
        <w:tc>
          <w:tcPr>
            <w:tcW w:w="976" w:type="pct"/>
            <w:tcBorders>
              <w:top w:val="single" w:sz="4" w:space="0" w:color="auto"/>
              <w:left w:val="nil"/>
              <w:bottom w:val="nil"/>
              <w:right w:val="nil"/>
            </w:tcBorders>
            <w:vAlign w:val="center"/>
          </w:tcPr>
          <w:p w14:paraId="1D4C7949" w14:textId="4684DAD9" w:rsidR="00FA6BF3" w:rsidRPr="00FA6BF3" w:rsidRDefault="00FA6BF3" w:rsidP="00FA6BF3">
            <w:pPr>
              <w:jc w:val="right"/>
              <w:rPr>
                <w:rFonts w:ascii="Arial" w:hAnsi="Arial" w:cs="Arial"/>
                <w:b/>
              </w:rPr>
            </w:pPr>
            <w:r w:rsidRPr="00FA6BF3">
              <w:rPr>
                <w:rFonts w:ascii="Arial" w:hAnsi="Arial" w:cs="Arial"/>
                <w:b/>
              </w:rPr>
              <w:t>58</w:t>
            </w:r>
          </w:p>
        </w:tc>
        <w:tc>
          <w:tcPr>
            <w:tcW w:w="933" w:type="pct"/>
            <w:tcBorders>
              <w:top w:val="single" w:sz="4" w:space="0" w:color="auto"/>
              <w:left w:val="nil"/>
              <w:bottom w:val="nil"/>
              <w:right w:val="nil"/>
            </w:tcBorders>
            <w:vAlign w:val="center"/>
            <w:hideMark/>
          </w:tcPr>
          <w:p w14:paraId="19D59CD2" w14:textId="71CC86DA" w:rsidR="00FA6BF3" w:rsidRPr="00FA6BF3" w:rsidRDefault="00FA6BF3" w:rsidP="00FA6BF3">
            <w:pPr>
              <w:jc w:val="right"/>
              <w:rPr>
                <w:rFonts w:ascii="Arial" w:hAnsi="Arial" w:cs="Arial"/>
                <w:bCs/>
              </w:rPr>
            </w:pPr>
            <w:r w:rsidRPr="00FA6BF3">
              <w:rPr>
                <w:rFonts w:ascii="Arial" w:hAnsi="Arial" w:cs="Arial"/>
                <w:bCs/>
              </w:rPr>
              <w:t>(30)</w:t>
            </w:r>
          </w:p>
        </w:tc>
      </w:tr>
      <w:tr w:rsidR="00FA6BF3" w:rsidRPr="00FA6BF3" w14:paraId="4D273175" w14:textId="77777777" w:rsidTr="00FA6BF3">
        <w:trPr>
          <w:trHeight w:val="266"/>
        </w:trPr>
        <w:tc>
          <w:tcPr>
            <w:tcW w:w="3091" w:type="pct"/>
            <w:vAlign w:val="center"/>
            <w:hideMark/>
          </w:tcPr>
          <w:p w14:paraId="69C60883" w14:textId="77777777" w:rsidR="00FA6BF3" w:rsidRPr="00FA6BF3" w:rsidRDefault="00FA6BF3" w:rsidP="00FA6BF3">
            <w:pPr>
              <w:jc w:val="left"/>
              <w:rPr>
                <w:rFonts w:ascii="Arial" w:hAnsi="Arial" w:cs="Arial"/>
                <w:b/>
              </w:rPr>
            </w:pPr>
            <w:r w:rsidRPr="00FA6BF3">
              <w:rPr>
                <w:rFonts w:ascii="Arial" w:hAnsi="Arial" w:cs="Arial"/>
              </w:rPr>
              <w:t>Prior year and other adjusting tax items</w:t>
            </w:r>
          </w:p>
        </w:tc>
        <w:tc>
          <w:tcPr>
            <w:tcW w:w="976" w:type="pct"/>
            <w:vAlign w:val="center"/>
          </w:tcPr>
          <w:p w14:paraId="6D416AEB" w14:textId="4E5E5919" w:rsidR="00FA6BF3" w:rsidRPr="00FA6BF3" w:rsidRDefault="00FA6BF3" w:rsidP="00FA6BF3">
            <w:pPr>
              <w:jc w:val="right"/>
              <w:rPr>
                <w:rFonts w:ascii="Arial" w:hAnsi="Arial" w:cs="Arial"/>
                <w:b/>
              </w:rPr>
            </w:pPr>
            <w:r w:rsidRPr="00FA6BF3">
              <w:rPr>
                <w:rFonts w:ascii="Arial" w:hAnsi="Arial" w:cs="Arial"/>
                <w:b/>
              </w:rPr>
              <w:t>48</w:t>
            </w:r>
          </w:p>
        </w:tc>
        <w:tc>
          <w:tcPr>
            <w:tcW w:w="933" w:type="pct"/>
            <w:vAlign w:val="center"/>
            <w:hideMark/>
          </w:tcPr>
          <w:p w14:paraId="01AFB7B4" w14:textId="148CF052" w:rsidR="00FA6BF3" w:rsidRPr="00FA6BF3" w:rsidRDefault="00FA6BF3" w:rsidP="00FA6BF3">
            <w:pPr>
              <w:jc w:val="right"/>
              <w:rPr>
                <w:rFonts w:ascii="Arial" w:hAnsi="Arial" w:cs="Arial"/>
                <w:bCs/>
              </w:rPr>
            </w:pPr>
            <w:r w:rsidRPr="00FA6BF3">
              <w:rPr>
                <w:rFonts w:ascii="Arial" w:hAnsi="Arial" w:cs="Arial"/>
                <w:bCs/>
              </w:rPr>
              <w:t>18</w:t>
            </w:r>
          </w:p>
        </w:tc>
      </w:tr>
      <w:tr w:rsidR="00FA6BF3" w:rsidRPr="00A845B7" w14:paraId="27F2D89B" w14:textId="77777777" w:rsidTr="00FA6BF3">
        <w:trPr>
          <w:trHeight w:val="266"/>
        </w:trPr>
        <w:tc>
          <w:tcPr>
            <w:tcW w:w="3091" w:type="pct"/>
            <w:tcBorders>
              <w:top w:val="single" w:sz="4" w:space="0" w:color="auto"/>
              <w:left w:val="nil"/>
              <w:bottom w:val="single" w:sz="4" w:space="0" w:color="auto"/>
              <w:right w:val="nil"/>
            </w:tcBorders>
            <w:vAlign w:val="center"/>
            <w:hideMark/>
          </w:tcPr>
          <w:p w14:paraId="73A130C4" w14:textId="77777777" w:rsidR="00FA6BF3" w:rsidRPr="00FA6BF3" w:rsidRDefault="00FA6BF3" w:rsidP="00FA6BF3">
            <w:pPr>
              <w:jc w:val="left"/>
              <w:rPr>
                <w:rFonts w:ascii="Arial" w:hAnsi="Arial" w:cs="Arial"/>
              </w:rPr>
            </w:pPr>
            <w:r w:rsidRPr="00FA6BF3">
              <w:rPr>
                <w:rFonts w:ascii="Arial" w:hAnsi="Arial" w:cs="Arial"/>
                <w:b/>
              </w:rPr>
              <w:t>Adjusting items after tax</w:t>
            </w:r>
          </w:p>
        </w:tc>
        <w:tc>
          <w:tcPr>
            <w:tcW w:w="976" w:type="pct"/>
            <w:tcBorders>
              <w:top w:val="single" w:sz="4" w:space="0" w:color="auto"/>
              <w:left w:val="nil"/>
              <w:bottom w:val="single" w:sz="4" w:space="0" w:color="auto"/>
              <w:right w:val="nil"/>
            </w:tcBorders>
            <w:vAlign w:val="center"/>
          </w:tcPr>
          <w:p w14:paraId="09D8C931" w14:textId="7DEC4444" w:rsidR="00FA6BF3" w:rsidRPr="00FA6BF3" w:rsidRDefault="00FA6BF3" w:rsidP="00FA6BF3">
            <w:pPr>
              <w:jc w:val="right"/>
              <w:rPr>
                <w:rFonts w:ascii="Arial" w:hAnsi="Arial" w:cs="Arial"/>
                <w:b/>
              </w:rPr>
            </w:pPr>
            <w:r w:rsidRPr="00FA6BF3">
              <w:rPr>
                <w:rFonts w:ascii="Arial" w:hAnsi="Arial" w:cs="Arial"/>
                <w:b/>
              </w:rPr>
              <w:t>106</w:t>
            </w:r>
          </w:p>
        </w:tc>
        <w:tc>
          <w:tcPr>
            <w:tcW w:w="933" w:type="pct"/>
            <w:tcBorders>
              <w:top w:val="single" w:sz="4" w:space="0" w:color="auto"/>
              <w:left w:val="nil"/>
              <w:bottom w:val="single" w:sz="4" w:space="0" w:color="auto"/>
              <w:right w:val="nil"/>
            </w:tcBorders>
            <w:vAlign w:val="center"/>
            <w:hideMark/>
          </w:tcPr>
          <w:p w14:paraId="5CAB0530" w14:textId="6C03D3AB" w:rsidR="00FA6BF3" w:rsidRPr="00FA6BF3" w:rsidRDefault="00FA6BF3" w:rsidP="00FA6BF3">
            <w:pPr>
              <w:jc w:val="right"/>
              <w:rPr>
                <w:rFonts w:ascii="Arial" w:hAnsi="Arial" w:cs="Arial"/>
                <w:bCs/>
              </w:rPr>
            </w:pPr>
            <w:r w:rsidRPr="00FA6BF3">
              <w:rPr>
                <w:rFonts w:ascii="Arial" w:hAnsi="Arial" w:cs="Arial"/>
                <w:bCs/>
              </w:rPr>
              <w:t>(12)</w:t>
            </w:r>
          </w:p>
        </w:tc>
      </w:tr>
    </w:tbl>
    <w:p w14:paraId="2A6C87CE" w14:textId="77777777" w:rsidR="0035042E" w:rsidRPr="00BB1AF0" w:rsidRDefault="0035042E" w:rsidP="0035042E">
      <w:pPr>
        <w:spacing w:after="200"/>
        <w:contextualSpacing/>
        <w:jc w:val="left"/>
        <w:rPr>
          <w:rFonts w:ascii="Arial" w:hAnsi="Arial" w:cs="Arial"/>
        </w:rPr>
      </w:pPr>
    </w:p>
    <w:p w14:paraId="20A2A6FB" w14:textId="77777777" w:rsidR="0035042E" w:rsidRDefault="0035042E" w:rsidP="0035042E">
      <w:pPr>
        <w:spacing w:after="200"/>
        <w:contextualSpacing/>
        <w:jc w:val="left"/>
        <w:rPr>
          <w:rFonts w:ascii="Arial" w:hAnsi="Arial"/>
        </w:rPr>
      </w:pPr>
      <w:r w:rsidRPr="0044391F">
        <w:rPr>
          <w:rFonts w:ascii="Arial" w:hAnsi="Arial"/>
        </w:rPr>
        <w:t xml:space="preserve">The Group no longer </w:t>
      </w:r>
      <w:r>
        <w:rPr>
          <w:rFonts w:ascii="Arial" w:hAnsi="Arial"/>
        </w:rPr>
        <w:t>uses the term</w:t>
      </w:r>
      <w:r w:rsidRPr="0044391F">
        <w:rPr>
          <w:rFonts w:ascii="Arial" w:hAnsi="Arial"/>
        </w:rPr>
        <w:t xml:space="preserve"> ‘exceptional adjusting items’ within its Alternative Performance Measure definitions, with the term ‘adjusting items’ now judged to be more appropriate</w:t>
      </w:r>
      <w:r>
        <w:rPr>
          <w:rFonts w:ascii="Arial" w:hAnsi="Arial"/>
        </w:rPr>
        <w:t xml:space="preserve">. </w:t>
      </w:r>
      <w:r w:rsidRPr="00E61ABD">
        <w:rPr>
          <w:rFonts w:ascii="Arial" w:hAnsi="Arial"/>
        </w:rPr>
        <w:t xml:space="preserve">This represents a change in terminology and presentation only, with no impact on adjusted or statutory performance measures. </w:t>
      </w:r>
      <w:r>
        <w:rPr>
          <w:rFonts w:ascii="Arial" w:hAnsi="Arial"/>
        </w:rPr>
        <w:t>R</w:t>
      </w:r>
      <w:r w:rsidRPr="0044391F">
        <w:rPr>
          <w:rFonts w:ascii="Arial" w:hAnsi="Arial"/>
        </w:rPr>
        <w:t xml:space="preserve">efer to </w:t>
      </w:r>
      <w:r w:rsidRPr="006957EC">
        <w:rPr>
          <w:rFonts w:ascii="Arial" w:hAnsi="Arial"/>
        </w:rPr>
        <w:t>note 2</w:t>
      </w:r>
      <w:r w:rsidRPr="0044391F">
        <w:rPr>
          <w:rFonts w:ascii="Arial" w:hAnsi="Arial"/>
        </w:rPr>
        <w:t xml:space="preserve"> of the condensed financial statements.</w:t>
      </w:r>
    </w:p>
    <w:p w14:paraId="1AECA70E" w14:textId="77777777" w:rsidR="0035042E" w:rsidRDefault="0035042E" w:rsidP="0035042E">
      <w:pPr>
        <w:spacing w:after="200"/>
        <w:contextualSpacing/>
        <w:jc w:val="left"/>
        <w:rPr>
          <w:rFonts w:ascii="Arial" w:hAnsi="Arial"/>
        </w:rPr>
      </w:pPr>
    </w:p>
    <w:p w14:paraId="0E042BA3" w14:textId="77777777" w:rsidR="009101D7" w:rsidRDefault="00AD7F9C" w:rsidP="0035042E">
      <w:pPr>
        <w:spacing w:after="200"/>
        <w:contextualSpacing/>
        <w:jc w:val="left"/>
        <w:rPr>
          <w:rFonts w:ascii="Arial" w:hAnsi="Arial"/>
        </w:rPr>
      </w:pPr>
      <w:r w:rsidRPr="00337BFB">
        <w:rPr>
          <w:rFonts w:ascii="Arial" w:hAnsi="Arial"/>
        </w:rPr>
        <w:t xml:space="preserve">Revised future store performance projections, reflecting continued strong trading, have resulted in net store asset impairment reversals of £33m. These </w:t>
      </w:r>
      <w:r w:rsidR="000A64CD">
        <w:rPr>
          <w:rFonts w:ascii="Arial" w:hAnsi="Arial"/>
        </w:rPr>
        <w:t xml:space="preserve">are </w:t>
      </w:r>
      <w:r w:rsidRPr="00337BFB">
        <w:rPr>
          <w:rFonts w:ascii="Arial" w:hAnsi="Arial"/>
        </w:rPr>
        <w:t xml:space="preserve">predominately reversals of impairment charges recorded in </w:t>
      </w:r>
      <w:r w:rsidR="000A64CD">
        <w:rPr>
          <w:rFonts w:ascii="Arial" w:hAnsi="Arial"/>
        </w:rPr>
        <w:t xml:space="preserve">FY </w:t>
      </w:r>
      <w:r w:rsidRPr="00337BFB">
        <w:rPr>
          <w:rFonts w:ascii="Arial" w:hAnsi="Arial"/>
        </w:rPr>
        <w:t>19/20.</w:t>
      </w:r>
      <w:r w:rsidR="000A64CD">
        <w:rPr>
          <w:rFonts w:ascii="Arial" w:hAnsi="Arial"/>
        </w:rPr>
        <w:t xml:space="preserve"> </w:t>
      </w:r>
    </w:p>
    <w:p w14:paraId="2421C53E" w14:textId="77777777" w:rsidR="009101D7" w:rsidRDefault="009101D7" w:rsidP="0035042E">
      <w:pPr>
        <w:spacing w:after="200"/>
        <w:contextualSpacing/>
        <w:jc w:val="left"/>
        <w:rPr>
          <w:rFonts w:ascii="Arial" w:hAnsi="Arial"/>
        </w:rPr>
      </w:pPr>
    </w:p>
    <w:p w14:paraId="237DC241" w14:textId="07E14930" w:rsidR="009101D7" w:rsidRDefault="00AD7F9C" w:rsidP="0035042E">
      <w:pPr>
        <w:spacing w:after="200"/>
        <w:contextualSpacing/>
        <w:jc w:val="left"/>
        <w:rPr>
          <w:rFonts w:ascii="Arial" w:hAnsi="Arial"/>
        </w:rPr>
      </w:pPr>
      <w:r w:rsidRPr="00337BFB">
        <w:rPr>
          <w:rFonts w:ascii="Arial" w:hAnsi="Arial"/>
        </w:rPr>
        <w:t>Current year adjusting items include a £9m credit principally arising due to savings on costs relating to legacy store closure programmes in France</w:t>
      </w:r>
      <w:r w:rsidR="000A64CD">
        <w:rPr>
          <w:rFonts w:ascii="Arial" w:hAnsi="Arial"/>
        </w:rPr>
        <w:t>,</w:t>
      </w:r>
      <w:r w:rsidRPr="00337BFB">
        <w:rPr>
          <w:rFonts w:ascii="Arial" w:hAnsi="Arial"/>
        </w:rPr>
        <w:t xml:space="preserve"> as compared with the original restructuring provisions recognised.</w:t>
      </w:r>
      <w:r w:rsidR="000A64CD">
        <w:rPr>
          <w:rFonts w:ascii="Arial" w:hAnsi="Arial"/>
        </w:rPr>
        <w:t xml:space="preserve"> </w:t>
      </w:r>
      <w:r w:rsidRPr="00337BFB">
        <w:rPr>
          <w:rFonts w:ascii="Arial" w:hAnsi="Arial"/>
        </w:rPr>
        <w:t xml:space="preserve">In the prior year, the Group commenced formal consultation with </w:t>
      </w:r>
      <w:r w:rsidR="000A64CD">
        <w:rPr>
          <w:rFonts w:ascii="Arial" w:hAnsi="Arial"/>
        </w:rPr>
        <w:t xml:space="preserve">colleague </w:t>
      </w:r>
      <w:r w:rsidRPr="00337BFB">
        <w:rPr>
          <w:rFonts w:ascii="Arial" w:hAnsi="Arial"/>
        </w:rPr>
        <w:t xml:space="preserve">representatives regarding its proposal to implement a new commercial operating model. A credit of £4m </w:t>
      </w:r>
      <w:r w:rsidR="00E33EA5">
        <w:rPr>
          <w:rFonts w:ascii="Arial" w:hAnsi="Arial"/>
        </w:rPr>
        <w:t xml:space="preserve">was </w:t>
      </w:r>
      <w:r w:rsidRPr="00337BFB">
        <w:rPr>
          <w:rFonts w:ascii="Arial" w:hAnsi="Arial"/>
        </w:rPr>
        <w:t xml:space="preserve">recognised in the year due to cost savings as compared with the original restructuring provisions recognised. </w:t>
      </w:r>
    </w:p>
    <w:p w14:paraId="3AF027FF" w14:textId="77777777" w:rsidR="009101D7" w:rsidRDefault="009101D7" w:rsidP="0035042E">
      <w:pPr>
        <w:spacing w:after="200"/>
        <w:contextualSpacing/>
        <w:jc w:val="left"/>
        <w:rPr>
          <w:rFonts w:ascii="Arial" w:hAnsi="Arial"/>
        </w:rPr>
      </w:pPr>
    </w:p>
    <w:p w14:paraId="29938233" w14:textId="25B942E0" w:rsidR="004F4032" w:rsidRDefault="00AD7F9C" w:rsidP="006957EC">
      <w:pPr>
        <w:spacing w:after="200"/>
        <w:contextualSpacing/>
        <w:jc w:val="left"/>
        <w:rPr>
          <w:rFonts w:ascii="Arial" w:hAnsi="Arial"/>
        </w:rPr>
      </w:pPr>
      <w:r w:rsidRPr="00337BFB">
        <w:rPr>
          <w:rFonts w:ascii="Arial" w:hAnsi="Arial"/>
        </w:rPr>
        <w:t xml:space="preserve">A £9m liability that was held in relation to an uncertain </w:t>
      </w:r>
      <w:r w:rsidR="00E33EA5">
        <w:rPr>
          <w:rFonts w:ascii="Arial" w:hAnsi="Arial"/>
        </w:rPr>
        <w:t xml:space="preserve">operating </w:t>
      </w:r>
      <w:r w:rsidRPr="00337BFB">
        <w:rPr>
          <w:rFonts w:ascii="Arial" w:hAnsi="Arial"/>
        </w:rPr>
        <w:t xml:space="preserve">tax position in France </w:t>
      </w:r>
      <w:r w:rsidR="00E33EA5">
        <w:rPr>
          <w:rFonts w:ascii="Arial" w:hAnsi="Arial"/>
        </w:rPr>
        <w:t>was</w:t>
      </w:r>
      <w:r w:rsidRPr="00337BFB">
        <w:rPr>
          <w:rFonts w:ascii="Arial" w:hAnsi="Arial"/>
        </w:rPr>
        <w:t xml:space="preserve"> released in the year. This formed part of a liability of £26m that had been recorded as an adjusting item in </w:t>
      </w:r>
      <w:r w:rsidR="000A64CD">
        <w:rPr>
          <w:rFonts w:ascii="Arial" w:hAnsi="Arial"/>
        </w:rPr>
        <w:t xml:space="preserve">FY </w:t>
      </w:r>
      <w:r w:rsidRPr="00337BFB">
        <w:rPr>
          <w:rFonts w:ascii="Arial" w:hAnsi="Arial"/>
        </w:rPr>
        <w:t>19/20.</w:t>
      </w:r>
      <w:r w:rsidR="004F4032">
        <w:rPr>
          <w:rFonts w:ascii="Arial" w:hAnsi="Arial"/>
        </w:rPr>
        <w:br w:type="page"/>
      </w:r>
    </w:p>
    <w:p w14:paraId="35E46D66" w14:textId="4F4753D4" w:rsidR="009101D7" w:rsidRDefault="00AD7F9C" w:rsidP="0035042E">
      <w:pPr>
        <w:spacing w:after="200"/>
        <w:contextualSpacing/>
        <w:jc w:val="left"/>
        <w:rPr>
          <w:rFonts w:ascii="Arial" w:hAnsi="Arial"/>
        </w:rPr>
      </w:pPr>
      <w:r w:rsidRPr="00337BFB">
        <w:rPr>
          <w:rFonts w:ascii="Arial" w:hAnsi="Arial"/>
        </w:rPr>
        <w:lastRenderedPageBreak/>
        <w:t xml:space="preserve">A profit of £3m has been recorded on the </w:t>
      </w:r>
      <w:r w:rsidR="00BC3669">
        <w:rPr>
          <w:rFonts w:ascii="Arial" w:hAnsi="Arial"/>
        </w:rPr>
        <w:t xml:space="preserve">exit </w:t>
      </w:r>
      <w:r w:rsidRPr="00337BFB">
        <w:rPr>
          <w:rFonts w:ascii="Arial" w:hAnsi="Arial"/>
        </w:rPr>
        <w:t>of two properties in the UK and one property in France.</w:t>
      </w:r>
    </w:p>
    <w:p w14:paraId="09508B23" w14:textId="77777777" w:rsidR="009101D7" w:rsidRDefault="009101D7" w:rsidP="0035042E">
      <w:pPr>
        <w:spacing w:after="200"/>
        <w:contextualSpacing/>
        <w:jc w:val="left"/>
        <w:rPr>
          <w:rFonts w:ascii="Arial" w:hAnsi="Arial"/>
        </w:rPr>
      </w:pPr>
    </w:p>
    <w:p w14:paraId="03D17C96" w14:textId="3EAC478F" w:rsidR="0035042E" w:rsidRDefault="0035042E" w:rsidP="0035042E">
      <w:pPr>
        <w:spacing w:after="200"/>
        <w:contextualSpacing/>
        <w:jc w:val="left"/>
        <w:rPr>
          <w:rFonts w:ascii="Arial" w:hAnsi="Arial"/>
        </w:rPr>
      </w:pPr>
      <w:r w:rsidRPr="00337BFB">
        <w:rPr>
          <w:rFonts w:ascii="Arial" w:hAnsi="Arial"/>
        </w:rPr>
        <w:t>Prior year and other adjusting tax items relate principally to the impact on deferred tax balances of the enacted future increase in the UK tax rate</w:t>
      </w:r>
      <w:r w:rsidR="00B42290">
        <w:rPr>
          <w:rFonts w:ascii="Arial" w:hAnsi="Arial"/>
        </w:rPr>
        <w:t xml:space="preserve"> </w:t>
      </w:r>
      <w:r w:rsidR="00B42290" w:rsidRPr="00B42290">
        <w:rPr>
          <w:rFonts w:ascii="Arial" w:hAnsi="Arial"/>
        </w:rPr>
        <w:t>and a release of prior year provisions for uncertain tax</w:t>
      </w:r>
      <w:r w:rsidR="00B42290">
        <w:rPr>
          <w:rFonts w:ascii="Arial" w:hAnsi="Arial"/>
        </w:rPr>
        <w:t xml:space="preserve"> </w:t>
      </w:r>
      <w:r w:rsidR="00B42290" w:rsidRPr="00B42290">
        <w:rPr>
          <w:rFonts w:ascii="Arial" w:hAnsi="Arial"/>
        </w:rPr>
        <w:t>positions</w:t>
      </w:r>
      <w:r w:rsidRPr="00BE50C9">
        <w:rPr>
          <w:rFonts w:ascii="Arial" w:hAnsi="Arial"/>
        </w:rPr>
        <w:t xml:space="preserve">. Refer to </w:t>
      </w:r>
      <w:r w:rsidRPr="006957EC">
        <w:rPr>
          <w:rFonts w:ascii="Arial" w:hAnsi="Arial"/>
        </w:rPr>
        <w:t xml:space="preserve">note </w:t>
      </w:r>
      <w:r w:rsidR="00384555" w:rsidRPr="006957EC">
        <w:rPr>
          <w:rFonts w:ascii="Arial" w:hAnsi="Arial"/>
        </w:rPr>
        <w:t>6</w:t>
      </w:r>
      <w:r w:rsidRPr="00BE50C9">
        <w:rPr>
          <w:rFonts w:ascii="Arial" w:hAnsi="Arial"/>
        </w:rPr>
        <w:t xml:space="preserve"> of the</w:t>
      </w:r>
      <w:r w:rsidRPr="000B3F74">
        <w:rPr>
          <w:rFonts w:ascii="Arial" w:hAnsi="Arial"/>
        </w:rPr>
        <w:t xml:space="preserve"> condensed financial statements</w:t>
      </w:r>
      <w:r w:rsidRPr="00A9490E">
        <w:rPr>
          <w:rFonts w:ascii="Arial" w:hAnsi="Arial"/>
        </w:rPr>
        <w:t>.</w:t>
      </w:r>
    </w:p>
    <w:p w14:paraId="16A53853" w14:textId="77777777" w:rsidR="0035042E" w:rsidRPr="00337BFB" w:rsidRDefault="0035042E" w:rsidP="0035042E">
      <w:pPr>
        <w:spacing w:after="200"/>
        <w:contextualSpacing/>
        <w:jc w:val="left"/>
        <w:rPr>
          <w:rFonts w:ascii="Arial" w:hAnsi="Arial"/>
        </w:rPr>
      </w:pPr>
    </w:p>
    <w:p w14:paraId="5B6E739C" w14:textId="77777777" w:rsidR="0035042E" w:rsidRPr="00D978CF" w:rsidRDefault="0035042E" w:rsidP="0035042E">
      <w:pPr>
        <w:jc w:val="left"/>
        <w:rPr>
          <w:rFonts w:ascii="Arial" w:hAnsi="Arial" w:cs="Arial"/>
          <w:b/>
        </w:rPr>
      </w:pPr>
      <w:r w:rsidRPr="00D978CF">
        <w:rPr>
          <w:rFonts w:ascii="Arial" w:hAnsi="Arial" w:cs="Arial"/>
          <w:b/>
        </w:rPr>
        <w:t>Taxation</w:t>
      </w:r>
      <w:r>
        <w:rPr>
          <w:rFonts w:ascii="Arial" w:hAnsi="Arial" w:cs="Arial"/>
          <w:b/>
        </w:rPr>
        <w:t xml:space="preserve"> </w:t>
      </w:r>
    </w:p>
    <w:p w14:paraId="37560F00" w14:textId="77777777" w:rsidR="0035042E" w:rsidRPr="00561DBD" w:rsidRDefault="0035042E" w:rsidP="0035042E">
      <w:pPr>
        <w:jc w:val="left"/>
        <w:rPr>
          <w:rFonts w:ascii="Arial" w:hAnsi="Arial" w:cs="Arial"/>
          <w:szCs w:val="24"/>
        </w:rPr>
      </w:pPr>
      <w:r>
        <w:rPr>
          <w:rFonts w:ascii="Arial" w:hAnsi="Arial" w:cs="Arial"/>
          <w:szCs w:val="24"/>
        </w:rPr>
        <w:t>The Group’s</w:t>
      </w:r>
      <w:r w:rsidRPr="00561DBD">
        <w:rPr>
          <w:rFonts w:ascii="Arial" w:hAnsi="Arial" w:cs="Arial"/>
          <w:szCs w:val="24"/>
        </w:rPr>
        <w:t xml:space="preserve"> adjusted effective tax rate is sensitive to the blend of tax rates and profits in the Group’s</w:t>
      </w:r>
    </w:p>
    <w:p w14:paraId="7B8A38FB" w14:textId="7373F5C0" w:rsidR="0035042E" w:rsidRPr="003A1B1F" w:rsidRDefault="0035042E" w:rsidP="0035042E">
      <w:pPr>
        <w:jc w:val="left"/>
        <w:rPr>
          <w:rFonts w:ascii="Arial" w:hAnsi="Arial" w:cs="Arial"/>
          <w:szCs w:val="24"/>
        </w:rPr>
      </w:pPr>
      <w:r w:rsidRPr="00561DBD">
        <w:rPr>
          <w:rFonts w:ascii="Arial" w:hAnsi="Arial" w:cs="Arial"/>
          <w:szCs w:val="24"/>
        </w:rPr>
        <w:t>various jurisdictions. It is higher than the UK statutory rate because of the amount of Group profit that is</w:t>
      </w:r>
      <w:r>
        <w:rPr>
          <w:rFonts w:ascii="Arial" w:hAnsi="Arial" w:cs="Arial"/>
          <w:szCs w:val="24"/>
        </w:rPr>
        <w:t xml:space="preserve"> </w:t>
      </w:r>
      <w:r w:rsidRPr="00561DBD">
        <w:rPr>
          <w:rFonts w:ascii="Arial" w:hAnsi="Arial" w:cs="Arial"/>
          <w:szCs w:val="24"/>
        </w:rPr>
        <w:t xml:space="preserve">earned in higher tax </w:t>
      </w:r>
      <w:r>
        <w:rPr>
          <w:rFonts w:ascii="Arial" w:hAnsi="Arial" w:cs="Arial"/>
          <w:szCs w:val="24"/>
        </w:rPr>
        <w:t>jurisdictions</w:t>
      </w:r>
      <w:r w:rsidRPr="00561DBD">
        <w:rPr>
          <w:rFonts w:ascii="Arial" w:hAnsi="Arial" w:cs="Arial"/>
          <w:szCs w:val="24"/>
        </w:rPr>
        <w:t>.</w:t>
      </w:r>
      <w:r>
        <w:rPr>
          <w:rFonts w:ascii="Arial" w:hAnsi="Arial" w:cs="Arial"/>
          <w:szCs w:val="24"/>
        </w:rPr>
        <w:t xml:space="preserve"> </w:t>
      </w:r>
      <w:r w:rsidRPr="00561DBD">
        <w:rPr>
          <w:rFonts w:ascii="Arial" w:hAnsi="Arial" w:cs="Arial"/>
          <w:szCs w:val="24"/>
        </w:rPr>
        <w:t xml:space="preserve">The adjusted effective tax rate, calculated on </w:t>
      </w:r>
      <w:r w:rsidRPr="00EB692F">
        <w:rPr>
          <w:rFonts w:ascii="Arial" w:hAnsi="Arial" w:cs="Arial"/>
          <w:szCs w:val="24"/>
        </w:rPr>
        <w:t xml:space="preserve">profit before </w:t>
      </w:r>
      <w:r>
        <w:rPr>
          <w:rFonts w:ascii="Arial" w:hAnsi="Arial" w:cs="Arial"/>
          <w:szCs w:val="24"/>
        </w:rPr>
        <w:t>adjusting</w:t>
      </w:r>
      <w:r w:rsidRPr="00EB692F">
        <w:rPr>
          <w:rFonts w:ascii="Arial" w:hAnsi="Arial" w:cs="Arial"/>
          <w:szCs w:val="24"/>
        </w:rPr>
        <w:t xml:space="preserve"> </w:t>
      </w:r>
      <w:r w:rsidRPr="00354EE8">
        <w:rPr>
          <w:rFonts w:ascii="Arial" w:hAnsi="Arial" w:cs="Arial"/>
          <w:szCs w:val="24"/>
        </w:rPr>
        <w:t xml:space="preserve">items, prior year tax adjustments </w:t>
      </w:r>
      <w:r w:rsidRPr="00B74FBE">
        <w:rPr>
          <w:rFonts w:ascii="Arial" w:hAnsi="Arial" w:cs="Arial"/>
          <w:szCs w:val="24"/>
        </w:rPr>
        <w:t xml:space="preserve">and the impact of future rate changes, is </w:t>
      </w:r>
      <w:r w:rsidRPr="00106C67">
        <w:rPr>
          <w:rFonts w:ascii="Arial" w:hAnsi="Arial" w:cs="Arial"/>
          <w:szCs w:val="24"/>
        </w:rPr>
        <w:t>22</w:t>
      </w:r>
      <w:r w:rsidRPr="00B74FBE">
        <w:rPr>
          <w:rFonts w:ascii="Arial" w:hAnsi="Arial" w:cs="Arial"/>
          <w:szCs w:val="24"/>
        </w:rPr>
        <w:t>% (</w:t>
      </w:r>
      <w:r w:rsidR="00720EDB">
        <w:rPr>
          <w:rFonts w:ascii="Arial" w:hAnsi="Arial" w:cs="Arial"/>
          <w:szCs w:val="24"/>
        </w:rPr>
        <w:t>FY 20/21</w:t>
      </w:r>
      <w:r w:rsidRPr="00B74FBE">
        <w:rPr>
          <w:rFonts w:ascii="Arial" w:hAnsi="Arial" w:cs="Arial"/>
          <w:szCs w:val="24"/>
        </w:rPr>
        <w:t>: 23%). The reduction from the prior year is a combination of the sale of the loss-making Russian business</w:t>
      </w:r>
      <w:r>
        <w:rPr>
          <w:rFonts w:ascii="Arial" w:hAnsi="Arial" w:cs="Arial"/>
          <w:szCs w:val="24"/>
        </w:rPr>
        <w:t xml:space="preserve"> and</w:t>
      </w:r>
      <w:r w:rsidRPr="00B74FBE">
        <w:rPr>
          <w:rFonts w:ascii="Arial" w:hAnsi="Arial" w:cs="Arial"/>
          <w:szCs w:val="24"/>
        </w:rPr>
        <w:t xml:space="preserve"> a </w:t>
      </w:r>
      <w:r w:rsidR="00C6425C">
        <w:rPr>
          <w:rFonts w:ascii="Arial" w:hAnsi="Arial" w:cs="Arial"/>
          <w:szCs w:val="24"/>
        </w:rPr>
        <w:t xml:space="preserve">reduction in the </w:t>
      </w:r>
      <w:r w:rsidRPr="00B74FBE">
        <w:rPr>
          <w:rFonts w:ascii="Arial" w:hAnsi="Arial" w:cs="Arial"/>
          <w:szCs w:val="24"/>
        </w:rPr>
        <w:t>French tax rate</w:t>
      </w:r>
      <w:r>
        <w:rPr>
          <w:rFonts w:ascii="Arial" w:hAnsi="Arial" w:cs="Arial"/>
          <w:szCs w:val="24"/>
        </w:rPr>
        <w:t>.</w:t>
      </w:r>
    </w:p>
    <w:p w14:paraId="00B8E80E" w14:textId="77777777" w:rsidR="0035042E" w:rsidRPr="003A1B1F" w:rsidRDefault="0035042E" w:rsidP="0035042E">
      <w:pPr>
        <w:jc w:val="left"/>
        <w:rPr>
          <w:rFonts w:ascii="Arial" w:hAnsi="Arial" w:cs="Arial"/>
          <w:szCs w:val="24"/>
        </w:rPr>
      </w:pPr>
    </w:p>
    <w:p w14:paraId="50AAFFBB" w14:textId="77777777" w:rsidR="0035042E" w:rsidRDefault="0035042E" w:rsidP="0035042E">
      <w:pPr>
        <w:jc w:val="left"/>
        <w:rPr>
          <w:rFonts w:ascii="Arial" w:hAnsi="Arial" w:cs="Arial"/>
          <w:szCs w:val="24"/>
        </w:rPr>
      </w:pPr>
      <w:r w:rsidRPr="003A1B1F">
        <w:rPr>
          <w:rFonts w:ascii="Arial" w:hAnsi="Arial" w:cs="Arial"/>
          <w:szCs w:val="24"/>
        </w:rPr>
        <w:t xml:space="preserve">The </w:t>
      </w:r>
      <w:r>
        <w:rPr>
          <w:rFonts w:ascii="Arial" w:hAnsi="Arial" w:cs="Arial"/>
          <w:szCs w:val="24"/>
        </w:rPr>
        <w:t xml:space="preserve">statutory </w:t>
      </w:r>
      <w:r w:rsidRPr="003A1B1F">
        <w:rPr>
          <w:rFonts w:ascii="Arial" w:hAnsi="Arial" w:cs="Arial"/>
          <w:szCs w:val="24"/>
        </w:rPr>
        <w:t>effective tax rate includes the impact of adjusting items (including prior year tax items</w:t>
      </w:r>
      <w:r>
        <w:rPr>
          <w:rFonts w:ascii="Arial" w:hAnsi="Arial" w:cs="Arial"/>
          <w:szCs w:val="24"/>
        </w:rPr>
        <w:t>)</w:t>
      </w:r>
      <w:r w:rsidRPr="003A1B1F">
        <w:rPr>
          <w:rFonts w:ascii="Arial" w:hAnsi="Arial" w:cs="Arial"/>
          <w:szCs w:val="24"/>
        </w:rPr>
        <w:t xml:space="preserve">. The impact of these lower the rate </w:t>
      </w:r>
      <w:r w:rsidRPr="00B74FBE">
        <w:rPr>
          <w:rFonts w:ascii="Arial" w:hAnsi="Arial" w:cs="Arial"/>
          <w:szCs w:val="24"/>
        </w:rPr>
        <w:t xml:space="preserve">from </w:t>
      </w:r>
      <w:r w:rsidRPr="00106C67">
        <w:rPr>
          <w:rFonts w:ascii="Arial" w:hAnsi="Arial" w:cs="Arial"/>
          <w:szCs w:val="24"/>
        </w:rPr>
        <w:t>22</w:t>
      </w:r>
      <w:r w:rsidRPr="00B74FBE">
        <w:rPr>
          <w:rFonts w:ascii="Arial" w:hAnsi="Arial" w:cs="Arial"/>
          <w:szCs w:val="24"/>
        </w:rPr>
        <w:t xml:space="preserve">% to </w:t>
      </w:r>
      <w:r w:rsidRPr="00106C67">
        <w:rPr>
          <w:rFonts w:ascii="Arial" w:hAnsi="Arial" w:cs="Arial"/>
          <w:szCs w:val="24"/>
        </w:rPr>
        <w:t>1</w:t>
      </w:r>
      <w:r>
        <w:rPr>
          <w:rFonts w:ascii="Arial" w:hAnsi="Arial" w:cs="Arial"/>
          <w:szCs w:val="24"/>
        </w:rPr>
        <w:t>6</w:t>
      </w:r>
      <w:r w:rsidRPr="003A1B1F">
        <w:rPr>
          <w:rFonts w:ascii="Arial" w:hAnsi="Arial" w:cs="Arial"/>
          <w:szCs w:val="24"/>
        </w:rPr>
        <w:t xml:space="preserve">%. </w:t>
      </w:r>
      <w:r w:rsidRPr="00B74FBE">
        <w:rPr>
          <w:rFonts w:ascii="Arial" w:hAnsi="Arial" w:cs="Arial"/>
          <w:szCs w:val="24"/>
        </w:rPr>
        <w:t xml:space="preserve">This mainly reflects the revaluation of UK deferred tax balances due to the enacted future UK tax rate increase, as well as the applicable tax treatment of adjusting items, and the release of prior year provisions which reflect a reassessment of expected outcomes, agreed positions with tax authorities and items that have </w:t>
      </w:r>
      <w:proofErr w:type="gramStart"/>
      <w:r w:rsidRPr="00B74FBE">
        <w:rPr>
          <w:rFonts w:ascii="Arial" w:hAnsi="Arial" w:cs="Arial"/>
          <w:szCs w:val="24"/>
        </w:rPr>
        <w:t>time-expired</w:t>
      </w:r>
      <w:proofErr w:type="gramEnd"/>
      <w:r w:rsidRPr="00B74FBE">
        <w:rPr>
          <w:rFonts w:ascii="Arial" w:hAnsi="Arial" w:cs="Arial"/>
          <w:szCs w:val="24"/>
        </w:rPr>
        <w:t>.</w:t>
      </w:r>
    </w:p>
    <w:tbl>
      <w:tblPr>
        <w:tblpPr w:leftFromText="180" w:rightFromText="180" w:vertAnchor="text" w:horzAnchor="margin" w:tblpY="375"/>
        <w:tblW w:w="5024" w:type="pct"/>
        <w:tblCellMar>
          <w:left w:w="0" w:type="dxa"/>
          <w:right w:w="0" w:type="dxa"/>
        </w:tblCellMar>
        <w:tblLook w:val="04A0" w:firstRow="1" w:lastRow="0" w:firstColumn="1" w:lastColumn="0" w:noHBand="0" w:noVBand="1"/>
      </w:tblPr>
      <w:tblGrid>
        <w:gridCol w:w="3826"/>
        <w:gridCol w:w="1070"/>
        <w:gridCol w:w="1071"/>
        <w:gridCol w:w="1072"/>
        <w:gridCol w:w="1071"/>
        <w:gridCol w:w="1071"/>
        <w:gridCol w:w="1072"/>
      </w:tblGrid>
      <w:tr w:rsidR="0035042E" w:rsidRPr="003A1B1F" w14:paraId="53D52E4F" w14:textId="77777777" w:rsidTr="004E3B34">
        <w:trPr>
          <w:trHeight w:val="595"/>
        </w:trPr>
        <w:tc>
          <w:tcPr>
            <w:tcW w:w="3826" w:type="dxa"/>
            <w:tcBorders>
              <w:top w:val="nil"/>
              <w:left w:val="nil"/>
              <w:bottom w:val="single" w:sz="4" w:space="0" w:color="auto"/>
              <w:right w:val="nil"/>
            </w:tcBorders>
            <w:tcMar>
              <w:top w:w="0" w:type="dxa"/>
              <w:left w:w="108" w:type="dxa"/>
              <w:bottom w:w="0" w:type="dxa"/>
              <w:right w:w="108" w:type="dxa"/>
            </w:tcMar>
            <w:vAlign w:val="center"/>
            <w:hideMark/>
          </w:tcPr>
          <w:p w14:paraId="4B218DF0" w14:textId="77777777" w:rsidR="0035042E" w:rsidRPr="003A1B1F" w:rsidRDefault="0035042E" w:rsidP="004E3B34">
            <w:pPr>
              <w:jc w:val="left"/>
              <w:rPr>
                <w:rFonts w:ascii="Arial" w:hAnsi="Arial" w:cs="Arial"/>
                <w:b/>
                <w:bCs/>
              </w:rPr>
            </w:pPr>
          </w:p>
        </w:tc>
        <w:tc>
          <w:tcPr>
            <w:tcW w:w="1070" w:type="dxa"/>
            <w:tcBorders>
              <w:top w:val="nil"/>
              <w:left w:val="nil"/>
              <w:bottom w:val="single" w:sz="4" w:space="0" w:color="auto"/>
              <w:right w:val="nil"/>
            </w:tcBorders>
            <w:tcMar>
              <w:top w:w="0" w:type="dxa"/>
              <w:left w:w="108" w:type="dxa"/>
              <w:bottom w:w="0" w:type="dxa"/>
              <w:right w:w="108" w:type="dxa"/>
            </w:tcMar>
            <w:vAlign w:val="center"/>
            <w:hideMark/>
          </w:tcPr>
          <w:p w14:paraId="614F0FCB" w14:textId="77777777" w:rsidR="0035042E" w:rsidRPr="003A1B1F" w:rsidRDefault="0035042E" w:rsidP="00BD028A">
            <w:pPr>
              <w:jc w:val="right"/>
              <w:rPr>
                <w:rFonts w:ascii="Arial" w:hAnsi="Arial" w:cs="Arial"/>
                <w:b/>
                <w:bCs/>
              </w:rPr>
            </w:pPr>
            <w:r w:rsidRPr="003A1B1F">
              <w:rPr>
                <w:rFonts w:ascii="Arial" w:hAnsi="Arial" w:cs="Arial"/>
                <w:b/>
                <w:bCs/>
              </w:rPr>
              <w:t>Pre-tax profit</w:t>
            </w:r>
          </w:p>
          <w:p w14:paraId="311DD642" w14:textId="77777777" w:rsidR="0035042E" w:rsidRPr="003A1B1F" w:rsidRDefault="0035042E" w:rsidP="00BD028A">
            <w:pPr>
              <w:jc w:val="right"/>
              <w:rPr>
                <w:rFonts w:ascii="Arial" w:hAnsi="Arial" w:cs="Arial"/>
                <w:b/>
                <w:bCs/>
              </w:rPr>
            </w:pPr>
            <w:r w:rsidRPr="003A1B1F">
              <w:rPr>
                <w:rFonts w:ascii="Arial" w:hAnsi="Arial" w:cs="Arial"/>
                <w:b/>
                <w:bCs/>
              </w:rPr>
              <w:t>£m</w:t>
            </w:r>
          </w:p>
        </w:tc>
        <w:tc>
          <w:tcPr>
            <w:tcW w:w="1071" w:type="dxa"/>
            <w:tcBorders>
              <w:top w:val="nil"/>
              <w:left w:val="nil"/>
              <w:bottom w:val="single" w:sz="4" w:space="0" w:color="auto"/>
              <w:right w:val="nil"/>
            </w:tcBorders>
            <w:tcMar>
              <w:top w:w="0" w:type="dxa"/>
              <w:left w:w="108" w:type="dxa"/>
              <w:bottom w:w="0" w:type="dxa"/>
              <w:right w:w="108" w:type="dxa"/>
            </w:tcMar>
            <w:vAlign w:val="center"/>
            <w:hideMark/>
          </w:tcPr>
          <w:p w14:paraId="60B170F3" w14:textId="77777777" w:rsidR="0035042E" w:rsidRPr="003A1B1F" w:rsidRDefault="0035042E" w:rsidP="00BD028A">
            <w:pPr>
              <w:jc w:val="right"/>
              <w:rPr>
                <w:rFonts w:ascii="Arial" w:hAnsi="Arial" w:cs="Arial"/>
                <w:b/>
                <w:bCs/>
              </w:rPr>
            </w:pPr>
          </w:p>
          <w:p w14:paraId="1247055A" w14:textId="77777777" w:rsidR="0035042E" w:rsidRPr="003A1B1F" w:rsidRDefault="0035042E" w:rsidP="00BD028A">
            <w:pPr>
              <w:jc w:val="right"/>
              <w:rPr>
                <w:rFonts w:ascii="Arial" w:hAnsi="Arial" w:cs="Arial"/>
                <w:b/>
                <w:bCs/>
              </w:rPr>
            </w:pPr>
            <w:r w:rsidRPr="003A1B1F">
              <w:rPr>
                <w:rFonts w:ascii="Arial" w:hAnsi="Arial" w:cs="Arial"/>
                <w:b/>
                <w:bCs/>
              </w:rPr>
              <w:t xml:space="preserve">Tax </w:t>
            </w:r>
          </w:p>
          <w:p w14:paraId="49A516D3" w14:textId="77777777" w:rsidR="0035042E" w:rsidRPr="003A1B1F" w:rsidRDefault="0035042E" w:rsidP="00BD028A">
            <w:pPr>
              <w:jc w:val="right"/>
              <w:rPr>
                <w:rFonts w:ascii="Arial" w:hAnsi="Arial" w:cs="Arial"/>
                <w:b/>
                <w:bCs/>
              </w:rPr>
            </w:pPr>
            <w:r w:rsidRPr="003A1B1F">
              <w:rPr>
                <w:rFonts w:ascii="Arial" w:hAnsi="Arial" w:cs="Arial"/>
                <w:b/>
                <w:bCs/>
              </w:rPr>
              <w:t>£m</w:t>
            </w:r>
          </w:p>
        </w:tc>
        <w:tc>
          <w:tcPr>
            <w:tcW w:w="1072" w:type="dxa"/>
            <w:tcBorders>
              <w:top w:val="nil"/>
              <w:left w:val="nil"/>
              <w:bottom w:val="single" w:sz="4" w:space="0" w:color="auto"/>
              <w:right w:val="nil"/>
            </w:tcBorders>
            <w:tcMar>
              <w:top w:w="0" w:type="dxa"/>
              <w:left w:w="108" w:type="dxa"/>
              <w:bottom w:w="0" w:type="dxa"/>
              <w:right w:w="108" w:type="dxa"/>
            </w:tcMar>
            <w:vAlign w:val="center"/>
            <w:hideMark/>
          </w:tcPr>
          <w:p w14:paraId="5D698148" w14:textId="77777777" w:rsidR="0035042E" w:rsidRPr="003A1B1F" w:rsidRDefault="0035042E" w:rsidP="00BD028A">
            <w:pPr>
              <w:jc w:val="right"/>
              <w:rPr>
                <w:rFonts w:ascii="Arial" w:hAnsi="Arial" w:cs="Arial"/>
                <w:b/>
                <w:bCs/>
              </w:rPr>
            </w:pPr>
          </w:p>
          <w:p w14:paraId="33917ED3" w14:textId="77777777" w:rsidR="0035042E" w:rsidRPr="003A1B1F" w:rsidRDefault="0035042E" w:rsidP="00BD028A">
            <w:pPr>
              <w:jc w:val="right"/>
              <w:rPr>
                <w:rFonts w:ascii="Arial" w:hAnsi="Arial" w:cs="Arial"/>
                <w:b/>
                <w:bCs/>
              </w:rPr>
            </w:pPr>
            <w:r w:rsidRPr="003A1B1F">
              <w:rPr>
                <w:rFonts w:ascii="Arial" w:hAnsi="Arial" w:cs="Arial"/>
                <w:b/>
                <w:bCs/>
              </w:rPr>
              <w:t>2021/22</w:t>
            </w:r>
          </w:p>
          <w:p w14:paraId="6FBB2C0E" w14:textId="77777777" w:rsidR="0035042E" w:rsidRPr="003A1B1F" w:rsidRDefault="0035042E" w:rsidP="00BD028A">
            <w:pPr>
              <w:jc w:val="right"/>
              <w:rPr>
                <w:rFonts w:ascii="Arial" w:hAnsi="Arial" w:cs="Arial"/>
                <w:b/>
                <w:bCs/>
              </w:rPr>
            </w:pPr>
            <w:r w:rsidRPr="003A1B1F">
              <w:rPr>
                <w:rFonts w:ascii="Arial" w:hAnsi="Arial" w:cs="Arial"/>
                <w:b/>
                <w:bCs/>
              </w:rPr>
              <w:t>%</w:t>
            </w:r>
          </w:p>
        </w:tc>
        <w:tc>
          <w:tcPr>
            <w:tcW w:w="1071" w:type="dxa"/>
            <w:tcBorders>
              <w:top w:val="nil"/>
              <w:left w:val="nil"/>
              <w:bottom w:val="single" w:sz="4" w:space="0" w:color="auto"/>
              <w:right w:val="nil"/>
            </w:tcBorders>
            <w:vAlign w:val="center"/>
          </w:tcPr>
          <w:p w14:paraId="7A961942" w14:textId="77777777" w:rsidR="0035042E" w:rsidRPr="003A1B1F" w:rsidRDefault="0035042E" w:rsidP="00BD028A">
            <w:pPr>
              <w:jc w:val="right"/>
              <w:rPr>
                <w:rFonts w:ascii="Arial" w:hAnsi="Arial" w:cs="Arial"/>
              </w:rPr>
            </w:pPr>
            <w:r w:rsidRPr="003A1B1F">
              <w:rPr>
                <w:rFonts w:ascii="Arial" w:hAnsi="Arial" w:cs="Arial"/>
              </w:rPr>
              <w:t>Pre-tax profit</w:t>
            </w:r>
          </w:p>
          <w:p w14:paraId="6B53E2B3" w14:textId="77777777" w:rsidR="0035042E" w:rsidRPr="003A1B1F" w:rsidRDefault="0035042E" w:rsidP="00BD028A">
            <w:pPr>
              <w:jc w:val="right"/>
              <w:rPr>
                <w:rFonts w:ascii="Arial" w:hAnsi="Arial" w:cs="Arial"/>
              </w:rPr>
            </w:pPr>
            <w:r w:rsidRPr="003A1B1F">
              <w:rPr>
                <w:rFonts w:ascii="Arial" w:hAnsi="Arial" w:cs="Arial"/>
              </w:rPr>
              <w:t>£m</w:t>
            </w:r>
          </w:p>
        </w:tc>
        <w:tc>
          <w:tcPr>
            <w:tcW w:w="1071" w:type="dxa"/>
            <w:tcBorders>
              <w:top w:val="nil"/>
              <w:left w:val="nil"/>
              <w:bottom w:val="single" w:sz="4" w:space="0" w:color="auto"/>
              <w:right w:val="nil"/>
            </w:tcBorders>
            <w:vAlign w:val="center"/>
          </w:tcPr>
          <w:p w14:paraId="0C2CD242" w14:textId="77777777" w:rsidR="0035042E" w:rsidRPr="003A1B1F" w:rsidRDefault="0035042E" w:rsidP="00BD028A">
            <w:pPr>
              <w:jc w:val="right"/>
              <w:rPr>
                <w:rFonts w:ascii="Arial" w:hAnsi="Arial" w:cs="Arial"/>
              </w:rPr>
            </w:pPr>
          </w:p>
          <w:p w14:paraId="2E8AF0BD" w14:textId="77777777" w:rsidR="0035042E" w:rsidRPr="003A1B1F" w:rsidRDefault="0035042E" w:rsidP="00BD028A">
            <w:pPr>
              <w:jc w:val="right"/>
              <w:rPr>
                <w:rFonts w:ascii="Arial" w:hAnsi="Arial" w:cs="Arial"/>
              </w:rPr>
            </w:pPr>
            <w:r w:rsidRPr="003A1B1F">
              <w:rPr>
                <w:rFonts w:ascii="Arial" w:hAnsi="Arial" w:cs="Arial"/>
              </w:rPr>
              <w:t>Tax</w:t>
            </w:r>
          </w:p>
          <w:p w14:paraId="2342566F" w14:textId="77777777" w:rsidR="0035042E" w:rsidRPr="003A1B1F" w:rsidRDefault="0035042E" w:rsidP="00BD028A">
            <w:pPr>
              <w:jc w:val="right"/>
              <w:rPr>
                <w:rFonts w:ascii="Arial" w:hAnsi="Arial" w:cs="Arial"/>
              </w:rPr>
            </w:pPr>
            <w:r w:rsidRPr="003A1B1F">
              <w:rPr>
                <w:rFonts w:ascii="Arial" w:hAnsi="Arial" w:cs="Arial"/>
              </w:rPr>
              <w:t>£m</w:t>
            </w:r>
          </w:p>
        </w:tc>
        <w:tc>
          <w:tcPr>
            <w:tcW w:w="1072" w:type="dxa"/>
            <w:tcBorders>
              <w:top w:val="nil"/>
              <w:left w:val="nil"/>
              <w:bottom w:val="single" w:sz="4" w:space="0" w:color="auto"/>
              <w:right w:val="nil"/>
            </w:tcBorders>
            <w:tcMar>
              <w:top w:w="0" w:type="dxa"/>
              <w:left w:w="108" w:type="dxa"/>
              <w:bottom w:w="0" w:type="dxa"/>
              <w:right w:w="108" w:type="dxa"/>
            </w:tcMar>
            <w:vAlign w:val="center"/>
            <w:hideMark/>
          </w:tcPr>
          <w:p w14:paraId="42FA96A6" w14:textId="77777777" w:rsidR="0035042E" w:rsidRPr="003A1B1F" w:rsidRDefault="0035042E" w:rsidP="00BD028A">
            <w:pPr>
              <w:jc w:val="right"/>
              <w:rPr>
                <w:rFonts w:ascii="Arial" w:hAnsi="Arial" w:cs="Arial"/>
              </w:rPr>
            </w:pPr>
          </w:p>
          <w:p w14:paraId="22722C3B" w14:textId="77777777" w:rsidR="0035042E" w:rsidRPr="003A1B1F" w:rsidRDefault="0035042E" w:rsidP="00BD028A">
            <w:pPr>
              <w:jc w:val="right"/>
              <w:rPr>
                <w:rFonts w:ascii="Arial" w:hAnsi="Arial" w:cs="Arial"/>
              </w:rPr>
            </w:pPr>
            <w:r w:rsidRPr="003A1B1F">
              <w:rPr>
                <w:rFonts w:ascii="Arial" w:hAnsi="Arial" w:cs="Arial"/>
              </w:rPr>
              <w:t>2020/21</w:t>
            </w:r>
          </w:p>
          <w:p w14:paraId="1117A9AE" w14:textId="77777777" w:rsidR="0035042E" w:rsidRPr="003A1B1F" w:rsidRDefault="0035042E" w:rsidP="00BD028A">
            <w:pPr>
              <w:jc w:val="right"/>
              <w:rPr>
                <w:rFonts w:ascii="Arial" w:hAnsi="Arial" w:cs="Arial"/>
              </w:rPr>
            </w:pPr>
            <w:r w:rsidRPr="003A1B1F">
              <w:rPr>
                <w:rFonts w:ascii="Arial" w:hAnsi="Arial" w:cs="Arial"/>
              </w:rPr>
              <w:t>%</w:t>
            </w:r>
          </w:p>
        </w:tc>
      </w:tr>
      <w:tr w:rsidR="0035042E" w:rsidRPr="003A1B1F" w14:paraId="58DB2909" w14:textId="77777777" w:rsidTr="004E3B34">
        <w:trPr>
          <w:trHeight w:val="266"/>
        </w:trPr>
        <w:tc>
          <w:tcPr>
            <w:tcW w:w="3826" w:type="dxa"/>
            <w:tcBorders>
              <w:top w:val="single" w:sz="4" w:space="0" w:color="auto"/>
            </w:tcBorders>
            <w:tcMar>
              <w:top w:w="0" w:type="dxa"/>
              <w:left w:w="108" w:type="dxa"/>
              <w:bottom w:w="0" w:type="dxa"/>
              <w:right w:w="108" w:type="dxa"/>
            </w:tcMar>
            <w:vAlign w:val="center"/>
            <w:hideMark/>
          </w:tcPr>
          <w:p w14:paraId="345E6C15" w14:textId="77777777" w:rsidR="0035042E" w:rsidRPr="003A1B1F" w:rsidRDefault="0035042E" w:rsidP="00BD028A">
            <w:pPr>
              <w:jc w:val="left"/>
              <w:rPr>
                <w:rFonts w:ascii="Arial" w:hAnsi="Arial"/>
                <w:b/>
              </w:rPr>
            </w:pPr>
            <w:r w:rsidRPr="003A1B1F">
              <w:rPr>
                <w:rFonts w:ascii="Arial" w:hAnsi="Arial"/>
                <w:b/>
              </w:rPr>
              <w:t>Adjusted effective tax rate</w:t>
            </w:r>
          </w:p>
        </w:tc>
        <w:tc>
          <w:tcPr>
            <w:tcW w:w="1070" w:type="dxa"/>
            <w:tcBorders>
              <w:top w:val="single" w:sz="4" w:space="0" w:color="auto"/>
            </w:tcBorders>
            <w:tcMar>
              <w:top w:w="0" w:type="dxa"/>
              <w:left w:w="108" w:type="dxa"/>
              <w:bottom w:w="0" w:type="dxa"/>
              <w:right w:w="108" w:type="dxa"/>
            </w:tcMar>
            <w:vAlign w:val="center"/>
            <w:hideMark/>
          </w:tcPr>
          <w:p w14:paraId="2565443D" w14:textId="77777777" w:rsidR="0035042E" w:rsidRPr="00106C67" w:rsidRDefault="0035042E" w:rsidP="00BD028A">
            <w:pPr>
              <w:jc w:val="right"/>
              <w:rPr>
                <w:rFonts w:ascii="Arial" w:hAnsi="Arial" w:cs="Arial"/>
                <w:b/>
              </w:rPr>
            </w:pPr>
            <w:r w:rsidRPr="00106C67">
              <w:rPr>
                <w:rFonts w:ascii="Arial" w:hAnsi="Arial" w:cs="Arial"/>
                <w:b/>
              </w:rPr>
              <w:t>949</w:t>
            </w:r>
          </w:p>
        </w:tc>
        <w:tc>
          <w:tcPr>
            <w:tcW w:w="1071" w:type="dxa"/>
            <w:tcBorders>
              <w:top w:val="single" w:sz="4" w:space="0" w:color="auto"/>
            </w:tcBorders>
            <w:tcMar>
              <w:top w:w="0" w:type="dxa"/>
              <w:left w:w="108" w:type="dxa"/>
              <w:bottom w:w="0" w:type="dxa"/>
              <w:right w:w="108" w:type="dxa"/>
            </w:tcMar>
            <w:vAlign w:val="center"/>
            <w:hideMark/>
          </w:tcPr>
          <w:p w14:paraId="38F78D23" w14:textId="77777777" w:rsidR="0035042E" w:rsidRPr="00106C67" w:rsidRDefault="0035042E" w:rsidP="00BD028A">
            <w:pPr>
              <w:jc w:val="right"/>
              <w:rPr>
                <w:rFonts w:ascii="Arial" w:hAnsi="Arial" w:cs="Arial"/>
                <w:b/>
              </w:rPr>
            </w:pPr>
            <w:r w:rsidRPr="00106C67">
              <w:rPr>
                <w:rFonts w:ascii="Arial" w:hAnsi="Arial" w:cs="Arial"/>
                <w:b/>
              </w:rPr>
              <w:t>(2</w:t>
            </w:r>
            <w:r>
              <w:rPr>
                <w:rFonts w:ascii="Arial" w:hAnsi="Arial" w:cs="Arial"/>
                <w:b/>
              </w:rPr>
              <w:t>12</w:t>
            </w:r>
            <w:r w:rsidRPr="00106C67">
              <w:rPr>
                <w:rFonts w:ascii="Arial" w:hAnsi="Arial" w:cs="Arial"/>
                <w:b/>
              </w:rPr>
              <w:t>)</w:t>
            </w:r>
          </w:p>
        </w:tc>
        <w:tc>
          <w:tcPr>
            <w:tcW w:w="1072" w:type="dxa"/>
            <w:tcBorders>
              <w:top w:val="single" w:sz="4" w:space="0" w:color="auto"/>
            </w:tcBorders>
            <w:tcMar>
              <w:top w:w="0" w:type="dxa"/>
              <w:left w:w="108" w:type="dxa"/>
              <w:bottom w:w="0" w:type="dxa"/>
              <w:right w:w="108" w:type="dxa"/>
            </w:tcMar>
            <w:vAlign w:val="center"/>
            <w:hideMark/>
          </w:tcPr>
          <w:p w14:paraId="0BEE3B4E" w14:textId="77777777" w:rsidR="0035042E" w:rsidRPr="00106C67" w:rsidRDefault="0035042E" w:rsidP="00BD028A">
            <w:pPr>
              <w:jc w:val="right"/>
              <w:rPr>
                <w:rFonts w:ascii="Arial" w:hAnsi="Arial" w:cs="Arial"/>
                <w:b/>
              </w:rPr>
            </w:pPr>
            <w:r w:rsidRPr="00106C67">
              <w:rPr>
                <w:rFonts w:ascii="Arial" w:hAnsi="Arial" w:cs="Arial"/>
                <w:b/>
              </w:rPr>
              <w:t>22%</w:t>
            </w:r>
          </w:p>
        </w:tc>
        <w:tc>
          <w:tcPr>
            <w:tcW w:w="1071" w:type="dxa"/>
            <w:tcBorders>
              <w:top w:val="single" w:sz="4" w:space="0" w:color="auto"/>
            </w:tcBorders>
            <w:vAlign w:val="center"/>
          </w:tcPr>
          <w:p w14:paraId="4D65CCAB" w14:textId="77777777" w:rsidR="0035042E" w:rsidRPr="00FC545D" w:rsidRDefault="0035042E" w:rsidP="00BD028A">
            <w:pPr>
              <w:jc w:val="right"/>
              <w:rPr>
                <w:rFonts w:ascii="Arial" w:hAnsi="Arial" w:cs="Arial"/>
                <w:bCs/>
              </w:rPr>
            </w:pPr>
            <w:r w:rsidRPr="00FC545D">
              <w:rPr>
                <w:rFonts w:ascii="Arial" w:hAnsi="Arial" w:cs="Arial"/>
                <w:bCs/>
              </w:rPr>
              <w:t>786</w:t>
            </w:r>
          </w:p>
        </w:tc>
        <w:tc>
          <w:tcPr>
            <w:tcW w:w="1071" w:type="dxa"/>
            <w:tcBorders>
              <w:top w:val="single" w:sz="4" w:space="0" w:color="auto"/>
            </w:tcBorders>
            <w:vAlign w:val="center"/>
          </w:tcPr>
          <w:p w14:paraId="556991D7" w14:textId="77777777" w:rsidR="0035042E" w:rsidRPr="00FC545D" w:rsidRDefault="0035042E" w:rsidP="00BD028A">
            <w:pPr>
              <w:jc w:val="right"/>
              <w:rPr>
                <w:rFonts w:ascii="Arial" w:hAnsi="Arial" w:cs="Arial"/>
                <w:bCs/>
              </w:rPr>
            </w:pPr>
            <w:r w:rsidRPr="00FC545D">
              <w:rPr>
                <w:rFonts w:ascii="Arial" w:hAnsi="Arial" w:cs="Arial"/>
                <w:bCs/>
              </w:rPr>
              <w:t>(182)</w:t>
            </w:r>
          </w:p>
        </w:tc>
        <w:tc>
          <w:tcPr>
            <w:tcW w:w="1072" w:type="dxa"/>
            <w:tcBorders>
              <w:top w:val="single" w:sz="4" w:space="0" w:color="auto"/>
            </w:tcBorders>
            <w:tcMar>
              <w:top w:w="0" w:type="dxa"/>
              <w:left w:w="108" w:type="dxa"/>
              <w:bottom w:w="0" w:type="dxa"/>
              <w:right w:w="108" w:type="dxa"/>
            </w:tcMar>
            <w:vAlign w:val="center"/>
            <w:hideMark/>
          </w:tcPr>
          <w:p w14:paraId="4E0CB727" w14:textId="77777777" w:rsidR="0035042E" w:rsidRPr="00FC545D" w:rsidRDefault="0035042E" w:rsidP="00BD028A">
            <w:pPr>
              <w:jc w:val="right"/>
              <w:rPr>
                <w:rFonts w:ascii="Arial" w:hAnsi="Arial" w:cs="Arial"/>
                <w:bCs/>
              </w:rPr>
            </w:pPr>
            <w:r w:rsidRPr="00FC545D">
              <w:rPr>
                <w:rFonts w:ascii="Arial" w:hAnsi="Arial" w:cs="Arial"/>
                <w:bCs/>
              </w:rPr>
              <w:t>23%</w:t>
            </w:r>
          </w:p>
        </w:tc>
      </w:tr>
      <w:tr w:rsidR="0035042E" w:rsidRPr="003A1B1F" w14:paraId="16522F7A" w14:textId="77777777" w:rsidTr="004E3B34">
        <w:trPr>
          <w:trHeight w:val="266"/>
        </w:trPr>
        <w:tc>
          <w:tcPr>
            <w:tcW w:w="3826" w:type="dxa"/>
            <w:tcBorders>
              <w:top w:val="nil"/>
              <w:left w:val="nil"/>
              <w:right w:val="nil"/>
            </w:tcBorders>
            <w:tcMar>
              <w:top w:w="0" w:type="dxa"/>
              <w:left w:w="108" w:type="dxa"/>
              <w:bottom w:w="0" w:type="dxa"/>
              <w:right w:w="108" w:type="dxa"/>
            </w:tcMar>
            <w:vAlign w:val="center"/>
          </w:tcPr>
          <w:p w14:paraId="6AC21E40" w14:textId="77777777" w:rsidR="0035042E" w:rsidRPr="003A1B1F" w:rsidRDefault="0035042E" w:rsidP="00BD028A">
            <w:pPr>
              <w:jc w:val="left"/>
              <w:rPr>
                <w:rFonts w:ascii="Arial" w:hAnsi="Arial" w:cs="Arial"/>
              </w:rPr>
            </w:pPr>
            <w:r w:rsidRPr="003A1B1F">
              <w:rPr>
                <w:rFonts w:ascii="Arial" w:hAnsi="Arial" w:cs="Arial"/>
              </w:rPr>
              <w:t>Adjusti</w:t>
            </w:r>
            <w:r>
              <w:rPr>
                <w:rFonts w:ascii="Arial" w:hAnsi="Arial" w:cs="Arial"/>
              </w:rPr>
              <w:t>n</w:t>
            </w:r>
            <w:r w:rsidRPr="003A1B1F">
              <w:rPr>
                <w:rFonts w:ascii="Arial" w:hAnsi="Arial" w:cs="Arial"/>
              </w:rPr>
              <w:t>g items</w:t>
            </w:r>
          </w:p>
        </w:tc>
        <w:tc>
          <w:tcPr>
            <w:tcW w:w="1070" w:type="dxa"/>
            <w:tcBorders>
              <w:top w:val="nil"/>
              <w:left w:val="nil"/>
              <w:right w:val="nil"/>
            </w:tcBorders>
            <w:tcMar>
              <w:top w:w="0" w:type="dxa"/>
              <w:left w:w="108" w:type="dxa"/>
              <w:bottom w:w="0" w:type="dxa"/>
              <w:right w:w="108" w:type="dxa"/>
            </w:tcMar>
            <w:vAlign w:val="center"/>
          </w:tcPr>
          <w:p w14:paraId="340F713D" w14:textId="77777777" w:rsidR="0035042E" w:rsidRPr="00106C67" w:rsidRDefault="0035042E" w:rsidP="00BD028A">
            <w:pPr>
              <w:jc w:val="right"/>
              <w:rPr>
                <w:rFonts w:ascii="Arial" w:hAnsi="Arial" w:cs="Arial"/>
                <w:b/>
                <w:bCs/>
              </w:rPr>
            </w:pPr>
            <w:r w:rsidRPr="00106C67">
              <w:rPr>
                <w:rFonts w:ascii="Arial" w:hAnsi="Arial" w:cs="Arial"/>
                <w:b/>
                <w:bCs/>
              </w:rPr>
              <w:t>58</w:t>
            </w:r>
          </w:p>
        </w:tc>
        <w:tc>
          <w:tcPr>
            <w:tcW w:w="1071" w:type="dxa"/>
            <w:tcBorders>
              <w:top w:val="nil"/>
              <w:left w:val="nil"/>
              <w:right w:val="nil"/>
            </w:tcBorders>
            <w:tcMar>
              <w:top w:w="0" w:type="dxa"/>
              <w:left w:w="108" w:type="dxa"/>
              <w:bottom w:w="0" w:type="dxa"/>
              <w:right w:w="108" w:type="dxa"/>
            </w:tcMar>
            <w:vAlign w:val="center"/>
          </w:tcPr>
          <w:p w14:paraId="4F7811E4" w14:textId="5B565BA5" w:rsidR="0035042E" w:rsidRPr="00106C67" w:rsidRDefault="00BD028A" w:rsidP="00BD028A">
            <w:pPr>
              <w:jc w:val="right"/>
              <w:rPr>
                <w:rFonts w:ascii="Arial" w:hAnsi="Arial" w:cs="Arial"/>
                <w:b/>
              </w:rPr>
            </w:pPr>
            <w:r>
              <w:rPr>
                <w:rFonts w:ascii="Arial" w:hAnsi="Arial" w:cs="Arial"/>
                <w:b/>
              </w:rPr>
              <w:t>48</w:t>
            </w:r>
          </w:p>
        </w:tc>
        <w:tc>
          <w:tcPr>
            <w:tcW w:w="1072" w:type="dxa"/>
            <w:tcBorders>
              <w:top w:val="nil"/>
              <w:left w:val="nil"/>
              <w:right w:val="nil"/>
            </w:tcBorders>
            <w:tcMar>
              <w:top w:w="0" w:type="dxa"/>
              <w:left w:w="108" w:type="dxa"/>
              <w:bottom w:w="0" w:type="dxa"/>
              <w:right w:w="108" w:type="dxa"/>
            </w:tcMar>
            <w:vAlign w:val="center"/>
          </w:tcPr>
          <w:p w14:paraId="4C5344C6" w14:textId="77777777" w:rsidR="0035042E" w:rsidRPr="00106C67" w:rsidRDefault="0035042E" w:rsidP="00BD028A">
            <w:pPr>
              <w:jc w:val="right"/>
              <w:rPr>
                <w:rFonts w:ascii="Arial" w:hAnsi="Arial" w:cs="Arial"/>
                <w:b/>
                <w:bCs/>
              </w:rPr>
            </w:pPr>
          </w:p>
        </w:tc>
        <w:tc>
          <w:tcPr>
            <w:tcW w:w="1071" w:type="dxa"/>
            <w:tcBorders>
              <w:top w:val="nil"/>
              <w:left w:val="nil"/>
              <w:right w:val="nil"/>
            </w:tcBorders>
            <w:vAlign w:val="center"/>
          </w:tcPr>
          <w:p w14:paraId="31823DD1" w14:textId="77777777" w:rsidR="0035042E" w:rsidRPr="00FC545D" w:rsidRDefault="0035042E" w:rsidP="00BD028A">
            <w:pPr>
              <w:jc w:val="right"/>
              <w:rPr>
                <w:rFonts w:ascii="Arial" w:hAnsi="Arial" w:cs="Arial"/>
                <w:bCs/>
              </w:rPr>
            </w:pPr>
            <w:r w:rsidRPr="00FC545D">
              <w:rPr>
                <w:rFonts w:ascii="Arial" w:hAnsi="Arial" w:cs="Arial"/>
                <w:bCs/>
              </w:rPr>
              <w:t>(30)</w:t>
            </w:r>
          </w:p>
        </w:tc>
        <w:tc>
          <w:tcPr>
            <w:tcW w:w="1071" w:type="dxa"/>
            <w:tcBorders>
              <w:top w:val="nil"/>
              <w:left w:val="nil"/>
              <w:right w:val="nil"/>
            </w:tcBorders>
            <w:vAlign w:val="center"/>
          </w:tcPr>
          <w:p w14:paraId="6C8A4541" w14:textId="1B06BA03" w:rsidR="0035042E" w:rsidRPr="00FC545D" w:rsidRDefault="00BD028A" w:rsidP="00BD028A">
            <w:pPr>
              <w:jc w:val="right"/>
              <w:rPr>
                <w:rFonts w:ascii="Arial" w:hAnsi="Arial" w:cs="Arial"/>
                <w:bCs/>
              </w:rPr>
            </w:pPr>
            <w:r>
              <w:rPr>
                <w:rFonts w:ascii="Arial" w:hAnsi="Arial" w:cs="Arial"/>
                <w:bCs/>
              </w:rPr>
              <w:t>18</w:t>
            </w:r>
          </w:p>
        </w:tc>
        <w:tc>
          <w:tcPr>
            <w:tcW w:w="1072" w:type="dxa"/>
            <w:tcBorders>
              <w:top w:val="nil"/>
              <w:left w:val="nil"/>
              <w:right w:val="nil"/>
            </w:tcBorders>
            <w:tcMar>
              <w:top w:w="0" w:type="dxa"/>
              <w:left w:w="108" w:type="dxa"/>
              <w:bottom w:w="0" w:type="dxa"/>
              <w:right w:w="108" w:type="dxa"/>
            </w:tcMar>
            <w:vAlign w:val="center"/>
          </w:tcPr>
          <w:p w14:paraId="0F8FAFA6" w14:textId="77777777" w:rsidR="0035042E" w:rsidRPr="00FC545D" w:rsidRDefault="0035042E" w:rsidP="00BD028A">
            <w:pPr>
              <w:jc w:val="right"/>
              <w:rPr>
                <w:rFonts w:ascii="Arial" w:hAnsi="Arial" w:cs="Arial"/>
                <w:bCs/>
              </w:rPr>
            </w:pPr>
          </w:p>
        </w:tc>
      </w:tr>
      <w:tr w:rsidR="0035042E" w:rsidRPr="003A1B1F" w14:paraId="121120E3" w14:textId="77777777" w:rsidTr="004E3B34">
        <w:trPr>
          <w:trHeight w:val="266"/>
        </w:trPr>
        <w:tc>
          <w:tcPr>
            <w:tcW w:w="3826" w:type="dxa"/>
            <w:tcBorders>
              <w:top w:val="single" w:sz="4" w:space="0" w:color="auto"/>
              <w:left w:val="nil"/>
              <w:bottom w:val="single" w:sz="4" w:space="0" w:color="auto"/>
              <w:right w:val="nil"/>
            </w:tcBorders>
            <w:tcMar>
              <w:top w:w="0" w:type="dxa"/>
              <w:left w:w="108" w:type="dxa"/>
              <w:bottom w:w="0" w:type="dxa"/>
              <w:right w:w="108" w:type="dxa"/>
            </w:tcMar>
            <w:vAlign w:val="center"/>
            <w:hideMark/>
          </w:tcPr>
          <w:p w14:paraId="6372AB8E" w14:textId="77777777" w:rsidR="0035042E" w:rsidRPr="003A1B1F" w:rsidRDefault="0035042E" w:rsidP="00BD028A">
            <w:pPr>
              <w:jc w:val="left"/>
              <w:rPr>
                <w:rFonts w:ascii="Arial" w:hAnsi="Arial" w:cs="Arial"/>
                <w:b/>
                <w:bCs/>
              </w:rPr>
            </w:pPr>
            <w:r>
              <w:rPr>
                <w:rFonts w:ascii="Arial" w:hAnsi="Arial" w:cs="Arial"/>
                <w:b/>
                <w:bCs/>
              </w:rPr>
              <w:t>Statutory effective</w:t>
            </w:r>
            <w:r w:rsidRPr="003A1B1F">
              <w:rPr>
                <w:rFonts w:ascii="Arial" w:hAnsi="Arial" w:cs="Arial"/>
                <w:b/>
                <w:bCs/>
              </w:rPr>
              <w:t xml:space="preserve"> tax rate</w:t>
            </w:r>
          </w:p>
        </w:tc>
        <w:tc>
          <w:tcPr>
            <w:tcW w:w="1070" w:type="dxa"/>
            <w:tcBorders>
              <w:top w:val="single" w:sz="4" w:space="0" w:color="auto"/>
              <w:left w:val="nil"/>
              <w:bottom w:val="single" w:sz="4" w:space="0" w:color="auto"/>
              <w:right w:val="nil"/>
            </w:tcBorders>
            <w:tcMar>
              <w:top w:w="0" w:type="dxa"/>
              <w:left w:w="108" w:type="dxa"/>
              <w:bottom w:w="0" w:type="dxa"/>
              <w:right w:w="108" w:type="dxa"/>
            </w:tcMar>
            <w:vAlign w:val="center"/>
            <w:hideMark/>
          </w:tcPr>
          <w:p w14:paraId="412C3F73" w14:textId="77777777" w:rsidR="0035042E" w:rsidRPr="00106C67" w:rsidRDefault="0035042E" w:rsidP="00BD028A">
            <w:pPr>
              <w:jc w:val="right"/>
              <w:rPr>
                <w:rFonts w:ascii="Arial" w:hAnsi="Arial" w:cs="Arial"/>
                <w:b/>
                <w:bCs/>
              </w:rPr>
            </w:pPr>
            <w:r w:rsidRPr="00106C67">
              <w:rPr>
                <w:rFonts w:ascii="Arial" w:hAnsi="Arial" w:cs="Arial"/>
                <w:b/>
                <w:bCs/>
              </w:rPr>
              <w:t>1,007</w:t>
            </w:r>
          </w:p>
        </w:tc>
        <w:tc>
          <w:tcPr>
            <w:tcW w:w="1071" w:type="dxa"/>
            <w:tcBorders>
              <w:top w:val="single" w:sz="4" w:space="0" w:color="auto"/>
              <w:left w:val="nil"/>
              <w:bottom w:val="single" w:sz="4" w:space="0" w:color="auto"/>
              <w:right w:val="nil"/>
            </w:tcBorders>
            <w:tcMar>
              <w:top w:w="0" w:type="dxa"/>
              <w:left w:w="108" w:type="dxa"/>
              <w:bottom w:w="0" w:type="dxa"/>
              <w:right w:w="108" w:type="dxa"/>
            </w:tcMar>
            <w:vAlign w:val="center"/>
            <w:hideMark/>
          </w:tcPr>
          <w:p w14:paraId="598B08F3" w14:textId="77777777" w:rsidR="0035042E" w:rsidRPr="00106C67" w:rsidRDefault="0035042E" w:rsidP="00BD028A">
            <w:pPr>
              <w:jc w:val="right"/>
              <w:rPr>
                <w:rFonts w:ascii="Arial" w:hAnsi="Arial" w:cs="Arial"/>
                <w:b/>
                <w:bCs/>
              </w:rPr>
            </w:pPr>
            <w:r w:rsidRPr="00106C67">
              <w:rPr>
                <w:rFonts w:ascii="Arial" w:hAnsi="Arial" w:cs="Arial"/>
                <w:b/>
                <w:bCs/>
              </w:rPr>
              <w:t>(16</w:t>
            </w:r>
            <w:r>
              <w:rPr>
                <w:rFonts w:ascii="Arial" w:hAnsi="Arial" w:cs="Arial"/>
                <w:b/>
                <w:bCs/>
              </w:rPr>
              <w:t>4</w:t>
            </w:r>
            <w:r w:rsidRPr="00106C67">
              <w:rPr>
                <w:rFonts w:ascii="Arial" w:hAnsi="Arial" w:cs="Arial"/>
                <w:b/>
                <w:bCs/>
              </w:rPr>
              <w:t>)</w:t>
            </w:r>
          </w:p>
        </w:tc>
        <w:tc>
          <w:tcPr>
            <w:tcW w:w="1072" w:type="dxa"/>
            <w:tcBorders>
              <w:top w:val="single" w:sz="4" w:space="0" w:color="auto"/>
              <w:left w:val="nil"/>
              <w:bottom w:val="single" w:sz="4" w:space="0" w:color="auto"/>
              <w:right w:val="nil"/>
            </w:tcBorders>
            <w:tcMar>
              <w:top w:w="0" w:type="dxa"/>
              <w:left w:w="108" w:type="dxa"/>
              <w:bottom w:w="0" w:type="dxa"/>
              <w:right w:w="108" w:type="dxa"/>
            </w:tcMar>
            <w:vAlign w:val="center"/>
            <w:hideMark/>
          </w:tcPr>
          <w:p w14:paraId="45E33AE1" w14:textId="77777777" w:rsidR="0035042E" w:rsidRPr="00106C67" w:rsidRDefault="0035042E" w:rsidP="00BD028A">
            <w:pPr>
              <w:jc w:val="right"/>
              <w:rPr>
                <w:rFonts w:ascii="Arial" w:hAnsi="Arial" w:cs="Arial"/>
                <w:b/>
                <w:bCs/>
              </w:rPr>
            </w:pPr>
            <w:r w:rsidRPr="00106C67">
              <w:rPr>
                <w:rFonts w:ascii="Arial" w:hAnsi="Arial" w:cs="Arial"/>
                <w:b/>
                <w:bCs/>
              </w:rPr>
              <w:t>16%</w:t>
            </w:r>
          </w:p>
        </w:tc>
        <w:tc>
          <w:tcPr>
            <w:tcW w:w="1071" w:type="dxa"/>
            <w:tcBorders>
              <w:top w:val="single" w:sz="4" w:space="0" w:color="auto"/>
              <w:left w:val="nil"/>
              <w:bottom w:val="single" w:sz="4" w:space="0" w:color="auto"/>
              <w:right w:val="nil"/>
            </w:tcBorders>
            <w:vAlign w:val="center"/>
          </w:tcPr>
          <w:p w14:paraId="39569318" w14:textId="77777777" w:rsidR="0035042E" w:rsidRPr="00FC545D" w:rsidRDefault="0035042E" w:rsidP="00BD028A">
            <w:pPr>
              <w:jc w:val="right"/>
              <w:rPr>
                <w:rFonts w:ascii="Arial" w:hAnsi="Arial" w:cs="Arial"/>
                <w:bCs/>
              </w:rPr>
            </w:pPr>
            <w:r w:rsidRPr="00FC545D">
              <w:rPr>
                <w:rFonts w:ascii="Arial" w:hAnsi="Arial" w:cs="Arial"/>
                <w:bCs/>
              </w:rPr>
              <w:t>756</w:t>
            </w:r>
          </w:p>
        </w:tc>
        <w:tc>
          <w:tcPr>
            <w:tcW w:w="1071" w:type="dxa"/>
            <w:tcBorders>
              <w:top w:val="single" w:sz="4" w:space="0" w:color="auto"/>
              <w:left w:val="nil"/>
              <w:bottom w:val="single" w:sz="4" w:space="0" w:color="auto"/>
              <w:right w:val="nil"/>
            </w:tcBorders>
            <w:vAlign w:val="center"/>
          </w:tcPr>
          <w:p w14:paraId="4955D2E4" w14:textId="77777777" w:rsidR="0035042E" w:rsidRPr="00FC545D" w:rsidRDefault="0035042E" w:rsidP="00BD028A">
            <w:pPr>
              <w:jc w:val="right"/>
              <w:rPr>
                <w:rFonts w:ascii="Arial" w:hAnsi="Arial" w:cs="Arial"/>
                <w:bCs/>
              </w:rPr>
            </w:pPr>
            <w:r w:rsidRPr="00FC545D">
              <w:rPr>
                <w:rFonts w:ascii="Arial" w:hAnsi="Arial" w:cs="Arial"/>
                <w:bCs/>
              </w:rPr>
              <w:t>(164)</w:t>
            </w:r>
          </w:p>
        </w:tc>
        <w:tc>
          <w:tcPr>
            <w:tcW w:w="1072" w:type="dxa"/>
            <w:tcBorders>
              <w:top w:val="single" w:sz="4" w:space="0" w:color="auto"/>
              <w:left w:val="nil"/>
              <w:bottom w:val="single" w:sz="4" w:space="0" w:color="auto"/>
              <w:right w:val="nil"/>
            </w:tcBorders>
            <w:tcMar>
              <w:top w:w="0" w:type="dxa"/>
              <w:left w:w="108" w:type="dxa"/>
              <w:bottom w:w="0" w:type="dxa"/>
              <w:right w:w="108" w:type="dxa"/>
            </w:tcMar>
            <w:vAlign w:val="center"/>
            <w:hideMark/>
          </w:tcPr>
          <w:p w14:paraId="7C884021" w14:textId="77777777" w:rsidR="0035042E" w:rsidRPr="00FC545D" w:rsidRDefault="0035042E" w:rsidP="00BD028A">
            <w:pPr>
              <w:jc w:val="right"/>
              <w:rPr>
                <w:rFonts w:ascii="Arial" w:hAnsi="Arial" w:cs="Arial"/>
                <w:bCs/>
              </w:rPr>
            </w:pPr>
            <w:r w:rsidRPr="00FC545D">
              <w:rPr>
                <w:rFonts w:ascii="Arial" w:hAnsi="Arial" w:cs="Arial"/>
                <w:bCs/>
              </w:rPr>
              <w:t>22%</w:t>
            </w:r>
          </w:p>
        </w:tc>
      </w:tr>
    </w:tbl>
    <w:p w14:paraId="36275159" w14:textId="77777777" w:rsidR="0035042E" w:rsidRDefault="0035042E" w:rsidP="0035042E">
      <w:pPr>
        <w:jc w:val="left"/>
        <w:rPr>
          <w:rFonts w:ascii="Arial" w:hAnsi="Arial" w:cs="Arial"/>
          <w:szCs w:val="24"/>
        </w:rPr>
      </w:pPr>
    </w:p>
    <w:p w14:paraId="1D68959B" w14:textId="77777777" w:rsidR="0035042E" w:rsidRDefault="0035042E" w:rsidP="0035042E">
      <w:pPr>
        <w:jc w:val="left"/>
        <w:rPr>
          <w:rFonts w:ascii="Arial" w:hAnsi="Arial" w:cs="Arial"/>
          <w:szCs w:val="24"/>
        </w:rPr>
      </w:pPr>
    </w:p>
    <w:p w14:paraId="50401FB8" w14:textId="68C17959" w:rsidR="0035042E" w:rsidRPr="00CD59D5" w:rsidRDefault="0035042E" w:rsidP="0035042E">
      <w:pPr>
        <w:jc w:val="left"/>
        <w:rPr>
          <w:rFonts w:ascii="Arial" w:hAnsi="Arial" w:cs="Arial"/>
          <w:szCs w:val="24"/>
        </w:rPr>
      </w:pPr>
      <w:r w:rsidRPr="004E34F6">
        <w:rPr>
          <w:rFonts w:ascii="Arial" w:hAnsi="Arial" w:cs="Arial"/>
        </w:rPr>
        <w:t>The Group has been impacted by the European Commission’s state aid decision published in April 2019, concern</w:t>
      </w:r>
      <w:r w:rsidR="00C1178A">
        <w:rPr>
          <w:rFonts w:ascii="Arial" w:hAnsi="Arial" w:cs="Arial"/>
        </w:rPr>
        <w:t>ing</w:t>
      </w:r>
      <w:r w:rsidRPr="004E34F6">
        <w:rPr>
          <w:rFonts w:ascii="Arial" w:hAnsi="Arial" w:cs="Arial"/>
        </w:rPr>
        <w:t xml:space="preserve"> the UK’s controlled foreign company rules. Along with the UK government and other UK-based international companies, Kingfisher has appealed the decision to the European courts. </w:t>
      </w:r>
      <w:r>
        <w:rPr>
          <w:rFonts w:ascii="Arial" w:hAnsi="Arial" w:cs="Arial"/>
        </w:rPr>
        <w:t>I</w:t>
      </w:r>
      <w:r w:rsidRPr="00095546">
        <w:rPr>
          <w:rFonts w:ascii="Arial" w:hAnsi="Arial" w:cs="Arial"/>
        </w:rPr>
        <w:t xml:space="preserve">n </w:t>
      </w:r>
      <w:r>
        <w:rPr>
          <w:rFonts w:ascii="Arial" w:hAnsi="Arial" w:cs="Arial"/>
        </w:rPr>
        <w:t>FY</w:t>
      </w:r>
      <w:r w:rsidRPr="00095546">
        <w:rPr>
          <w:rFonts w:ascii="Arial" w:hAnsi="Arial" w:cs="Arial"/>
        </w:rPr>
        <w:t xml:space="preserve"> 21/22 </w:t>
      </w:r>
      <w:r>
        <w:rPr>
          <w:rFonts w:ascii="Arial" w:hAnsi="Arial" w:cs="Arial"/>
        </w:rPr>
        <w:t xml:space="preserve">Kingfisher </w:t>
      </w:r>
      <w:r w:rsidRPr="00095546">
        <w:rPr>
          <w:rFonts w:ascii="Arial" w:hAnsi="Arial" w:cs="Arial"/>
        </w:rPr>
        <w:t>paid £</w:t>
      </w:r>
      <w:r w:rsidRPr="00106C67">
        <w:rPr>
          <w:rFonts w:ascii="Arial" w:hAnsi="Arial" w:cs="Arial"/>
        </w:rPr>
        <w:t>64</w:t>
      </w:r>
      <w:r w:rsidR="000F2F06">
        <w:rPr>
          <w:rFonts w:ascii="Arial" w:hAnsi="Arial" w:cs="Arial"/>
        </w:rPr>
        <w:t>m</w:t>
      </w:r>
      <w:r w:rsidRPr="00095546">
        <w:rPr>
          <w:rFonts w:ascii="Arial" w:hAnsi="Arial" w:cs="Arial"/>
        </w:rPr>
        <w:t xml:space="preserve"> (including interest) </w:t>
      </w:r>
      <w:r w:rsidRPr="00BE50C9">
        <w:rPr>
          <w:rFonts w:ascii="Arial" w:hAnsi="Arial" w:cs="Arial"/>
        </w:rPr>
        <w:t xml:space="preserve">to HMRC in relation to the state aid decision. The full amount is being contested and is recorded as a receivable. Refer to </w:t>
      </w:r>
      <w:r w:rsidRPr="006957EC">
        <w:rPr>
          <w:rFonts w:ascii="Arial" w:hAnsi="Arial" w:cs="Arial"/>
        </w:rPr>
        <w:t>note 1</w:t>
      </w:r>
      <w:r w:rsidR="00D16208">
        <w:rPr>
          <w:rFonts w:ascii="Arial" w:hAnsi="Arial" w:cs="Arial"/>
        </w:rPr>
        <w:t>3</w:t>
      </w:r>
      <w:r w:rsidRPr="00BE50C9">
        <w:rPr>
          <w:rFonts w:ascii="Arial" w:hAnsi="Arial" w:cs="Arial"/>
        </w:rPr>
        <w:t xml:space="preserve"> of</w:t>
      </w:r>
      <w:r w:rsidRPr="004E34F6">
        <w:rPr>
          <w:rFonts w:ascii="Arial" w:hAnsi="Arial" w:cs="Arial"/>
        </w:rPr>
        <w:t xml:space="preserve"> the condensed financial statements.</w:t>
      </w:r>
    </w:p>
    <w:p w14:paraId="470DA977" w14:textId="77777777" w:rsidR="0035042E" w:rsidRDefault="0035042E" w:rsidP="0035042E">
      <w:pPr>
        <w:jc w:val="left"/>
        <w:rPr>
          <w:rFonts w:ascii="Arial" w:hAnsi="Arial" w:cs="Arial"/>
        </w:rPr>
      </w:pPr>
    </w:p>
    <w:p w14:paraId="722B08FA" w14:textId="77777777" w:rsidR="0035042E" w:rsidRPr="00BD028A" w:rsidRDefault="0035042E" w:rsidP="0035042E">
      <w:pPr>
        <w:jc w:val="left"/>
        <w:rPr>
          <w:rFonts w:ascii="Arial" w:hAnsi="Arial" w:cs="Arial"/>
        </w:rPr>
      </w:pPr>
      <w:r w:rsidRPr="00914333">
        <w:rPr>
          <w:rFonts w:ascii="Arial" w:hAnsi="Arial" w:cs="Arial"/>
        </w:rPr>
        <w:t xml:space="preserve">The statutory tax rates applicable to this financial year and the </w:t>
      </w:r>
      <w:r w:rsidRPr="00C26A3B">
        <w:rPr>
          <w:rFonts w:ascii="Arial" w:hAnsi="Arial" w:cs="Arial"/>
        </w:rPr>
        <w:t>expected statutory tax rates for next year in our main jurisdictions are as follows:</w:t>
      </w:r>
    </w:p>
    <w:p w14:paraId="78045B59" w14:textId="77777777" w:rsidR="0035042E" w:rsidRPr="004E3B34" w:rsidRDefault="0035042E" w:rsidP="0035042E">
      <w:pPr>
        <w:jc w:val="left"/>
        <w:rPr>
          <w:rFonts w:ascii="Arial" w:hAnsi="Arial" w:cs="Arial"/>
        </w:rPr>
      </w:pPr>
    </w:p>
    <w:tbl>
      <w:tblPr>
        <w:tblStyle w:val="TableGrid1"/>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700"/>
        <w:gridCol w:w="2702"/>
      </w:tblGrid>
      <w:tr w:rsidR="0035042E" w:rsidRPr="00A845B7" w14:paraId="200AA552" w14:textId="77777777" w:rsidTr="004E3B34">
        <w:trPr>
          <w:trHeight w:val="540"/>
        </w:trPr>
        <w:tc>
          <w:tcPr>
            <w:tcW w:w="4535" w:type="dxa"/>
            <w:tcBorders>
              <w:bottom w:val="single" w:sz="4" w:space="0" w:color="auto"/>
            </w:tcBorders>
            <w:vAlign w:val="center"/>
          </w:tcPr>
          <w:p w14:paraId="5A316156" w14:textId="77777777" w:rsidR="0035042E" w:rsidRPr="00A845B7" w:rsidRDefault="0035042E" w:rsidP="004E3B34">
            <w:pPr>
              <w:jc w:val="left"/>
              <w:rPr>
                <w:rFonts w:ascii="Arial" w:hAnsi="Arial" w:cs="Arial"/>
                <w:b/>
              </w:rPr>
            </w:pPr>
          </w:p>
        </w:tc>
        <w:tc>
          <w:tcPr>
            <w:tcW w:w="2700" w:type="dxa"/>
            <w:tcBorders>
              <w:bottom w:val="single" w:sz="4" w:space="0" w:color="auto"/>
            </w:tcBorders>
            <w:vAlign w:val="center"/>
          </w:tcPr>
          <w:p w14:paraId="337011C2" w14:textId="77777777" w:rsidR="0035042E" w:rsidRPr="006A5B9A" w:rsidRDefault="0035042E" w:rsidP="004E3B34">
            <w:pPr>
              <w:jc w:val="right"/>
              <w:rPr>
                <w:rFonts w:ascii="Arial" w:hAnsi="Arial" w:cs="Arial"/>
                <w:bCs/>
              </w:rPr>
            </w:pPr>
            <w:r w:rsidRPr="006A5B9A">
              <w:rPr>
                <w:rFonts w:ascii="Arial" w:hAnsi="Arial" w:cs="Arial"/>
                <w:bCs/>
              </w:rPr>
              <w:t>Statutory tax rate</w:t>
            </w:r>
          </w:p>
          <w:p w14:paraId="6D66206E" w14:textId="77777777" w:rsidR="0035042E" w:rsidRPr="006A5B9A" w:rsidRDefault="0035042E" w:rsidP="004E3B34">
            <w:pPr>
              <w:jc w:val="right"/>
              <w:rPr>
                <w:rFonts w:ascii="Arial" w:hAnsi="Arial" w:cs="Arial"/>
                <w:bCs/>
              </w:rPr>
            </w:pPr>
            <w:r w:rsidRPr="006A5B9A">
              <w:rPr>
                <w:rFonts w:ascii="Arial" w:hAnsi="Arial" w:cs="Arial"/>
                <w:bCs/>
              </w:rPr>
              <w:t>2022/23</w:t>
            </w:r>
          </w:p>
        </w:tc>
        <w:tc>
          <w:tcPr>
            <w:tcW w:w="2702" w:type="dxa"/>
            <w:tcBorders>
              <w:bottom w:val="single" w:sz="4" w:space="0" w:color="auto"/>
            </w:tcBorders>
            <w:vAlign w:val="center"/>
          </w:tcPr>
          <w:p w14:paraId="01F71DD1" w14:textId="77777777" w:rsidR="0035042E" w:rsidRPr="00A845B7" w:rsidRDefault="0035042E" w:rsidP="004E3B34">
            <w:pPr>
              <w:jc w:val="right"/>
              <w:rPr>
                <w:rFonts w:ascii="Arial" w:hAnsi="Arial" w:cs="Arial"/>
              </w:rPr>
            </w:pPr>
            <w:r w:rsidRPr="00A845B7">
              <w:rPr>
                <w:rFonts w:ascii="Arial" w:hAnsi="Arial" w:cs="Arial"/>
              </w:rPr>
              <w:t>Statutory tax rate</w:t>
            </w:r>
          </w:p>
          <w:p w14:paraId="003F862A" w14:textId="77777777" w:rsidR="0035042E" w:rsidRPr="00A845B7" w:rsidRDefault="0035042E" w:rsidP="004E3B34">
            <w:pPr>
              <w:jc w:val="right"/>
              <w:rPr>
                <w:rFonts w:ascii="Arial" w:hAnsi="Arial" w:cs="Arial"/>
              </w:rPr>
            </w:pPr>
            <w:r w:rsidRPr="00A845B7">
              <w:rPr>
                <w:rFonts w:ascii="Arial" w:hAnsi="Arial" w:cs="Arial"/>
              </w:rPr>
              <w:t>20</w:t>
            </w:r>
            <w:r>
              <w:rPr>
                <w:rFonts w:ascii="Arial" w:hAnsi="Arial" w:cs="Arial"/>
              </w:rPr>
              <w:t>21/22</w:t>
            </w:r>
          </w:p>
        </w:tc>
      </w:tr>
      <w:tr w:rsidR="0035042E" w:rsidRPr="00A845B7" w14:paraId="07D8529C" w14:textId="77777777" w:rsidTr="004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535" w:type="dxa"/>
            <w:tcBorders>
              <w:top w:val="single" w:sz="4" w:space="0" w:color="auto"/>
              <w:left w:val="nil"/>
              <w:bottom w:val="nil"/>
              <w:right w:val="nil"/>
            </w:tcBorders>
            <w:vAlign w:val="center"/>
          </w:tcPr>
          <w:p w14:paraId="5374FDC5" w14:textId="77777777" w:rsidR="0035042E" w:rsidRPr="00A845B7" w:rsidRDefault="0035042E" w:rsidP="004E3B34">
            <w:pPr>
              <w:jc w:val="left"/>
              <w:rPr>
                <w:rFonts w:ascii="Arial" w:hAnsi="Arial" w:cs="Arial"/>
              </w:rPr>
            </w:pPr>
            <w:r w:rsidRPr="00A845B7">
              <w:rPr>
                <w:rFonts w:ascii="Arial" w:hAnsi="Arial" w:cs="Arial"/>
              </w:rPr>
              <w:t>UK</w:t>
            </w:r>
          </w:p>
        </w:tc>
        <w:tc>
          <w:tcPr>
            <w:tcW w:w="2700" w:type="dxa"/>
            <w:tcBorders>
              <w:top w:val="single" w:sz="4" w:space="0" w:color="auto"/>
              <w:left w:val="nil"/>
              <w:bottom w:val="nil"/>
              <w:right w:val="nil"/>
            </w:tcBorders>
            <w:shd w:val="clear" w:color="auto" w:fill="auto"/>
            <w:vAlign w:val="center"/>
          </w:tcPr>
          <w:p w14:paraId="4A3846FB" w14:textId="77777777" w:rsidR="0035042E" w:rsidRPr="00106C67" w:rsidRDefault="0035042E" w:rsidP="004E3B34">
            <w:pPr>
              <w:jc w:val="right"/>
              <w:rPr>
                <w:rFonts w:ascii="Arial" w:hAnsi="Arial" w:cs="Arial"/>
                <w:bCs/>
              </w:rPr>
            </w:pPr>
            <w:r w:rsidRPr="00106C67">
              <w:rPr>
                <w:rFonts w:ascii="Arial" w:hAnsi="Arial" w:cs="Arial"/>
                <w:bCs/>
              </w:rPr>
              <w:t>19%</w:t>
            </w:r>
          </w:p>
        </w:tc>
        <w:tc>
          <w:tcPr>
            <w:tcW w:w="2702" w:type="dxa"/>
            <w:tcBorders>
              <w:top w:val="single" w:sz="4" w:space="0" w:color="auto"/>
              <w:left w:val="nil"/>
              <w:bottom w:val="nil"/>
              <w:right w:val="nil"/>
            </w:tcBorders>
            <w:vAlign w:val="center"/>
          </w:tcPr>
          <w:p w14:paraId="6C07F1E8" w14:textId="77777777" w:rsidR="0035042E" w:rsidRPr="00254C9D" w:rsidRDefault="0035042E" w:rsidP="004E3B34">
            <w:pPr>
              <w:jc w:val="right"/>
              <w:rPr>
                <w:rFonts w:ascii="Arial" w:hAnsi="Arial" w:cs="Arial"/>
                <w:bCs/>
              </w:rPr>
            </w:pPr>
            <w:r w:rsidRPr="00254C9D">
              <w:rPr>
                <w:rFonts w:ascii="Arial" w:hAnsi="Arial" w:cs="Arial"/>
                <w:bCs/>
              </w:rPr>
              <w:t>19%</w:t>
            </w:r>
          </w:p>
        </w:tc>
      </w:tr>
      <w:tr w:rsidR="0035042E" w:rsidRPr="00A845B7" w14:paraId="083CF7E0" w14:textId="77777777" w:rsidTr="004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535" w:type="dxa"/>
            <w:tcBorders>
              <w:top w:val="nil"/>
              <w:left w:val="nil"/>
              <w:bottom w:val="nil"/>
              <w:right w:val="nil"/>
            </w:tcBorders>
            <w:vAlign w:val="center"/>
          </w:tcPr>
          <w:p w14:paraId="10E5F1EF" w14:textId="77777777" w:rsidR="0035042E" w:rsidRPr="00A845B7" w:rsidRDefault="0035042E" w:rsidP="004E3B34">
            <w:pPr>
              <w:jc w:val="left"/>
              <w:rPr>
                <w:rFonts w:ascii="Arial" w:hAnsi="Arial" w:cs="Arial"/>
              </w:rPr>
            </w:pPr>
            <w:r w:rsidRPr="00A845B7">
              <w:rPr>
                <w:rFonts w:ascii="Arial" w:hAnsi="Arial" w:cs="Arial"/>
              </w:rPr>
              <w:t>France</w:t>
            </w:r>
          </w:p>
        </w:tc>
        <w:tc>
          <w:tcPr>
            <w:tcW w:w="2700" w:type="dxa"/>
            <w:tcBorders>
              <w:top w:val="nil"/>
              <w:left w:val="nil"/>
              <w:bottom w:val="nil"/>
              <w:right w:val="nil"/>
            </w:tcBorders>
            <w:shd w:val="clear" w:color="auto" w:fill="auto"/>
            <w:vAlign w:val="center"/>
          </w:tcPr>
          <w:p w14:paraId="607F0755" w14:textId="77777777" w:rsidR="0035042E" w:rsidRPr="00106C67" w:rsidRDefault="0035042E" w:rsidP="004E3B34">
            <w:pPr>
              <w:jc w:val="right"/>
              <w:rPr>
                <w:rFonts w:ascii="Arial" w:hAnsi="Arial" w:cs="Arial"/>
                <w:bCs/>
              </w:rPr>
            </w:pPr>
            <w:r w:rsidRPr="00106C67">
              <w:rPr>
                <w:rFonts w:ascii="Arial" w:hAnsi="Arial" w:cs="Arial"/>
                <w:bCs/>
              </w:rPr>
              <w:t>26%</w:t>
            </w:r>
          </w:p>
        </w:tc>
        <w:tc>
          <w:tcPr>
            <w:tcW w:w="2702" w:type="dxa"/>
            <w:tcBorders>
              <w:top w:val="nil"/>
              <w:left w:val="nil"/>
              <w:bottom w:val="nil"/>
              <w:right w:val="nil"/>
            </w:tcBorders>
            <w:vAlign w:val="center"/>
          </w:tcPr>
          <w:p w14:paraId="044939D9" w14:textId="77777777" w:rsidR="0035042E" w:rsidRPr="00254C9D" w:rsidRDefault="0035042E" w:rsidP="004E3B34">
            <w:pPr>
              <w:jc w:val="right"/>
              <w:rPr>
                <w:rFonts w:ascii="Arial" w:hAnsi="Arial" w:cs="Arial"/>
                <w:bCs/>
              </w:rPr>
            </w:pPr>
            <w:r>
              <w:rPr>
                <w:rFonts w:ascii="Arial" w:hAnsi="Arial" w:cs="Arial"/>
                <w:bCs/>
              </w:rPr>
              <w:t>28</w:t>
            </w:r>
            <w:r w:rsidRPr="00254C9D">
              <w:rPr>
                <w:rFonts w:ascii="Arial" w:hAnsi="Arial" w:cs="Arial"/>
                <w:bCs/>
              </w:rPr>
              <w:t>%</w:t>
            </w:r>
          </w:p>
        </w:tc>
      </w:tr>
      <w:tr w:rsidR="0035042E" w:rsidRPr="00A845B7" w14:paraId="3D837439" w14:textId="77777777" w:rsidTr="004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535" w:type="dxa"/>
            <w:tcBorders>
              <w:top w:val="nil"/>
              <w:left w:val="nil"/>
              <w:bottom w:val="single" w:sz="4" w:space="0" w:color="auto"/>
              <w:right w:val="nil"/>
            </w:tcBorders>
            <w:vAlign w:val="center"/>
          </w:tcPr>
          <w:p w14:paraId="25FE0F23" w14:textId="77777777" w:rsidR="0035042E" w:rsidRPr="00A845B7" w:rsidRDefault="0035042E" w:rsidP="004E3B34">
            <w:pPr>
              <w:jc w:val="left"/>
              <w:rPr>
                <w:rFonts w:ascii="Arial" w:hAnsi="Arial" w:cs="Arial"/>
              </w:rPr>
            </w:pPr>
            <w:r w:rsidRPr="00A845B7">
              <w:rPr>
                <w:rFonts w:ascii="Arial" w:hAnsi="Arial" w:cs="Arial"/>
              </w:rPr>
              <w:t>Poland</w:t>
            </w:r>
          </w:p>
        </w:tc>
        <w:tc>
          <w:tcPr>
            <w:tcW w:w="2700" w:type="dxa"/>
            <w:tcBorders>
              <w:top w:val="nil"/>
              <w:left w:val="nil"/>
              <w:bottom w:val="single" w:sz="4" w:space="0" w:color="auto"/>
              <w:right w:val="nil"/>
            </w:tcBorders>
            <w:shd w:val="clear" w:color="auto" w:fill="auto"/>
            <w:vAlign w:val="center"/>
          </w:tcPr>
          <w:p w14:paraId="1E97857D" w14:textId="77777777" w:rsidR="0035042E" w:rsidRPr="00106C67" w:rsidRDefault="0035042E" w:rsidP="004E3B34">
            <w:pPr>
              <w:jc w:val="right"/>
              <w:rPr>
                <w:rFonts w:ascii="Arial" w:hAnsi="Arial" w:cs="Arial"/>
                <w:bCs/>
              </w:rPr>
            </w:pPr>
            <w:r w:rsidRPr="00106C67">
              <w:rPr>
                <w:rFonts w:ascii="Arial" w:hAnsi="Arial" w:cs="Arial"/>
                <w:bCs/>
              </w:rPr>
              <w:t>19%</w:t>
            </w:r>
          </w:p>
        </w:tc>
        <w:tc>
          <w:tcPr>
            <w:tcW w:w="2702" w:type="dxa"/>
            <w:tcBorders>
              <w:top w:val="nil"/>
              <w:left w:val="nil"/>
              <w:bottom w:val="single" w:sz="4" w:space="0" w:color="auto"/>
              <w:right w:val="nil"/>
            </w:tcBorders>
            <w:vAlign w:val="center"/>
          </w:tcPr>
          <w:p w14:paraId="35E8C2BC" w14:textId="77777777" w:rsidR="0035042E" w:rsidRPr="00254C9D" w:rsidRDefault="0035042E" w:rsidP="004E3B34">
            <w:pPr>
              <w:jc w:val="right"/>
              <w:rPr>
                <w:rFonts w:ascii="Arial" w:hAnsi="Arial" w:cs="Arial"/>
                <w:bCs/>
              </w:rPr>
            </w:pPr>
            <w:r w:rsidRPr="00254C9D">
              <w:rPr>
                <w:rFonts w:ascii="Arial" w:hAnsi="Arial" w:cs="Arial"/>
                <w:bCs/>
              </w:rPr>
              <w:t>19%</w:t>
            </w:r>
          </w:p>
        </w:tc>
      </w:tr>
    </w:tbl>
    <w:p w14:paraId="030F3ABE" w14:textId="77777777" w:rsidR="0035042E" w:rsidRPr="004E3B34" w:rsidRDefault="0035042E" w:rsidP="0035042E">
      <w:pPr>
        <w:jc w:val="left"/>
        <w:rPr>
          <w:rFonts w:ascii="Arial" w:hAnsi="Arial" w:cs="Arial"/>
        </w:rPr>
      </w:pPr>
    </w:p>
    <w:p w14:paraId="7A4D4431" w14:textId="43A06430" w:rsidR="0035042E" w:rsidRPr="004E3B34" w:rsidRDefault="0035042E" w:rsidP="0035042E">
      <w:pPr>
        <w:jc w:val="left"/>
        <w:rPr>
          <w:rFonts w:ascii="Arial" w:hAnsi="Arial" w:cs="Arial"/>
        </w:rPr>
      </w:pPr>
      <w:r w:rsidRPr="004E3B34">
        <w:rPr>
          <w:rFonts w:ascii="Arial" w:hAnsi="Arial" w:cs="Arial"/>
          <w:b/>
        </w:rPr>
        <w:t>Adjusted basic earnings per share</w:t>
      </w:r>
      <w:r w:rsidRPr="004E3B34">
        <w:rPr>
          <w:rFonts w:ascii="Arial" w:hAnsi="Arial" w:cs="Arial"/>
        </w:rPr>
        <w:t xml:space="preserve"> increased by </w:t>
      </w:r>
      <w:r w:rsidR="00BD028A" w:rsidRPr="004E3B34">
        <w:rPr>
          <w:rFonts w:ascii="Arial" w:hAnsi="Arial" w:cs="Arial"/>
        </w:rPr>
        <w:t>22</w:t>
      </w:r>
      <w:r w:rsidRPr="004E3B34">
        <w:rPr>
          <w:rFonts w:ascii="Arial" w:hAnsi="Arial" w:cs="Arial"/>
        </w:rPr>
        <w:t>.</w:t>
      </w:r>
      <w:r w:rsidR="00BD028A" w:rsidRPr="004E3B34">
        <w:rPr>
          <w:rFonts w:ascii="Arial" w:hAnsi="Arial" w:cs="Arial"/>
        </w:rPr>
        <w:t>6</w:t>
      </w:r>
      <w:r w:rsidRPr="004E3B34">
        <w:rPr>
          <w:rFonts w:ascii="Arial" w:hAnsi="Arial" w:cs="Arial"/>
        </w:rPr>
        <w:t xml:space="preserve">% to </w:t>
      </w:r>
      <w:r w:rsidR="004E3B34" w:rsidRPr="004E3B34">
        <w:rPr>
          <w:rFonts w:ascii="Arial" w:hAnsi="Arial" w:cs="Arial"/>
        </w:rPr>
        <w:t>35.2</w:t>
      </w:r>
      <w:r w:rsidRPr="004E3B34">
        <w:rPr>
          <w:rFonts w:ascii="Arial" w:hAnsi="Arial" w:cs="Arial"/>
        </w:rPr>
        <w:t xml:space="preserve">p </w:t>
      </w:r>
      <w:r w:rsidRPr="004E3B34">
        <w:rPr>
          <w:rFonts w:ascii="Arial" w:hAnsi="Arial" w:cs="Arial"/>
          <w:szCs w:val="24"/>
        </w:rPr>
        <w:t>(</w:t>
      </w:r>
      <w:r w:rsidR="003E45C9" w:rsidRPr="004E3B34">
        <w:rPr>
          <w:rFonts w:ascii="Arial" w:hAnsi="Arial" w:cs="Arial"/>
          <w:szCs w:val="24"/>
        </w:rPr>
        <w:t>FY 20/21</w:t>
      </w:r>
      <w:r w:rsidRPr="004E3B34">
        <w:rPr>
          <w:rFonts w:ascii="Arial" w:hAnsi="Arial" w:cs="Arial"/>
          <w:szCs w:val="24"/>
        </w:rPr>
        <w:t>: 28.7p)</w:t>
      </w:r>
      <w:r w:rsidRPr="004E3B34">
        <w:rPr>
          <w:rFonts w:ascii="Arial" w:hAnsi="Arial" w:cs="Arial"/>
        </w:rPr>
        <w:t xml:space="preserve">, which excludes the impact of adjusting items. </w:t>
      </w:r>
      <w:r w:rsidRPr="004E3B34">
        <w:rPr>
          <w:rFonts w:ascii="Arial" w:hAnsi="Arial" w:cs="Arial"/>
          <w:b/>
        </w:rPr>
        <w:t>Basic earnings per share</w:t>
      </w:r>
      <w:r w:rsidRPr="004E3B34">
        <w:rPr>
          <w:rFonts w:ascii="Arial" w:hAnsi="Arial" w:cs="Arial"/>
        </w:rPr>
        <w:t xml:space="preserve"> increased </w:t>
      </w:r>
      <w:r w:rsidR="000F7CBE">
        <w:rPr>
          <w:rFonts w:ascii="Arial" w:hAnsi="Arial" w:cs="Arial"/>
        </w:rPr>
        <w:t xml:space="preserve">by 43.4% </w:t>
      </w:r>
      <w:r w:rsidRPr="004E3B34">
        <w:rPr>
          <w:rFonts w:ascii="Arial" w:hAnsi="Arial" w:cs="Arial"/>
        </w:rPr>
        <w:t xml:space="preserve">to </w:t>
      </w:r>
      <w:r w:rsidR="004E3B34" w:rsidRPr="004E3B34">
        <w:rPr>
          <w:rFonts w:ascii="Arial" w:hAnsi="Arial" w:cs="Arial"/>
        </w:rPr>
        <w:t>40.3</w:t>
      </w:r>
      <w:r w:rsidRPr="004E3B34">
        <w:rPr>
          <w:rFonts w:ascii="Arial" w:hAnsi="Arial" w:cs="Arial"/>
        </w:rPr>
        <w:t xml:space="preserve">p </w:t>
      </w:r>
      <w:r w:rsidRPr="004E3B34">
        <w:rPr>
          <w:rFonts w:ascii="Arial" w:hAnsi="Arial" w:cs="Arial"/>
          <w:szCs w:val="24"/>
        </w:rPr>
        <w:t>(</w:t>
      </w:r>
      <w:r w:rsidR="003E45C9" w:rsidRPr="004E3B34">
        <w:rPr>
          <w:rFonts w:ascii="Arial" w:hAnsi="Arial" w:cs="Arial"/>
          <w:szCs w:val="24"/>
        </w:rPr>
        <w:t>FY 20/21</w:t>
      </w:r>
      <w:r w:rsidRPr="004E3B34">
        <w:rPr>
          <w:rFonts w:ascii="Arial" w:hAnsi="Arial" w:cs="Arial"/>
          <w:szCs w:val="24"/>
        </w:rPr>
        <w:t>: 28.1p)</w:t>
      </w:r>
      <w:r w:rsidRPr="004E3B34">
        <w:rPr>
          <w:rFonts w:ascii="Arial" w:hAnsi="Arial" w:cs="Arial"/>
        </w:rPr>
        <w:t xml:space="preserve"> as set out below:</w:t>
      </w:r>
    </w:p>
    <w:p w14:paraId="013DFC59" w14:textId="77777777" w:rsidR="0035042E" w:rsidRPr="004E3B34" w:rsidRDefault="0035042E" w:rsidP="0035042E">
      <w:pPr>
        <w:jc w:val="left"/>
        <w:rPr>
          <w:rFonts w:ascii="Arial" w:hAnsi="Arial" w:cs="Arial"/>
        </w:rPr>
      </w:pPr>
    </w:p>
    <w:tbl>
      <w:tblPr>
        <w:tblW w:w="5000" w:type="pct"/>
        <w:tblLook w:val="01E0" w:firstRow="1" w:lastRow="1" w:firstColumn="1" w:lastColumn="1" w:noHBand="0" w:noVBand="0"/>
      </w:tblPr>
      <w:tblGrid>
        <w:gridCol w:w="4677"/>
        <w:gridCol w:w="1381"/>
        <w:gridCol w:w="1382"/>
        <w:gridCol w:w="1382"/>
        <w:gridCol w:w="1382"/>
      </w:tblGrid>
      <w:tr w:rsidR="0035042E" w:rsidRPr="004E3B34" w14:paraId="31B5F02D" w14:textId="77777777" w:rsidTr="004E3B34">
        <w:tc>
          <w:tcPr>
            <w:tcW w:w="2292" w:type="pct"/>
            <w:tcBorders>
              <w:top w:val="nil"/>
              <w:left w:val="nil"/>
              <w:bottom w:val="single" w:sz="4" w:space="0" w:color="auto"/>
              <w:right w:val="nil"/>
            </w:tcBorders>
            <w:vAlign w:val="center"/>
          </w:tcPr>
          <w:p w14:paraId="4206A624" w14:textId="77777777" w:rsidR="0035042E" w:rsidRPr="004E3B34" w:rsidRDefault="0035042E" w:rsidP="004E3B34">
            <w:pPr>
              <w:jc w:val="left"/>
              <w:rPr>
                <w:rFonts w:ascii="Arial" w:hAnsi="Arial" w:cs="Arial"/>
              </w:rPr>
            </w:pPr>
          </w:p>
        </w:tc>
        <w:tc>
          <w:tcPr>
            <w:tcW w:w="677" w:type="pct"/>
            <w:tcBorders>
              <w:top w:val="nil"/>
              <w:left w:val="nil"/>
              <w:bottom w:val="single" w:sz="4" w:space="0" w:color="auto"/>
              <w:right w:val="nil"/>
            </w:tcBorders>
            <w:vAlign w:val="center"/>
          </w:tcPr>
          <w:p w14:paraId="14209BAF" w14:textId="77777777" w:rsidR="0035042E" w:rsidRPr="004E3B34" w:rsidRDefault="0035042E" w:rsidP="004E3B34">
            <w:pPr>
              <w:jc w:val="right"/>
              <w:rPr>
                <w:rFonts w:ascii="Arial" w:hAnsi="Arial" w:cs="Arial"/>
                <w:b/>
              </w:rPr>
            </w:pPr>
          </w:p>
          <w:p w14:paraId="42013708" w14:textId="77777777" w:rsidR="0035042E" w:rsidRPr="004E3B34" w:rsidRDefault="0035042E" w:rsidP="004E3B34">
            <w:pPr>
              <w:jc w:val="right"/>
              <w:rPr>
                <w:rFonts w:ascii="Arial" w:hAnsi="Arial" w:cs="Arial"/>
                <w:b/>
              </w:rPr>
            </w:pPr>
            <w:r w:rsidRPr="004E3B34">
              <w:rPr>
                <w:rFonts w:ascii="Arial" w:hAnsi="Arial" w:cs="Arial"/>
                <w:b/>
              </w:rPr>
              <w:t>Earnings</w:t>
            </w:r>
            <w:r w:rsidRPr="004E3B34">
              <w:rPr>
                <w:rFonts w:ascii="Arial" w:hAnsi="Arial" w:cs="Arial"/>
                <w:b/>
                <w:vertAlign w:val="superscript"/>
              </w:rPr>
              <w:t>(1)</w:t>
            </w:r>
          </w:p>
          <w:p w14:paraId="43A8F90F" w14:textId="77777777" w:rsidR="0035042E" w:rsidRPr="004E3B34" w:rsidRDefault="0035042E" w:rsidP="004E3B34">
            <w:pPr>
              <w:jc w:val="right"/>
              <w:rPr>
                <w:rFonts w:ascii="Arial" w:hAnsi="Arial" w:cs="Arial"/>
                <w:b/>
              </w:rPr>
            </w:pPr>
            <w:r w:rsidRPr="004E3B34">
              <w:rPr>
                <w:rFonts w:ascii="Arial" w:hAnsi="Arial" w:cs="Arial"/>
                <w:b/>
              </w:rPr>
              <w:t>£m</w:t>
            </w:r>
          </w:p>
        </w:tc>
        <w:tc>
          <w:tcPr>
            <w:tcW w:w="677" w:type="pct"/>
            <w:tcBorders>
              <w:top w:val="nil"/>
              <w:left w:val="nil"/>
              <w:bottom w:val="single" w:sz="4" w:space="0" w:color="auto"/>
              <w:right w:val="nil"/>
            </w:tcBorders>
            <w:vAlign w:val="center"/>
            <w:hideMark/>
          </w:tcPr>
          <w:p w14:paraId="44679568" w14:textId="77777777" w:rsidR="0035042E" w:rsidRPr="004E3B34" w:rsidRDefault="0035042E" w:rsidP="004E3B34">
            <w:pPr>
              <w:jc w:val="right"/>
              <w:rPr>
                <w:rFonts w:ascii="Arial" w:hAnsi="Arial" w:cs="Arial"/>
                <w:b/>
              </w:rPr>
            </w:pPr>
            <w:r w:rsidRPr="004E3B34">
              <w:rPr>
                <w:rFonts w:ascii="Arial" w:hAnsi="Arial" w:cs="Arial"/>
                <w:b/>
              </w:rPr>
              <w:t>2021/22</w:t>
            </w:r>
          </w:p>
          <w:p w14:paraId="54DB9245" w14:textId="77777777" w:rsidR="0035042E" w:rsidRPr="004E3B34" w:rsidRDefault="0035042E" w:rsidP="004E3B34">
            <w:pPr>
              <w:jc w:val="right"/>
              <w:rPr>
                <w:rFonts w:ascii="Arial" w:hAnsi="Arial" w:cs="Arial"/>
                <w:b/>
              </w:rPr>
            </w:pPr>
            <w:r w:rsidRPr="004E3B34">
              <w:rPr>
                <w:rFonts w:ascii="Arial" w:hAnsi="Arial" w:cs="Arial"/>
                <w:b/>
              </w:rPr>
              <w:t>EPS</w:t>
            </w:r>
          </w:p>
          <w:p w14:paraId="06873298" w14:textId="77777777" w:rsidR="0035042E" w:rsidRPr="004E3B34" w:rsidRDefault="0035042E" w:rsidP="004E3B34">
            <w:pPr>
              <w:jc w:val="right"/>
              <w:rPr>
                <w:rFonts w:ascii="Arial" w:hAnsi="Arial" w:cs="Arial"/>
                <w:b/>
              </w:rPr>
            </w:pPr>
            <w:r w:rsidRPr="004E3B34">
              <w:rPr>
                <w:rFonts w:ascii="Arial" w:hAnsi="Arial" w:cs="Arial"/>
                <w:b/>
              </w:rPr>
              <w:t>pence</w:t>
            </w:r>
          </w:p>
        </w:tc>
        <w:tc>
          <w:tcPr>
            <w:tcW w:w="677" w:type="pct"/>
            <w:tcBorders>
              <w:top w:val="nil"/>
              <w:left w:val="nil"/>
              <w:bottom w:val="single" w:sz="4" w:space="0" w:color="auto"/>
              <w:right w:val="nil"/>
            </w:tcBorders>
            <w:vAlign w:val="center"/>
          </w:tcPr>
          <w:p w14:paraId="0BAC9650" w14:textId="77777777" w:rsidR="0035042E" w:rsidRPr="004E3B34" w:rsidRDefault="0035042E" w:rsidP="004E3B34">
            <w:pPr>
              <w:jc w:val="right"/>
              <w:rPr>
                <w:rFonts w:ascii="Arial" w:hAnsi="Arial" w:cs="Arial"/>
              </w:rPr>
            </w:pPr>
          </w:p>
          <w:p w14:paraId="770F2B2A" w14:textId="77777777" w:rsidR="0035042E" w:rsidRPr="004E3B34" w:rsidRDefault="0035042E" w:rsidP="004E3B34">
            <w:pPr>
              <w:jc w:val="right"/>
              <w:rPr>
                <w:rFonts w:ascii="Arial" w:hAnsi="Arial" w:cs="Arial"/>
              </w:rPr>
            </w:pPr>
            <w:r w:rsidRPr="004E3B34">
              <w:rPr>
                <w:rFonts w:ascii="Arial" w:hAnsi="Arial" w:cs="Arial"/>
              </w:rPr>
              <w:t>Earnings</w:t>
            </w:r>
            <w:r w:rsidRPr="004E3B34">
              <w:rPr>
                <w:rFonts w:ascii="Arial" w:hAnsi="Arial" w:cs="Arial"/>
                <w:vertAlign w:val="superscript"/>
              </w:rPr>
              <w:t>(1)</w:t>
            </w:r>
          </w:p>
          <w:p w14:paraId="1BF7DBA0" w14:textId="77777777" w:rsidR="0035042E" w:rsidRPr="004E3B34" w:rsidRDefault="0035042E" w:rsidP="004E3B34">
            <w:pPr>
              <w:jc w:val="right"/>
              <w:rPr>
                <w:rFonts w:ascii="Arial" w:hAnsi="Arial" w:cs="Arial"/>
              </w:rPr>
            </w:pPr>
            <w:r w:rsidRPr="004E3B34">
              <w:rPr>
                <w:rFonts w:ascii="Arial" w:hAnsi="Arial" w:cs="Arial"/>
              </w:rPr>
              <w:t>£m</w:t>
            </w:r>
          </w:p>
        </w:tc>
        <w:tc>
          <w:tcPr>
            <w:tcW w:w="677" w:type="pct"/>
            <w:tcBorders>
              <w:top w:val="nil"/>
              <w:left w:val="nil"/>
              <w:bottom w:val="single" w:sz="4" w:space="0" w:color="auto"/>
              <w:right w:val="nil"/>
            </w:tcBorders>
            <w:vAlign w:val="center"/>
            <w:hideMark/>
          </w:tcPr>
          <w:p w14:paraId="0EB15C39" w14:textId="77777777" w:rsidR="0035042E" w:rsidRPr="004E3B34" w:rsidRDefault="0035042E" w:rsidP="004E3B34">
            <w:pPr>
              <w:jc w:val="right"/>
              <w:rPr>
                <w:rFonts w:ascii="Arial" w:hAnsi="Arial" w:cs="Arial"/>
              </w:rPr>
            </w:pPr>
            <w:r w:rsidRPr="004E3B34">
              <w:rPr>
                <w:rFonts w:ascii="Arial" w:hAnsi="Arial" w:cs="Arial"/>
              </w:rPr>
              <w:t>2020/21</w:t>
            </w:r>
          </w:p>
          <w:p w14:paraId="452BBB0B" w14:textId="77777777" w:rsidR="0035042E" w:rsidRPr="004E3B34" w:rsidRDefault="0035042E" w:rsidP="004E3B34">
            <w:pPr>
              <w:jc w:val="right"/>
              <w:rPr>
                <w:rFonts w:ascii="Arial" w:hAnsi="Arial" w:cs="Arial"/>
              </w:rPr>
            </w:pPr>
            <w:r w:rsidRPr="004E3B34">
              <w:rPr>
                <w:rFonts w:ascii="Arial" w:hAnsi="Arial" w:cs="Arial"/>
              </w:rPr>
              <w:t>EPS</w:t>
            </w:r>
          </w:p>
          <w:p w14:paraId="39B361A6" w14:textId="77777777" w:rsidR="0035042E" w:rsidRPr="004E3B34" w:rsidRDefault="0035042E" w:rsidP="004E3B34">
            <w:pPr>
              <w:jc w:val="right"/>
              <w:rPr>
                <w:rFonts w:ascii="Arial" w:hAnsi="Arial" w:cs="Arial"/>
              </w:rPr>
            </w:pPr>
            <w:r w:rsidRPr="004E3B34">
              <w:rPr>
                <w:rFonts w:ascii="Arial" w:hAnsi="Arial" w:cs="Arial"/>
              </w:rPr>
              <w:t>pence</w:t>
            </w:r>
          </w:p>
        </w:tc>
      </w:tr>
      <w:tr w:rsidR="004E3B34" w:rsidRPr="004E3B34" w14:paraId="0B156C93" w14:textId="77777777" w:rsidTr="004E3B34">
        <w:trPr>
          <w:trHeight w:val="266"/>
        </w:trPr>
        <w:tc>
          <w:tcPr>
            <w:tcW w:w="2292" w:type="pct"/>
            <w:tcBorders>
              <w:top w:val="single" w:sz="4" w:space="0" w:color="auto"/>
              <w:left w:val="nil"/>
              <w:bottom w:val="nil"/>
              <w:right w:val="nil"/>
            </w:tcBorders>
            <w:vAlign w:val="center"/>
          </w:tcPr>
          <w:p w14:paraId="2BCBC424" w14:textId="77777777" w:rsidR="004E3B34" w:rsidRPr="004E3B34" w:rsidRDefault="004E3B34" w:rsidP="004E3B34">
            <w:pPr>
              <w:jc w:val="left"/>
              <w:rPr>
                <w:rFonts w:ascii="Arial" w:hAnsi="Arial" w:cs="Arial"/>
                <w:b/>
                <w:strike/>
              </w:rPr>
            </w:pPr>
            <w:r w:rsidRPr="004E3B34">
              <w:rPr>
                <w:rFonts w:ascii="Arial" w:hAnsi="Arial" w:cs="Arial"/>
                <w:b/>
              </w:rPr>
              <w:t>Adjusted basic earnings per share</w:t>
            </w:r>
          </w:p>
        </w:tc>
        <w:tc>
          <w:tcPr>
            <w:tcW w:w="677" w:type="pct"/>
            <w:tcBorders>
              <w:top w:val="single" w:sz="4" w:space="0" w:color="auto"/>
              <w:left w:val="nil"/>
              <w:bottom w:val="nil"/>
              <w:right w:val="nil"/>
            </w:tcBorders>
            <w:vAlign w:val="center"/>
          </w:tcPr>
          <w:p w14:paraId="43307218" w14:textId="7B3070BB" w:rsidR="004E3B34" w:rsidRPr="00AF04F9" w:rsidRDefault="004E3B34" w:rsidP="004E3B34">
            <w:pPr>
              <w:jc w:val="right"/>
              <w:rPr>
                <w:rFonts w:ascii="Arial" w:hAnsi="Arial" w:cs="Arial"/>
                <w:b/>
                <w:strike/>
              </w:rPr>
            </w:pPr>
            <w:r w:rsidRPr="00AF04F9">
              <w:rPr>
                <w:rFonts w:ascii="Arial" w:hAnsi="Arial" w:cs="Arial"/>
                <w:b/>
              </w:rPr>
              <w:t>737</w:t>
            </w:r>
          </w:p>
        </w:tc>
        <w:tc>
          <w:tcPr>
            <w:tcW w:w="677" w:type="pct"/>
            <w:tcBorders>
              <w:top w:val="single" w:sz="4" w:space="0" w:color="auto"/>
              <w:left w:val="nil"/>
              <w:bottom w:val="nil"/>
              <w:right w:val="nil"/>
            </w:tcBorders>
            <w:vAlign w:val="center"/>
          </w:tcPr>
          <w:p w14:paraId="3495D477" w14:textId="0C61BA56" w:rsidR="004E3B34" w:rsidRPr="00AF04F9" w:rsidRDefault="004E3B34" w:rsidP="004E3B34">
            <w:pPr>
              <w:jc w:val="right"/>
              <w:rPr>
                <w:rFonts w:ascii="Arial" w:hAnsi="Arial" w:cs="Arial"/>
                <w:b/>
                <w:strike/>
              </w:rPr>
            </w:pPr>
            <w:r w:rsidRPr="00AF04F9">
              <w:rPr>
                <w:rFonts w:ascii="Arial" w:hAnsi="Arial" w:cs="Arial"/>
                <w:b/>
              </w:rPr>
              <w:t>35.2</w:t>
            </w:r>
          </w:p>
        </w:tc>
        <w:tc>
          <w:tcPr>
            <w:tcW w:w="677" w:type="pct"/>
            <w:tcBorders>
              <w:top w:val="single" w:sz="4" w:space="0" w:color="auto"/>
              <w:left w:val="nil"/>
              <w:bottom w:val="nil"/>
              <w:right w:val="nil"/>
            </w:tcBorders>
            <w:vAlign w:val="center"/>
          </w:tcPr>
          <w:p w14:paraId="7304B996" w14:textId="77777777" w:rsidR="004E3B34" w:rsidRPr="00AF04F9" w:rsidRDefault="004E3B34" w:rsidP="004E3B34">
            <w:pPr>
              <w:jc w:val="right"/>
              <w:rPr>
                <w:rFonts w:ascii="Arial" w:hAnsi="Arial" w:cs="Arial"/>
                <w:bCs/>
              </w:rPr>
            </w:pPr>
            <w:r w:rsidRPr="00AF04F9">
              <w:rPr>
                <w:rFonts w:ascii="Arial" w:hAnsi="Arial" w:cs="Arial"/>
                <w:bCs/>
              </w:rPr>
              <w:t>604</w:t>
            </w:r>
          </w:p>
        </w:tc>
        <w:tc>
          <w:tcPr>
            <w:tcW w:w="677" w:type="pct"/>
            <w:tcBorders>
              <w:top w:val="single" w:sz="4" w:space="0" w:color="auto"/>
              <w:left w:val="nil"/>
              <w:bottom w:val="nil"/>
              <w:right w:val="nil"/>
            </w:tcBorders>
            <w:vAlign w:val="center"/>
          </w:tcPr>
          <w:p w14:paraId="17509FF6" w14:textId="77777777" w:rsidR="004E3B34" w:rsidRPr="004E3B34" w:rsidRDefault="004E3B34" w:rsidP="004E3B34">
            <w:pPr>
              <w:jc w:val="right"/>
              <w:rPr>
                <w:rFonts w:ascii="Arial" w:hAnsi="Arial" w:cs="Arial"/>
                <w:bCs/>
                <w:strike/>
              </w:rPr>
            </w:pPr>
            <w:r w:rsidRPr="004E3B34">
              <w:rPr>
                <w:rFonts w:ascii="Arial" w:hAnsi="Arial" w:cs="Arial"/>
                <w:bCs/>
              </w:rPr>
              <w:t>28.7</w:t>
            </w:r>
          </w:p>
        </w:tc>
      </w:tr>
      <w:tr w:rsidR="004E3B34" w:rsidRPr="004E3B34" w14:paraId="6CFF6B4F" w14:textId="77777777" w:rsidTr="004E3B34">
        <w:trPr>
          <w:trHeight w:val="266"/>
        </w:trPr>
        <w:tc>
          <w:tcPr>
            <w:tcW w:w="2292" w:type="pct"/>
            <w:vAlign w:val="center"/>
          </w:tcPr>
          <w:p w14:paraId="4FF2EC76" w14:textId="77777777" w:rsidR="004E3B34" w:rsidRPr="004E3B34" w:rsidRDefault="004E3B34" w:rsidP="004E3B34">
            <w:pPr>
              <w:jc w:val="left"/>
              <w:rPr>
                <w:rFonts w:ascii="Arial" w:hAnsi="Arial" w:cs="Arial"/>
                <w:strike/>
              </w:rPr>
            </w:pPr>
            <w:r w:rsidRPr="004E3B34">
              <w:rPr>
                <w:rFonts w:ascii="Arial" w:hAnsi="Arial" w:cs="Arial"/>
              </w:rPr>
              <w:t xml:space="preserve">Adjusting items before tax </w:t>
            </w:r>
          </w:p>
        </w:tc>
        <w:tc>
          <w:tcPr>
            <w:tcW w:w="677" w:type="pct"/>
            <w:shd w:val="clear" w:color="auto" w:fill="auto"/>
            <w:vAlign w:val="center"/>
          </w:tcPr>
          <w:p w14:paraId="35665963" w14:textId="1C362739" w:rsidR="004E3B34" w:rsidRPr="00AF04F9" w:rsidRDefault="004E3B34" w:rsidP="004E3B34">
            <w:pPr>
              <w:jc w:val="right"/>
              <w:rPr>
                <w:rFonts w:ascii="Arial" w:hAnsi="Arial" w:cs="Arial"/>
                <w:b/>
                <w:strike/>
              </w:rPr>
            </w:pPr>
            <w:r w:rsidRPr="00AF04F9">
              <w:rPr>
                <w:rFonts w:ascii="Arial" w:hAnsi="Arial" w:cs="Arial"/>
                <w:b/>
              </w:rPr>
              <w:t>58</w:t>
            </w:r>
          </w:p>
        </w:tc>
        <w:tc>
          <w:tcPr>
            <w:tcW w:w="677" w:type="pct"/>
            <w:shd w:val="clear" w:color="auto" w:fill="auto"/>
            <w:vAlign w:val="center"/>
          </w:tcPr>
          <w:p w14:paraId="328001BC" w14:textId="42A7AF5A" w:rsidR="004E3B34" w:rsidRPr="00AF04F9" w:rsidRDefault="004E3B34" w:rsidP="004E3B34">
            <w:pPr>
              <w:jc w:val="right"/>
              <w:rPr>
                <w:rFonts w:ascii="Arial" w:hAnsi="Arial" w:cs="Arial"/>
                <w:b/>
                <w:strike/>
              </w:rPr>
            </w:pPr>
            <w:r w:rsidRPr="00AF04F9">
              <w:rPr>
                <w:rFonts w:ascii="Arial" w:hAnsi="Arial" w:cs="Arial"/>
                <w:b/>
              </w:rPr>
              <w:t>2.</w:t>
            </w:r>
            <w:r w:rsidR="009101D7">
              <w:rPr>
                <w:rFonts w:ascii="Arial" w:hAnsi="Arial" w:cs="Arial"/>
                <w:b/>
              </w:rPr>
              <w:t>8</w:t>
            </w:r>
          </w:p>
        </w:tc>
        <w:tc>
          <w:tcPr>
            <w:tcW w:w="677" w:type="pct"/>
            <w:shd w:val="clear" w:color="auto" w:fill="auto"/>
            <w:vAlign w:val="center"/>
          </w:tcPr>
          <w:p w14:paraId="73CF49CF" w14:textId="54321787" w:rsidR="004E3B34" w:rsidRPr="00AF04F9" w:rsidRDefault="004E3B34" w:rsidP="004E3B34">
            <w:pPr>
              <w:jc w:val="right"/>
              <w:rPr>
                <w:rFonts w:ascii="Arial" w:hAnsi="Arial" w:cs="Arial"/>
                <w:bCs/>
                <w:strike/>
              </w:rPr>
            </w:pPr>
            <w:r w:rsidRPr="00AF04F9">
              <w:rPr>
                <w:rFonts w:ascii="Arial" w:hAnsi="Arial" w:cs="Arial"/>
                <w:bCs/>
              </w:rPr>
              <w:t>(30)</w:t>
            </w:r>
          </w:p>
        </w:tc>
        <w:tc>
          <w:tcPr>
            <w:tcW w:w="677" w:type="pct"/>
            <w:shd w:val="clear" w:color="auto" w:fill="auto"/>
            <w:vAlign w:val="center"/>
          </w:tcPr>
          <w:p w14:paraId="724F7319" w14:textId="20BD8324" w:rsidR="004E3B34" w:rsidRPr="004E3B34" w:rsidRDefault="004E3B34" w:rsidP="004E3B34">
            <w:pPr>
              <w:jc w:val="right"/>
              <w:rPr>
                <w:rFonts w:ascii="Arial" w:hAnsi="Arial" w:cs="Arial"/>
                <w:bCs/>
                <w:strike/>
              </w:rPr>
            </w:pPr>
            <w:r w:rsidRPr="004E3B34">
              <w:rPr>
                <w:rFonts w:ascii="Arial" w:hAnsi="Arial" w:cs="Arial"/>
                <w:bCs/>
              </w:rPr>
              <w:t>(1.4)</w:t>
            </w:r>
          </w:p>
        </w:tc>
      </w:tr>
      <w:tr w:rsidR="004E3B34" w:rsidRPr="004E3B34" w14:paraId="17AB37EB" w14:textId="77777777" w:rsidTr="004E3B34">
        <w:trPr>
          <w:trHeight w:val="266"/>
        </w:trPr>
        <w:tc>
          <w:tcPr>
            <w:tcW w:w="2292" w:type="pct"/>
            <w:vAlign w:val="center"/>
            <w:hideMark/>
          </w:tcPr>
          <w:p w14:paraId="1DC49ED3" w14:textId="77777777" w:rsidR="004E3B34" w:rsidRPr="004E3B34" w:rsidRDefault="004E3B34" w:rsidP="004E3B34">
            <w:pPr>
              <w:jc w:val="left"/>
              <w:rPr>
                <w:rFonts w:ascii="Arial" w:hAnsi="Arial" w:cs="Arial"/>
              </w:rPr>
            </w:pPr>
            <w:r w:rsidRPr="004E3B34">
              <w:rPr>
                <w:rFonts w:ascii="Arial" w:hAnsi="Arial" w:cs="Arial"/>
              </w:rPr>
              <w:t>Prior year and other adjusting tax items</w:t>
            </w:r>
          </w:p>
        </w:tc>
        <w:tc>
          <w:tcPr>
            <w:tcW w:w="677" w:type="pct"/>
            <w:vAlign w:val="center"/>
          </w:tcPr>
          <w:p w14:paraId="1B0DD880" w14:textId="215CC18A" w:rsidR="004E3B34" w:rsidRPr="00AF04F9" w:rsidRDefault="004E3B34" w:rsidP="004E3B34">
            <w:pPr>
              <w:jc w:val="right"/>
              <w:rPr>
                <w:rFonts w:ascii="Arial" w:hAnsi="Arial" w:cs="Arial"/>
                <w:b/>
              </w:rPr>
            </w:pPr>
            <w:r w:rsidRPr="00AF04F9">
              <w:rPr>
                <w:rFonts w:ascii="Arial" w:hAnsi="Arial" w:cs="Arial"/>
                <w:b/>
              </w:rPr>
              <w:t>48</w:t>
            </w:r>
          </w:p>
        </w:tc>
        <w:tc>
          <w:tcPr>
            <w:tcW w:w="677" w:type="pct"/>
            <w:vAlign w:val="center"/>
          </w:tcPr>
          <w:p w14:paraId="7D3763CA" w14:textId="7E798D37" w:rsidR="004E3B34" w:rsidRPr="00AF04F9" w:rsidRDefault="004E3B34" w:rsidP="004E3B34">
            <w:pPr>
              <w:jc w:val="right"/>
              <w:rPr>
                <w:rFonts w:ascii="Arial" w:hAnsi="Arial" w:cs="Arial"/>
                <w:b/>
              </w:rPr>
            </w:pPr>
            <w:r w:rsidRPr="00AF04F9">
              <w:rPr>
                <w:rFonts w:ascii="Arial" w:hAnsi="Arial" w:cs="Arial"/>
                <w:b/>
              </w:rPr>
              <w:t>2.3</w:t>
            </w:r>
          </w:p>
        </w:tc>
        <w:tc>
          <w:tcPr>
            <w:tcW w:w="677" w:type="pct"/>
            <w:vAlign w:val="center"/>
          </w:tcPr>
          <w:p w14:paraId="50FC2C8D" w14:textId="182B7F21" w:rsidR="004E3B34" w:rsidRPr="00AF04F9" w:rsidRDefault="004E3B34" w:rsidP="004E3B34">
            <w:pPr>
              <w:jc w:val="right"/>
              <w:rPr>
                <w:rFonts w:ascii="Arial" w:hAnsi="Arial" w:cs="Arial"/>
                <w:bCs/>
              </w:rPr>
            </w:pPr>
            <w:r w:rsidRPr="00AF04F9">
              <w:rPr>
                <w:rFonts w:ascii="Arial" w:hAnsi="Arial" w:cs="Arial"/>
                <w:bCs/>
              </w:rPr>
              <w:t>18</w:t>
            </w:r>
          </w:p>
        </w:tc>
        <w:tc>
          <w:tcPr>
            <w:tcW w:w="677" w:type="pct"/>
            <w:vAlign w:val="center"/>
          </w:tcPr>
          <w:p w14:paraId="7545F3E9" w14:textId="672E8C0E" w:rsidR="004E3B34" w:rsidRPr="004E3B34" w:rsidRDefault="004E3B34" w:rsidP="004E3B34">
            <w:pPr>
              <w:jc w:val="right"/>
              <w:rPr>
                <w:rFonts w:ascii="Arial" w:hAnsi="Arial" w:cs="Arial"/>
                <w:bCs/>
              </w:rPr>
            </w:pPr>
            <w:r w:rsidRPr="004E3B34">
              <w:rPr>
                <w:rFonts w:ascii="Arial" w:hAnsi="Arial" w:cs="Arial"/>
                <w:bCs/>
              </w:rPr>
              <w:t>0.8</w:t>
            </w:r>
          </w:p>
        </w:tc>
      </w:tr>
      <w:tr w:rsidR="004E3B34" w:rsidRPr="004E3B34" w14:paraId="57590306" w14:textId="77777777" w:rsidTr="004E3B34">
        <w:trPr>
          <w:trHeight w:val="266"/>
        </w:trPr>
        <w:tc>
          <w:tcPr>
            <w:tcW w:w="2292" w:type="pct"/>
            <w:tcBorders>
              <w:top w:val="single" w:sz="4" w:space="0" w:color="auto"/>
              <w:left w:val="nil"/>
              <w:bottom w:val="single" w:sz="4" w:space="0" w:color="auto"/>
              <w:right w:val="nil"/>
            </w:tcBorders>
            <w:vAlign w:val="center"/>
            <w:hideMark/>
          </w:tcPr>
          <w:p w14:paraId="1E8CF908" w14:textId="77777777" w:rsidR="004E3B34" w:rsidRPr="004E3B34" w:rsidRDefault="004E3B34" w:rsidP="004E3B34">
            <w:pPr>
              <w:jc w:val="left"/>
              <w:rPr>
                <w:rFonts w:ascii="Arial" w:hAnsi="Arial" w:cs="Arial"/>
              </w:rPr>
            </w:pPr>
            <w:r w:rsidRPr="004E3B34">
              <w:rPr>
                <w:rFonts w:ascii="Arial" w:hAnsi="Arial" w:cs="Arial"/>
                <w:b/>
              </w:rPr>
              <w:t>Basic earnings per share</w:t>
            </w:r>
          </w:p>
        </w:tc>
        <w:tc>
          <w:tcPr>
            <w:tcW w:w="677" w:type="pct"/>
            <w:tcBorders>
              <w:top w:val="single" w:sz="4" w:space="0" w:color="auto"/>
              <w:left w:val="nil"/>
              <w:bottom w:val="single" w:sz="4" w:space="0" w:color="auto"/>
              <w:right w:val="nil"/>
            </w:tcBorders>
            <w:vAlign w:val="center"/>
          </w:tcPr>
          <w:p w14:paraId="213A6666" w14:textId="7FBFE6E6" w:rsidR="004E3B34" w:rsidRPr="00AF04F9" w:rsidRDefault="004E3B34" w:rsidP="004E3B34">
            <w:pPr>
              <w:jc w:val="right"/>
              <w:rPr>
                <w:rFonts w:ascii="Arial" w:hAnsi="Arial" w:cs="Arial"/>
                <w:b/>
              </w:rPr>
            </w:pPr>
            <w:r w:rsidRPr="00AF04F9">
              <w:rPr>
                <w:rFonts w:ascii="Arial" w:hAnsi="Arial" w:cs="Arial"/>
                <w:b/>
              </w:rPr>
              <w:t>843</w:t>
            </w:r>
          </w:p>
        </w:tc>
        <w:tc>
          <w:tcPr>
            <w:tcW w:w="677" w:type="pct"/>
            <w:tcBorders>
              <w:top w:val="single" w:sz="4" w:space="0" w:color="auto"/>
              <w:left w:val="nil"/>
              <w:bottom w:val="single" w:sz="4" w:space="0" w:color="auto"/>
              <w:right w:val="nil"/>
            </w:tcBorders>
            <w:vAlign w:val="center"/>
          </w:tcPr>
          <w:p w14:paraId="58771D43" w14:textId="000A0264" w:rsidR="004E3B34" w:rsidRPr="00AF04F9" w:rsidRDefault="004E3B34" w:rsidP="004E3B34">
            <w:pPr>
              <w:jc w:val="right"/>
              <w:rPr>
                <w:rFonts w:ascii="Arial" w:hAnsi="Arial" w:cs="Arial"/>
                <w:b/>
              </w:rPr>
            </w:pPr>
            <w:r w:rsidRPr="00AF04F9">
              <w:rPr>
                <w:rFonts w:ascii="Arial" w:hAnsi="Arial" w:cs="Arial"/>
                <w:b/>
              </w:rPr>
              <w:t>40.3</w:t>
            </w:r>
          </w:p>
        </w:tc>
        <w:tc>
          <w:tcPr>
            <w:tcW w:w="677" w:type="pct"/>
            <w:tcBorders>
              <w:top w:val="single" w:sz="4" w:space="0" w:color="auto"/>
              <w:left w:val="nil"/>
              <w:bottom w:val="single" w:sz="4" w:space="0" w:color="auto"/>
              <w:right w:val="nil"/>
            </w:tcBorders>
            <w:vAlign w:val="center"/>
          </w:tcPr>
          <w:p w14:paraId="6CAA74BF" w14:textId="77777777" w:rsidR="004E3B34" w:rsidRPr="00AF04F9" w:rsidRDefault="004E3B34" w:rsidP="004E3B34">
            <w:pPr>
              <w:jc w:val="right"/>
              <w:rPr>
                <w:rFonts w:ascii="Arial" w:hAnsi="Arial" w:cs="Arial"/>
                <w:bCs/>
              </w:rPr>
            </w:pPr>
            <w:r w:rsidRPr="00AF04F9">
              <w:rPr>
                <w:rFonts w:ascii="Arial" w:hAnsi="Arial" w:cs="Arial"/>
                <w:bCs/>
              </w:rPr>
              <w:t>592</w:t>
            </w:r>
          </w:p>
        </w:tc>
        <w:tc>
          <w:tcPr>
            <w:tcW w:w="677" w:type="pct"/>
            <w:tcBorders>
              <w:top w:val="single" w:sz="4" w:space="0" w:color="auto"/>
              <w:left w:val="nil"/>
              <w:bottom w:val="single" w:sz="4" w:space="0" w:color="auto"/>
              <w:right w:val="nil"/>
            </w:tcBorders>
            <w:vAlign w:val="center"/>
          </w:tcPr>
          <w:p w14:paraId="624DA252" w14:textId="77777777" w:rsidR="004E3B34" w:rsidRPr="004E3B34" w:rsidRDefault="004E3B34" w:rsidP="004E3B34">
            <w:pPr>
              <w:jc w:val="right"/>
              <w:rPr>
                <w:rFonts w:ascii="Arial" w:hAnsi="Arial" w:cs="Arial"/>
                <w:bCs/>
              </w:rPr>
            </w:pPr>
            <w:r w:rsidRPr="004E3B34">
              <w:rPr>
                <w:rFonts w:ascii="Arial" w:hAnsi="Arial" w:cs="Arial"/>
                <w:bCs/>
              </w:rPr>
              <w:t>28.1</w:t>
            </w:r>
          </w:p>
        </w:tc>
      </w:tr>
    </w:tbl>
    <w:p w14:paraId="0CD5D1DA" w14:textId="77777777" w:rsidR="0035042E" w:rsidRPr="00DE0F31" w:rsidRDefault="0035042E" w:rsidP="0035042E">
      <w:pPr>
        <w:ind w:right="-368"/>
        <w:jc w:val="left"/>
        <w:rPr>
          <w:rFonts w:ascii="Arial" w:hAnsi="Arial"/>
          <w:sz w:val="18"/>
          <w:szCs w:val="18"/>
        </w:rPr>
      </w:pPr>
    </w:p>
    <w:p w14:paraId="01E0556A" w14:textId="77777777" w:rsidR="0035042E" w:rsidRPr="00DE0F31" w:rsidRDefault="0035042E" w:rsidP="0035042E">
      <w:pPr>
        <w:jc w:val="left"/>
        <w:rPr>
          <w:rFonts w:ascii="Arial" w:hAnsi="Arial" w:cs="Arial"/>
          <w:sz w:val="18"/>
          <w:szCs w:val="18"/>
        </w:rPr>
      </w:pPr>
      <w:r w:rsidRPr="00DE0F31">
        <w:rPr>
          <w:rFonts w:ascii="Arial" w:hAnsi="Arial" w:cs="Arial"/>
          <w:bCs/>
          <w:sz w:val="18"/>
          <w:szCs w:val="18"/>
          <w:vertAlign w:val="superscript"/>
        </w:rPr>
        <w:t>(1)</w:t>
      </w:r>
      <w:r w:rsidRPr="00DE0F31">
        <w:rPr>
          <w:rFonts w:ascii="Arial" w:hAnsi="Arial" w:cs="Arial"/>
          <w:sz w:val="18"/>
          <w:szCs w:val="18"/>
        </w:rPr>
        <w:t xml:space="preserve"> Earnings figures presented reconcile adjusted post-tax profits to statutory post-tax profits. </w:t>
      </w:r>
    </w:p>
    <w:p w14:paraId="16398659" w14:textId="7E253E83" w:rsidR="004F4032" w:rsidRDefault="004F4032" w:rsidP="006957EC">
      <w:pPr>
        <w:jc w:val="left"/>
        <w:rPr>
          <w:rFonts w:ascii="Arial" w:hAnsi="Arial" w:cs="Arial"/>
          <w:bCs/>
        </w:rPr>
      </w:pPr>
      <w:r>
        <w:rPr>
          <w:rFonts w:ascii="Arial" w:hAnsi="Arial" w:cs="Arial"/>
          <w:bCs/>
        </w:rPr>
        <w:br w:type="page"/>
      </w:r>
    </w:p>
    <w:p w14:paraId="37E3B8B6" w14:textId="77777777" w:rsidR="0035042E" w:rsidRPr="006245D5" w:rsidRDefault="0035042E" w:rsidP="0035042E">
      <w:pPr>
        <w:ind w:right="-368"/>
        <w:jc w:val="left"/>
        <w:rPr>
          <w:rFonts w:ascii="Arial" w:hAnsi="Arial"/>
          <w:b/>
        </w:rPr>
      </w:pPr>
      <w:r w:rsidRPr="006245D5">
        <w:rPr>
          <w:rFonts w:ascii="Arial" w:hAnsi="Arial"/>
          <w:b/>
        </w:rPr>
        <w:lastRenderedPageBreak/>
        <w:t xml:space="preserve">Dividends </w:t>
      </w:r>
    </w:p>
    <w:p w14:paraId="3631E753" w14:textId="4436CE3F" w:rsidR="0035042E" w:rsidRDefault="0035042E" w:rsidP="0035042E">
      <w:pPr>
        <w:ind w:right="-368"/>
        <w:jc w:val="left"/>
        <w:rPr>
          <w:rFonts w:ascii="Arial" w:hAnsi="Arial" w:cs="Arial"/>
          <w:bCs/>
        </w:rPr>
      </w:pPr>
      <w:r w:rsidRPr="006245D5">
        <w:rPr>
          <w:rFonts w:ascii="Arial" w:hAnsi="Arial" w:cs="Arial"/>
          <w:bCs/>
        </w:rPr>
        <w:t xml:space="preserve">The Board has proposed a </w:t>
      </w:r>
      <w:r w:rsidR="006C2C2A" w:rsidRPr="006245D5">
        <w:rPr>
          <w:rFonts w:ascii="Arial" w:hAnsi="Arial" w:cs="Arial"/>
          <w:bCs/>
        </w:rPr>
        <w:t xml:space="preserve">final </w:t>
      </w:r>
      <w:r w:rsidRPr="006245D5">
        <w:rPr>
          <w:rFonts w:ascii="Arial" w:hAnsi="Arial" w:cs="Arial"/>
          <w:bCs/>
        </w:rPr>
        <w:t xml:space="preserve">dividend per share of </w:t>
      </w:r>
      <w:r w:rsidR="006C2C2A" w:rsidRPr="00F854C7">
        <w:rPr>
          <w:rFonts w:ascii="Arial" w:hAnsi="Arial" w:cs="Arial"/>
          <w:bCs/>
        </w:rPr>
        <w:t>8</w:t>
      </w:r>
      <w:r w:rsidRPr="00F854C7">
        <w:rPr>
          <w:rFonts w:ascii="Arial" w:hAnsi="Arial" w:cs="Arial"/>
          <w:bCs/>
        </w:rPr>
        <w:t>.</w:t>
      </w:r>
      <w:r w:rsidR="006C2C2A" w:rsidRPr="00F854C7">
        <w:rPr>
          <w:rFonts w:ascii="Arial" w:hAnsi="Arial" w:cs="Arial"/>
          <w:bCs/>
        </w:rPr>
        <w:t>6</w:t>
      </w:r>
      <w:r w:rsidRPr="00F854C7">
        <w:rPr>
          <w:rFonts w:ascii="Arial" w:hAnsi="Arial" w:cs="Arial"/>
          <w:bCs/>
        </w:rPr>
        <w:t>0p</w:t>
      </w:r>
      <w:r w:rsidRPr="006245D5">
        <w:rPr>
          <w:rFonts w:ascii="Arial" w:hAnsi="Arial" w:cs="Arial"/>
          <w:bCs/>
        </w:rPr>
        <w:t xml:space="preserve"> </w:t>
      </w:r>
      <w:r w:rsidR="006C2C2A" w:rsidRPr="006245D5">
        <w:rPr>
          <w:rFonts w:ascii="Arial" w:hAnsi="Arial" w:cs="Arial"/>
          <w:bCs/>
        </w:rPr>
        <w:t xml:space="preserve">(FY 20/21 final dividend: 5.50p). Taken alongside the interim dividend already paid of 3.80p (FY 20/21 interim dividend: 2.75p), this results in a proposed total dividend per share of </w:t>
      </w:r>
      <w:r w:rsidR="006C2C2A" w:rsidRPr="00F854C7">
        <w:rPr>
          <w:rFonts w:ascii="Arial" w:hAnsi="Arial" w:cs="Arial"/>
          <w:bCs/>
        </w:rPr>
        <w:t>12.40p</w:t>
      </w:r>
      <w:r w:rsidR="006C2C2A" w:rsidRPr="006245D5">
        <w:rPr>
          <w:rFonts w:ascii="Arial" w:hAnsi="Arial" w:cs="Arial"/>
          <w:bCs/>
        </w:rPr>
        <w:t xml:space="preserve"> </w:t>
      </w:r>
      <w:r w:rsidRPr="006245D5">
        <w:rPr>
          <w:rFonts w:ascii="Arial" w:hAnsi="Arial" w:cs="Arial"/>
          <w:bCs/>
        </w:rPr>
        <w:t xml:space="preserve">in respect of FY 21/22, </w:t>
      </w:r>
      <w:r w:rsidRPr="006245D5">
        <w:rPr>
          <w:rFonts w:ascii="Arial" w:hAnsi="Arial" w:cs="Arial"/>
        </w:rPr>
        <w:t xml:space="preserve">which is </w:t>
      </w:r>
      <w:r w:rsidRPr="00F854C7">
        <w:rPr>
          <w:rFonts w:ascii="Arial" w:hAnsi="Arial" w:cs="Arial"/>
        </w:rPr>
        <w:t>50</w:t>
      </w:r>
      <w:r w:rsidR="006C2C2A" w:rsidRPr="00F854C7">
        <w:rPr>
          <w:rFonts w:ascii="Arial" w:hAnsi="Arial" w:cs="Arial"/>
        </w:rPr>
        <w:t>.3</w:t>
      </w:r>
      <w:r w:rsidRPr="00F854C7">
        <w:rPr>
          <w:rFonts w:ascii="Arial" w:hAnsi="Arial" w:cs="Arial"/>
        </w:rPr>
        <w:t>%</w:t>
      </w:r>
      <w:r w:rsidRPr="006245D5">
        <w:rPr>
          <w:rFonts w:ascii="Arial" w:hAnsi="Arial" w:cs="Arial"/>
        </w:rPr>
        <w:t xml:space="preserve"> higher than the prior year (FY 20/21: 8.25p). </w:t>
      </w:r>
      <w:r w:rsidRPr="006245D5">
        <w:rPr>
          <w:rFonts w:ascii="Arial" w:hAnsi="Arial" w:cs="Arial"/>
          <w:bCs/>
        </w:rPr>
        <w:t>The final dividend is subject to the approval of shareholders at the Annual General Meeting on 22 June 2022, and will</w:t>
      </w:r>
      <w:r w:rsidRPr="001B5EB9">
        <w:rPr>
          <w:rFonts w:ascii="Arial" w:hAnsi="Arial" w:cs="Arial"/>
          <w:bCs/>
        </w:rPr>
        <w:t xml:space="preserve"> be paid on </w:t>
      </w:r>
      <w:r w:rsidRPr="00231377">
        <w:rPr>
          <w:rFonts w:ascii="Arial" w:hAnsi="Arial" w:cs="Arial"/>
          <w:bCs/>
        </w:rPr>
        <w:t>27 June 2022</w:t>
      </w:r>
      <w:r w:rsidRPr="001B5EB9">
        <w:rPr>
          <w:rFonts w:ascii="Arial" w:hAnsi="Arial" w:cs="Arial"/>
          <w:bCs/>
        </w:rPr>
        <w:t xml:space="preserve"> to shareholders on the register at close of business on </w:t>
      </w:r>
      <w:r w:rsidRPr="00231377">
        <w:rPr>
          <w:rFonts w:ascii="Arial" w:hAnsi="Arial" w:cs="Arial"/>
          <w:bCs/>
        </w:rPr>
        <w:t>20 May 2022</w:t>
      </w:r>
      <w:r w:rsidRPr="001B5EB9">
        <w:rPr>
          <w:rFonts w:ascii="Arial" w:hAnsi="Arial" w:cs="Arial"/>
          <w:bCs/>
        </w:rPr>
        <w:t>.</w:t>
      </w:r>
    </w:p>
    <w:p w14:paraId="33842063" w14:textId="77777777" w:rsidR="0035042E" w:rsidRDefault="0035042E" w:rsidP="0035042E">
      <w:pPr>
        <w:ind w:right="-368"/>
        <w:jc w:val="left"/>
        <w:rPr>
          <w:rFonts w:ascii="Arial" w:hAnsi="Arial" w:cs="Arial"/>
          <w:bCs/>
        </w:rPr>
      </w:pPr>
    </w:p>
    <w:p w14:paraId="6EDB4982" w14:textId="77777777" w:rsidR="0035042E" w:rsidRDefault="0035042E" w:rsidP="0035042E">
      <w:pPr>
        <w:ind w:right="-368"/>
        <w:jc w:val="left"/>
        <w:rPr>
          <w:rFonts w:ascii="Arial" w:hAnsi="Arial" w:cs="Arial"/>
          <w:bCs/>
        </w:rPr>
      </w:pPr>
      <w:r w:rsidRPr="00231377">
        <w:rPr>
          <w:rFonts w:ascii="Arial" w:hAnsi="Arial" w:cs="Arial"/>
          <w:bCs/>
        </w:rPr>
        <w:t>A dividend reinvestment plan (DRIP) is available to shareholders who would prefer to invest their dividends in the shares of the Company. The shares will go ex-dividend on 19 May 2022. For those shareholders electing to receive the DRIP the last date for receipt of election is 6 June 2022.</w:t>
      </w:r>
    </w:p>
    <w:p w14:paraId="6D9FEE5E" w14:textId="77777777" w:rsidR="0035042E" w:rsidRDefault="0035042E" w:rsidP="0035042E">
      <w:pPr>
        <w:ind w:right="-368"/>
        <w:jc w:val="left"/>
        <w:rPr>
          <w:rFonts w:ascii="Arial" w:hAnsi="Arial" w:cs="Arial"/>
          <w:bCs/>
        </w:rPr>
      </w:pPr>
    </w:p>
    <w:p w14:paraId="30942969" w14:textId="0CD99AE6" w:rsidR="00656EFF" w:rsidRDefault="0035042E" w:rsidP="009101D7">
      <w:pPr>
        <w:ind w:right="-368"/>
        <w:jc w:val="left"/>
        <w:rPr>
          <w:rFonts w:ascii="Arial" w:hAnsi="Arial" w:cs="Arial"/>
          <w:bCs/>
        </w:rPr>
      </w:pPr>
      <w:r w:rsidRPr="00456162">
        <w:rPr>
          <w:rFonts w:ascii="Arial" w:hAnsi="Arial" w:cs="Arial"/>
        </w:rPr>
        <w:t>For further detail</w:t>
      </w:r>
      <w:r w:rsidR="00193488">
        <w:rPr>
          <w:rFonts w:ascii="Arial" w:hAnsi="Arial" w:cs="Arial"/>
        </w:rPr>
        <w:t>s</w:t>
      </w:r>
      <w:r w:rsidR="006C0FF7">
        <w:rPr>
          <w:rFonts w:ascii="Arial" w:hAnsi="Arial" w:cs="Arial"/>
        </w:rPr>
        <w:t xml:space="preserve"> on our dividend policy</w:t>
      </w:r>
      <w:r w:rsidR="00193488">
        <w:rPr>
          <w:rFonts w:ascii="Arial" w:hAnsi="Arial" w:cs="Arial"/>
        </w:rPr>
        <w:t>,</w:t>
      </w:r>
      <w:r w:rsidRPr="002F4743">
        <w:rPr>
          <w:rFonts w:ascii="Arial" w:hAnsi="Arial" w:cs="Arial"/>
        </w:rPr>
        <w:t xml:space="preserve"> </w:t>
      </w:r>
      <w:r w:rsidRPr="00F03E2E">
        <w:rPr>
          <w:rFonts w:ascii="Arial" w:hAnsi="Arial" w:cs="Arial"/>
        </w:rPr>
        <w:t xml:space="preserve">please refer to </w:t>
      </w:r>
      <w:r w:rsidRPr="00D22765">
        <w:rPr>
          <w:rFonts w:ascii="Arial" w:hAnsi="Arial" w:cs="Arial"/>
          <w:bCs/>
          <w:i/>
          <w:iCs/>
        </w:rPr>
        <w:t>‘</w:t>
      </w:r>
      <w:r>
        <w:rPr>
          <w:rFonts w:ascii="Arial" w:hAnsi="Arial" w:cs="Arial"/>
          <w:bCs/>
          <w:i/>
          <w:iCs/>
        </w:rPr>
        <w:t xml:space="preserve">Capital </w:t>
      </w:r>
      <w:r w:rsidR="00193488">
        <w:rPr>
          <w:rFonts w:ascii="Arial" w:hAnsi="Arial" w:cs="Arial"/>
          <w:bCs/>
          <w:i/>
          <w:iCs/>
        </w:rPr>
        <w:t>a</w:t>
      </w:r>
      <w:r>
        <w:rPr>
          <w:rFonts w:ascii="Arial" w:hAnsi="Arial" w:cs="Arial"/>
          <w:bCs/>
          <w:i/>
          <w:iCs/>
        </w:rPr>
        <w:t>llocation</w:t>
      </w:r>
      <w:r w:rsidRPr="00D22765">
        <w:rPr>
          <w:rFonts w:ascii="Arial" w:hAnsi="Arial" w:cs="Arial"/>
          <w:bCs/>
          <w:i/>
          <w:iCs/>
        </w:rPr>
        <w:t>’</w:t>
      </w:r>
      <w:r w:rsidRPr="00456162">
        <w:rPr>
          <w:rFonts w:ascii="Arial" w:hAnsi="Arial" w:cs="Arial"/>
          <w:bCs/>
        </w:rPr>
        <w:t xml:space="preserve"> within Sect</w:t>
      </w:r>
      <w:r w:rsidRPr="002F4743">
        <w:rPr>
          <w:rFonts w:ascii="Arial" w:hAnsi="Arial" w:cs="Arial"/>
          <w:bCs/>
        </w:rPr>
        <w:t xml:space="preserve">ion </w:t>
      </w:r>
      <w:r>
        <w:rPr>
          <w:rFonts w:ascii="Arial" w:hAnsi="Arial" w:cs="Arial"/>
          <w:bCs/>
        </w:rPr>
        <w:t>2</w:t>
      </w:r>
      <w:r w:rsidRPr="002F4743">
        <w:rPr>
          <w:rFonts w:ascii="Arial" w:hAnsi="Arial" w:cs="Arial"/>
          <w:bCs/>
        </w:rPr>
        <w:t>.</w:t>
      </w:r>
    </w:p>
    <w:p w14:paraId="7138431A" w14:textId="77777777" w:rsidR="009101D7" w:rsidRDefault="009101D7" w:rsidP="00337BFB">
      <w:pPr>
        <w:ind w:right="-368"/>
        <w:jc w:val="left"/>
        <w:rPr>
          <w:rFonts w:ascii="Arial" w:hAnsi="Arial" w:cs="Arial"/>
          <w:bCs/>
        </w:rPr>
      </w:pPr>
    </w:p>
    <w:p w14:paraId="5DEFC604" w14:textId="77777777" w:rsidR="00AC05F3" w:rsidRPr="00364F7A" w:rsidRDefault="00AC05F3" w:rsidP="00AC05F3">
      <w:pPr>
        <w:jc w:val="left"/>
        <w:rPr>
          <w:rFonts w:ascii="Arial" w:hAnsi="Arial" w:cs="Arial"/>
          <w:b/>
        </w:rPr>
      </w:pPr>
      <w:r w:rsidRPr="00364F7A">
        <w:rPr>
          <w:rFonts w:ascii="Arial" w:hAnsi="Arial" w:cs="Arial"/>
          <w:b/>
        </w:rPr>
        <w:t>Management of balance sheet and liquidity risk and financing</w:t>
      </w:r>
    </w:p>
    <w:p w14:paraId="528C78AB" w14:textId="77777777" w:rsidR="00AC05F3" w:rsidRDefault="00AC05F3" w:rsidP="00AC05F3">
      <w:pPr>
        <w:jc w:val="left"/>
        <w:rPr>
          <w:rFonts w:ascii="Arial" w:hAnsi="Arial" w:cs="Arial"/>
          <w:szCs w:val="24"/>
        </w:rPr>
      </w:pPr>
    </w:p>
    <w:p w14:paraId="71FE2391" w14:textId="77777777" w:rsidR="00AC05F3" w:rsidRPr="007F1826" w:rsidRDefault="00AC05F3" w:rsidP="00AC05F3">
      <w:pPr>
        <w:jc w:val="left"/>
        <w:rPr>
          <w:rFonts w:ascii="Arial" w:hAnsi="Arial" w:cs="Arial"/>
          <w:szCs w:val="24"/>
          <w:u w:val="single"/>
        </w:rPr>
      </w:pPr>
      <w:r w:rsidRPr="007F1826">
        <w:rPr>
          <w:rFonts w:ascii="Arial" w:hAnsi="Arial" w:cs="Arial"/>
          <w:szCs w:val="24"/>
          <w:u w:val="single"/>
        </w:rPr>
        <w:t>Management of cash and debt facilities</w:t>
      </w:r>
    </w:p>
    <w:p w14:paraId="3DA75DA6" w14:textId="682D4121" w:rsidR="00AC05F3" w:rsidRPr="00364F7A" w:rsidRDefault="00AC05F3" w:rsidP="00AC05F3">
      <w:pPr>
        <w:jc w:val="left"/>
        <w:rPr>
          <w:rFonts w:ascii="Arial" w:hAnsi="Arial" w:cs="Arial"/>
        </w:rPr>
      </w:pPr>
      <w:r w:rsidRPr="00232191">
        <w:rPr>
          <w:rFonts w:ascii="Arial" w:hAnsi="Arial" w:cs="Arial"/>
        </w:rPr>
        <w:t>Kingfisher regularly reviews the level of cash and debt facilities required to fund its activities.</w:t>
      </w:r>
      <w:r w:rsidRPr="00364F7A">
        <w:rPr>
          <w:rFonts w:ascii="Arial" w:hAnsi="Arial" w:cs="Arial"/>
        </w:rPr>
        <w:t xml:space="preserve"> This involves preparing a prudent cash flow forecast for the medium term, determining the level of debt facilities required to fund the business, planning for repayments of debt at its maturity</w:t>
      </w:r>
      <w:r>
        <w:rPr>
          <w:rFonts w:ascii="Arial" w:hAnsi="Arial" w:cs="Arial"/>
        </w:rPr>
        <w:t>,</w:t>
      </w:r>
      <w:r w:rsidRPr="00364F7A">
        <w:rPr>
          <w:rFonts w:ascii="Arial" w:hAnsi="Arial" w:cs="Arial"/>
        </w:rPr>
        <w:t xml:space="preserve"> and identifying an appropriate amount of headroom to provide a reserve against unexpected outflows</w:t>
      </w:r>
      <w:r>
        <w:rPr>
          <w:rFonts w:ascii="Arial" w:hAnsi="Arial" w:cs="Arial"/>
        </w:rPr>
        <w:t xml:space="preserve"> and/or unexpected impacts to cash inflows</w:t>
      </w:r>
      <w:r w:rsidRPr="00364F7A">
        <w:rPr>
          <w:rFonts w:ascii="Arial" w:hAnsi="Arial" w:cs="Arial"/>
        </w:rPr>
        <w:t>.</w:t>
      </w:r>
      <w:r>
        <w:rPr>
          <w:rFonts w:ascii="Arial" w:hAnsi="Arial" w:cs="Arial"/>
        </w:rPr>
        <w:t xml:space="preserve"> To </w:t>
      </w:r>
      <w:r w:rsidRPr="009D3C12">
        <w:rPr>
          <w:rFonts w:ascii="Arial" w:hAnsi="Arial" w:cs="Arial"/>
        </w:rPr>
        <w:t>retain financial flexibility</w:t>
      </w:r>
      <w:r>
        <w:rPr>
          <w:rFonts w:ascii="Arial" w:hAnsi="Arial" w:cs="Arial"/>
        </w:rPr>
        <w:t xml:space="preserve">, we aim to maintain strong liquidity headroom (including cash and cash equivalents, and </w:t>
      </w:r>
      <w:r w:rsidRPr="005D7AC2">
        <w:rPr>
          <w:rFonts w:ascii="Arial" w:hAnsi="Arial" w:cs="Arial"/>
        </w:rPr>
        <w:t xml:space="preserve">committed </w:t>
      </w:r>
      <w:r>
        <w:rPr>
          <w:rFonts w:ascii="Arial" w:hAnsi="Arial" w:cs="Arial"/>
        </w:rPr>
        <w:t xml:space="preserve">debt </w:t>
      </w:r>
      <w:r w:rsidRPr="005D7AC2">
        <w:rPr>
          <w:rFonts w:ascii="Arial" w:hAnsi="Arial" w:cs="Arial"/>
        </w:rPr>
        <w:t>facilities</w:t>
      </w:r>
      <w:r>
        <w:rPr>
          <w:rFonts w:ascii="Arial" w:hAnsi="Arial" w:cs="Arial"/>
        </w:rPr>
        <w:t xml:space="preserve">), which is currently set at </w:t>
      </w:r>
      <w:r w:rsidR="00EB449B">
        <w:rPr>
          <w:rFonts w:ascii="Arial" w:hAnsi="Arial" w:cs="Arial"/>
        </w:rPr>
        <w:t xml:space="preserve">a minimum of </w:t>
      </w:r>
      <w:r>
        <w:rPr>
          <w:rFonts w:ascii="Arial" w:hAnsi="Arial" w:cs="Arial"/>
        </w:rPr>
        <w:t>£1bn.</w:t>
      </w:r>
    </w:p>
    <w:p w14:paraId="58C07967" w14:textId="77777777" w:rsidR="00AC05F3" w:rsidRPr="00364F7A" w:rsidRDefault="00AC05F3" w:rsidP="00AC05F3">
      <w:pPr>
        <w:jc w:val="left"/>
        <w:rPr>
          <w:rFonts w:ascii="Arial" w:hAnsi="Arial" w:cs="Arial"/>
        </w:rPr>
      </w:pPr>
    </w:p>
    <w:p w14:paraId="6AFE44EC" w14:textId="77777777" w:rsidR="00AC05F3" w:rsidRPr="002C63EC" w:rsidRDefault="00AC05F3" w:rsidP="00AC05F3">
      <w:pPr>
        <w:jc w:val="left"/>
        <w:rPr>
          <w:rFonts w:ascii="Arial" w:hAnsi="Arial" w:cs="Arial"/>
          <w:szCs w:val="24"/>
        </w:rPr>
      </w:pPr>
      <w:r>
        <w:rPr>
          <w:rFonts w:ascii="Arial" w:hAnsi="Arial" w:cs="Arial"/>
          <w:szCs w:val="24"/>
          <w:u w:val="single"/>
        </w:rPr>
        <w:t>Net debt to EBITDA</w:t>
      </w:r>
    </w:p>
    <w:p w14:paraId="18D61445" w14:textId="4573E1A7" w:rsidR="003F6776" w:rsidRDefault="00AC05F3" w:rsidP="00AC05F3">
      <w:pPr>
        <w:jc w:val="left"/>
        <w:rPr>
          <w:rFonts w:ascii="Arial" w:hAnsi="Arial" w:cs="Arial"/>
          <w:szCs w:val="24"/>
        </w:rPr>
      </w:pPr>
      <w:r w:rsidRPr="002C63EC">
        <w:rPr>
          <w:rFonts w:ascii="Arial" w:hAnsi="Arial" w:cs="Arial"/>
          <w:szCs w:val="24"/>
        </w:rPr>
        <w:t xml:space="preserve">As </w:t>
      </w:r>
      <w:r w:rsidR="000C61C5">
        <w:rPr>
          <w:rFonts w:ascii="Arial" w:hAnsi="Arial" w:cs="Arial"/>
          <w:szCs w:val="24"/>
        </w:rPr>
        <w:t xml:space="preserve">of 31 January 2022, </w:t>
      </w:r>
      <w:r w:rsidRPr="002C63EC">
        <w:rPr>
          <w:rFonts w:ascii="Arial" w:hAnsi="Arial" w:cs="Arial"/>
          <w:szCs w:val="24"/>
        </w:rPr>
        <w:t xml:space="preserve">the Group </w:t>
      </w:r>
      <w:r w:rsidR="000C61C5">
        <w:rPr>
          <w:rFonts w:ascii="Arial" w:hAnsi="Arial" w:cs="Arial"/>
          <w:szCs w:val="24"/>
        </w:rPr>
        <w:t>had</w:t>
      </w:r>
      <w:r w:rsidRPr="002C63EC">
        <w:rPr>
          <w:rFonts w:ascii="Arial" w:hAnsi="Arial" w:cs="Arial"/>
          <w:szCs w:val="24"/>
        </w:rPr>
        <w:t xml:space="preserve"> £</w:t>
      </w:r>
      <w:r>
        <w:rPr>
          <w:rFonts w:ascii="Arial" w:hAnsi="Arial" w:cs="Arial"/>
          <w:szCs w:val="24"/>
        </w:rPr>
        <w:t>1.6bn</w:t>
      </w:r>
      <w:r w:rsidRPr="002C63EC">
        <w:rPr>
          <w:rFonts w:ascii="Arial" w:hAnsi="Arial" w:cs="Arial"/>
          <w:szCs w:val="24"/>
        </w:rPr>
        <w:t xml:space="preserve"> (</w:t>
      </w:r>
      <w:r>
        <w:rPr>
          <w:rFonts w:ascii="Arial" w:hAnsi="Arial" w:cs="Arial"/>
          <w:szCs w:val="24"/>
        </w:rPr>
        <w:t>FY 20/21</w:t>
      </w:r>
      <w:r w:rsidRPr="002C63EC">
        <w:rPr>
          <w:rFonts w:ascii="Arial" w:hAnsi="Arial" w:cs="Arial"/>
          <w:szCs w:val="24"/>
        </w:rPr>
        <w:t>: £1.4</w:t>
      </w:r>
      <w:r>
        <w:rPr>
          <w:rFonts w:ascii="Arial" w:hAnsi="Arial" w:cs="Arial"/>
          <w:szCs w:val="24"/>
        </w:rPr>
        <w:t>bn</w:t>
      </w:r>
      <w:r w:rsidRPr="002C63EC">
        <w:rPr>
          <w:rFonts w:ascii="Arial" w:hAnsi="Arial" w:cs="Arial"/>
          <w:szCs w:val="24"/>
        </w:rPr>
        <w:t xml:space="preserve">) of net debt on its balance sheet </w:t>
      </w:r>
      <w:r w:rsidRPr="00231377">
        <w:rPr>
          <w:rFonts w:ascii="Arial" w:hAnsi="Arial" w:cs="Arial"/>
          <w:szCs w:val="24"/>
        </w:rPr>
        <w:t>including £2.4</w:t>
      </w:r>
      <w:r>
        <w:rPr>
          <w:rFonts w:ascii="Arial" w:hAnsi="Arial" w:cs="Arial"/>
          <w:szCs w:val="24"/>
        </w:rPr>
        <w:t>bn</w:t>
      </w:r>
      <w:r w:rsidRPr="002C63EC">
        <w:rPr>
          <w:rFonts w:ascii="Arial" w:hAnsi="Arial" w:cs="Arial"/>
          <w:szCs w:val="24"/>
        </w:rPr>
        <w:t xml:space="preserve"> (</w:t>
      </w:r>
      <w:r>
        <w:rPr>
          <w:rFonts w:ascii="Arial" w:hAnsi="Arial" w:cs="Arial"/>
          <w:szCs w:val="24"/>
        </w:rPr>
        <w:t>FY 20/21</w:t>
      </w:r>
      <w:r w:rsidRPr="002C63EC">
        <w:rPr>
          <w:rFonts w:ascii="Arial" w:hAnsi="Arial" w:cs="Arial"/>
          <w:szCs w:val="24"/>
        </w:rPr>
        <w:t>: £2.</w:t>
      </w:r>
      <w:r>
        <w:rPr>
          <w:rFonts w:ascii="Arial" w:hAnsi="Arial" w:cs="Arial"/>
          <w:szCs w:val="24"/>
        </w:rPr>
        <w:t>4bn</w:t>
      </w:r>
      <w:r w:rsidRPr="002C63EC">
        <w:rPr>
          <w:rFonts w:ascii="Arial" w:hAnsi="Arial" w:cs="Arial"/>
          <w:szCs w:val="24"/>
        </w:rPr>
        <w:t xml:space="preserve">) of total lease liabilities. </w:t>
      </w:r>
    </w:p>
    <w:p w14:paraId="2CF669DA" w14:textId="77777777" w:rsidR="003F6776" w:rsidRDefault="003F6776" w:rsidP="00AC05F3">
      <w:pPr>
        <w:jc w:val="left"/>
        <w:rPr>
          <w:rFonts w:ascii="Arial" w:hAnsi="Arial" w:cs="Arial"/>
          <w:szCs w:val="24"/>
        </w:rPr>
      </w:pPr>
    </w:p>
    <w:p w14:paraId="5171F125" w14:textId="77777777" w:rsidR="00FD1E04" w:rsidRDefault="00AC05F3" w:rsidP="00AC05F3">
      <w:pPr>
        <w:jc w:val="left"/>
        <w:rPr>
          <w:rFonts w:ascii="Arial" w:hAnsi="Arial" w:cs="Arial"/>
          <w:szCs w:val="24"/>
        </w:rPr>
      </w:pPr>
      <w:r w:rsidRPr="002C63EC">
        <w:rPr>
          <w:rFonts w:ascii="Arial" w:hAnsi="Arial" w:cs="Arial"/>
          <w:szCs w:val="24"/>
        </w:rPr>
        <w:t xml:space="preserve">The ratio of the Group’s net debt to EBITDA was </w:t>
      </w:r>
      <w:r>
        <w:rPr>
          <w:rFonts w:ascii="Arial" w:hAnsi="Arial" w:cs="Arial"/>
          <w:szCs w:val="24"/>
        </w:rPr>
        <w:t>1.0</w:t>
      </w:r>
      <w:r w:rsidRPr="002C63EC">
        <w:rPr>
          <w:rFonts w:ascii="Arial" w:hAnsi="Arial" w:cs="Arial"/>
          <w:szCs w:val="24"/>
        </w:rPr>
        <w:t xml:space="preserve"> times as of 31 J</w:t>
      </w:r>
      <w:r>
        <w:rPr>
          <w:rFonts w:ascii="Arial" w:hAnsi="Arial" w:cs="Arial"/>
          <w:szCs w:val="24"/>
        </w:rPr>
        <w:t>anuary</w:t>
      </w:r>
      <w:r w:rsidRPr="002C63EC">
        <w:rPr>
          <w:rFonts w:ascii="Arial" w:hAnsi="Arial" w:cs="Arial"/>
          <w:szCs w:val="24"/>
        </w:rPr>
        <w:t xml:space="preserve"> </w:t>
      </w:r>
      <w:r w:rsidRPr="00C454E6">
        <w:rPr>
          <w:rFonts w:ascii="Arial" w:hAnsi="Arial" w:cs="Arial"/>
          <w:szCs w:val="24"/>
        </w:rPr>
        <w:t>202</w:t>
      </w:r>
      <w:r>
        <w:rPr>
          <w:rFonts w:ascii="Arial" w:hAnsi="Arial" w:cs="Arial"/>
          <w:szCs w:val="24"/>
        </w:rPr>
        <w:t>2</w:t>
      </w:r>
      <w:r w:rsidRPr="00C454E6">
        <w:rPr>
          <w:rFonts w:ascii="Arial" w:hAnsi="Arial" w:cs="Arial"/>
          <w:szCs w:val="24"/>
        </w:rPr>
        <w:t xml:space="preserve"> </w:t>
      </w:r>
      <w:r w:rsidRPr="00C454E6">
        <w:rPr>
          <w:rFonts w:ascii="Arial" w:hAnsi="Arial" w:cs="Arial"/>
        </w:rPr>
        <w:t>(</w:t>
      </w:r>
      <w:r>
        <w:rPr>
          <w:rFonts w:ascii="Arial" w:hAnsi="Arial" w:cs="Arial"/>
        </w:rPr>
        <w:t>0.9</w:t>
      </w:r>
      <w:r w:rsidRPr="00C454E6">
        <w:rPr>
          <w:rFonts w:ascii="Arial" w:hAnsi="Arial" w:cs="Arial"/>
        </w:rPr>
        <w:t xml:space="preserve"> times a</w:t>
      </w:r>
      <w:r>
        <w:rPr>
          <w:rFonts w:ascii="Arial" w:hAnsi="Arial" w:cs="Arial"/>
        </w:rPr>
        <w:t>s of</w:t>
      </w:r>
      <w:r w:rsidRPr="00C454E6">
        <w:rPr>
          <w:rFonts w:ascii="Arial" w:hAnsi="Arial" w:cs="Arial"/>
        </w:rPr>
        <w:t xml:space="preserve"> 31 January 202</w:t>
      </w:r>
      <w:r>
        <w:rPr>
          <w:rFonts w:ascii="Arial" w:hAnsi="Arial" w:cs="Arial"/>
        </w:rPr>
        <w:t>1</w:t>
      </w:r>
      <w:r w:rsidRPr="00C454E6">
        <w:rPr>
          <w:rFonts w:ascii="Arial" w:hAnsi="Arial" w:cs="Arial"/>
        </w:rPr>
        <w:t>)</w:t>
      </w:r>
      <w:r w:rsidRPr="00C454E6">
        <w:rPr>
          <w:rFonts w:ascii="Arial" w:hAnsi="Arial" w:cs="Arial"/>
          <w:szCs w:val="24"/>
        </w:rPr>
        <w:t xml:space="preserve">. At this level, the Group has </w:t>
      </w:r>
      <w:r>
        <w:rPr>
          <w:rFonts w:ascii="Arial" w:hAnsi="Arial" w:cs="Arial"/>
          <w:szCs w:val="24"/>
        </w:rPr>
        <w:t xml:space="preserve">the necessary </w:t>
      </w:r>
      <w:r w:rsidRPr="00C454E6">
        <w:rPr>
          <w:rFonts w:ascii="Arial" w:hAnsi="Arial" w:cs="Arial"/>
          <w:szCs w:val="24"/>
        </w:rPr>
        <w:t>financial</w:t>
      </w:r>
      <w:r w:rsidRPr="00364F7A">
        <w:rPr>
          <w:rFonts w:ascii="Arial" w:hAnsi="Arial" w:cs="Arial"/>
          <w:szCs w:val="24"/>
        </w:rPr>
        <w:t xml:space="preserve"> flexibility </w:t>
      </w:r>
      <w:r>
        <w:rPr>
          <w:rFonts w:ascii="Arial" w:hAnsi="Arial" w:cs="Arial"/>
        </w:rPr>
        <w:t>during this current period of heightened uncertainty,</w:t>
      </w:r>
      <w:r w:rsidRPr="00364F7A">
        <w:rPr>
          <w:rFonts w:ascii="Arial" w:hAnsi="Arial" w:cs="Arial"/>
          <w:szCs w:val="24"/>
        </w:rPr>
        <w:t xml:space="preserve"> whilst retaining an efficient cost of capital.</w:t>
      </w:r>
      <w:r>
        <w:rPr>
          <w:rFonts w:ascii="Arial" w:hAnsi="Arial" w:cs="Arial"/>
          <w:szCs w:val="24"/>
        </w:rPr>
        <w:t xml:space="preserve"> </w:t>
      </w:r>
    </w:p>
    <w:p w14:paraId="7D44B948" w14:textId="77777777" w:rsidR="00FD1E04" w:rsidRDefault="00FD1E04" w:rsidP="00AC05F3">
      <w:pPr>
        <w:jc w:val="left"/>
        <w:rPr>
          <w:rFonts w:ascii="Arial" w:hAnsi="Arial" w:cs="Arial"/>
          <w:szCs w:val="24"/>
        </w:rPr>
      </w:pPr>
    </w:p>
    <w:p w14:paraId="37A71024" w14:textId="1B6E9B33" w:rsidR="00AC05F3" w:rsidRPr="003F6776" w:rsidRDefault="00AC05F3" w:rsidP="00AC05F3">
      <w:pPr>
        <w:jc w:val="left"/>
        <w:rPr>
          <w:rFonts w:ascii="Arial" w:hAnsi="Arial" w:cs="Arial"/>
          <w:szCs w:val="24"/>
        </w:rPr>
      </w:pPr>
      <w:r>
        <w:rPr>
          <w:rFonts w:ascii="Arial" w:hAnsi="Arial" w:cs="Arial"/>
          <w:szCs w:val="24"/>
        </w:rPr>
        <w:t xml:space="preserve">Over the medium term, the Group’s objective is </w:t>
      </w:r>
      <w:r w:rsidRPr="008F4C31">
        <w:rPr>
          <w:rFonts w:ascii="Arial" w:hAnsi="Arial" w:cs="Arial"/>
        </w:rPr>
        <w:t xml:space="preserve">a target of </w:t>
      </w:r>
      <w:r w:rsidR="000E5507">
        <w:rPr>
          <w:rFonts w:ascii="Arial" w:hAnsi="Arial" w:cs="Arial"/>
        </w:rPr>
        <w:t xml:space="preserve">a maximum of </w:t>
      </w:r>
      <w:r>
        <w:rPr>
          <w:rFonts w:ascii="Arial" w:hAnsi="Arial" w:cs="Arial"/>
        </w:rPr>
        <w:t xml:space="preserve">c.2.0 times </w:t>
      </w:r>
      <w:r w:rsidRPr="008F4C31">
        <w:rPr>
          <w:rFonts w:ascii="Arial" w:hAnsi="Arial" w:cs="Arial"/>
        </w:rPr>
        <w:t>net debt to EBITDA</w:t>
      </w:r>
      <w:r w:rsidRPr="00C454E6">
        <w:rPr>
          <w:rFonts w:ascii="Arial" w:hAnsi="Arial" w:cs="Arial"/>
        </w:rPr>
        <w:t>.</w:t>
      </w:r>
      <w:r>
        <w:rPr>
          <w:rFonts w:ascii="Arial" w:hAnsi="Arial" w:cs="Arial"/>
        </w:rPr>
        <w:t xml:space="preserve"> For further details</w:t>
      </w:r>
      <w:r w:rsidR="00BD40F9">
        <w:rPr>
          <w:rFonts w:ascii="Arial" w:hAnsi="Arial" w:cs="Arial"/>
        </w:rPr>
        <w:t>,</w:t>
      </w:r>
      <w:r>
        <w:rPr>
          <w:rFonts w:ascii="Arial" w:hAnsi="Arial" w:cs="Arial"/>
        </w:rPr>
        <w:t xml:space="preserve"> please refer to </w:t>
      </w:r>
      <w:r w:rsidRPr="00B74A16">
        <w:rPr>
          <w:rFonts w:ascii="Arial" w:hAnsi="Arial" w:cs="Arial"/>
          <w:i/>
          <w:iCs/>
        </w:rPr>
        <w:t>‘</w:t>
      </w:r>
      <w:r w:rsidRPr="000472A7">
        <w:rPr>
          <w:rFonts w:ascii="Arial" w:hAnsi="Arial" w:cs="Arial"/>
          <w:i/>
          <w:iCs/>
        </w:rPr>
        <w:t>Clear financial priorities and drivers</w:t>
      </w:r>
      <w:r w:rsidRPr="00B74A16">
        <w:rPr>
          <w:rFonts w:ascii="Arial" w:hAnsi="Arial" w:cs="Arial"/>
          <w:i/>
          <w:iCs/>
        </w:rPr>
        <w:t>’</w:t>
      </w:r>
      <w:r>
        <w:rPr>
          <w:rFonts w:ascii="Arial" w:hAnsi="Arial" w:cs="Arial"/>
        </w:rPr>
        <w:t xml:space="preserve"> within Section 2.</w:t>
      </w:r>
    </w:p>
    <w:p w14:paraId="68FE44ED" w14:textId="54EC4FEB" w:rsidR="00AC05F3" w:rsidRDefault="00AC05F3" w:rsidP="00AC05F3">
      <w:pPr>
        <w:jc w:val="left"/>
        <w:rPr>
          <w:rFonts w:ascii="Arial" w:hAnsi="Arial" w:cs="Arial"/>
        </w:rPr>
      </w:pPr>
    </w:p>
    <w:p w14:paraId="1A62FA51" w14:textId="77777777" w:rsidR="00AC05F3" w:rsidRPr="00364F7A" w:rsidRDefault="00AC05F3" w:rsidP="00AC05F3">
      <w:pPr>
        <w:jc w:val="left"/>
        <w:rPr>
          <w:rFonts w:ascii="Arial" w:hAnsi="Arial" w:cs="Arial"/>
          <w:szCs w:val="24"/>
        </w:rPr>
      </w:pPr>
      <w:r w:rsidRPr="00364F7A">
        <w:rPr>
          <w:rFonts w:ascii="Arial" w:hAnsi="Arial" w:cs="Arial"/>
          <w:szCs w:val="24"/>
        </w:rPr>
        <w:t>Net debt to EBITDA is set out below:</w:t>
      </w:r>
    </w:p>
    <w:tbl>
      <w:tblPr>
        <w:tblW w:w="5000" w:type="pct"/>
        <w:tblLayout w:type="fixed"/>
        <w:tblLook w:val="04A0" w:firstRow="1" w:lastRow="0" w:firstColumn="1" w:lastColumn="0" w:noHBand="0" w:noVBand="1"/>
      </w:tblPr>
      <w:tblGrid>
        <w:gridCol w:w="5455"/>
        <w:gridCol w:w="2947"/>
        <w:gridCol w:w="1802"/>
      </w:tblGrid>
      <w:tr w:rsidR="00AC05F3" w:rsidRPr="00CA42F6" w14:paraId="4EF72508" w14:textId="77777777" w:rsidTr="00FE2B4B">
        <w:trPr>
          <w:trHeight w:val="555"/>
        </w:trPr>
        <w:tc>
          <w:tcPr>
            <w:tcW w:w="5273" w:type="dxa"/>
            <w:vAlign w:val="center"/>
          </w:tcPr>
          <w:p w14:paraId="6229A2FB" w14:textId="77777777" w:rsidR="00AC05F3" w:rsidRPr="00364F7A" w:rsidRDefault="00AC05F3" w:rsidP="00FE2B4B">
            <w:pPr>
              <w:jc w:val="left"/>
              <w:rPr>
                <w:rFonts w:ascii="Arial" w:hAnsi="Arial" w:cs="Arial"/>
                <w:bCs/>
              </w:rPr>
            </w:pPr>
          </w:p>
        </w:tc>
        <w:tc>
          <w:tcPr>
            <w:tcW w:w="2849" w:type="dxa"/>
            <w:vAlign w:val="center"/>
            <w:hideMark/>
          </w:tcPr>
          <w:p w14:paraId="725E61CE" w14:textId="77777777" w:rsidR="00AC05F3" w:rsidRPr="00CA42F6" w:rsidRDefault="00AC05F3" w:rsidP="00FE2B4B">
            <w:pPr>
              <w:jc w:val="right"/>
              <w:rPr>
                <w:rFonts w:ascii="Arial" w:hAnsi="Arial" w:cs="Arial"/>
                <w:b/>
                <w:bCs/>
                <w:szCs w:val="24"/>
              </w:rPr>
            </w:pPr>
            <w:r w:rsidRPr="00CA42F6">
              <w:rPr>
                <w:rFonts w:ascii="Arial" w:hAnsi="Arial" w:cs="Arial"/>
                <w:b/>
                <w:bCs/>
                <w:szCs w:val="24"/>
              </w:rPr>
              <w:t>2021/22</w:t>
            </w:r>
          </w:p>
          <w:p w14:paraId="29DB07E2" w14:textId="77777777" w:rsidR="00AC05F3" w:rsidRPr="00CA42F6" w:rsidRDefault="00AC05F3" w:rsidP="00FE2B4B">
            <w:pPr>
              <w:jc w:val="right"/>
              <w:rPr>
                <w:rFonts w:ascii="Arial" w:hAnsi="Arial" w:cs="Arial"/>
                <w:b/>
                <w:bCs/>
              </w:rPr>
            </w:pPr>
            <w:r w:rsidRPr="00CA42F6">
              <w:rPr>
                <w:rFonts w:ascii="Arial" w:hAnsi="Arial" w:cs="Arial"/>
                <w:b/>
                <w:bCs/>
                <w:szCs w:val="24"/>
              </w:rPr>
              <w:t>£m</w:t>
            </w:r>
          </w:p>
        </w:tc>
        <w:tc>
          <w:tcPr>
            <w:tcW w:w="1742" w:type="dxa"/>
            <w:vAlign w:val="center"/>
            <w:hideMark/>
          </w:tcPr>
          <w:p w14:paraId="52CA403E" w14:textId="77777777" w:rsidR="00AC05F3" w:rsidRPr="00CA42F6" w:rsidRDefault="00AC05F3" w:rsidP="00FE2B4B">
            <w:pPr>
              <w:jc w:val="right"/>
              <w:rPr>
                <w:rFonts w:ascii="Arial" w:hAnsi="Arial" w:cs="Arial"/>
                <w:bCs/>
                <w:vertAlign w:val="superscript"/>
              </w:rPr>
            </w:pPr>
            <w:r w:rsidRPr="00CA42F6">
              <w:rPr>
                <w:rFonts w:ascii="Arial" w:hAnsi="Arial" w:cs="Arial"/>
                <w:bCs/>
              </w:rPr>
              <w:t>2020/21</w:t>
            </w:r>
          </w:p>
          <w:p w14:paraId="340F6DE1" w14:textId="77777777" w:rsidR="00AC05F3" w:rsidRPr="00CA42F6" w:rsidRDefault="00AC05F3" w:rsidP="00FE2B4B">
            <w:pPr>
              <w:jc w:val="right"/>
              <w:rPr>
                <w:rFonts w:ascii="Arial" w:hAnsi="Arial" w:cs="Arial"/>
                <w:bCs/>
              </w:rPr>
            </w:pPr>
            <w:r w:rsidRPr="00CA42F6">
              <w:rPr>
                <w:rFonts w:ascii="Arial" w:hAnsi="Arial" w:cs="Arial"/>
                <w:bCs/>
                <w:szCs w:val="24"/>
              </w:rPr>
              <w:t>£m</w:t>
            </w:r>
          </w:p>
        </w:tc>
      </w:tr>
      <w:tr w:rsidR="00AC05F3" w:rsidRPr="00CA42F6" w14:paraId="1C443C18" w14:textId="77777777" w:rsidTr="00FE2B4B">
        <w:trPr>
          <w:trHeight w:val="266"/>
        </w:trPr>
        <w:tc>
          <w:tcPr>
            <w:tcW w:w="5273" w:type="dxa"/>
            <w:tcBorders>
              <w:top w:val="single" w:sz="4" w:space="0" w:color="auto"/>
              <w:left w:val="nil"/>
              <w:right w:val="nil"/>
            </w:tcBorders>
            <w:shd w:val="clear" w:color="auto" w:fill="auto"/>
            <w:vAlign w:val="center"/>
          </w:tcPr>
          <w:p w14:paraId="7A548B01" w14:textId="77777777" w:rsidR="00AC05F3" w:rsidRPr="00CA42F6" w:rsidRDefault="00AC05F3" w:rsidP="00FE2B4B">
            <w:pPr>
              <w:jc w:val="left"/>
              <w:rPr>
                <w:rFonts w:ascii="Arial" w:hAnsi="Arial" w:cs="Arial"/>
              </w:rPr>
            </w:pPr>
            <w:r w:rsidRPr="00CA42F6">
              <w:rPr>
                <w:rFonts w:ascii="Arial" w:hAnsi="Arial" w:cs="Arial"/>
              </w:rPr>
              <w:t>Retail profit</w:t>
            </w:r>
          </w:p>
        </w:tc>
        <w:tc>
          <w:tcPr>
            <w:tcW w:w="2849" w:type="dxa"/>
            <w:tcBorders>
              <w:top w:val="single" w:sz="4" w:space="0" w:color="auto"/>
              <w:left w:val="nil"/>
              <w:right w:val="nil"/>
            </w:tcBorders>
            <w:shd w:val="clear" w:color="auto" w:fill="auto"/>
            <w:vAlign w:val="center"/>
          </w:tcPr>
          <w:p w14:paraId="1865A32C" w14:textId="77777777" w:rsidR="00AC05F3" w:rsidRPr="00231377" w:rsidRDefault="00AC05F3" w:rsidP="00FE2B4B">
            <w:pPr>
              <w:jc w:val="right"/>
              <w:rPr>
                <w:rFonts w:ascii="Arial" w:hAnsi="Arial" w:cs="Arial"/>
                <w:b/>
              </w:rPr>
            </w:pPr>
            <w:r w:rsidRPr="00231377">
              <w:rPr>
                <w:rFonts w:ascii="Arial" w:hAnsi="Arial" w:cs="Arial"/>
                <w:b/>
              </w:rPr>
              <w:t>1,148</w:t>
            </w:r>
          </w:p>
        </w:tc>
        <w:tc>
          <w:tcPr>
            <w:tcW w:w="1742" w:type="dxa"/>
            <w:tcBorders>
              <w:top w:val="single" w:sz="4" w:space="0" w:color="auto"/>
              <w:left w:val="nil"/>
              <w:right w:val="nil"/>
            </w:tcBorders>
            <w:vAlign w:val="center"/>
          </w:tcPr>
          <w:p w14:paraId="0E318190" w14:textId="77777777" w:rsidR="00AC05F3" w:rsidRPr="002C63EC" w:rsidRDefault="00AC05F3" w:rsidP="00FE2B4B">
            <w:pPr>
              <w:jc w:val="right"/>
              <w:rPr>
                <w:rFonts w:ascii="Arial" w:hAnsi="Arial" w:cs="Arial"/>
                <w:bCs/>
              </w:rPr>
            </w:pPr>
            <w:r w:rsidRPr="002C63EC">
              <w:rPr>
                <w:rFonts w:ascii="Arial" w:hAnsi="Arial" w:cs="Arial"/>
                <w:bCs/>
              </w:rPr>
              <w:t>1,003</w:t>
            </w:r>
          </w:p>
        </w:tc>
      </w:tr>
      <w:tr w:rsidR="00AC05F3" w:rsidRPr="00CA42F6" w14:paraId="1A694CE0" w14:textId="77777777" w:rsidTr="00FE2B4B">
        <w:trPr>
          <w:trHeight w:val="266"/>
        </w:trPr>
        <w:tc>
          <w:tcPr>
            <w:tcW w:w="5273" w:type="dxa"/>
            <w:tcBorders>
              <w:left w:val="nil"/>
              <w:bottom w:val="nil"/>
              <w:right w:val="nil"/>
            </w:tcBorders>
            <w:shd w:val="clear" w:color="auto" w:fill="auto"/>
            <w:vAlign w:val="center"/>
          </w:tcPr>
          <w:p w14:paraId="00C222D7" w14:textId="77777777" w:rsidR="00AC05F3" w:rsidRPr="00CA42F6" w:rsidRDefault="00AC05F3" w:rsidP="00FE2B4B">
            <w:pPr>
              <w:jc w:val="left"/>
              <w:rPr>
                <w:rFonts w:ascii="Arial" w:hAnsi="Arial" w:cs="Arial"/>
              </w:rPr>
            </w:pPr>
            <w:r w:rsidRPr="00CA42F6">
              <w:rPr>
                <w:rFonts w:ascii="Arial" w:hAnsi="Arial" w:cs="Arial"/>
              </w:rPr>
              <w:t>Central costs</w:t>
            </w:r>
          </w:p>
        </w:tc>
        <w:tc>
          <w:tcPr>
            <w:tcW w:w="2849" w:type="dxa"/>
            <w:tcBorders>
              <w:left w:val="nil"/>
              <w:bottom w:val="nil"/>
              <w:right w:val="nil"/>
            </w:tcBorders>
            <w:shd w:val="clear" w:color="auto" w:fill="auto"/>
            <w:vAlign w:val="center"/>
          </w:tcPr>
          <w:p w14:paraId="32BF3579" w14:textId="77777777" w:rsidR="00AC05F3" w:rsidRPr="00231377" w:rsidRDefault="00AC05F3" w:rsidP="00FE2B4B">
            <w:pPr>
              <w:jc w:val="right"/>
              <w:rPr>
                <w:rFonts w:ascii="Arial" w:hAnsi="Arial" w:cs="Arial"/>
                <w:b/>
              </w:rPr>
            </w:pPr>
            <w:r w:rsidRPr="00231377">
              <w:rPr>
                <w:rFonts w:ascii="Arial" w:hAnsi="Arial" w:cs="Arial"/>
                <w:b/>
              </w:rPr>
              <w:t>(60)</w:t>
            </w:r>
          </w:p>
        </w:tc>
        <w:tc>
          <w:tcPr>
            <w:tcW w:w="1742" w:type="dxa"/>
            <w:tcBorders>
              <w:left w:val="nil"/>
              <w:bottom w:val="nil"/>
              <w:right w:val="nil"/>
            </w:tcBorders>
            <w:vAlign w:val="center"/>
          </w:tcPr>
          <w:p w14:paraId="6C73329B" w14:textId="77777777" w:rsidR="00AC05F3" w:rsidRPr="002C63EC" w:rsidRDefault="00AC05F3" w:rsidP="00FE2B4B">
            <w:pPr>
              <w:jc w:val="right"/>
              <w:rPr>
                <w:rFonts w:ascii="Arial" w:hAnsi="Arial" w:cs="Arial"/>
                <w:bCs/>
              </w:rPr>
            </w:pPr>
            <w:r w:rsidRPr="002C63EC">
              <w:rPr>
                <w:rFonts w:ascii="Arial" w:hAnsi="Arial" w:cs="Arial"/>
                <w:bCs/>
              </w:rPr>
              <w:t>(54)</w:t>
            </w:r>
          </w:p>
        </w:tc>
      </w:tr>
      <w:tr w:rsidR="00AC05F3" w:rsidRPr="00CA42F6" w14:paraId="481CCDD5" w14:textId="77777777" w:rsidTr="00FE2B4B">
        <w:trPr>
          <w:trHeight w:val="266"/>
        </w:trPr>
        <w:tc>
          <w:tcPr>
            <w:tcW w:w="5273" w:type="dxa"/>
            <w:tcBorders>
              <w:left w:val="nil"/>
              <w:bottom w:val="nil"/>
              <w:right w:val="nil"/>
            </w:tcBorders>
            <w:shd w:val="clear" w:color="auto" w:fill="auto"/>
            <w:vAlign w:val="center"/>
          </w:tcPr>
          <w:p w14:paraId="54B6E01A" w14:textId="77777777" w:rsidR="00AC05F3" w:rsidRPr="00CA42F6" w:rsidRDefault="00AC05F3" w:rsidP="00FE2B4B">
            <w:pPr>
              <w:jc w:val="left"/>
              <w:rPr>
                <w:rFonts w:ascii="Arial" w:hAnsi="Arial" w:cs="Arial"/>
              </w:rPr>
            </w:pPr>
            <w:r w:rsidRPr="00CA42F6">
              <w:rPr>
                <w:rFonts w:ascii="Arial" w:hAnsi="Arial" w:cs="Arial"/>
              </w:rPr>
              <w:t>Depreciation and amortisation</w:t>
            </w:r>
          </w:p>
        </w:tc>
        <w:tc>
          <w:tcPr>
            <w:tcW w:w="2849" w:type="dxa"/>
            <w:tcBorders>
              <w:left w:val="nil"/>
              <w:bottom w:val="nil"/>
              <w:right w:val="nil"/>
            </w:tcBorders>
            <w:shd w:val="clear" w:color="auto" w:fill="auto"/>
            <w:vAlign w:val="center"/>
          </w:tcPr>
          <w:p w14:paraId="06C01E2A" w14:textId="13180E7F" w:rsidR="00AC05F3" w:rsidRPr="00231377" w:rsidRDefault="00AC05F3" w:rsidP="00FE2B4B">
            <w:pPr>
              <w:jc w:val="right"/>
              <w:rPr>
                <w:rFonts w:ascii="Arial" w:hAnsi="Arial" w:cs="Arial"/>
                <w:b/>
              </w:rPr>
            </w:pPr>
            <w:r w:rsidRPr="00231377">
              <w:rPr>
                <w:rFonts w:ascii="Arial" w:hAnsi="Arial" w:cs="Arial"/>
                <w:b/>
              </w:rPr>
              <w:t>55</w:t>
            </w:r>
            <w:r w:rsidR="009101D7">
              <w:rPr>
                <w:rFonts w:ascii="Arial" w:hAnsi="Arial" w:cs="Arial"/>
                <w:b/>
              </w:rPr>
              <w:t>5</w:t>
            </w:r>
          </w:p>
        </w:tc>
        <w:tc>
          <w:tcPr>
            <w:tcW w:w="1742" w:type="dxa"/>
            <w:tcBorders>
              <w:left w:val="nil"/>
              <w:bottom w:val="nil"/>
              <w:right w:val="nil"/>
            </w:tcBorders>
            <w:vAlign w:val="center"/>
          </w:tcPr>
          <w:p w14:paraId="1351E722" w14:textId="77777777" w:rsidR="00AC05F3" w:rsidRPr="002C63EC" w:rsidRDefault="00AC05F3" w:rsidP="00FE2B4B">
            <w:pPr>
              <w:jc w:val="right"/>
              <w:rPr>
                <w:rFonts w:ascii="Arial" w:hAnsi="Arial" w:cs="Arial"/>
                <w:bCs/>
              </w:rPr>
            </w:pPr>
            <w:r w:rsidRPr="002C63EC">
              <w:rPr>
                <w:rFonts w:ascii="Arial" w:hAnsi="Arial" w:cs="Arial"/>
                <w:bCs/>
              </w:rPr>
              <w:t>536</w:t>
            </w:r>
          </w:p>
        </w:tc>
      </w:tr>
      <w:tr w:rsidR="00AC05F3" w:rsidRPr="00CA42F6" w14:paraId="24B72422" w14:textId="77777777" w:rsidTr="00FE2B4B">
        <w:trPr>
          <w:trHeight w:val="266"/>
        </w:trPr>
        <w:tc>
          <w:tcPr>
            <w:tcW w:w="5273" w:type="dxa"/>
            <w:tcBorders>
              <w:top w:val="single" w:sz="4" w:space="0" w:color="auto"/>
              <w:left w:val="nil"/>
              <w:bottom w:val="nil"/>
              <w:right w:val="nil"/>
            </w:tcBorders>
            <w:shd w:val="clear" w:color="auto" w:fill="auto"/>
            <w:vAlign w:val="center"/>
            <w:hideMark/>
          </w:tcPr>
          <w:p w14:paraId="14112CFD" w14:textId="77777777" w:rsidR="00AC05F3" w:rsidRPr="00CA42F6" w:rsidRDefault="00AC05F3" w:rsidP="00FE2B4B">
            <w:pPr>
              <w:jc w:val="left"/>
              <w:rPr>
                <w:rFonts w:ascii="Arial" w:hAnsi="Arial" w:cs="Arial"/>
                <w:b/>
              </w:rPr>
            </w:pPr>
            <w:r w:rsidRPr="00CA42F6">
              <w:rPr>
                <w:rFonts w:ascii="Arial" w:hAnsi="Arial" w:cs="Arial"/>
                <w:b/>
              </w:rPr>
              <w:t>EBITDA</w:t>
            </w:r>
          </w:p>
        </w:tc>
        <w:tc>
          <w:tcPr>
            <w:tcW w:w="2849" w:type="dxa"/>
            <w:tcBorders>
              <w:top w:val="single" w:sz="4" w:space="0" w:color="auto"/>
              <w:left w:val="nil"/>
              <w:bottom w:val="nil"/>
              <w:right w:val="nil"/>
            </w:tcBorders>
            <w:shd w:val="clear" w:color="auto" w:fill="auto"/>
            <w:vAlign w:val="center"/>
          </w:tcPr>
          <w:p w14:paraId="71F799C2" w14:textId="1CF0E6AB" w:rsidR="00AC05F3" w:rsidRPr="00231377" w:rsidRDefault="00AC05F3" w:rsidP="00FE2B4B">
            <w:pPr>
              <w:jc w:val="right"/>
              <w:rPr>
                <w:rFonts w:ascii="Arial" w:hAnsi="Arial" w:cs="Arial"/>
                <w:b/>
              </w:rPr>
            </w:pPr>
            <w:r w:rsidRPr="00231377">
              <w:rPr>
                <w:rFonts w:ascii="Arial" w:hAnsi="Arial" w:cs="Arial"/>
                <w:b/>
              </w:rPr>
              <w:t>1,64</w:t>
            </w:r>
            <w:r w:rsidR="009101D7">
              <w:rPr>
                <w:rFonts w:ascii="Arial" w:hAnsi="Arial" w:cs="Arial"/>
                <w:b/>
              </w:rPr>
              <w:t>3</w:t>
            </w:r>
          </w:p>
        </w:tc>
        <w:tc>
          <w:tcPr>
            <w:tcW w:w="1742" w:type="dxa"/>
            <w:tcBorders>
              <w:top w:val="single" w:sz="4" w:space="0" w:color="auto"/>
              <w:left w:val="nil"/>
              <w:bottom w:val="nil"/>
              <w:right w:val="nil"/>
            </w:tcBorders>
            <w:vAlign w:val="center"/>
          </w:tcPr>
          <w:p w14:paraId="42D29BFD" w14:textId="77777777" w:rsidR="00AC05F3" w:rsidRPr="002C63EC" w:rsidRDefault="00AC05F3" w:rsidP="00FE2B4B">
            <w:pPr>
              <w:jc w:val="right"/>
              <w:rPr>
                <w:rFonts w:ascii="Arial" w:hAnsi="Arial" w:cs="Arial"/>
                <w:bCs/>
              </w:rPr>
            </w:pPr>
            <w:r w:rsidRPr="002C63EC">
              <w:rPr>
                <w:rFonts w:ascii="Arial" w:hAnsi="Arial" w:cs="Arial"/>
                <w:bCs/>
              </w:rPr>
              <w:t>1,485</w:t>
            </w:r>
          </w:p>
        </w:tc>
      </w:tr>
      <w:tr w:rsidR="00AC05F3" w:rsidRPr="00CA42F6" w14:paraId="7C190B0D" w14:textId="77777777" w:rsidTr="00FE2B4B">
        <w:trPr>
          <w:trHeight w:val="266"/>
        </w:trPr>
        <w:tc>
          <w:tcPr>
            <w:tcW w:w="5273" w:type="dxa"/>
            <w:tcBorders>
              <w:top w:val="single" w:sz="4" w:space="0" w:color="auto"/>
              <w:left w:val="nil"/>
              <w:bottom w:val="single" w:sz="4" w:space="0" w:color="auto"/>
              <w:right w:val="nil"/>
            </w:tcBorders>
            <w:shd w:val="clear" w:color="auto" w:fill="auto"/>
            <w:vAlign w:val="center"/>
            <w:hideMark/>
          </w:tcPr>
          <w:p w14:paraId="20F2036C" w14:textId="77777777" w:rsidR="00AC05F3" w:rsidRPr="00CA42F6" w:rsidRDefault="00AC05F3" w:rsidP="00FE2B4B">
            <w:pPr>
              <w:jc w:val="left"/>
              <w:rPr>
                <w:rFonts w:ascii="Arial" w:hAnsi="Arial" w:cs="Arial"/>
                <w:b/>
              </w:rPr>
            </w:pPr>
            <w:r w:rsidRPr="00CA42F6">
              <w:rPr>
                <w:rFonts w:ascii="Arial" w:hAnsi="Arial" w:cs="Arial"/>
                <w:b/>
              </w:rPr>
              <w:t>Net debt</w:t>
            </w:r>
          </w:p>
        </w:tc>
        <w:tc>
          <w:tcPr>
            <w:tcW w:w="2849" w:type="dxa"/>
            <w:tcBorders>
              <w:top w:val="single" w:sz="4" w:space="0" w:color="auto"/>
              <w:left w:val="nil"/>
              <w:bottom w:val="single" w:sz="4" w:space="0" w:color="auto"/>
              <w:right w:val="nil"/>
            </w:tcBorders>
            <w:shd w:val="clear" w:color="auto" w:fill="auto"/>
            <w:vAlign w:val="center"/>
          </w:tcPr>
          <w:p w14:paraId="7F79FC41" w14:textId="591F9D3F" w:rsidR="00AC05F3" w:rsidRPr="00231377" w:rsidRDefault="00AC05F3" w:rsidP="00FE2B4B">
            <w:pPr>
              <w:jc w:val="right"/>
              <w:rPr>
                <w:rFonts w:ascii="Arial" w:hAnsi="Arial" w:cs="Arial"/>
                <w:b/>
              </w:rPr>
            </w:pPr>
            <w:r w:rsidRPr="00231377">
              <w:rPr>
                <w:rFonts w:ascii="Arial" w:hAnsi="Arial" w:cs="Arial"/>
                <w:b/>
              </w:rPr>
              <w:t>1,5</w:t>
            </w:r>
            <w:r>
              <w:rPr>
                <w:rFonts w:ascii="Arial" w:hAnsi="Arial" w:cs="Arial"/>
                <w:b/>
              </w:rPr>
              <w:t>72</w:t>
            </w:r>
          </w:p>
        </w:tc>
        <w:tc>
          <w:tcPr>
            <w:tcW w:w="1742" w:type="dxa"/>
            <w:tcBorders>
              <w:top w:val="single" w:sz="4" w:space="0" w:color="auto"/>
              <w:left w:val="nil"/>
              <w:bottom w:val="single" w:sz="4" w:space="0" w:color="auto"/>
              <w:right w:val="nil"/>
            </w:tcBorders>
            <w:vAlign w:val="center"/>
          </w:tcPr>
          <w:p w14:paraId="05CF4865" w14:textId="77777777" w:rsidR="00AC05F3" w:rsidRPr="002C63EC" w:rsidRDefault="00AC05F3" w:rsidP="00FE2B4B">
            <w:pPr>
              <w:jc w:val="right"/>
              <w:rPr>
                <w:rFonts w:ascii="Arial" w:hAnsi="Arial" w:cs="Arial"/>
                <w:bCs/>
              </w:rPr>
            </w:pPr>
            <w:r w:rsidRPr="002C63EC">
              <w:rPr>
                <w:rFonts w:ascii="Arial" w:hAnsi="Arial" w:cs="Arial"/>
                <w:bCs/>
              </w:rPr>
              <w:t>1,394</w:t>
            </w:r>
          </w:p>
        </w:tc>
      </w:tr>
      <w:tr w:rsidR="00AC05F3" w:rsidRPr="00364F7A" w14:paraId="327CA40E" w14:textId="77777777" w:rsidTr="00FE2B4B">
        <w:trPr>
          <w:trHeight w:val="266"/>
        </w:trPr>
        <w:tc>
          <w:tcPr>
            <w:tcW w:w="5273" w:type="dxa"/>
            <w:tcBorders>
              <w:top w:val="single" w:sz="4" w:space="0" w:color="auto"/>
              <w:left w:val="nil"/>
              <w:bottom w:val="single" w:sz="4" w:space="0" w:color="auto"/>
              <w:right w:val="nil"/>
            </w:tcBorders>
            <w:shd w:val="clear" w:color="auto" w:fill="auto"/>
            <w:vAlign w:val="center"/>
            <w:hideMark/>
          </w:tcPr>
          <w:p w14:paraId="67C9F30C" w14:textId="77777777" w:rsidR="00AC05F3" w:rsidRPr="00CA42F6" w:rsidRDefault="00AC05F3" w:rsidP="00FE2B4B">
            <w:pPr>
              <w:jc w:val="left"/>
              <w:rPr>
                <w:rFonts w:ascii="Arial" w:hAnsi="Arial" w:cs="Arial"/>
                <w:b/>
              </w:rPr>
            </w:pPr>
            <w:r w:rsidRPr="00CA42F6">
              <w:rPr>
                <w:rFonts w:ascii="Arial" w:hAnsi="Arial" w:cs="Arial"/>
                <w:b/>
              </w:rPr>
              <w:t>Net debt to EBITDA</w:t>
            </w:r>
          </w:p>
        </w:tc>
        <w:tc>
          <w:tcPr>
            <w:tcW w:w="2849" w:type="dxa"/>
            <w:tcBorders>
              <w:top w:val="single" w:sz="4" w:space="0" w:color="auto"/>
              <w:left w:val="nil"/>
              <w:bottom w:val="single" w:sz="4" w:space="0" w:color="auto"/>
              <w:right w:val="nil"/>
            </w:tcBorders>
            <w:shd w:val="clear" w:color="auto" w:fill="auto"/>
            <w:vAlign w:val="center"/>
          </w:tcPr>
          <w:p w14:paraId="497E00FB" w14:textId="77777777" w:rsidR="00AC05F3" w:rsidRPr="00231377" w:rsidRDefault="00AC05F3" w:rsidP="00FE2B4B">
            <w:pPr>
              <w:jc w:val="right"/>
              <w:rPr>
                <w:rFonts w:ascii="Arial" w:hAnsi="Arial" w:cs="Arial"/>
                <w:b/>
              </w:rPr>
            </w:pPr>
            <w:r w:rsidRPr="00231377">
              <w:rPr>
                <w:rFonts w:ascii="Arial" w:hAnsi="Arial" w:cs="Arial"/>
                <w:b/>
              </w:rPr>
              <w:t>1.0</w:t>
            </w:r>
          </w:p>
        </w:tc>
        <w:tc>
          <w:tcPr>
            <w:tcW w:w="1742" w:type="dxa"/>
            <w:tcBorders>
              <w:top w:val="single" w:sz="4" w:space="0" w:color="auto"/>
              <w:left w:val="nil"/>
              <w:bottom w:val="single" w:sz="4" w:space="0" w:color="auto"/>
              <w:right w:val="nil"/>
            </w:tcBorders>
            <w:vAlign w:val="center"/>
          </w:tcPr>
          <w:p w14:paraId="01F86D10" w14:textId="77777777" w:rsidR="00AC05F3" w:rsidRPr="002C63EC" w:rsidRDefault="00AC05F3" w:rsidP="00FE2B4B">
            <w:pPr>
              <w:tabs>
                <w:tab w:val="center" w:pos="671"/>
                <w:tab w:val="right" w:pos="1343"/>
              </w:tabs>
              <w:jc w:val="right"/>
              <w:rPr>
                <w:rFonts w:ascii="Arial" w:hAnsi="Arial" w:cs="Arial"/>
                <w:bCs/>
              </w:rPr>
            </w:pPr>
            <w:r w:rsidRPr="002C63EC">
              <w:rPr>
                <w:rFonts w:ascii="Arial" w:hAnsi="Arial" w:cs="Arial"/>
                <w:bCs/>
              </w:rPr>
              <w:t>0.9</w:t>
            </w:r>
          </w:p>
        </w:tc>
      </w:tr>
    </w:tbl>
    <w:p w14:paraId="72AE6B20" w14:textId="77777777" w:rsidR="00AC05F3" w:rsidRDefault="00AC05F3" w:rsidP="00AC05F3">
      <w:pPr>
        <w:jc w:val="left"/>
        <w:rPr>
          <w:rFonts w:ascii="Arial" w:hAnsi="Arial" w:cs="Arial"/>
        </w:rPr>
      </w:pPr>
    </w:p>
    <w:p w14:paraId="2850AAC1" w14:textId="77777777" w:rsidR="00AC05F3" w:rsidRDefault="00AC05F3" w:rsidP="00AC05F3">
      <w:pPr>
        <w:jc w:val="left"/>
        <w:rPr>
          <w:rFonts w:ascii="Arial" w:hAnsi="Arial" w:cs="Arial"/>
          <w:szCs w:val="24"/>
        </w:rPr>
      </w:pPr>
      <w:r>
        <w:rPr>
          <w:rFonts w:ascii="Arial" w:hAnsi="Arial" w:cs="Arial"/>
          <w:szCs w:val="24"/>
          <w:u w:val="single"/>
        </w:rPr>
        <w:t>Credit ratings</w:t>
      </w:r>
    </w:p>
    <w:p w14:paraId="39B378F8" w14:textId="77777777" w:rsidR="00AC05F3" w:rsidRDefault="00AC05F3" w:rsidP="00AC05F3">
      <w:pPr>
        <w:jc w:val="left"/>
        <w:rPr>
          <w:rFonts w:ascii="Arial" w:hAnsi="Arial" w:cs="Arial"/>
        </w:rPr>
      </w:pPr>
      <w:r w:rsidRPr="00364F7A">
        <w:rPr>
          <w:rFonts w:ascii="Arial" w:hAnsi="Arial" w:cs="Arial"/>
        </w:rPr>
        <w:t xml:space="preserve">Kingfisher holds a BBB credit rating with </w:t>
      </w:r>
      <w:r w:rsidRPr="00244E5A">
        <w:rPr>
          <w:rFonts w:ascii="Arial" w:hAnsi="Arial" w:cs="Arial"/>
        </w:rPr>
        <w:t xml:space="preserve">Fitch, (P) Baa2 rating with Moody’s, and a BBB rating with Standard and </w:t>
      </w:r>
      <w:r w:rsidRPr="001877BC">
        <w:rPr>
          <w:rFonts w:ascii="Arial" w:hAnsi="Arial" w:cs="Arial"/>
        </w:rPr>
        <w:t>Poor’s</w:t>
      </w:r>
      <w:r>
        <w:rPr>
          <w:rFonts w:ascii="Arial" w:hAnsi="Arial" w:cs="Arial"/>
        </w:rPr>
        <w:t>. The Outlook is Stable across all three agencies.</w:t>
      </w:r>
    </w:p>
    <w:p w14:paraId="3534872E" w14:textId="77777777" w:rsidR="00AC05F3" w:rsidRDefault="00AC05F3" w:rsidP="00AC05F3">
      <w:pPr>
        <w:jc w:val="left"/>
        <w:rPr>
          <w:rFonts w:ascii="Arial" w:hAnsi="Arial" w:cs="Arial"/>
        </w:rPr>
      </w:pPr>
    </w:p>
    <w:p w14:paraId="3B32B552" w14:textId="71D5A96C" w:rsidR="00AC05F3" w:rsidRPr="00726D3A" w:rsidRDefault="00AC05F3" w:rsidP="00AC05F3">
      <w:pPr>
        <w:jc w:val="left"/>
        <w:rPr>
          <w:rFonts w:ascii="Arial" w:hAnsi="Arial" w:cs="Arial"/>
          <w:u w:val="single"/>
        </w:rPr>
      </w:pPr>
      <w:r w:rsidRPr="00726D3A">
        <w:rPr>
          <w:rFonts w:ascii="Arial" w:hAnsi="Arial" w:cs="Arial"/>
          <w:u w:val="single"/>
        </w:rPr>
        <w:t>Revolving credit facilit</w:t>
      </w:r>
      <w:r w:rsidR="00FD1E04" w:rsidRPr="00726D3A">
        <w:rPr>
          <w:rFonts w:ascii="Arial" w:hAnsi="Arial" w:cs="Arial"/>
          <w:u w:val="single"/>
        </w:rPr>
        <w:t>y</w:t>
      </w:r>
    </w:p>
    <w:p w14:paraId="2362DAD1" w14:textId="2366A0F2" w:rsidR="00AC05F3" w:rsidRPr="0065352A" w:rsidRDefault="00AC05F3" w:rsidP="00AC05F3">
      <w:pPr>
        <w:jc w:val="left"/>
        <w:rPr>
          <w:rFonts w:ascii="Arial" w:hAnsi="Arial" w:cs="Arial"/>
        </w:rPr>
      </w:pPr>
      <w:r w:rsidRPr="00726D3A">
        <w:rPr>
          <w:rFonts w:ascii="Arial" w:hAnsi="Arial" w:cs="Arial"/>
          <w:bCs/>
        </w:rPr>
        <w:t xml:space="preserve">In May 2021 the Group entered into a new £550m three-year </w:t>
      </w:r>
      <w:r w:rsidRPr="00726D3A">
        <w:rPr>
          <w:rFonts w:ascii="Arial" w:hAnsi="Arial" w:cs="Arial"/>
        </w:rPr>
        <w:t>revolving credit facility</w:t>
      </w:r>
      <w:r w:rsidRPr="00726D3A">
        <w:rPr>
          <w:rFonts w:ascii="Arial" w:hAnsi="Arial" w:cs="Arial"/>
          <w:bCs/>
        </w:rPr>
        <w:t xml:space="preserve"> (RCF) agreement with a group of its relationship banks, linked to sustainability and community-based targets. </w:t>
      </w:r>
      <w:r w:rsidRPr="006957EC">
        <w:rPr>
          <w:rFonts w:ascii="Arial" w:hAnsi="Arial" w:cs="Arial"/>
          <w:bCs/>
        </w:rPr>
        <w:t xml:space="preserve">The credit facility </w:t>
      </w:r>
      <w:r w:rsidRPr="006957EC">
        <w:rPr>
          <w:rFonts w:ascii="Arial" w:hAnsi="Arial" w:cs="Arial"/>
        </w:rPr>
        <w:t>expires in May 2024</w:t>
      </w:r>
      <w:r w:rsidRPr="00726D3A">
        <w:rPr>
          <w:rFonts w:ascii="Arial" w:hAnsi="Arial" w:cs="Arial"/>
        </w:rPr>
        <w:t xml:space="preserve"> and </w:t>
      </w:r>
      <w:r w:rsidRPr="00726D3A">
        <w:rPr>
          <w:rFonts w:ascii="Arial" w:hAnsi="Arial" w:cs="Arial"/>
          <w:bCs/>
        </w:rPr>
        <w:t>replace</w:t>
      </w:r>
      <w:r w:rsidR="006757E2" w:rsidRPr="00726D3A">
        <w:rPr>
          <w:rFonts w:ascii="Arial" w:hAnsi="Arial" w:cs="Arial"/>
          <w:bCs/>
        </w:rPr>
        <w:t>d</w:t>
      </w:r>
      <w:r w:rsidRPr="00726D3A">
        <w:rPr>
          <w:rFonts w:ascii="Arial" w:hAnsi="Arial" w:cs="Arial"/>
          <w:bCs/>
        </w:rPr>
        <w:t xml:space="preserve"> the two previous facilities (£225m that was due to expire in March 2022 and £550m, most of which was due to expire in August 2023), which were cancelled in June 2021. </w:t>
      </w:r>
      <w:r w:rsidRPr="00726D3A">
        <w:rPr>
          <w:rFonts w:ascii="Arial" w:hAnsi="Arial" w:cs="Arial"/>
        </w:rPr>
        <w:t>As of 31 January</w:t>
      </w:r>
      <w:r w:rsidRPr="0065352A">
        <w:rPr>
          <w:rFonts w:ascii="Arial" w:hAnsi="Arial" w:cs="Arial"/>
        </w:rPr>
        <w:t xml:space="preserve"> 2022</w:t>
      </w:r>
      <w:r w:rsidR="006757E2">
        <w:rPr>
          <w:rFonts w:ascii="Arial" w:hAnsi="Arial" w:cs="Arial"/>
        </w:rPr>
        <w:t>,</w:t>
      </w:r>
      <w:r w:rsidRPr="0065352A">
        <w:rPr>
          <w:rFonts w:ascii="Arial" w:hAnsi="Arial" w:cs="Arial"/>
        </w:rPr>
        <w:t xml:space="preserve"> this RCF was undrawn.</w:t>
      </w:r>
    </w:p>
    <w:p w14:paraId="6385FB3B" w14:textId="4FDAFA6A" w:rsidR="00272A7B" w:rsidRDefault="00272A7B" w:rsidP="00272A7B">
      <w:pPr>
        <w:jc w:val="left"/>
        <w:rPr>
          <w:rFonts w:ascii="Arial" w:hAnsi="Arial" w:cs="Arial"/>
          <w:bCs/>
        </w:rPr>
      </w:pPr>
      <w:r>
        <w:rPr>
          <w:rFonts w:ascii="Arial" w:hAnsi="Arial" w:cs="Arial"/>
          <w:bCs/>
        </w:rPr>
        <w:br w:type="page"/>
      </w:r>
    </w:p>
    <w:p w14:paraId="79EC7D2E" w14:textId="77777777" w:rsidR="00AC05F3" w:rsidRPr="0065352A" w:rsidRDefault="00AC05F3" w:rsidP="00AC05F3">
      <w:pPr>
        <w:jc w:val="left"/>
        <w:rPr>
          <w:rFonts w:ascii="Arial" w:hAnsi="Arial" w:cs="Arial"/>
        </w:rPr>
      </w:pPr>
      <w:r w:rsidRPr="0065352A">
        <w:rPr>
          <w:rFonts w:ascii="Arial" w:hAnsi="Arial" w:cs="Arial"/>
          <w:u w:val="single"/>
        </w:rPr>
        <w:lastRenderedPageBreak/>
        <w:t>Other borrowings</w:t>
      </w:r>
    </w:p>
    <w:p w14:paraId="008B41A1" w14:textId="7BE3C383" w:rsidR="00AC05F3" w:rsidRPr="0065352A" w:rsidRDefault="00AC05F3" w:rsidP="00AC05F3">
      <w:pPr>
        <w:jc w:val="left"/>
        <w:rPr>
          <w:rFonts w:ascii="Arial" w:hAnsi="Arial" w:cs="Arial"/>
        </w:rPr>
      </w:pPr>
      <w:r w:rsidRPr="0065352A">
        <w:rPr>
          <w:rFonts w:ascii="Arial" w:hAnsi="Arial" w:cs="Arial"/>
        </w:rPr>
        <w:t>The Group repaid its €50</w:t>
      </w:r>
      <w:r>
        <w:rPr>
          <w:rFonts w:ascii="Arial" w:hAnsi="Arial" w:cs="Arial"/>
        </w:rPr>
        <w:t>m</w:t>
      </w:r>
      <w:r w:rsidRPr="0065352A">
        <w:rPr>
          <w:rFonts w:ascii="Arial" w:hAnsi="Arial" w:cs="Arial"/>
        </w:rPr>
        <w:t xml:space="preserve"> and £50</w:t>
      </w:r>
      <w:r>
        <w:rPr>
          <w:rFonts w:ascii="Arial" w:hAnsi="Arial" w:cs="Arial"/>
        </w:rPr>
        <w:t>m</w:t>
      </w:r>
      <w:r w:rsidRPr="0065352A">
        <w:rPr>
          <w:rFonts w:ascii="Arial" w:hAnsi="Arial" w:cs="Arial"/>
        </w:rPr>
        <w:t xml:space="preserve"> fixed term loans at maturity in September 2021 and December 2021 respectively. </w:t>
      </w:r>
    </w:p>
    <w:p w14:paraId="3D094B3F" w14:textId="28987738" w:rsidR="00101936" w:rsidRDefault="00101936" w:rsidP="00AC05F3">
      <w:pPr>
        <w:jc w:val="left"/>
        <w:rPr>
          <w:rFonts w:ascii="Arial" w:hAnsi="Arial" w:cs="Arial"/>
        </w:rPr>
      </w:pPr>
    </w:p>
    <w:p w14:paraId="2F05A559" w14:textId="77777777" w:rsidR="00AC05F3" w:rsidRPr="0065352A" w:rsidRDefault="00AC05F3" w:rsidP="00AC05F3">
      <w:pPr>
        <w:jc w:val="left"/>
        <w:rPr>
          <w:rFonts w:ascii="Arial" w:hAnsi="Arial" w:cs="Arial"/>
        </w:rPr>
      </w:pPr>
      <w:r w:rsidRPr="0065352A">
        <w:rPr>
          <w:rFonts w:ascii="Arial" w:hAnsi="Arial" w:cs="Arial"/>
          <w:u w:val="single"/>
        </w:rPr>
        <w:t>Covenants</w:t>
      </w:r>
    </w:p>
    <w:p w14:paraId="06A51483" w14:textId="6BD064EF" w:rsidR="00AC05F3" w:rsidRPr="0065352A" w:rsidRDefault="00AC05F3" w:rsidP="00AC05F3">
      <w:pPr>
        <w:jc w:val="left"/>
        <w:rPr>
          <w:rFonts w:ascii="Arial" w:hAnsi="Arial" w:cs="Arial"/>
        </w:rPr>
      </w:pPr>
      <w:r w:rsidRPr="0065352A">
        <w:rPr>
          <w:rFonts w:ascii="Arial" w:hAnsi="Arial" w:cs="Arial"/>
        </w:rPr>
        <w:t>The terms of the committed RCF require that the ratio of Group operating profit (excluding adjusting items) to net interest payable (excluding interest on IFRS 16 lease liabilities) must be no less than 3:1 for the preceding 12 months as at the half and full year-ends. As of 31 January 2022, Kingfisher’s ratio was higher than this requirement.</w:t>
      </w:r>
    </w:p>
    <w:p w14:paraId="06109C84" w14:textId="77777777" w:rsidR="00AC05F3" w:rsidRPr="0065352A" w:rsidRDefault="00AC05F3" w:rsidP="00AC05F3">
      <w:pPr>
        <w:jc w:val="left"/>
        <w:rPr>
          <w:rFonts w:ascii="Arial" w:hAnsi="Arial" w:cs="Arial"/>
        </w:rPr>
      </w:pPr>
    </w:p>
    <w:p w14:paraId="46512CE6" w14:textId="77777777" w:rsidR="00AC05F3" w:rsidRPr="008F0B7D" w:rsidRDefault="00AC05F3" w:rsidP="00AC05F3">
      <w:pPr>
        <w:jc w:val="left"/>
        <w:rPr>
          <w:rFonts w:ascii="Arial" w:hAnsi="Arial" w:cs="Arial"/>
          <w:bCs/>
          <w:u w:val="single"/>
        </w:rPr>
      </w:pPr>
      <w:r w:rsidRPr="008F0B7D">
        <w:rPr>
          <w:rFonts w:ascii="Arial" w:hAnsi="Arial" w:cs="Arial"/>
          <w:bCs/>
          <w:u w:val="single"/>
        </w:rPr>
        <w:t>Total liquidity</w:t>
      </w:r>
    </w:p>
    <w:p w14:paraId="33344F31" w14:textId="172D70D6" w:rsidR="00AC05F3" w:rsidRPr="003B7D84" w:rsidRDefault="00AC05F3" w:rsidP="00AC05F3">
      <w:pPr>
        <w:jc w:val="left"/>
        <w:rPr>
          <w:rFonts w:ascii="Arial" w:hAnsi="Arial" w:cs="Arial"/>
        </w:rPr>
      </w:pPr>
      <w:r w:rsidRPr="008F0B7D">
        <w:rPr>
          <w:rFonts w:ascii="Arial" w:eastAsia="Times New Roman" w:hAnsi="Arial" w:cs="Arial"/>
        </w:rPr>
        <w:t xml:space="preserve">As of 31 January 2022, the Group had access to over </w:t>
      </w:r>
      <w:r w:rsidR="008F0B7D">
        <w:rPr>
          <w:rFonts w:ascii="Arial" w:eastAsia="Times New Roman" w:hAnsi="Arial" w:cs="Arial"/>
        </w:rPr>
        <w:t xml:space="preserve">£1.3bn </w:t>
      </w:r>
      <w:r w:rsidRPr="008F0B7D">
        <w:rPr>
          <w:rFonts w:ascii="Arial" w:eastAsia="Times New Roman" w:hAnsi="Arial" w:cs="Arial"/>
        </w:rPr>
        <w:t>in total liquidity, including cash and cash equivalents of</w:t>
      </w:r>
      <w:r w:rsidR="008F0B7D">
        <w:rPr>
          <w:rFonts w:ascii="Arial" w:eastAsia="Times New Roman" w:hAnsi="Arial" w:cs="Arial"/>
        </w:rPr>
        <w:t xml:space="preserve"> over £800m </w:t>
      </w:r>
      <w:r w:rsidRPr="008F0B7D">
        <w:rPr>
          <w:rFonts w:ascii="Arial" w:hAnsi="Arial" w:cs="Arial"/>
          <w:bCs/>
        </w:rPr>
        <w:t>and access to a £550</w:t>
      </w:r>
      <w:r w:rsidRPr="008F0B7D">
        <w:rPr>
          <w:rStyle w:val="CommentReference"/>
          <w:rFonts w:ascii="Arial" w:hAnsi="Arial" w:cs="Arial"/>
          <w:sz w:val="22"/>
          <w:szCs w:val="22"/>
        </w:rPr>
        <w:t>m</w:t>
      </w:r>
      <w:r w:rsidRPr="008F0B7D">
        <w:rPr>
          <w:rFonts w:ascii="Arial" w:hAnsi="Arial" w:cs="Arial"/>
          <w:bCs/>
        </w:rPr>
        <w:t xml:space="preserve"> RCF.</w:t>
      </w:r>
      <w:r w:rsidRPr="008F0B7D">
        <w:rPr>
          <w:rFonts w:ascii="Arial" w:hAnsi="Arial" w:cs="Arial"/>
        </w:rPr>
        <w:t xml:space="preserve"> Further detail on Kingfisher’s debt and facilities can be found at </w:t>
      </w:r>
      <w:hyperlink r:id="rId18" w:history="1">
        <w:r w:rsidRPr="008F0B7D">
          <w:rPr>
            <w:rStyle w:val="Hyperlink"/>
            <w:rFonts w:ascii="Arial" w:hAnsi="Arial" w:cs="Arial"/>
          </w:rPr>
          <w:t>www.kingfisher.com</w:t>
        </w:r>
      </w:hyperlink>
      <w:r w:rsidRPr="008F0B7D">
        <w:rPr>
          <w:rFonts w:ascii="Arial" w:hAnsi="Arial" w:cs="Arial"/>
        </w:rPr>
        <w:t>.</w:t>
      </w:r>
    </w:p>
    <w:p w14:paraId="7FA371D4" w14:textId="77777777" w:rsidR="00AC05F3" w:rsidRDefault="00AC05F3" w:rsidP="0035042E">
      <w:pPr>
        <w:ind w:right="-368"/>
        <w:jc w:val="left"/>
        <w:rPr>
          <w:rFonts w:ascii="Arial" w:hAnsi="Arial" w:cs="Arial"/>
          <w:bCs/>
        </w:rPr>
      </w:pPr>
    </w:p>
    <w:p w14:paraId="401CB79D" w14:textId="77777777" w:rsidR="0035042E" w:rsidRPr="00DE0F31" w:rsidRDefault="0035042E" w:rsidP="0035042E">
      <w:pPr>
        <w:jc w:val="left"/>
        <w:rPr>
          <w:rFonts w:ascii="Arial" w:hAnsi="Arial" w:cs="Arial"/>
          <w:bCs/>
        </w:rPr>
      </w:pPr>
      <w:bookmarkStart w:id="95" w:name="_Hlk96689259"/>
      <w:r w:rsidRPr="00DE0F31">
        <w:rPr>
          <w:rFonts w:ascii="Arial" w:hAnsi="Arial" w:cs="Arial"/>
          <w:b/>
        </w:rPr>
        <w:t xml:space="preserve">Free cash flow </w:t>
      </w:r>
    </w:p>
    <w:p w14:paraId="28BCE804" w14:textId="77777777" w:rsidR="0035042E" w:rsidRPr="00DE0F31" w:rsidRDefault="0035042E" w:rsidP="0035042E">
      <w:pPr>
        <w:jc w:val="left"/>
        <w:rPr>
          <w:rFonts w:ascii="Arial" w:hAnsi="Arial" w:cs="Arial"/>
          <w:bCs/>
        </w:rPr>
      </w:pPr>
      <w:r w:rsidRPr="00DE0F31">
        <w:rPr>
          <w:rFonts w:ascii="Arial" w:hAnsi="Arial" w:cs="Arial"/>
        </w:rPr>
        <w:t>A reconciliation of free cash flow is set out below:</w:t>
      </w:r>
    </w:p>
    <w:tbl>
      <w:tblPr>
        <w:tblW w:w="5000" w:type="pct"/>
        <w:tblLayout w:type="fixed"/>
        <w:tblLook w:val="0000" w:firstRow="0" w:lastRow="0" w:firstColumn="0" w:lastColumn="0" w:noHBand="0" w:noVBand="0"/>
      </w:tblPr>
      <w:tblGrid>
        <w:gridCol w:w="7347"/>
        <w:gridCol w:w="1428"/>
        <w:gridCol w:w="1429"/>
      </w:tblGrid>
      <w:tr w:rsidR="0035042E" w:rsidRPr="00DE0F31" w14:paraId="6AD080DE" w14:textId="77777777" w:rsidTr="00DE0F31">
        <w:trPr>
          <w:trHeight w:val="520"/>
        </w:trPr>
        <w:tc>
          <w:tcPr>
            <w:tcW w:w="7347" w:type="dxa"/>
            <w:shd w:val="clear" w:color="auto" w:fill="auto"/>
            <w:vAlign w:val="center"/>
          </w:tcPr>
          <w:p w14:paraId="721DA88F" w14:textId="77777777" w:rsidR="0035042E" w:rsidRPr="00DE0F31" w:rsidRDefault="0035042E" w:rsidP="00DE0F31">
            <w:pPr>
              <w:jc w:val="left"/>
              <w:rPr>
                <w:rFonts w:ascii="Arial" w:hAnsi="Arial" w:cs="Arial"/>
                <w:b/>
              </w:rPr>
            </w:pPr>
          </w:p>
        </w:tc>
        <w:tc>
          <w:tcPr>
            <w:tcW w:w="1428" w:type="dxa"/>
            <w:vAlign w:val="center"/>
          </w:tcPr>
          <w:p w14:paraId="76D85E3F" w14:textId="77777777" w:rsidR="0035042E" w:rsidRPr="00DE0F31" w:rsidRDefault="0035042E" w:rsidP="00DE0F31">
            <w:pPr>
              <w:jc w:val="right"/>
              <w:rPr>
                <w:rFonts w:ascii="Arial" w:hAnsi="Arial" w:cs="Arial"/>
                <w:b/>
              </w:rPr>
            </w:pPr>
            <w:r w:rsidRPr="00DE0F31">
              <w:rPr>
                <w:rFonts w:ascii="Arial" w:hAnsi="Arial" w:cs="Arial"/>
                <w:b/>
              </w:rPr>
              <w:t>2021/22</w:t>
            </w:r>
          </w:p>
          <w:p w14:paraId="65A49118" w14:textId="77777777" w:rsidR="0035042E" w:rsidRPr="00DE0F31" w:rsidRDefault="0035042E" w:rsidP="00DE0F31">
            <w:pPr>
              <w:jc w:val="right"/>
              <w:rPr>
                <w:rFonts w:ascii="Arial" w:hAnsi="Arial" w:cs="Arial"/>
                <w:b/>
              </w:rPr>
            </w:pPr>
            <w:r w:rsidRPr="00DE0F31">
              <w:rPr>
                <w:rFonts w:ascii="Arial" w:hAnsi="Arial" w:cs="Arial"/>
                <w:b/>
              </w:rPr>
              <w:t>£m</w:t>
            </w:r>
          </w:p>
        </w:tc>
        <w:tc>
          <w:tcPr>
            <w:tcW w:w="1429" w:type="dxa"/>
            <w:vAlign w:val="center"/>
          </w:tcPr>
          <w:p w14:paraId="755F2972" w14:textId="77777777" w:rsidR="0035042E" w:rsidRPr="00DE0F31" w:rsidRDefault="0035042E" w:rsidP="00DE0F31">
            <w:pPr>
              <w:jc w:val="right"/>
              <w:rPr>
                <w:rFonts w:ascii="Arial" w:hAnsi="Arial" w:cs="Arial"/>
              </w:rPr>
            </w:pPr>
            <w:r w:rsidRPr="00DE0F31">
              <w:rPr>
                <w:rFonts w:ascii="Arial" w:hAnsi="Arial" w:cs="Arial"/>
              </w:rPr>
              <w:t>2020/21</w:t>
            </w:r>
          </w:p>
          <w:p w14:paraId="5EC5F18C" w14:textId="77777777" w:rsidR="0035042E" w:rsidRPr="00DE0F31" w:rsidRDefault="0035042E" w:rsidP="00DE0F31">
            <w:pPr>
              <w:jc w:val="right"/>
              <w:rPr>
                <w:rFonts w:ascii="Arial" w:hAnsi="Arial" w:cs="Arial"/>
                <w:bCs/>
              </w:rPr>
            </w:pPr>
            <w:r w:rsidRPr="00DE0F31">
              <w:rPr>
                <w:rFonts w:ascii="Arial" w:hAnsi="Arial" w:cs="Arial"/>
              </w:rPr>
              <w:t>£m</w:t>
            </w:r>
          </w:p>
        </w:tc>
      </w:tr>
      <w:tr w:rsidR="00AF04F9" w:rsidRPr="00DE0F31" w14:paraId="258DE41F" w14:textId="77777777" w:rsidTr="00DE0F31">
        <w:trPr>
          <w:trHeight w:val="266"/>
        </w:trPr>
        <w:tc>
          <w:tcPr>
            <w:tcW w:w="7347" w:type="dxa"/>
            <w:tcBorders>
              <w:top w:val="single" w:sz="4" w:space="0" w:color="auto"/>
            </w:tcBorders>
            <w:shd w:val="clear" w:color="auto" w:fill="auto"/>
            <w:vAlign w:val="center"/>
          </w:tcPr>
          <w:p w14:paraId="5BECABE6" w14:textId="77777777" w:rsidR="00AF04F9" w:rsidRPr="00DE0F31" w:rsidRDefault="00AF04F9" w:rsidP="00DE0F31">
            <w:pPr>
              <w:jc w:val="left"/>
              <w:rPr>
                <w:rFonts w:ascii="Arial" w:hAnsi="Arial" w:cs="Arial"/>
                <w:b/>
              </w:rPr>
            </w:pPr>
            <w:r w:rsidRPr="00DE0F31">
              <w:rPr>
                <w:rFonts w:ascii="Arial" w:hAnsi="Arial" w:cs="Arial"/>
                <w:b/>
              </w:rPr>
              <w:t xml:space="preserve">Operating profit </w:t>
            </w:r>
          </w:p>
        </w:tc>
        <w:tc>
          <w:tcPr>
            <w:tcW w:w="1428" w:type="dxa"/>
            <w:tcBorders>
              <w:top w:val="single" w:sz="4" w:space="0" w:color="auto"/>
            </w:tcBorders>
            <w:vAlign w:val="center"/>
          </w:tcPr>
          <w:p w14:paraId="218B7C16" w14:textId="0EAF3DAC" w:rsidR="00AF04F9" w:rsidRPr="00DE0F31" w:rsidRDefault="00AF04F9" w:rsidP="00DE0F31">
            <w:pPr>
              <w:jc w:val="right"/>
              <w:rPr>
                <w:rFonts w:ascii="Arial" w:hAnsi="Arial" w:cs="Arial"/>
                <w:b/>
              </w:rPr>
            </w:pPr>
            <w:r w:rsidRPr="00DE0F31">
              <w:rPr>
                <w:rFonts w:ascii="Arial" w:hAnsi="Arial" w:cs="Arial"/>
                <w:b/>
              </w:rPr>
              <w:t>1,144</w:t>
            </w:r>
          </w:p>
        </w:tc>
        <w:tc>
          <w:tcPr>
            <w:tcW w:w="1429" w:type="dxa"/>
            <w:tcBorders>
              <w:top w:val="single" w:sz="4" w:space="0" w:color="auto"/>
            </w:tcBorders>
            <w:vAlign w:val="center"/>
          </w:tcPr>
          <w:p w14:paraId="7F24102F" w14:textId="77777777" w:rsidR="00AF04F9" w:rsidRPr="00DE0F31" w:rsidRDefault="00AF04F9" w:rsidP="00DE0F31">
            <w:pPr>
              <w:jc w:val="right"/>
              <w:rPr>
                <w:rFonts w:ascii="Arial" w:hAnsi="Arial" w:cs="Arial"/>
                <w:bCs/>
              </w:rPr>
            </w:pPr>
            <w:r w:rsidRPr="00DE0F31">
              <w:rPr>
                <w:rFonts w:ascii="Arial" w:hAnsi="Arial" w:cs="Arial"/>
                <w:bCs/>
              </w:rPr>
              <w:t>916</w:t>
            </w:r>
          </w:p>
        </w:tc>
      </w:tr>
      <w:tr w:rsidR="00AF04F9" w:rsidRPr="00DE0F31" w14:paraId="222D7A69" w14:textId="77777777" w:rsidTr="00DE0F31">
        <w:trPr>
          <w:trHeight w:val="266"/>
        </w:trPr>
        <w:tc>
          <w:tcPr>
            <w:tcW w:w="7347" w:type="dxa"/>
            <w:shd w:val="clear" w:color="auto" w:fill="auto"/>
            <w:vAlign w:val="center"/>
          </w:tcPr>
          <w:p w14:paraId="4F753547" w14:textId="77777777" w:rsidR="00AF04F9" w:rsidRPr="00DE0F31" w:rsidRDefault="00AF04F9" w:rsidP="00DE0F31">
            <w:pPr>
              <w:jc w:val="left"/>
              <w:rPr>
                <w:rFonts w:ascii="Arial" w:hAnsi="Arial" w:cs="Arial"/>
              </w:rPr>
            </w:pPr>
            <w:r w:rsidRPr="00DE0F31">
              <w:rPr>
                <w:rFonts w:ascii="Arial" w:hAnsi="Arial" w:cs="Arial"/>
              </w:rPr>
              <w:t>Adjusting items</w:t>
            </w:r>
          </w:p>
        </w:tc>
        <w:tc>
          <w:tcPr>
            <w:tcW w:w="1428" w:type="dxa"/>
            <w:vAlign w:val="center"/>
          </w:tcPr>
          <w:p w14:paraId="5E89D196" w14:textId="73DDA667" w:rsidR="00AF04F9" w:rsidRPr="00DE0F31" w:rsidRDefault="00AF04F9" w:rsidP="00DE0F31">
            <w:pPr>
              <w:jc w:val="right"/>
              <w:rPr>
                <w:rFonts w:ascii="Arial" w:hAnsi="Arial" w:cs="Arial"/>
                <w:b/>
              </w:rPr>
            </w:pPr>
            <w:r w:rsidRPr="00DE0F31">
              <w:rPr>
                <w:rFonts w:ascii="Arial" w:hAnsi="Arial" w:cs="Arial"/>
                <w:b/>
              </w:rPr>
              <w:t>(58)</w:t>
            </w:r>
          </w:p>
        </w:tc>
        <w:tc>
          <w:tcPr>
            <w:tcW w:w="1429" w:type="dxa"/>
            <w:vAlign w:val="center"/>
          </w:tcPr>
          <w:p w14:paraId="683A5DCD" w14:textId="77777777" w:rsidR="00AF04F9" w:rsidRPr="00DE0F31" w:rsidRDefault="00AF04F9" w:rsidP="00DE0F31">
            <w:pPr>
              <w:jc w:val="right"/>
              <w:rPr>
                <w:rFonts w:ascii="Arial" w:hAnsi="Arial" w:cs="Arial"/>
                <w:bCs/>
              </w:rPr>
            </w:pPr>
            <w:r w:rsidRPr="00DE0F31">
              <w:rPr>
                <w:rFonts w:ascii="Arial" w:hAnsi="Arial" w:cs="Arial"/>
                <w:bCs/>
              </w:rPr>
              <w:t>30</w:t>
            </w:r>
          </w:p>
        </w:tc>
      </w:tr>
      <w:tr w:rsidR="00AF04F9" w:rsidRPr="00DE0F31" w14:paraId="17D62D25" w14:textId="77777777" w:rsidTr="00DE0F31">
        <w:trPr>
          <w:trHeight w:val="266"/>
        </w:trPr>
        <w:tc>
          <w:tcPr>
            <w:tcW w:w="7347" w:type="dxa"/>
            <w:tcBorders>
              <w:top w:val="single" w:sz="4" w:space="0" w:color="auto"/>
            </w:tcBorders>
            <w:shd w:val="clear" w:color="auto" w:fill="auto"/>
            <w:vAlign w:val="center"/>
          </w:tcPr>
          <w:p w14:paraId="45BDC810" w14:textId="77777777" w:rsidR="00AF04F9" w:rsidRPr="00DE0F31" w:rsidRDefault="00AF04F9" w:rsidP="00DE0F31">
            <w:pPr>
              <w:jc w:val="left"/>
              <w:rPr>
                <w:rFonts w:ascii="Arial" w:hAnsi="Arial" w:cs="Arial"/>
              </w:rPr>
            </w:pPr>
            <w:r w:rsidRPr="00DE0F31">
              <w:rPr>
                <w:rFonts w:ascii="Arial" w:hAnsi="Arial" w:cs="Arial"/>
                <w:b/>
              </w:rPr>
              <w:t>Operating profit (before adjusting items)</w:t>
            </w:r>
          </w:p>
        </w:tc>
        <w:tc>
          <w:tcPr>
            <w:tcW w:w="1428" w:type="dxa"/>
            <w:tcBorders>
              <w:top w:val="single" w:sz="4" w:space="0" w:color="auto"/>
            </w:tcBorders>
            <w:vAlign w:val="center"/>
          </w:tcPr>
          <w:p w14:paraId="1CB0F750" w14:textId="1945C318" w:rsidR="00AF04F9" w:rsidRPr="00DE0F31" w:rsidRDefault="00AF04F9" w:rsidP="00DE0F31">
            <w:pPr>
              <w:jc w:val="right"/>
              <w:rPr>
                <w:rFonts w:ascii="Arial" w:hAnsi="Arial" w:cs="Arial"/>
                <w:b/>
              </w:rPr>
            </w:pPr>
            <w:r w:rsidRPr="00DE0F31">
              <w:rPr>
                <w:rFonts w:ascii="Arial" w:hAnsi="Arial" w:cs="Arial"/>
                <w:b/>
              </w:rPr>
              <w:t>1,086</w:t>
            </w:r>
          </w:p>
        </w:tc>
        <w:tc>
          <w:tcPr>
            <w:tcW w:w="1429" w:type="dxa"/>
            <w:tcBorders>
              <w:top w:val="single" w:sz="4" w:space="0" w:color="auto"/>
            </w:tcBorders>
            <w:vAlign w:val="center"/>
          </w:tcPr>
          <w:p w14:paraId="4C0C884F" w14:textId="77777777" w:rsidR="00AF04F9" w:rsidRPr="00DE0F31" w:rsidRDefault="00AF04F9" w:rsidP="00DE0F31">
            <w:pPr>
              <w:jc w:val="right"/>
              <w:rPr>
                <w:rFonts w:ascii="Arial" w:hAnsi="Arial" w:cs="Arial"/>
                <w:bCs/>
              </w:rPr>
            </w:pPr>
            <w:r w:rsidRPr="00DE0F31">
              <w:rPr>
                <w:rFonts w:ascii="Arial" w:hAnsi="Arial" w:cs="Arial"/>
                <w:bCs/>
              </w:rPr>
              <w:t>946</w:t>
            </w:r>
          </w:p>
        </w:tc>
      </w:tr>
      <w:tr w:rsidR="00AF04F9" w:rsidRPr="00DE0F31" w14:paraId="1F0537D7" w14:textId="77777777" w:rsidTr="00DE0F31">
        <w:trPr>
          <w:trHeight w:val="266"/>
        </w:trPr>
        <w:tc>
          <w:tcPr>
            <w:tcW w:w="7347" w:type="dxa"/>
            <w:shd w:val="clear" w:color="auto" w:fill="auto"/>
            <w:vAlign w:val="center"/>
          </w:tcPr>
          <w:p w14:paraId="0E8EB43E" w14:textId="77777777" w:rsidR="00AF04F9" w:rsidRPr="00DE0F31" w:rsidRDefault="00AF04F9" w:rsidP="00DE0F31">
            <w:pPr>
              <w:jc w:val="left"/>
              <w:rPr>
                <w:rFonts w:ascii="Arial" w:hAnsi="Arial" w:cs="Arial"/>
              </w:rPr>
            </w:pPr>
            <w:r w:rsidRPr="00DE0F31">
              <w:rPr>
                <w:rFonts w:ascii="Arial" w:hAnsi="Arial" w:cs="Arial"/>
              </w:rPr>
              <w:t>Other non-cash items</w:t>
            </w:r>
            <w:r w:rsidRPr="00DE0F31">
              <w:rPr>
                <w:rFonts w:ascii="Arial" w:hAnsi="Arial" w:cs="Arial"/>
                <w:vertAlign w:val="superscript"/>
              </w:rPr>
              <w:t>(1)</w:t>
            </w:r>
          </w:p>
        </w:tc>
        <w:tc>
          <w:tcPr>
            <w:tcW w:w="1428" w:type="dxa"/>
            <w:vAlign w:val="center"/>
          </w:tcPr>
          <w:p w14:paraId="13A57329" w14:textId="09A49545" w:rsidR="00AF04F9" w:rsidRPr="00DE0F31" w:rsidRDefault="00AF04F9" w:rsidP="00DE0F31">
            <w:pPr>
              <w:jc w:val="right"/>
              <w:rPr>
                <w:rFonts w:ascii="Arial" w:hAnsi="Arial" w:cs="Arial"/>
                <w:b/>
              </w:rPr>
            </w:pPr>
            <w:r w:rsidRPr="00DE0F31">
              <w:rPr>
                <w:rFonts w:ascii="Arial" w:hAnsi="Arial" w:cs="Arial"/>
                <w:b/>
              </w:rPr>
              <w:t>59</w:t>
            </w:r>
            <w:r w:rsidR="006A65E2">
              <w:rPr>
                <w:rFonts w:ascii="Arial" w:hAnsi="Arial" w:cs="Arial"/>
                <w:b/>
              </w:rPr>
              <w:t>5</w:t>
            </w:r>
          </w:p>
        </w:tc>
        <w:tc>
          <w:tcPr>
            <w:tcW w:w="1429" w:type="dxa"/>
            <w:vAlign w:val="center"/>
          </w:tcPr>
          <w:p w14:paraId="4D3FAE0E" w14:textId="77777777" w:rsidR="00AF04F9" w:rsidRPr="00DE0F31" w:rsidRDefault="00AF04F9" w:rsidP="00DE0F31">
            <w:pPr>
              <w:jc w:val="right"/>
              <w:rPr>
                <w:rFonts w:ascii="Arial" w:hAnsi="Arial" w:cs="Arial"/>
                <w:bCs/>
              </w:rPr>
            </w:pPr>
            <w:r w:rsidRPr="00DE0F31">
              <w:rPr>
                <w:rFonts w:ascii="Arial" w:hAnsi="Arial" w:cs="Arial"/>
                <w:bCs/>
              </w:rPr>
              <w:t>570</w:t>
            </w:r>
          </w:p>
        </w:tc>
      </w:tr>
      <w:tr w:rsidR="00AF04F9" w:rsidRPr="00DE0F31" w14:paraId="7A297D9D" w14:textId="77777777" w:rsidTr="00DE0F31">
        <w:trPr>
          <w:trHeight w:val="266"/>
        </w:trPr>
        <w:tc>
          <w:tcPr>
            <w:tcW w:w="7347" w:type="dxa"/>
            <w:shd w:val="clear" w:color="auto" w:fill="auto"/>
            <w:vAlign w:val="center"/>
          </w:tcPr>
          <w:p w14:paraId="263BE409" w14:textId="77777777" w:rsidR="00AF04F9" w:rsidRPr="00DE0F31" w:rsidRDefault="00AF04F9" w:rsidP="00DE0F31">
            <w:pPr>
              <w:jc w:val="left"/>
              <w:rPr>
                <w:rFonts w:ascii="Arial" w:hAnsi="Arial" w:cs="Arial"/>
              </w:rPr>
            </w:pPr>
            <w:r w:rsidRPr="00DE0F31">
              <w:rPr>
                <w:rFonts w:ascii="Arial" w:hAnsi="Arial" w:cs="Arial"/>
              </w:rPr>
              <w:t>Change in working capital</w:t>
            </w:r>
          </w:p>
        </w:tc>
        <w:tc>
          <w:tcPr>
            <w:tcW w:w="1428" w:type="dxa"/>
            <w:vAlign w:val="center"/>
          </w:tcPr>
          <w:p w14:paraId="62A7F832" w14:textId="314A03BC" w:rsidR="00AF04F9" w:rsidRPr="00DE0F31" w:rsidRDefault="00AF04F9" w:rsidP="00DE0F31">
            <w:pPr>
              <w:jc w:val="right"/>
              <w:rPr>
                <w:rFonts w:ascii="Arial" w:hAnsi="Arial" w:cs="Arial"/>
                <w:b/>
              </w:rPr>
            </w:pPr>
            <w:r w:rsidRPr="00DE0F31">
              <w:rPr>
                <w:rFonts w:ascii="Arial" w:hAnsi="Arial" w:cs="Arial"/>
                <w:b/>
              </w:rPr>
              <w:t>(215)</w:t>
            </w:r>
          </w:p>
        </w:tc>
        <w:tc>
          <w:tcPr>
            <w:tcW w:w="1429" w:type="dxa"/>
            <w:vAlign w:val="center"/>
          </w:tcPr>
          <w:p w14:paraId="60E98894" w14:textId="77777777" w:rsidR="00AF04F9" w:rsidRPr="00DE0F31" w:rsidRDefault="00AF04F9" w:rsidP="00DE0F31">
            <w:pPr>
              <w:jc w:val="right"/>
              <w:rPr>
                <w:rFonts w:ascii="Arial" w:hAnsi="Arial" w:cs="Arial"/>
                <w:bCs/>
              </w:rPr>
            </w:pPr>
            <w:r w:rsidRPr="00DE0F31">
              <w:rPr>
                <w:rFonts w:ascii="Arial" w:hAnsi="Arial" w:cs="Arial"/>
                <w:bCs/>
              </w:rPr>
              <w:t>376</w:t>
            </w:r>
          </w:p>
        </w:tc>
      </w:tr>
      <w:tr w:rsidR="00AF04F9" w:rsidRPr="00DE0F31" w14:paraId="16B38523" w14:textId="77777777" w:rsidTr="00DE0F31">
        <w:trPr>
          <w:trHeight w:val="266"/>
        </w:trPr>
        <w:tc>
          <w:tcPr>
            <w:tcW w:w="7347" w:type="dxa"/>
            <w:shd w:val="clear" w:color="auto" w:fill="auto"/>
            <w:vAlign w:val="center"/>
          </w:tcPr>
          <w:p w14:paraId="24C4E6CC" w14:textId="77777777" w:rsidR="00AF04F9" w:rsidRPr="00DE0F31" w:rsidRDefault="00AF04F9" w:rsidP="00DE0F31">
            <w:pPr>
              <w:jc w:val="left"/>
              <w:rPr>
                <w:rFonts w:ascii="Arial" w:hAnsi="Arial" w:cs="Arial"/>
              </w:rPr>
            </w:pPr>
            <w:r w:rsidRPr="00DE0F31">
              <w:rPr>
                <w:rFonts w:ascii="Arial" w:hAnsi="Arial" w:cs="Arial"/>
              </w:rPr>
              <w:t>Pensions and provisions</w:t>
            </w:r>
          </w:p>
        </w:tc>
        <w:tc>
          <w:tcPr>
            <w:tcW w:w="1428" w:type="dxa"/>
            <w:vAlign w:val="center"/>
          </w:tcPr>
          <w:p w14:paraId="30D6F634" w14:textId="1EC5934B" w:rsidR="00AF04F9" w:rsidRPr="00DE0F31" w:rsidRDefault="00AF04F9" w:rsidP="00DE0F31">
            <w:pPr>
              <w:jc w:val="right"/>
              <w:rPr>
                <w:rFonts w:ascii="Arial" w:hAnsi="Arial" w:cs="Arial"/>
                <w:b/>
              </w:rPr>
            </w:pPr>
            <w:r w:rsidRPr="00DE0F31">
              <w:rPr>
                <w:rFonts w:ascii="Arial" w:hAnsi="Arial" w:cs="Arial"/>
                <w:b/>
              </w:rPr>
              <w:t>(3</w:t>
            </w:r>
            <w:r w:rsidR="00E33EA5">
              <w:rPr>
                <w:rFonts w:ascii="Arial" w:hAnsi="Arial" w:cs="Arial"/>
                <w:b/>
              </w:rPr>
              <w:t>1</w:t>
            </w:r>
            <w:r w:rsidRPr="00DE0F31">
              <w:rPr>
                <w:rFonts w:ascii="Arial" w:hAnsi="Arial" w:cs="Arial"/>
                <w:b/>
              </w:rPr>
              <w:t>)</w:t>
            </w:r>
          </w:p>
        </w:tc>
        <w:tc>
          <w:tcPr>
            <w:tcW w:w="1429" w:type="dxa"/>
            <w:vAlign w:val="center"/>
          </w:tcPr>
          <w:p w14:paraId="41AFF76A" w14:textId="77777777" w:rsidR="00AF04F9" w:rsidRPr="00DE0F31" w:rsidRDefault="00AF04F9" w:rsidP="00DE0F31">
            <w:pPr>
              <w:jc w:val="right"/>
              <w:rPr>
                <w:rFonts w:ascii="Arial" w:hAnsi="Arial" w:cs="Arial"/>
                <w:bCs/>
              </w:rPr>
            </w:pPr>
            <w:r w:rsidRPr="00DE0F31">
              <w:rPr>
                <w:rFonts w:ascii="Arial" w:hAnsi="Arial" w:cs="Arial"/>
                <w:bCs/>
              </w:rPr>
              <w:t>(29)</w:t>
            </w:r>
          </w:p>
        </w:tc>
      </w:tr>
      <w:tr w:rsidR="00AF04F9" w:rsidRPr="00DE0F31" w14:paraId="111866E5" w14:textId="77777777" w:rsidTr="00DE0F31">
        <w:trPr>
          <w:trHeight w:val="266"/>
        </w:trPr>
        <w:tc>
          <w:tcPr>
            <w:tcW w:w="7347" w:type="dxa"/>
            <w:tcBorders>
              <w:bottom w:val="single" w:sz="4" w:space="0" w:color="auto"/>
            </w:tcBorders>
            <w:shd w:val="clear" w:color="auto" w:fill="auto"/>
            <w:vAlign w:val="center"/>
          </w:tcPr>
          <w:p w14:paraId="00074B36" w14:textId="77777777" w:rsidR="00AF04F9" w:rsidRPr="00DE0F31" w:rsidRDefault="00AF04F9" w:rsidP="00DE0F31">
            <w:pPr>
              <w:jc w:val="left"/>
              <w:rPr>
                <w:rFonts w:ascii="Arial" w:hAnsi="Arial" w:cs="Arial"/>
              </w:rPr>
            </w:pPr>
            <w:r w:rsidRPr="00DE0F31">
              <w:rPr>
                <w:rFonts w:ascii="Arial" w:hAnsi="Arial" w:cs="Arial"/>
              </w:rPr>
              <w:t>Net rent paid</w:t>
            </w:r>
          </w:p>
        </w:tc>
        <w:tc>
          <w:tcPr>
            <w:tcW w:w="1428" w:type="dxa"/>
            <w:tcBorders>
              <w:bottom w:val="single" w:sz="4" w:space="0" w:color="auto"/>
            </w:tcBorders>
            <w:vAlign w:val="center"/>
          </w:tcPr>
          <w:p w14:paraId="32DD12A3" w14:textId="1CB07579" w:rsidR="00AF04F9" w:rsidRPr="00DE0F31" w:rsidRDefault="00AF04F9" w:rsidP="00DE0F31">
            <w:pPr>
              <w:jc w:val="right"/>
              <w:rPr>
                <w:rFonts w:ascii="Arial" w:hAnsi="Arial" w:cs="Arial"/>
                <w:b/>
              </w:rPr>
            </w:pPr>
            <w:r w:rsidRPr="00DE0F31">
              <w:rPr>
                <w:rFonts w:ascii="Arial" w:hAnsi="Arial" w:cs="Arial"/>
                <w:b/>
              </w:rPr>
              <w:t>(48</w:t>
            </w:r>
            <w:r w:rsidR="00E33EA5">
              <w:rPr>
                <w:rFonts w:ascii="Arial" w:hAnsi="Arial" w:cs="Arial"/>
                <w:b/>
              </w:rPr>
              <w:t>0</w:t>
            </w:r>
            <w:r w:rsidRPr="00DE0F31">
              <w:rPr>
                <w:rFonts w:ascii="Arial" w:hAnsi="Arial" w:cs="Arial"/>
                <w:b/>
              </w:rPr>
              <w:t>)</w:t>
            </w:r>
          </w:p>
        </w:tc>
        <w:tc>
          <w:tcPr>
            <w:tcW w:w="1429" w:type="dxa"/>
            <w:tcBorders>
              <w:bottom w:val="single" w:sz="4" w:space="0" w:color="auto"/>
            </w:tcBorders>
            <w:vAlign w:val="center"/>
          </w:tcPr>
          <w:p w14:paraId="6620BDA6" w14:textId="77777777" w:rsidR="00AF04F9" w:rsidRPr="00DE0F31" w:rsidRDefault="00AF04F9" w:rsidP="00DE0F31">
            <w:pPr>
              <w:jc w:val="right"/>
              <w:rPr>
                <w:rFonts w:ascii="Arial" w:hAnsi="Arial" w:cs="Arial"/>
                <w:bCs/>
              </w:rPr>
            </w:pPr>
            <w:r w:rsidRPr="00DE0F31">
              <w:rPr>
                <w:rFonts w:ascii="Arial" w:hAnsi="Arial" w:cs="Arial"/>
                <w:bCs/>
              </w:rPr>
              <w:t>(456)</w:t>
            </w:r>
          </w:p>
        </w:tc>
      </w:tr>
      <w:tr w:rsidR="00AF04F9" w:rsidRPr="00DE0F31" w14:paraId="1FAE134D" w14:textId="77777777" w:rsidTr="00DE0F31">
        <w:trPr>
          <w:trHeight w:val="266"/>
        </w:trPr>
        <w:tc>
          <w:tcPr>
            <w:tcW w:w="7347" w:type="dxa"/>
            <w:tcBorders>
              <w:top w:val="single" w:sz="4" w:space="0" w:color="auto"/>
            </w:tcBorders>
            <w:shd w:val="clear" w:color="auto" w:fill="auto"/>
            <w:vAlign w:val="center"/>
          </w:tcPr>
          <w:p w14:paraId="70300DA5" w14:textId="77777777" w:rsidR="00AF04F9" w:rsidRPr="00DE0F31" w:rsidRDefault="00AF04F9" w:rsidP="00DE0F31">
            <w:pPr>
              <w:jc w:val="left"/>
              <w:rPr>
                <w:rFonts w:ascii="Arial" w:hAnsi="Arial" w:cs="Arial"/>
                <w:b/>
                <w:bCs/>
              </w:rPr>
            </w:pPr>
            <w:r w:rsidRPr="00DE0F31">
              <w:rPr>
                <w:rFonts w:ascii="Arial" w:hAnsi="Arial" w:cs="Arial"/>
                <w:b/>
                <w:bCs/>
              </w:rPr>
              <w:t>Operating cash flow</w:t>
            </w:r>
          </w:p>
        </w:tc>
        <w:tc>
          <w:tcPr>
            <w:tcW w:w="1428" w:type="dxa"/>
            <w:tcBorders>
              <w:top w:val="single" w:sz="4" w:space="0" w:color="auto"/>
            </w:tcBorders>
            <w:vAlign w:val="center"/>
          </w:tcPr>
          <w:p w14:paraId="7E886474" w14:textId="3897528A" w:rsidR="00AF04F9" w:rsidRPr="00DE0F31" w:rsidRDefault="00AF04F9" w:rsidP="00DE0F31">
            <w:pPr>
              <w:jc w:val="right"/>
              <w:rPr>
                <w:rFonts w:ascii="Arial" w:hAnsi="Arial" w:cs="Arial"/>
                <w:b/>
                <w:bCs/>
              </w:rPr>
            </w:pPr>
            <w:r w:rsidRPr="00DE0F31">
              <w:rPr>
                <w:rFonts w:ascii="Arial" w:hAnsi="Arial" w:cs="Arial"/>
                <w:b/>
                <w:bCs/>
              </w:rPr>
              <w:t>95</w:t>
            </w:r>
            <w:r w:rsidR="00EA5946">
              <w:rPr>
                <w:rFonts w:ascii="Arial" w:hAnsi="Arial" w:cs="Arial"/>
                <w:b/>
                <w:bCs/>
              </w:rPr>
              <w:t>5</w:t>
            </w:r>
          </w:p>
        </w:tc>
        <w:tc>
          <w:tcPr>
            <w:tcW w:w="1429" w:type="dxa"/>
            <w:tcBorders>
              <w:top w:val="single" w:sz="4" w:space="0" w:color="auto"/>
            </w:tcBorders>
            <w:vAlign w:val="center"/>
          </w:tcPr>
          <w:p w14:paraId="5182BD89" w14:textId="77777777" w:rsidR="00AF04F9" w:rsidRPr="00DE0F31" w:rsidRDefault="00AF04F9" w:rsidP="00DE0F31">
            <w:pPr>
              <w:jc w:val="right"/>
              <w:rPr>
                <w:rFonts w:ascii="Arial" w:hAnsi="Arial" w:cs="Arial"/>
                <w:bCs/>
              </w:rPr>
            </w:pPr>
            <w:r w:rsidRPr="00DE0F31">
              <w:rPr>
                <w:rFonts w:ascii="Arial" w:hAnsi="Arial" w:cs="Arial"/>
                <w:bCs/>
              </w:rPr>
              <w:t>1,407</w:t>
            </w:r>
          </w:p>
        </w:tc>
      </w:tr>
      <w:tr w:rsidR="00AF04F9" w:rsidRPr="00DE0F31" w14:paraId="461432BB" w14:textId="77777777" w:rsidTr="00DE0F31">
        <w:trPr>
          <w:trHeight w:val="266"/>
        </w:trPr>
        <w:tc>
          <w:tcPr>
            <w:tcW w:w="7347" w:type="dxa"/>
            <w:shd w:val="clear" w:color="auto" w:fill="auto"/>
            <w:vAlign w:val="center"/>
          </w:tcPr>
          <w:p w14:paraId="74274557" w14:textId="77777777" w:rsidR="00AF04F9" w:rsidRPr="00DE0F31" w:rsidRDefault="00AF04F9" w:rsidP="00DE0F31">
            <w:pPr>
              <w:jc w:val="left"/>
              <w:rPr>
                <w:rFonts w:ascii="Arial" w:hAnsi="Arial" w:cs="Arial"/>
              </w:rPr>
            </w:pPr>
            <w:r w:rsidRPr="00DE0F31">
              <w:rPr>
                <w:rFonts w:ascii="Arial" w:hAnsi="Arial" w:cs="Arial"/>
              </w:rPr>
              <w:t>Net interest paid</w:t>
            </w:r>
          </w:p>
        </w:tc>
        <w:tc>
          <w:tcPr>
            <w:tcW w:w="1428" w:type="dxa"/>
            <w:vAlign w:val="center"/>
          </w:tcPr>
          <w:p w14:paraId="219C08AD" w14:textId="204638B9" w:rsidR="00AF04F9" w:rsidRPr="00DE0F31" w:rsidRDefault="00AF04F9" w:rsidP="00DE0F31">
            <w:pPr>
              <w:jc w:val="right"/>
              <w:rPr>
                <w:rFonts w:ascii="Arial" w:hAnsi="Arial" w:cs="Arial"/>
                <w:b/>
              </w:rPr>
            </w:pPr>
            <w:r w:rsidRPr="00DE0F31">
              <w:rPr>
                <w:rFonts w:ascii="Arial" w:hAnsi="Arial" w:cs="Arial"/>
                <w:b/>
              </w:rPr>
              <w:t>(</w:t>
            </w:r>
            <w:r w:rsidR="00EA5946">
              <w:rPr>
                <w:rFonts w:ascii="Arial" w:hAnsi="Arial" w:cs="Arial"/>
                <w:b/>
              </w:rPr>
              <w:t>4</w:t>
            </w:r>
            <w:r w:rsidRPr="00DE0F31">
              <w:rPr>
                <w:rFonts w:ascii="Arial" w:hAnsi="Arial" w:cs="Arial"/>
                <w:b/>
              </w:rPr>
              <w:t>)</w:t>
            </w:r>
          </w:p>
        </w:tc>
        <w:tc>
          <w:tcPr>
            <w:tcW w:w="1429" w:type="dxa"/>
            <w:vAlign w:val="center"/>
          </w:tcPr>
          <w:p w14:paraId="7A05A83D" w14:textId="77777777" w:rsidR="00AF04F9" w:rsidRPr="00DE0F31" w:rsidRDefault="00AF04F9" w:rsidP="00DE0F31">
            <w:pPr>
              <w:jc w:val="right"/>
              <w:rPr>
                <w:rFonts w:ascii="Arial" w:hAnsi="Arial" w:cs="Arial"/>
                <w:bCs/>
              </w:rPr>
            </w:pPr>
            <w:r w:rsidRPr="00DE0F31">
              <w:rPr>
                <w:rFonts w:ascii="Arial" w:hAnsi="Arial" w:cs="Arial"/>
                <w:bCs/>
              </w:rPr>
              <w:t>(22)</w:t>
            </w:r>
          </w:p>
        </w:tc>
      </w:tr>
      <w:tr w:rsidR="00AF04F9" w:rsidRPr="00DE0F31" w14:paraId="1A2D73FE" w14:textId="77777777" w:rsidTr="00DE0F31">
        <w:trPr>
          <w:trHeight w:val="266"/>
        </w:trPr>
        <w:tc>
          <w:tcPr>
            <w:tcW w:w="7347" w:type="dxa"/>
            <w:shd w:val="clear" w:color="auto" w:fill="auto"/>
            <w:vAlign w:val="center"/>
          </w:tcPr>
          <w:p w14:paraId="0FEB1278" w14:textId="77777777" w:rsidR="00AF04F9" w:rsidRPr="00DE0F31" w:rsidRDefault="00AF04F9" w:rsidP="00DE0F31">
            <w:pPr>
              <w:jc w:val="left"/>
              <w:rPr>
                <w:rFonts w:ascii="Arial" w:hAnsi="Arial" w:cs="Arial"/>
              </w:rPr>
            </w:pPr>
            <w:r w:rsidRPr="00DE0F31">
              <w:rPr>
                <w:rFonts w:ascii="Arial" w:hAnsi="Arial" w:cs="Arial"/>
              </w:rPr>
              <w:t>Tax paid</w:t>
            </w:r>
          </w:p>
        </w:tc>
        <w:tc>
          <w:tcPr>
            <w:tcW w:w="1428" w:type="dxa"/>
            <w:vAlign w:val="center"/>
          </w:tcPr>
          <w:p w14:paraId="48303399" w14:textId="20251BD6" w:rsidR="00AF04F9" w:rsidRPr="00DE0F31" w:rsidRDefault="00AF04F9" w:rsidP="00DE0F31">
            <w:pPr>
              <w:jc w:val="right"/>
              <w:rPr>
                <w:rFonts w:ascii="Arial" w:hAnsi="Arial" w:cs="Arial"/>
                <w:b/>
              </w:rPr>
            </w:pPr>
            <w:r w:rsidRPr="00DE0F31">
              <w:rPr>
                <w:rFonts w:ascii="Arial" w:hAnsi="Arial" w:cs="Arial"/>
                <w:b/>
              </w:rPr>
              <w:t>(169)</w:t>
            </w:r>
          </w:p>
        </w:tc>
        <w:tc>
          <w:tcPr>
            <w:tcW w:w="1429" w:type="dxa"/>
            <w:vAlign w:val="center"/>
          </w:tcPr>
          <w:p w14:paraId="7C3862A6" w14:textId="77777777" w:rsidR="00AF04F9" w:rsidRPr="00DE0F31" w:rsidRDefault="00AF04F9" w:rsidP="00DE0F31">
            <w:pPr>
              <w:jc w:val="right"/>
              <w:rPr>
                <w:rFonts w:ascii="Arial" w:hAnsi="Arial" w:cs="Arial"/>
                <w:bCs/>
              </w:rPr>
            </w:pPr>
            <w:r w:rsidRPr="00DE0F31">
              <w:rPr>
                <w:rFonts w:ascii="Arial" w:hAnsi="Arial" w:cs="Arial"/>
                <w:bCs/>
              </w:rPr>
              <w:t>(166)</w:t>
            </w:r>
          </w:p>
        </w:tc>
      </w:tr>
      <w:tr w:rsidR="00AF04F9" w:rsidRPr="00DE0F31" w14:paraId="4C566FCD" w14:textId="77777777" w:rsidTr="00DE0F31">
        <w:trPr>
          <w:trHeight w:val="266"/>
        </w:trPr>
        <w:tc>
          <w:tcPr>
            <w:tcW w:w="7347" w:type="dxa"/>
            <w:shd w:val="clear" w:color="auto" w:fill="auto"/>
            <w:vAlign w:val="center"/>
          </w:tcPr>
          <w:p w14:paraId="5CC78A26" w14:textId="77777777" w:rsidR="00AF04F9" w:rsidRPr="00DE0F31" w:rsidRDefault="00AF04F9" w:rsidP="00DE0F31">
            <w:pPr>
              <w:jc w:val="left"/>
              <w:rPr>
                <w:rFonts w:ascii="Arial" w:hAnsi="Arial" w:cs="Arial"/>
              </w:rPr>
            </w:pPr>
            <w:r w:rsidRPr="00DE0F31">
              <w:rPr>
                <w:rFonts w:ascii="Arial" w:hAnsi="Arial" w:cs="Arial"/>
              </w:rPr>
              <w:t xml:space="preserve">Gross capital expenditure </w:t>
            </w:r>
          </w:p>
        </w:tc>
        <w:tc>
          <w:tcPr>
            <w:tcW w:w="1428" w:type="dxa"/>
            <w:vAlign w:val="center"/>
          </w:tcPr>
          <w:p w14:paraId="6E0BBA74" w14:textId="4AA9B4A9" w:rsidR="00AF04F9" w:rsidRPr="00DE0F31" w:rsidRDefault="00AF04F9" w:rsidP="00DE0F31">
            <w:pPr>
              <w:jc w:val="right"/>
              <w:rPr>
                <w:rFonts w:ascii="Arial" w:hAnsi="Arial" w:cs="Arial"/>
                <w:b/>
              </w:rPr>
            </w:pPr>
            <w:r w:rsidRPr="00DE0F31">
              <w:rPr>
                <w:rFonts w:ascii="Arial" w:hAnsi="Arial" w:cs="Arial"/>
                <w:b/>
              </w:rPr>
              <w:t>(397)</w:t>
            </w:r>
          </w:p>
        </w:tc>
        <w:tc>
          <w:tcPr>
            <w:tcW w:w="1429" w:type="dxa"/>
            <w:vAlign w:val="center"/>
          </w:tcPr>
          <w:p w14:paraId="52FCEE7F" w14:textId="77777777" w:rsidR="00AF04F9" w:rsidRPr="00DE0F31" w:rsidRDefault="00AF04F9" w:rsidP="00DE0F31">
            <w:pPr>
              <w:jc w:val="right"/>
              <w:rPr>
                <w:rFonts w:ascii="Arial" w:hAnsi="Arial" w:cs="Arial"/>
                <w:bCs/>
              </w:rPr>
            </w:pPr>
            <w:r w:rsidRPr="00DE0F31">
              <w:rPr>
                <w:rFonts w:ascii="Arial" w:hAnsi="Arial" w:cs="Arial"/>
                <w:bCs/>
              </w:rPr>
              <w:t>(281)</w:t>
            </w:r>
          </w:p>
        </w:tc>
      </w:tr>
      <w:tr w:rsidR="00AF04F9" w:rsidRPr="00DE0F31" w14:paraId="58433F24" w14:textId="77777777" w:rsidTr="00DE0F31">
        <w:trPr>
          <w:trHeight w:val="266"/>
        </w:trPr>
        <w:tc>
          <w:tcPr>
            <w:tcW w:w="7347" w:type="dxa"/>
            <w:tcBorders>
              <w:top w:val="single" w:sz="4" w:space="0" w:color="auto"/>
            </w:tcBorders>
            <w:shd w:val="clear" w:color="auto" w:fill="auto"/>
            <w:vAlign w:val="center"/>
          </w:tcPr>
          <w:p w14:paraId="2B0BFA5E" w14:textId="77777777" w:rsidR="00AF04F9" w:rsidRPr="00DE0F31" w:rsidRDefault="00AF04F9" w:rsidP="00DE0F31">
            <w:pPr>
              <w:jc w:val="left"/>
              <w:rPr>
                <w:rFonts w:ascii="Arial" w:hAnsi="Arial" w:cs="Arial"/>
                <w:b/>
              </w:rPr>
            </w:pPr>
            <w:r w:rsidRPr="00DE0F31">
              <w:rPr>
                <w:rFonts w:ascii="Arial" w:hAnsi="Arial" w:cs="Arial"/>
                <w:b/>
              </w:rPr>
              <w:t>Free cash flow</w:t>
            </w:r>
          </w:p>
        </w:tc>
        <w:tc>
          <w:tcPr>
            <w:tcW w:w="1428" w:type="dxa"/>
            <w:tcBorders>
              <w:top w:val="single" w:sz="4" w:space="0" w:color="auto"/>
            </w:tcBorders>
            <w:vAlign w:val="center"/>
          </w:tcPr>
          <w:p w14:paraId="0590BB66" w14:textId="6B84A204" w:rsidR="00AF04F9" w:rsidRPr="00DE0F31" w:rsidRDefault="00AF04F9" w:rsidP="00DE0F31">
            <w:pPr>
              <w:jc w:val="right"/>
              <w:rPr>
                <w:rFonts w:ascii="Arial" w:hAnsi="Arial" w:cs="Arial"/>
                <w:b/>
              </w:rPr>
            </w:pPr>
            <w:r w:rsidRPr="00DE0F31">
              <w:rPr>
                <w:rFonts w:ascii="Arial" w:hAnsi="Arial" w:cs="Arial"/>
                <w:b/>
              </w:rPr>
              <w:t>385</w:t>
            </w:r>
          </w:p>
        </w:tc>
        <w:tc>
          <w:tcPr>
            <w:tcW w:w="1429" w:type="dxa"/>
            <w:tcBorders>
              <w:top w:val="single" w:sz="4" w:space="0" w:color="auto"/>
            </w:tcBorders>
            <w:vAlign w:val="center"/>
          </w:tcPr>
          <w:p w14:paraId="1C71E3F7" w14:textId="77777777" w:rsidR="00AF04F9" w:rsidRPr="00DE0F31" w:rsidRDefault="00AF04F9" w:rsidP="00DE0F31">
            <w:pPr>
              <w:jc w:val="right"/>
              <w:rPr>
                <w:rFonts w:ascii="Arial" w:hAnsi="Arial" w:cs="Arial"/>
                <w:bCs/>
              </w:rPr>
            </w:pPr>
            <w:r w:rsidRPr="00DE0F31">
              <w:rPr>
                <w:rFonts w:ascii="Arial" w:hAnsi="Arial" w:cs="Arial"/>
                <w:bCs/>
              </w:rPr>
              <w:t>938</w:t>
            </w:r>
          </w:p>
        </w:tc>
      </w:tr>
      <w:tr w:rsidR="00AF04F9" w:rsidRPr="00DE0F31" w14:paraId="69E27C5C" w14:textId="77777777" w:rsidTr="00DE0F31">
        <w:trPr>
          <w:trHeight w:val="266"/>
        </w:trPr>
        <w:tc>
          <w:tcPr>
            <w:tcW w:w="7347" w:type="dxa"/>
            <w:shd w:val="clear" w:color="auto" w:fill="auto"/>
            <w:vAlign w:val="center"/>
          </w:tcPr>
          <w:p w14:paraId="26DA1BB3" w14:textId="77777777" w:rsidR="00AF04F9" w:rsidRPr="00DE0F31" w:rsidRDefault="00AF04F9" w:rsidP="00DE0F31">
            <w:pPr>
              <w:jc w:val="left"/>
              <w:rPr>
                <w:rFonts w:ascii="Arial" w:hAnsi="Arial" w:cs="Arial"/>
              </w:rPr>
            </w:pPr>
            <w:r w:rsidRPr="00DE0F31">
              <w:rPr>
                <w:rFonts w:ascii="Arial" w:hAnsi="Arial" w:cs="Arial"/>
              </w:rPr>
              <w:t>Ordinary dividends paid</w:t>
            </w:r>
          </w:p>
        </w:tc>
        <w:tc>
          <w:tcPr>
            <w:tcW w:w="1428" w:type="dxa"/>
            <w:shd w:val="clear" w:color="auto" w:fill="auto"/>
            <w:vAlign w:val="center"/>
          </w:tcPr>
          <w:p w14:paraId="186570C8" w14:textId="454E6DB0" w:rsidR="00AF04F9" w:rsidRPr="00DE0F31" w:rsidRDefault="00AF04F9" w:rsidP="00DE0F31">
            <w:pPr>
              <w:jc w:val="right"/>
              <w:rPr>
                <w:rFonts w:ascii="Arial" w:hAnsi="Arial" w:cs="Arial"/>
                <w:b/>
              </w:rPr>
            </w:pPr>
            <w:r w:rsidRPr="00DE0F31">
              <w:rPr>
                <w:rFonts w:ascii="Arial" w:hAnsi="Arial" w:cs="Arial"/>
                <w:b/>
              </w:rPr>
              <w:t>(25</w:t>
            </w:r>
            <w:r w:rsidR="00E11DBC">
              <w:rPr>
                <w:rFonts w:ascii="Arial" w:hAnsi="Arial" w:cs="Arial"/>
                <w:b/>
              </w:rPr>
              <w:t>4</w:t>
            </w:r>
            <w:r w:rsidRPr="00DE0F31">
              <w:rPr>
                <w:rFonts w:ascii="Arial" w:hAnsi="Arial" w:cs="Arial"/>
                <w:b/>
              </w:rPr>
              <w:t>)</w:t>
            </w:r>
          </w:p>
        </w:tc>
        <w:tc>
          <w:tcPr>
            <w:tcW w:w="1429" w:type="dxa"/>
            <w:vAlign w:val="center"/>
          </w:tcPr>
          <w:p w14:paraId="06A45877" w14:textId="77777777" w:rsidR="00AF04F9" w:rsidRPr="00DE0F31" w:rsidRDefault="00AF04F9" w:rsidP="00DE0F31">
            <w:pPr>
              <w:jc w:val="right"/>
              <w:rPr>
                <w:rFonts w:ascii="Arial" w:hAnsi="Arial" w:cs="Arial"/>
                <w:bCs/>
              </w:rPr>
            </w:pPr>
            <w:r w:rsidRPr="00DE0F31">
              <w:rPr>
                <w:rFonts w:ascii="Arial" w:hAnsi="Arial" w:cs="Arial"/>
                <w:bCs/>
              </w:rPr>
              <w:t>-</w:t>
            </w:r>
          </w:p>
        </w:tc>
      </w:tr>
      <w:tr w:rsidR="00AF04F9" w:rsidRPr="00DE0F31" w14:paraId="17723DA3" w14:textId="77777777" w:rsidTr="00DE0F31">
        <w:trPr>
          <w:trHeight w:val="266"/>
        </w:trPr>
        <w:tc>
          <w:tcPr>
            <w:tcW w:w="7347" w:type="dxa"/>
            <w:shd w:val="clear" w:color="auto" w:fill="auto"/>
            <w:vAlign w:val="center"/>
          </w:tcPr>
          <w:p w14:paraId="27ABDFFE" w14:textId="52C4B972" w:rsidR="00AF04F9" w:rsidRPr="00DE0F31" w:rsidRDefault="00AF04F9" w:rsidP="00DE0F31">
            <w:pPr>
              <w:jc w:val="left"/>
              <w:rPr>
                <w:rFonts w:ascii="Arial" w:hAnsi="Arial" w:cs="Arial"/>
              </w:rPr>
            </w:pPr>
            <w:r w:rsidRPr="00DE0F31">
              <w:rPr>
                <w:rFonts w:ascii="Arial" w:hAnsi="Arial" w:cs="Arial"/>
              </w:rPr>
              <w:t>Share buybacks</w:t>
            </w:r>
          </w:p>
        </w:tc>
        <w:tc>
          <w:tcPr>
            <w:tcW w:w="1428" w:type="dxa"/>
            <w:shd w:val="clear" w:color="auto" w:fill="auto"/>
            <w:vAlign w:val="center"/>
          </w:tcPr>
          <w:p w14:paraId="07BCD9EF" w14:textId="3D4BD2B0" w:rsidR="00AF04F9" w:rsidRPr="00DE0F31" w:rsidRDefault="00AF04F9" w:rsidP="00DE0F31">
            <w:pPr>
              <w:jc w:val="right"/>
              <w:rPr>
                <w:rFonts w:ascii="Arial" w:hAnsi="Arial" w:cs="Arial"/>
                <w:b/>
              </w:rPr>
            </w:pPr>
            <w:r w:rsidRPr="00DE0F31">
              <w:rPr>
                <w:rFonts w:ascii="Arial" w:hAnsi="Arial" w:cs="Arial"/>
                <w:b/>
              </w:rPr>
              <w:t>(157)</w:t>
            </w:r>
          </w:p>
        </w:tc>
        <w:tc>
          <w:tcPr>
            <w:tcW w:w="1429" w:type="dxa"/>
            <w:vAlign w:val="center"/>
          </w:tcPr>
          <w:p w14:paraId="73016450" w14:textId="4756363B" w:rsidR="00AF04F9" w:rsidRPr="00DE0F31" w:rsidRDefault="00AF04F9" w:rsidP="00DE0F31">
            <w:pPr>
              <w:jc w:val="right"/>
              <w:rPr>
                <w:rFonts w:ascii="Arial" w:hAnsi="Arial" w:cs="Arial"/>
                <w:bCs/>
              </w:rPr>
            </w:pPr>
            <w:r w:rsidRPr="00DE0F31">
              <w:rPr>
                <w:rFonts w:ascii="Arial" w:hAnsi="Arial" w:cs="Arial"/>
                <w:bCs/>
              </w:rPr>
              <w:t>-</w:t>
            </w:r>
          </w:p>
        </w:tc>
      </w:tr>
      <w:tr w:rsidR="00AF04F9" w:rsidRPr="00DE0F31" w14:paraId="1CB76A11" w14:textId="77777777" w:rsidTr="00DE0F31">
        <w:trPr>
          <w:trHeight w:val="266"/>
        </w:trPr>
        <w:tc>
          <w:tcPr>
            <w:tcW w:w="7347" w:type="dxa"/>
            <w:shd w:val="clear" w:color="auto" w:fill="auto"/>
            <w:vAlign w:val="center"/>
          </w:tcPr>
          <w:p w14:paraId="30C9B8EE" w14:textId="77777777" w:rsidR="00AF04F9" w:rsidRPr="00DE0F31" w:rsidRDefault="00AF04F9" w:rsidP="00DE0F31">
            <w:pPr>
              <w:jc w:val="left"/>
              <w:rPr>
                <w:rFonts w:ascii="Arial" w:hAnsi="Arial" w:cs="Arial"/>
              </w:rPr>
            </w:pPr>
            <w:r w:rsidRPr="00DE0F31">
              <w:rPr>
                <w:rFonts w:ascii="Arial" w:hAnsi="Arial" w:cs="Arial"/>
              </w:rPr>
              <w:t>Share purchase for employee incentive schemes</w:t>
            </w:r>
          </w:p>
        </w:tc>
        <w:tc>
          <w:tcPr>
            <w:tcW w:w="1428" w:type="dxa"/>
            <w:vAlign w:val="center"/>
          </w:tcPr>
          <w:p w14:paraId="45C83E54" w14:textId="6CD2D403" w:rsidR="00AF04F9" w:rsidRPr="00DE0F31" w:rsidRDefault="00AF04F9" w:rsidP="00DE0F31">
            <w:pPr>
              <w:jc w:val="right"/>
              <w:rPr>
                <w:rFonts w:ascii="Arial" w:hAnsi="Arial" w:cs="Arial"/>
                <w:b/>
              </w:rPr>
            </w:pPr>
            <w:r w:rsidRPr="00DE0F31">
              <w:rPr>
                <w:rFonts w:ascii="Arial" w:hAnsi="Arial" w:cs="Arial"/>
                <w:b/>
              </w:rPr>
              <w:t>(</w:t>
            </w:r>
            <w:r w:rsidR="00E11DBC">
              <w:rPr>
                <w:rFonts w:ascii="Arial" w:hAnsi="Arial" w:cs="Arial"/>
                <w:b/>
              </w:rPr>
              <w:t>29</w:t>
            </w:r>
            <w:r w:rsidRPr="00DE0F31">
              <w:rPr>
                <w:rFonts w:ascii="Arial" w:hAnsi="Arial" w:cs="Arial"/>
                <w:b/>
              </w:rPr>
              <w:t>)</w:t>
            </w:r>
          </w:p>
        </w:tc>
        <w:tc>
          <w:tcPr>
            <w:tcW w:w="1429" w:type="dxa"/>
            <w:vAlign w:val="center"/>
          </w:tcPr>
          <w:p w14:paraId="2E0BFB60" w14:textId="77777777" w:rsidR="00AF04F9" w:rsidRPr="00DE0F31" w:rsidRDefault="00AF04F9" w:rsidP="00DE0F31">
            <w:pPr>
              <w:jc w:val="right"/>
              <w:rPr>
                <w:rFonts w:ascii="Arial" w:hAnsi="Arial" w:cs="Arial"/>
                <w:bCs/>
              </w:rPr>
            </w:pPr>
            <w:r w:rsidRPr="00DE0F31">
              <w:rPr>
                <w:rFonts w:ascii="Arial" w:hAnsi="Arial" w:cs="Arial"/>
                <w:bCs/>
              </w:rPr>
              <w:t>(14)</w:t>
            </w:r>
          </w:p>
        </w:tc>
      </w:tr>
      <w:tr w:rsidR="00A07B5A" w:rsidRPr="00DE0F31" w14:paraId="46F75DFB" w14:textId="77777777" w:rsidTr="00DE0F31">
        <w:trPr>
          <w:trHeight w:val="266"/>
        </w:trPr>
        <w:tc>
          <w:tcPr>
            <w:tcW w:w="7347" w:type="dxa"/>
            <w:shd w:val="clear" w:color="auto" w:fill="auto"/>
            <w:vAlign w:val="center"/>
          </w:tcPr>
          <w:p w14:paraId="436CDFFF" w14:textId="77777777" w:rsidR="00A07B5A" w:rsidRPr="00DE0F31" w:rsidRDefault="00A07B5A" w:rsidP="00A07B5A">
            <w:pPr>
              <w:jc w:val="left"/>
              <w:rPr>
                <w:rFonts w:ascii="Arial" w:hAnsi="Arial" w:cs="Arial"/>
              </w:rPr>
            </w:pPr>
            <w:r w:rsidRPr="00DE0F31">
              <w:rPr>
                <w:rFonts w:ascii="Arial" w:hAnsi="Arial" w:cs="Arial"/>
              </w:rPr>
              <w:t>Disposal of Castorama Russia and acquisition of NeedHelp</w:t>
            </w:r>
          </w:p>
        </w:tc>
        <w:tc>
          <w:tcPr>
            <w:tcW w:w="1428" w:type="dxa"/>
            <w:vAlign w:val="center"/>
          </w:tcPr>
          <w:p w14:paraId="42DA20F7" w14:textId="61592D09" w:rsidR="00A07B5A" w:rsidRPr="00DE0F31" w:rsidRDefault="00A07B5A" w:rsidP="00A07B5A">
            <w:pPr>
              <w:jc w:val="right"/>
              <w:rPr>
                <w:rFonts w:ascii="Arial" w:hAnsi="Arial" w:cs="Arial"/>
                <w:b/>
              </w:rPr>
            </w:pPr>
            <w:r>
              <w:rPr>
                <w:rFonts w:ascii="Arial" w:hAnsi="Arial" w:cs="Arial"/>
                <w:b/>
              </w:rPr>
              <w:t>7</w:t>
            </w:r>
          </w:p>
        </w:tc>
        <w:tc>
          <w:tcPr>
            <w:tcW w:w="1429" w:type="dxa"/>
            <w:shd w:val="clear" w:color="auto" w:fill="auto"/>
            <w:vAlign w:val="center"/>
          </w:tcPr>
          <w:p w14:paraId="452F69B7" w14:textId="77777777" w:rsidR="00A07B5A" w:rsidRPr="00DE0F31" w:rsidRDefault="00A07B5A" w:rsidP="00A07B5A">
            <w:pPr>
              <w:jc w:val="right"/>
              <w:rPr>
                <w:rFonts w:ascii="Arial" w:hAnsi="Arial" w:cs="Arial"/>
                <w:bCs/>
              </w:rPr>
            </w:pPr>
            <w:r w:rsidRPr="00DE0F31">
              <w:rPr>
                <w:rFonts w:ascii="Arial" w:hAnsi="Arial" w:cs="Arial"/>
                <w:bCs/>
              </w:rPr>
              <w:t>19</w:t>
            </w:r>
          </w:p>
        </w:tc>
      </w:tr>
      <w:tr w:rsidR="00AF04F9" w:rsidRPr="00DE0F31" w14:paraId="43EB2AF6" w14:textId="77777777" w:rsidTr="00DE0F31">
        <w:trPr>
          <w:trHeight w:val="266"/>
        </w:trPr>
        <w:tc>
          <w:tcPr>
            <w:tcW w:w="7347" w:type="dxa"/>
            <w:shd w:val="clear" w:color="auto" w:fill="auto"/>
            <w:vAlign w:val="center"/>
          </w:tcPr>
          <w:p w14:paraId="1ADD517C" w14:textId="77777777" w:rsidR="00AF04F9" w:rsidRPr="00DE0F31" w:rsidRDefault="00AF04F9" w:rsidP="00DE0F31">
            <w:pPr>
              <w:jc w:val="left"/>
              <w:rPr>
                <w:rFonts w:ascii="Arial" w:hAnsi="Arial" w:cs="Arial"/>
              </w:rPr>
            </w:pPr>
            <w:r w:rsidRPr="00DE0F31">
              <w:rPr>
                <w:rFonts w:ascii="Arial" w:hAnsi="Arial" w:cs="Arial"/>
              </w:rPr>
              <w:t>Other tax authority payments</w:t>
            </w:r>
            <w:r w:rsidRPr="00DE0F31">
              <w:rPr>
                <w:rFonts w:ascii="Arial" w:hAnsi="Arial" w:cs="Arial"/>
                <w:vertAlign w:val="superscript"/>
              </w:rPr>
              <w:t>(2)</w:t>
            </w:r>
          </w:p>
        </w:tc>
        <w:tc>
          <w:tcPr>
            <w:tcW w:w="1428" w:type="dxa"/>
            <w:vAlign w:val="center"/>
          </w:tcPr>
          <w:p w14:paraId="378BB9B8" w14:textId="4CC74B1E" w:rsidR="00AF04F9" w:rsidRPr="00DE0F31" w:rsidRDefault="00AF04F9" w:rsidP="00DE0F31">
            <w:pPr>
              <w:jc w:val="right"/>
              <w:rPr>
                <w:rFonts w:ascii="Arial" w:hAnsi="Arial" w:cs="Arial"/>
                <w:b/>
              </w:rPr>
            </w:pPr>
            <w:r w:rsidRPr="00DE0F31">
              <w:rPr>
                <w:rFonts w:ascii="Arial" w:hAnsi="Arial" w:cs="Arial"/>
                <w:b/>
              </w:rPr>
              <w:t>(64)</w:t>
            </w:r>
          </w:p>
        </w:tc>
        <w:tc>
          <w:tcPr>
            <w:tcW w:w="1429" w:type="dxa"/>
            <w:vAlign w:val="center"/>
          </w:tcPr>
          <w:p w14:paraId="0660A01D" w14:textId="77777777" w:rsidR="00AF04F9" w:rsidRPr="00DE0F31" w:rsidRDefault="00AF04F9" w:rsidP="00DE0F31">
            <w:pPr>
              <w:jc w:val="right"/>
              <w:rPr>
                <w:rFonts w:ascii="Arial" w:hAnsi="Arial" w:cs="Arial"/>
                <w:bCs/>
              </w:rPr>
            </w:pPr>
            <w:r w:rsidRPr="00DE0F31">
              <w:rPr>
                <w:rFonts w:ascii="Arial" w:hAnsi="Arial" w:cs="Arial"/>
                <w:bCs/>
              </w:rPr>
              <w:t>-</w:t>
            </w:r>
          </w:p>
        </w:tc>
      </w:tr>
      <w:tr w:rsidR="00AF04F9" w:rsidRPr="00DE0F31" w14:paraId="1F1CAAFC" w14:textId="77777777" w:rsidTr="00DE0F31">
        <w:trPr>
          <w:trHeight w:val="266"/>
        </w:trPr>
        <w:tc>
          <w:tcPr>
            <w:tcW w:w="7347" w:type="dxa"/>
            <w:shd w:val="clear" w:color="auto" w:fill="auto"/>
            <w:vAlign w:val="center"/>
          </w:tcPr>
          <w:p w14:paraId="2FDC0293" w14:textId="77777777" w:rsidR="00AF04F9" w:rsidRPr="00DE0F31" w:rsidRDefault="00AF04F9" w:rsidP="00DE0F31">
            <w:pPr>
              <w:jc w:val="left"/>
              <w:rPr>
                <w:rFonts w:ascii="Arial" w:hAnsi="Arial" w:cs="Arial"/>
              </w:rPr>
            </w:pPr>
            <w:r w:rsidRPr="00DE0F31">
              <w:rPr>
                <w:rFonts w:ascii="Arial" w:hAnsi="Arial" w:cs="Arial"/>
              </w:rPr>
              <w:t>Disposal of assets and other</w:t>
            </w:r>
            <w:r w:rsidRPr="00DE0F31">
              <w:rPr>
                <w:rFonts w:ascii="Arial" w:hAnsi="Arial" w:cs="Arial"/>
                <w:vertAlign w:val="superscript"/>
              </w:rPr>
              <w:t>(3)</w:t>
            </w:r>
          </w:p>
        </w:tc>
        <w:tc>
          <w:tcPr>
            <w:tcW w:w="1428" w:type="dxa"/>
            <w:vAlign w:val="center"/>
          </w:tcPr>
          <w:p w14:paraId="265B87C3" w14:textId="3521AD14" w:rsidR="00AF04F9" w:rsidRPr="00DE0F31" w:rsidRDefault="00AF04F9" w:rsidP="00DE0F31">
            <w:pPr>
              <w:jc w:val="right"/>
              <w:rPr>
                <w:rFonts w:ascii="Arial" w:hAnsi="Arial" w:cs="Arial"/>
                <w:b/>
              </w:rPr>
            </w:pPr>
            <w:r w:rsidRPr="00DE0F31">
              <w:rPr>
                <w:rFonts w:ascii="Arial" w:hAnsi="Arial" w:cs="Arial"/>
                <w:b/>
              </w:rPr>
              <w:t>(2</w:t>
            </w:r>
            <w:r w:rsidR="00A07B5A">
              <w:rPr>
                <w:rFonts w:ascii="Arial" w:hAnsi="Arial" w:cs="Arial"/>
                <w:b/>
              </w:rPr>
              <w:t>8</w:t>
            </w:r>
            <w:r w:rsidRPr="00DE0F31">
              <w:rPr>
                <w:rFonts w:ascii="Arial" w:hAnsi="Arial" w:cs="Arial"/>
                <w:b/>
              </w:rPr>
              <w:t>)</w:t>
            </w:r>
          </w:p>
        </w:tc>
        <w:tc>
          <w:tcPr>
            <w:tcW w:w="1429" w:type="dxa"/>
            <w:vAlign w:val="center"/>
          </w:tcPr>
          <w:p w14:paraId="20740CD2" w14:textId="77777777" w:rsidR="00AF04F9" w:rsidRPr="00DE0F31" w:rsidRDefault="00AF04F9" w:rsidP="00DE0F31">
            <w:pPr>
              <w:jc w:val="right"/>
              <w:rPr>
                <w:rFonts w:ascii="Arial" w:hAnsi="Arial" w:cs="Arial"/>
                <w:bCs/>
              </w:rPr>
            </w:pPr>
            <w:r w:rsidRPr="00DE0F31">
              <w:rPr>
                <w:rFonts w:ascii="Arial" w:hAnsi="Arial" w:cs="Arial"/>
                <w:bCs/>
              </w:rPr>
              <w:t>(1)</w:t>
            </w:r>
          </w:p>
        </w:tc>
      </w:tr>
      <w:tr w:rsidR="00AF04F9" w:rsidRPr="00DE0F31" w14:paraId="670A6924" w14:textId="77777777" w:rsidTr="00DE0F31">
        <w:trPr>
          <w:trHeight w:val="266"/>
        </w:trPr>
        <w:tc>
          <w:tcPr>
            <w:tcW w:w="7347" w:type="dxa"/>
            <w:tcBorders>
              <w:top w:val="single" w:sz="4" w:space="0" w:color="auto"/>
            </w:tcBorders>
            <w:shd w:val="clear" w:color="auto" w:fill="auto"/>
            <w:vAlign w:val="center"/>
          </w:tcPr>
          <w:p w14:paraId="29D83F18" w14:textId="77777777" w:rsidR="00AF04F9" w:rsidRPr="00DE0F31" w:rsidRDefault="00AF04F9" w:rsidP="00DE0F31">
            <w:pPr>
              <w:jc w:val="left"/>
              <w:rPr>
                <w:rFonts w:ascii="Arial" w:hAnsi="Arial" w:cs="Arial"/>
                <w:b/>
              </w:rPr>
            </w:pPr>
            <w:r w:rsidRPr="00DE0F31">
              <w:rPr>
                <w:rFonts w:ascii="Arial" w:hAnsi="Arial" w:cs="Arial"/>
                <w:b/>
              </w:rPr>
              <w:t>Net cash flow*</w:t>
            </w:r>
          </w:p>
        </w:tc>
        <w:tc>
          <w:tcPr>
            <w:tcW w:w="1428" w:type="dxa"/>
            <w:tcBorders>
              <w:top w:val="single" w:sz="4" w:space="0" w:color="auto"/>
            </w:tcBorders>
            <w:vAlign w:val="center"/>
          </w:tcPr>
          <w:p w14:paraId="67F94260" w14:textId="72A55939" w:rsidR="00AF04F9" w:rsidRPr="00DE0F31" w:rsidRDefault="00AF04F9" w:rsidP="00DE0F31">
            <w:pPr>
              <w:jc w:val="right"/>
              <w:rPr>
                <w:rFonts w:ascii="Arial" w:hAnsi="Arial" w:cs="Arial"/>
                <w:b/>
              </w:rPr>
            </w:pPr>
            <w:r w:rsidRPr="00DE0F31">
              <w:rPr>
                <w:rFonts w:ascii="Arial" w:hAnsi="Arial" w:cs="Arial"/>
                <w:b/>
              </w:rPr>
              <w:t>(1</w:t>
            </w:r>
            <w:r w:rsidR="00E11DBC">
              <w:rPr>
                <w:rFonts w:ascii="Arial" w:hAnsi="Arial" w:cs="Arial"/>
                <w:b/>
              </w:rPr>
              <w:t>4</w:t>
            </w:r>
            <w:r w:rsidR="005F642E">
              <w:rPr>
                <w:rFonts w:ascii="Arial" w:hAnsi="Arial" w:cs="Arial"/>
                <w:b/>
              </w:rPr>
              <w:t>0</w:t>
            </w:r>
            <w:r w:rsidRPr="00DE0F31">
              <w:rPr>
                <w:rFonts w:ascii="Arial" w:hAnsi="Arial" w:cs="Arial"/>
                <w:b/>
              </w:rPr>
              <w:t>)</w:t>
            </w:r>
          </w:p>
        </w:tc>
        <w:tc>
          <w:tcPr>
            <w:tcW w:w="1429" w:type="dxa"/>
            <w:tcBorders>
              <w:top w:val="single" w:sz="4" w:space="0" w:color="auto"/>
            </w:tcBorders>
            <w:vAlign w:val="center"/>
          </w:tcPr>
          <w:p w14:paraId="607441BA" w14:textId="77777777" w:rsidR="00AF04F9" w:rsidRPr="00DE0F31" w:rsidRDefault="00AF04F9" w:rsidP="00DE0F31">
            <w:pPr>
              <w:jc w:val="right"/>
              <w:rPr>
                <w:rFonts w:ascii="Arial" w:hAnsi="Arial" w:cs="Arial"/>
                <w:bCs/>
              </w:rPr>
            </w:pPr>
            <w:r w:rsidRPr="00DE0F31">
              <w:rPr>
                <w:rFonts w:ascii="Arial" w:hAnsi="Arial" w:cs="Arial"/>
                <w:bCs/>
              </w:rPr>
              <w:t>942</w:t>
            </w:r>
          </w:p>
        </w:tc>
      </w:tr>
      <w:tr w:rsidR="00AF04F9" w:rsidRPr="00DE0F31" w14:paraId="3B3B6BAC" w14:textId="77777777" w:rsidTr="00DE0F31">
        <w:trPr>
          <w:trHeight w:val="266"/>
        </w:trPr>
        <w:tc>
          <w:tcPr>
            <w:tcW w:w="7347" w:type="dxa"/>
            <w:shd w:val="clear" w:color="auto" w:fill="auto"/>
            <w:vAlign w:val="center"/>
          </w:tcPr>
          <w:p w14:paraId="15706B7D" w14:textId="77777777" w:rsidR="00AF04F9" w:rsidRPr="00DE0F31" w:rsidRDefault="00AF04F9" w:rsidP="00DE0F31">
            <w:pPr>
              <w:jc w:val="left"/>
              <w:rPr>
                <w:rFonts w:ascii="Arial" w:hAnsi="Arial" w:cs="Arial"/>
              </w:rPr>
            </w:pPr>
            <w:r w:rsidRPr="00DE0F31">
              <w:rPr>
                <w:rFonts w:ascii="Arial" w:hAnsi="Arial" w:cs="Arial"/>
              </w:rPr>
              <w:t>Opening net debt</w:t>
            </w:r>
          </w:p>
        </w:tc>
        <w:tc>
          <w:tcPr>
            <w:tcW w:w="1428" w:type="dxa"/>
            <w:vAlign w:val="center"/>
          </w:tcPr>
          <w:p w14:paraId="14D852FC" w14:textId="0D256FEB" w:rsidR="00AF04F9" w:rsidRPr="00DE0F31" w:rsidRDefault="00AF04F9" w:rsidP="00DE0F31">
            <w:pPr>
              <w:jc w:val="right"/>
              <w:rPr>
                <w:rFonts w:ascii="Arial" w:hAnsi="Arial" w:cs="Arial"/>
                <w:b/>
              </w:rPr>
            </w:pPr>
            <w:r w:rsidRPr="00DE0F31">
              <w:rPr>
                <w:rFonts w:ascii="Arial" w:hAnsi="Arial" w:cs="Arial"/>
                <w:b/>
              </w:rPr>
              <w:t>(1,394)</w:t>
            </w:r>
          </w:p>
        </w:tc>
        <w:tc>
          <w:tcPr>
            <w:tcW w:w="1429" w:type="dxa"/>
            <w:vAlign w:val="center"/>
          </w:tcPr>
          <w:p w14:paraId="49F44658" w14:textId="77777777" w:rsidR="00AF04F9" w:rsidRPr="00DE0F31" w:rsidRDefault="00AF04F9" w:rsidP="00DE0F31">
            <w:pPr>
              <w:jc w:val="right"/>
              <w:rPr>
                <w:rFonts w:ascii="Arial" w:hAnsi="Arial" w:cs="Arial"/>
                <w:bCs/>
              </w:rPr>
            </w:pPr>
            <w:r w:rsidRPr="00DE0F31">
              <w:rPr>
                <w:rFonts w:ascii="Arial" w:hAnsi="Arial" w:cs="Arial"/>
                <w:bCs/>
              </w:rPr>
              <w:t>(2,526)</w:t>
            </w:r>
          </w:p>
        </w:tc>
      </w:tr>
      <w:tr w:rsidR="00AF04F9" w:rsidRPr="00DE0F31" w14:paraId="00AFFDCB" w14:textId="77777777" w:rsidTr="00DE0F31">
        <w:trPr>
          <w:trHeight w:val="266"/>
        </w:trPr>
        <w:tc>
          <w:tcPr>
            <w:tcW w:w="7347" w:type="dxa"/>
            <w:shd w:val="clear" w:color="auto" w:fill="auto"/>
            <w:vAlign w:val="center"/>
          </w:tcPr>
          <w:p w14:paraId="719E66D2" w14:textId="77777777" w:rsidR="00AF04F9" w:rsidRPr="00DE0F31" w:rsidRDefault="00AF04F9" w:rsidP="00DE0F31">
            <w:pPr>
              <w:jc w:val="left"/>
              <w:rPr>
                <w:rFonts w:ascii="Arial" w:hAnsi="Arial" w:cs="Arial"/>
              </w:rPr>
            </w:pPr>
            <w:r w:rsidRPr="00DE0F31">
              <w:rPr>
                <w:rFonts w:ascii="Arial" w:hAnsi="Arial" w:cs="Arial"/>
              </w:rPr>
              <w:t>Movements in lease liabilities</w:t>
            </w:r>
          </w:p>
        </w:tc>
        <w:tc>
          <w:tcPr>
            <w:tcW w:w="1428" w:type="dxa"/>
            <w:vAlign w:val="center"/>
          </w:tcPr>
          <w:p w14:paraId="64DB6F1D" w14:textId="70434E2E" w:rsidR="00AF04F9" w:rsidRPr="00DE0F31" w:rsidRDefault="00AF04F9" w:rsidP="00DE0F31">
            <w:pPr>
              <w:jc w:val="right"/>
              <w:rPr>
                <w:rFonts w:ascii="Arial" w:hAnsi="Arial" w:cs="Arial"/>
                <w:b/>
              </w:rPr>
            </w:pPr>
            <w:r w:rsidRPr="00DE0F31">
              <w:rPr>
                <w:rFonts w:ascii="Arial" w:hAnsi="Arial" w:cs="Arial"/>
                <w:b/>
              </w:rPr>
              <w:t>7</w:t>
            </w:r>
          </w:p>
        </w:tc>
        <w:tc>
          <w:tcPr>
            <w:tcW w:w="1429" w:type="dxa"/>
            <w:vAlign w:val="center"/>
          </w:tcPr>
          <w:p w14:paraId="514289DF" w14:textId="77777777" w:rsidR="00AF04F9" w:rsidRPr="00DE0F31" w:rsidRDefault="00AF04F9" w:rsidP="00DE0F31">
            <w:pPr>
              <w:jc w:val="right"/>
              <w:rPr>
                <w:rFonts w:ascii="Arial" w:hAnsi="Arial" w:cs="Arial"/>
                <w:bCs/>
              </w:rPr>
            </w:pPr>
            <w:r w:rsidRPr="00DE0F31">
              <w:rPr>
                <w:rFonts w:ascii="Arial" w:hAnsi="Arial" w:cs="Arial"/>
                <w:bCs/>
              </w:rPr>
              <w:t>163</w:t>
            </w:r>
          </w:p>
        </w:tc>
      </w:tr>
      <w:tr w:rsidR="00AF04F9" w:rsidRPr="00DE0F31" w14:paraId="72D64959" w14:textId="77777777" w:rsidTr="00DE0F31">
        <w:trPr>
          <w:trHeight w:val="266"/>
        </w:trPr>
        <w:tc>
          <w:tcPr>
            <w:tcW w:w="7347" w:type="dxa"/>
            <w:tcBorders>
              <w:bottom w:val="single" w:sz="4" w:space="0" w:color="auto"/>
            </w:tcBorders>
            <w:shd w:val="clear" w:color="auto" w:fill="auto"/>
            <w:vAlign w:val="center"/>
          </w:tcPr>
          <w:p w14:paraId="7AA7F6AF" w14:textId="77777777" w:rsidR="00AF04F9" w:rsidRPr="00DE0F31" w:rsidRDefault="00AF04F9" w:rsidP="00DE0F31">
            <w:pPr>
              <w:jc w:val="left"/>
              <w:rPr>
                <w:rFonts w:ascii="Arial" w:hAnsi="Arial" w:cs="Arial"/>
              </w:rPr>
            </w:pPr>
            <w:r w:rsidRPr="00DE0F31">
              <w:rPr>
                <w:rFonts w:ascii="Arial" w:hAnsi="Arial" w:cs="Arial"/>
              </w:rPr>
              <w:t>Other movement including foreign exchange</w:t>
            </w:r>
          </w:p>
        </w:tc>
        <w:tc>
          <w:tcPr>
            <w:tcW w:w="1428" w:type="dxa"/>
            <w:tcBorders>
              <w:bottom w:val="single" w:sz="4" w:space="0" w:color="auto"/>
            </w:tcBorders>
            <w:vAlign w:val="center"/>
          </w:tcPr>
          <w:p w14:paraId="18AFA2A5" w14:textId="4C5CC921" w:rsidR="00AF04F9" w:rsidRPr="00DE0F31" w:rsidRDefault="00AF04F9" w:rsidP="00DE0F31">
            <w:pPr>
              <w:jc w:val="right"/>
              <w:rPr>
                <w:rFonts w:ascii="Arial" w:hAnsi="Arial" w:cs="Arial"/>
                <w:b/>
              </w:rPr>
            </w:pPr>
            <w:r w:rsidRPr="00DE0F31">
              <w:rPr>
                <w:rFonts w:ascii="Arial" w:hAnsi="Arial" w:cs="Arial"/>
                <w:b/>
              </w:rPr>
              <w:t>(4</w:t>
            </w:r>
            <w:r w:rsidR="005F642E">
              <w:rPr>
                <w:rFonts w:ascii="Arial" w:hAnsi="Arial" w:cs="Arial"/>
                <w:b/>
              </w:rPr>
              <w:t>5</w:t>
            </w:r>
            <w:r w:rsidRPr="00DE0F31">
              <w:rPr>
                <w:rFonts w:ascii="Arial" w:hAnsi="Arial" w:cs="Arial"/>
                <w:b/>
              </w:rPr>
              <w:t>)</w:t>
            </w:r>
          </w:p>
        </w:tc>
        <w:tc>
          <w:tcPr>
            <w:tcW w:w="1429" w:type="dxa"/>
            <w:tcBorders>
              <w:bottom w:val="single" w:sz="4" w:space="0" w:color="auto"/>
            </w:tcBorders>
            <w:vAlign w:val="center"/>
          </w:tcPr>
          <w:p w14:paraId="24FF57C1" w14:textId="77777777" w:rsidR="00AF04F9" w:rsidRPr="00DE0F31" w:rsidRDefault="00AF04F9" w:rsidP="00DE0F31">
            <w:pPr>
              <w:jc w:val="right"/>
              <w:rPr>
                <w:rFonts w:ascii="Arial" w:hAnsi="Arial" w:cs="Arial"/>
                <w:bCs/>
              </w:rPr>
            </w:pPr>
            <w:r w:rsidRPr="00DE0F31">
              <w:rPr>
                <w:rFonts w:ascii="Arial" w:hAnsi="Arial" w:cs="Arial"/>
                <w:bCs/>
              </w:rPr>
              <w:t>27</w:t>
            </w:r>
          </w:p>
        </w:tc>
      </w:tr>
      <w:tr w:rsidR="00AF04F9" w:rsidRPr="00A845B7" w14:paraId="61390A8E" w14:textId="77777777" w:rsidTr="00DE0F31">
        <w:trPr>
          <w:trHeight w:val="266"/>
        </w:trPr>
        <w:tc>
          <w:tcPr>
            <w:tcW w:w="7347" w:type="dxa"/>
            <w:tcBorders>
              <w:top w:val="single" w:sz="4" w:space="0" w:color="auto"/>
              <w:bottom w:val="single" w:sz="4" w:space="0" w:color="auto"/>
            </w:tcBorders>
            <w:shd w:val="clear" w:color="auto" w:fill="auto"/>
            <w:vAlign w:val="center"/>
          </w:tcPr>
          <w:p w14:paraId="21C8CB0D" w14:textId="77777777" w:rsidR="00AF04F9" w:rsidRPr="00DE0F31" w:rsidRDefault="00AF04F9" w:rsidP="00DE0F31">
            <w:pPr>
              <w:jc w:val="left"/>
              <w:rPr>
                <w:rFonts w:ascii="Arial" w:hAnsi="Arial" w:cs="Arial"/>
                <w:b/>
              </w:rPr>
            </w:pPr>
            <w:r w:rsidRPr="00DE0F31">
              <w:rPr>
                <w:rFonts w:ascii="Arial" w:hAnsi="Arial" w:cs="Arial"/>
                <w:b/>
              </w:rPr>
              <w:t>Closing net debt</w:t>
            </w:r>
          </w:p>
        </w:tc>
        <w:tc>
          <w:tcPr>
            <w:tcW w:w="1428" w:type="dxa"/>
            <w:tcBorders>
              <w:top w:val="single" w:sz="4" w:space="0" w:color="auto"/>
              <w:bottom w:val="single" w:sz="4" w:space="0" w:color="auto"/>
            </w:tcBorders>
            <w:vAlign w:val="center"/>
          </w:tcPr>
          <w:p w14:paraId="2F2284F8" w14:textId="69267D6A" w:rsidR="00AF04F9" w:rsidRPr="00DE0F31" w:rsidRDefault="00AF04F9" w:rsidP="00DE0F31">
            <w:pPr>
              <w:jc w:val="right"/>
              <w:rPr>
                <w:rFonts w:ascii="Arial" w:hAnsi="Arial" w:cs="Arial"/>
                <w:b/>
              </w:rPr>
            </w:pPr>
            <w:r w:rsidRPr="00DE0F31">
              <w:rPr>
                <w:rFonts w:ascii="Arial" w:hAnsi="Arial" w:cs="Arial"/>
                <w:b/>
              </w:rPr>
              <w:t>(1,572)</w:t>
            </w:r>
          </w:p>
        </w:tc>
        <w:tc>
          <w:tcPr>
            <w:tcW w:w="1429" w:type="dxa"/>
            <w:tcBorders>
              <w:top w:val="single" w:sz="4" w:space="0" w:color="auto"/>
              <w:bottom w:val="single" w:sz="4" w:space="0" w:color="auto"/>
            </w:tcBorders>
            <w:vAlign w:val="center"/>
          </w:tcPr>
          <w:p w14:paraId="5A53F05D" w14:textId="686D3A68" w:rsidR="00AF04F9" w:rsidRPr="00D10BA2" w:rsidRDefault="002A643E" w:rsidP="00DE0F31">
            <w:pPr>
              <w:jc w:val="right"/>
              <w:rPr>
                <w:rFonts w:ascii="Arial" w:hAnsi="Arial" w:cs="Arial"/>
                <w:bCs/>
              </w:rPr>
            </w:pPr>
            <w:r>
              <w:rPr>
                <w:rFonts w:ascii="Arial" w:hAnsi="Arial" w:cs="Arial"/>
                <w:bCs/>
              </w:rPr>
              <w:t>(</w:t>
            </w:r>
            <w:r w:rsidR="00AF04F9" w:rsidRPr="00DE0F31">
              <w:rPr>
                <w:rFonts w:ascii="Arial" w:hAnsi="Arial" w:cs="Arial"/>
                <w:bCs/>
              </w:rPr>
              <w:t>1,394</w:t>
            </w:r>
            <w:r>
              <w:rPr>
                <w:rFonts w:ascii="Arial" w:hAnsi="Arial" w:cs="Arial"/>
                <w:bCs/>
              </w:rPr>
              <w:t>)</w:t>
            </w:r>
          </w:p>
        </w:tc>
      </w:tr>
    </w:tbl>
    <w:p w14:paraId="6456E391" w14:textId="77777777" w:rsidR="0035042E" w:rsidRPr="00DE0F31" w:rsidRDefault="0035042E" w:rsidP="0035042E">
      <w:pPr>
        <w:jc w:val="left"/>
        <w:rPr>
          <w:rFonts w:ascii="Arial" w:hAnsi="Arial" w:cs="Arial"/>
          <w:sz w:val="18"/>
          <w:szCs w:val="18"/>
        </w:rPr>
      </w:pPr>
    </w:p>
    <w:bookmarkEnd w:id="95"/>
    <w:p w14:paraId="746526C9" w14:textId="77777777" w:rsidR="0035042E" w:rsidRPr="00337BFB" w:rsidRDefault="0035042E" w:rsidP="0035042E">
      <w:pPr>
        <w:jc w:val="left"/>
        <w:rPr>
          <w:rFonts w:ascii="Arial" w:hAnsi="Arial" w:cs="Arial"/>
          <w:sz w:val="18"/>
          <w:szCs w:val="18"/>
        </w:rPr>
      </w:pPr>
      <w:r w:rsidRPr="00337BFB">
        <w:rPr>
          <w:rFonts w:ascii="Arial" w:hAnsi="Arial" w:cs="Arial"/>
          <w:bCs/>
          <w:sz w:val="18"/>
          <w:szCs w:val="18"/>
          <w:vertAlign w:val="superscript"/>
        </w:rPr>
        <w:t>(1)</w:t>
      </w:r>
      <w:r w:rsidRPr="00337BFB">
        <w:rPr>
          <w:rFonts w:ascii="Arial" w:hAnsi="Arial" w:cs="Arial"/>
          <w:sz w:val="18"/>
          <w:szCs w:val="18"/>
        </w:rPr>
        <w:t xml:space="preserve"> Includes principally depreciation and amortisation, share-based compensation charge and pension operating cost. </w:t>
      </w:r>
    </w:p>
    <w:p w14:paraId="678DE98C" w14:textId="77777777" w:rsidR="0035042E" w:rsidRPr="00337BFB" w:rsidRDefault="0035042E" w:rsidP="0035042E">
      <w:pPr>
        <w:jc w:val="left"/>
        <w:rPr>
          <w:rFonts w:ascii="Arial" w:hAnsi="Arial" w:cs="Arial"/>
          <w:sz w:val="18"/>
          <w:szCs w:val="18"/>
        </w:rPr>
      </w:pPr>
      <w:r w:rsidRPr="00337BFB">
        <w:rPr>
          <w:rFonts w:ascii="Arial" w:hAnsi="Arial" w:cs="Arial"/>
          <w:bCs/>
          <w:sz w:val="18"/>
          <w:szCs w:val="18"/>
          <w:vertAlign w:val="superscript"/>
        </w:rPr>
        <w:t>(2)</w:t>
      </w:r>
      <w:r w:rsidRPr="00337BFB">
        <w:rPr>
          <w:rFonts w:ascii="Arial" w:hAnsi="Arial" w:cs="Arial"/>
          <w:sz w:val="18"/>
          <w:szCs w:val="18"/>
        </w:rPr>
        <w:t xml:space="preserve"> Payments made in relation to the EC state aid challenge (refer to the Taxation section above for further details).</w:t>
      </w:r>
    </w:p>
    <w:p w14:paraId="4A459BDE" w14:textId="54ECD109" w:rsidR="0035042E" w:rsidRPr="00337BFB" w:rsidRDefault="0035042E" w:rsidP="0035042E">
      <w:pPr>
        <w:jc w:val="left"/>
        <w:rPr>
          <w:rFonts w:ascii="Arial" w:hAnsi="Arial" w:cs="Arial"/>
          <w:sz w:val="18"/>
          <w:szCs w:val="18"/>
        </w:rPr>
      </w:pPr>
      <w:r w:rsidRPr="00337BFB">
        <w:rPr>
          <w:rFonts w:ascii="Arial" w:hAnsi="Arial" w:cs="Arial"/>
          <w:bCs/>
          <w:sz w:val="18"/>
          <w:szCs w:val="18"/>
          <w:vertAlign w:val="superscript"/>
        </w:rPr>
        <w:t>(3)</w:t>
      </w:r>
      <w:r w:rsidRPr="00337BFB">
        <w:rPr>
          <w:rFonts w:ascii="Arial" w:hAnsi="Arial" w:cs="Arial"/>
          <w:sz w:val="18"/>
          <w:szCs w:val="18"/>
        </w:rPr>
        <w:t xml:space="preserve"> Includes adjusting cash flow items, principally comprising </w:t>
      </w:r>
      <w:r w:rsidR="00337BFB" w:rsidRPr="00A423BF">
        <w:rPr>
          <w:rFonts w:ascii="Arial" w:hAnsi="Arial" w:cs="Arial"/>
          <w:sz w:val="18"/>
          <w:szCs w:val="18"/>
        </w:rPr>
        <w:t>restructuring costs</w:t>
      </w:r>
      <w:r w:rsidR="00337BFB" w:rsidRPr="00337BFB">
        <w:rPr>
          <w:rFonts w:ascii="Arial" w:hAnsi="Arial" w:cs="Arial"/>
          <w:sz w:val="18"/>
          <w:szCs w:val="18"/>
        </w:rPr>
        <w:t xml:space="preserve"> </w:t>
      </w:r>
      <w:r w:rsidR="00337BFB">
        <w:rPr>
          <w:rFonts w:ascii="Arial" w:hAnsi="Arial" w:cs="Arial"/>
          <w:sz w:val="18"/>
          <w:szCs w:val="18"/>
        </w:rPr>
        <w:t xml:space="preserve">and </w:t>
      </w:r>
      <w:r w:rsidR="00337BFB" w:rsidRPr="00337BFB">
        <w:rPr>
          <w:rFonts w:ascii="Arial" w:hAnsi="Arial" w:cs="Arial"/>
          <w:sz w:val="18"/>
          <w:szCs w:val="18"/>
        </w:rPr>
        <w:t>settlement of interest relating to legacy tax positions</w:t>
      </w:r>
      <w:r w:rsidR="00337BFB">
        <w:rPr>
          <w:rFonts w:ascii="Arial" w:hAnsi="Arial" w:cs="Arial"/>
          <w:sz w:val="18"/>
          <w:szCs w:val="18"/>
        </w:rPr>
        <w:t>;</w:t>
      </w:r>
      <w:r w:rsidRPr="00337BFB">
        <w:rPr>
          <w:rFonts w:ascii="Arial" w:hAnsi="Arial" w:cs="Arial"/>
          <w:sz w:val="18"/>
          <w:szCs w:val="18"/>
        </w:rPr>
        <w:t xml:space="preserve"> offset by property disposals.</w:t>
      </w:r>
    </w:p>
    <w:p w14:paraId="6B795EB9" w14:textId="77777777" w:rsidR="0035042E" w:rsidRPr="00337BFB" w:rsidRDefault="0035042E" w:rsidP="0035042E">
      <w:pPr>
        <w:ind w:right="-368"/>
        <w:jc w:val="left"/>
        <w:rPr>
          <w:rFonts w:ascii="Arial" w:hAnsi="Arial" w:cs="Arial"/>
          <w:bCs/>
        </w:rPr>
      </w:pPr>
    </w:p>
    <w:p w14:paraId="0548F72B" w14:textId="1C1C182B" w:rsidR="00406B7E" w:rsidRDefault="0035042E" w:rsidP="00406B7E">
      <w:pPr>
        <w:jc w:val="left"/>
        <w:rPr>
          <w:rFonts w:ascii="Arial" w:hAnsi="Arial" w:cs="Arial"/>
        </w:rPr>
      </w:pPr>
      <w:r w:rsidRPr="00337BFB">
        <w:rPr>
          <w:rFonts w:ascii="Arial" w:hAnsi="Arial" w:cs="Arial"/>
        </w:rPr>
        <w:t xml:space="preserve">Operating profit </w:t>
      </w:r>
      <w:r w:rsidR="00E12D3D" w:rsidRPr="00337BFB">
        <w:rPr>
          <w:rFonts w:ascii="Arial" w:hAnsi="Arial" w:cs="Arial"/>
        </w:rPr>
        <w:t>(</w:t>
      </w:r>
      <w:r w:rsidRPr="00337BFB">
        <w:rPr>
          <w:rFonts w:ascii="Arial" w:hAnsi="Arial" w:cs="Arial"/>
        </w:rPr>
        <w:t>before adjusting items</w:t>
      </w:r>
      <w:r w:rsidR="00E12D3D" w:rsidRPr="00337BFB">
        <w:rPr>
          <w:rFonts w:ascii="Arial" w:hAnsi="Arial" w:cs="Arial"/>
        </w:rPr>
        <w:t>)</w:t>
      </w:r>
      <w:r w:rsidRPr="00337BFB">
        <w:rPr>
          <w:rFonts w:ascii="Arial" w:hAnsi="Arial" w:cs="Arial"/>
        </w:rPr>
        <w:t xml:space="preserve"> was £140</w:t>
      </w:r>
      <w:r w:rsidR="000F2F06" w:rsidRPr="00337BFB">
        <w:rPr>
          <w:rFonts w:ascii="Arial" w:hAnsi="Arial" w:cs="Arial"/>
        </w:rPr>
        <w:t>m</w:t>
      </w:r>
      <w:r w:rsidRPr="00337BFB">
        <w:rPr>
          <w:rFonts w:ascii="Arial" w:hAnsi="Arial" w:cs="Arial"/>
        </w:rPr>
        <w:t xml:space="preserve"> higher than last year, largely reflecting higher profits</w:t>
      </w:r>
      <w:r w:rsidRPr="00DE0F31">
        <w:rPr>
          <w:rFonts w:ascii="Arial" w:hAnsi="Arial" w:cs="Arial"/>
        </w:rPr>
        <w:t xml:space="preserve"> in the UK &amp; Ireland and France.</w:t>
      </w:r>
    </w:p>
    <w:p w14:paraId="7C7F5C41" w14:textId="77777777" w:rsidR="008F0B7D" w:rsidRDefault="008F0B7D" w:rsidP="00406B7E">
      <w:pPr>
        <w:jc w:val="left"/>
        <w:rPr>
          <w:rFonts w:ascii="Arial" w:hAnsi="Arial" w:cs="Arial"/>
        </w:rPr>
      </w:pPr>
    </w:p>
    <w:p w14:paraId="201E0DC7" w14:textId="035A9674" w:rsidR="00272A7B" w:rsidRDefault="0035042E" w:rsidP="00272A7B">
      <w:pPr>
        <w:jc w:val="left"/>
        <w:rPr>
          <w:rFonts w:ascii="Arial" w:hAnsi="Arial" w:cs="Arial"/>
        </w:rPr>
      </w:pPr>
      <w:r w:rsidRPr="00480D23">
        <w:rPr>
          <w:rFonts w:ascii="Arial" w:hAnsi="Arial" w:cs="Arial"/>
        </w:rPr>
        <w:t>The working capital outflow of £</w:t>
      </w:r>
      <w:r w:rsidR="00E12D3D" w:rsidRPr="00480D23">
        <w:rPr>
          <w:rFonts w:ascii="Arial" w:hAnsi="Arial" w:cs="Arial"/>
        </w:rPr>
        <w:t>215</w:t>
      </w:r>
      <w:r w:rsidR="000F2F06" w:rsidRPr="00480D23">
        <w:rPr>
          <w:rFonts w:ascii="Arial" w:hAnsi="Arial" w:cs="Arial"/>
        </w:rPr>
        <w:t>m</w:t>
      </w:r>
      <w:r w:rsidRPr="00480D23">
        <w:rPr>
          <w:rFonts w:ascii="Arial" w:hAnsi="Arial" w:cs="Arial"/>
        </w:rPr>
        <w:t xml:space="preserve"> </w:t>
      </w:r>
      <w:r w:rsidR="002D3A8D" w:rsidRPr="00480D23">
        <w:rPr>
          <w:rFonts w:ascii="Arial" w:hAnsi="Arial" w:cs="Arial"/>
        </w:rPr>
        <w:t xml:space="preserve">was driven by </w:t>
      </w:r>
      <w:r w:rsidRPr="00480D23">
        <w:rPr>
          <w:rFonts w:ascii="Arial" w:hAnsi="Arial" w:cs="Arial"/>
        </w:rPr>
        <w:t xml:space="preserve">an increase </w:t>
      </w:r>
      <w:r w:rsidRPr="00480D23">
        <w:rPr>
          <w:rFonts w:ascii="Arial" w:hAnsi="Arial"/>
        </w:rPr>
        <w:t>in net stock of £</w:t>
      </w:r>
      <w:r w:rsidR="00E12D3D" w:rsidRPr="00480D23">
        <w:rPr>
          <w:rFonts w:ascii="Arial" w:hAnsi="Arial"/>
        </w:rPr>
        <w:t>359</w:t>
      </w:r>
      <w:r w:rsidR="000F2F06" w:rsidRPr="00480D23">
        <w:rPr>
          <w:rFonts w:ascii="Arial" w:hAnsi="Arial"/>
        </w:rPr>
        <w:t>m</w:t>
      </w:r>
      <w:r w:rsidR="002D3A8D" w:rsidRPr="00480D23">
        <w:rPr>
          <w:rFonts w:ascii="Arial" w:hAnsi="Arial"/>
        </w:rPr>
        <w:t xml:space="preserve">. </w:t>
      </w:r>
      <w:r w:rsidR="00C76702" w:rsidRPr="00480D23">
        <w:rPr>
          <w:rFonts w:ascii="Arial" w:hAnsi="Arial" w:cs="Arial"/>
        </w:rPr>
        <w:t xml:space="preserve">This reflects the impact of inflation, store expansion, and the Group’s </w:t>
      </w:r>
      <w:r w:rsidR="002D3A8D" w:rsidRPr="00480D23">
        <w:rPr>
          <w:rFonts w:ascii="Arial" w:hAnsi="Arial" w:cs="Arial"/>
        </w:rPr>
        <w:t>focu</w:t>
      </w:r>
      <w:r w:rsidR="00C76702" w:rsidRPr="00480D23">
        <w:rPr>
          <w:rFonts w:ascii="Arial" w:hAnsi="Arial" w:cs="Arial"/>
        </w:rPr>
        <w:t>s</w:t>
      </w:r>
      <w:r w:rsidR="002D3A8D" w:rsidRPr="00480D23">
        <w:rPr>
          <w:rFonts w:ascii="Arial" w:hAnsi="Arial" w:cs="Arial"/>
        </w:rPr>
        <w:t xml:space="preserve"> in FY 21/22 </w:t>
      </w:r>
      <w:r w:rsidR="00C76702" w:rsidRPr="00480D23">
        <w:rPr>
          <w:rFonts w:ascii="Arial" w:hAnsi="Arial" w:cs="Arial"/>
        </w:rPr>
        <w:t xml:space="preserve">on </w:t>
      </w:r>
      <w:r w:rsidR="00E90981" w:rsidRPr="00480D23">
        <w:rPr>
          <w:rFonts w:ascii="Arial" w:hAnsi="Arial" w:cs="Arial"/>
        </w:rPr>
        <w:t xml:space="preserve">rebuilding inventory levels and placing orders significantly ahead of peak trading periods and important global events, such as the Chinese New Year (which was earlier this year, </w:t>
      </w:r>
      <w:r w:rsidR="00560521">
        <w:rPr>
          <w:rFonts w:ascii="Arial" w:hAnsi="Arial" w:cs="Arial"/>
        </w:rPr>
        <w:t xml:space="preserve">at the end of </w:t>
      </w:r>
      <w:r w:rsidR="00E90981" w:rsidRPr="00480D23">
        <w:rPr>
          <w:rFonts w:ascii="Arial" w:hAnsi="Arial" w:cs="Arial"/>
        </w:rPr>
        <w:t xml:space="preserve">January 2022). </w:t>
      </w:r>
      <w:r w:rsidR="00C76702" w:rsidRPr="00480D23">
        <w:rPr>
          <w:rFonts w:ascii="Arial" w:hAnsi="Arial" w:cs="Arial"/>
        </w:rPr>
        <w:t xml:space="preserve">The Group had </w:t>
      </w:r>
      <w:r w:rsidR="002D3A8D" w:rsidRPr="00480D23">
        <w:rPr>
          <w:rFonts w:ascii="Arial" w:hAnsi="Arial" w:cs="Arial"/>
        </w:rPr>
        <w:t>exceptionally low inventory in the prior year, caused by COVID-related delay</w:t>
      </w:r>
      <w:r w:rsidR="00C76702" w:rsidRPr="00480D23">
        <w:rPr>
          <w:rFonts w:ascii="Arial" w:hAnsi="Arial" w:cs="Arial"/>
        </w:rPr>
        <w:t>s of orders,</w:t>
      </w:r>
      <w:r w:rsidR="002D3A8D" w:rsidRPr="00480D23">
        <w:rPr>
          <w:rFonts w:ascii="Arial" w:hAnsi="Arial" w:cs="Arial"/>
        </w:rPr>
        <w:t xml:space="preserve"> and strong sales.</w:t>
      </w:r>
      <w:r w:rsidRPr="00480D23">
        <w:rPr>
          <w:rFonts w:ascii="Arial" w:hAnsi="Arial"/>
        </w:rPr>
        <w:t xml:space="preserve"> Partially offsetting this </w:t>
      </w:r>
      <w:r w:rsidR="00480D23" w:rsidRPr="00480D23">
        <w:rPr>
          <w:rFonts w:ascii="Arial" w:hAnsi="Arial"/>
        </w:rPr>
        <w:t>wa</w:t>
      </w:r>
      <w:r w:rsidRPr="00480D23">
        <w:rPr>
          <w:rFonts w:ascii="Arial" w:hAnsi="Arial"/>
        </w:rPr>
        <w:t>s</w:t>
      </w:r>
      <w:r w:rsidRPr="00480D23">
        <w:rPr>
          <w:rFonts w:ascii="Arial" w:hAnsi="Arial" w:cs="Arial"/>
        </w:rPr>
        <w:t xml:space="preserve"> a £</w:t>
      </w:r>
      <w:r w:rsidR="00E90981" w:rsidRPr="00480D23">
        <w:rPr>
          <w:rFonts w:ascii="Arial" w:hAnsi="Arial" w:cs="Arial"/>
        </w:rPr>
        <w:t>144</w:t>
      </w:r>
      <w:r w:rsidR="000F2F06" w:rsidRPr="00480D23">
        <w:rPr>
          <w:rFonts w:ascii="Arial" w:hAnsi="Arial" w:cs="Arial"/>
        </w:rPr>
        <w:t>m</w:t>
      </w:r>
      <w:r w:rsidRPr="00480D23">
        <w:rPr>
          <w:rFonts w:ascii="Arial" w:hAnsi="Arial" w:cs="Arial"/>
        </w:rPr>
        <w:t xml:space="preserve"> increase in payables (net of receivables)</w:t>
      </w:r>
      <w:r w:rsidR="00480D23" w:rsidRPr="00480D23">
        <w:rPr>
          <w:rFonts w:ascii="Arial" w:hAnsi="Arial" w:cs="Arial"/>
        </w:rPr>
        <w:t>, largely</w:t>
      </w:r>
      <w:r w:rsidRPr="00480D23">
        <w:rPr>
          <w:rFonts w:ascii="Arial" w:hAnsi="Arial" w:cs="Arial"/>
        </w:rPr>
        <w:t xml:space="preserve"> reflecting </w:t>
      </w:r>
      <w:r w:rsidR="00480D23" w:rsidRPr="00480D23">
        <w:rPr>
          <w:rFonts w:ascii="Arial" w:hAnsi="Arial" w:cs="Arial"/>
        </w:rPr>
        <w:t xml:space="preserve">the </w:t>
      </w:r>
      <w:r w:rsidRPr="00480D23">
        <w:rPr>
          <w:rFonts w:ascii="Arial" w:hAnsi="Arial" w:cs="Arial"/>
        </w:rPr>
        <w:t xml:space="preserve">timing of inventory </w:t>
      </w:r>
      <w:r w:rsidR="00480D23" w:rsidRPr="00480D23">
        <w:rPr>
          <w:rFonts w:ascii="Arial" w:hAnsi="Arial" w:cs="Arial"/>
        </w:rPr>
        <w:t xml:space="preserve">and GNFR </w:t>
      </w:r>
      <w:r w:rsidRPr="00480D23">
        <w:rPr>
          <w:rFonts w:ascii="Arial" w:hAnsi="Arial" w:cs="Arial"/>
        </w:rPr>
        <w:t>purchases.</w:t>
      </w:r>
      <w:r w:rsidR="00272A7B">
        <w:rPr>
          <w:rFonts w:ascii="Arial" w:hAnsi="Arial" w:cs="Arial"/>
        </w:rPr>
        <w:br w:type="page"/>
      </w:r>
    </w:p>
    <w:p w14:paraId="7DBEF15C" w14:textId="4FE9AACF" w:rsidR="0035042E" w:rsidRPr="005852D2" w:rsidRDefault="0035042E" w:rsidP="0035042E">
      <w:pPr>
        <w:jc w:val="left"/>
        <w:rPr>
          <w:rFonts w:ascii="Arial" w:eastAsia="Times New Roman" w:hAnsi="Arial" w:cs="Arial"/>
        </w:rPr>
      </w:pPr>
      <w:bookmarkStart w:id="96" w:name="_Hlk97018249"/>
      <w:r w:rsidRPr="00FC41B5">
        <w:rPr>
          <w:rFonts w:ascii="Arial" w:hAnsi="Arial" w:cs="Arial"/>
        </w:rPr>
        <w:lastRenderedPageBreak/>
        <w:t xml:space="preserve">Gross capital expenditure </w:t>
      </w:r>
      <w:r>
        <w:rPr>
          <w:rFonts w:ascii="Arial" w:hAnsi="Arial" w:cs="Arial"/>
        </w:rPr>
        <w:t>in FY 21/</w:t>
      </w:r>
      <w:r w:rsidRPr="003C1C8E">
        <w:rPr>
          <w:rFonts w:ascii="Arial" w:hAnsi="Arial" w:cs="Arial"/>
        </w:rPr>
        <w:t>22 was £</w:t>
      </w:r>
      <w:r w:rsidR="003C1C8E" w:rsidRPr="0029067C">
        <w:rPr>
          <w:rFonts w:ascii="Arial" w:hAnsi="Arial" w:cs="Arial"/>
        </w:rPr>
        <w:t>397</w:t>
      </w:r>
      <w:r w:rsidR="000F2F06" w:rsidRPr="003C1C8E">
        <w:rPr>
          <w:rFonts w:ascii="Arial" w:hAnsi="Arial" w:cs="Arial"/>
        </w:rPr>
        <w:t>m</w:t>
      </w:r>
      <w:r w:rsidRPr="003C1C8E">
        <w:rPr>
          <w:rFonts w:ascii="Arial" w:hAnsi="Arial" w:cs="Arial"/>
        </w:rPr>
        <w:t>, increasing</w:t>
      </w:r>
      <w:r w:rsidRPr="003A1B1F">
        <w:rPr>
          <w:rFonts w:ascii="Arial" w:hAnsi="Arial" w:cs="Arial"/>
        </w:rPr>
        <w:t xml:space="preserve"> by </w:t>
      </w:r>
      <w:r w:rsidR="00E75435" w:rsidRPr="008F0B7D">
        <w:rPr>
          <w:rFonts w:ascii="Arial" w:hAnsi="Arial" w:cs="Arial"/>
        </w:rPr>
        <w:t>41</w:t>
      </w:r>
      <w:r w:rsidRPr="008F0B7D">
        <w:rPr>
          <w:rFonts w:ascii="Arial" w:hAnsi="Arial" w:cs="Arial"/>
        </w:rPr>
        <w:t>%</w:t>
      </w:r>
      <w:r w:rsidRPr="003A1B1F">
        <w:rPr>
          <w:rFonts w:ascii="Arial" w:hAnsi="Arial" w:cs="Arial"/>
        </w:rPr>
        <w:t xml:space="preserve"> (</w:t>
      </w:r>
      <w:r w:rsidR="001C00A7">
        <w:rPr>
          <w:rFonts w:ascii="Arial" w:hAnsi="Arial" w:cs="Arial"/>
        </w:rPr>
        <w:t>FY 20/21</w:t>
      </w:r>
      <w:r w:rsidRPr="003A1B1F">
        <w:rPr>
          <w:rFonts w:ascii="Arial" w:hAnsi="Arial" w:cs="Arial"/>
        </w:rPr>
        <w:t xml:space="preserve">: </w:t>
      </w:r>
      <w:r w:rsidRPr="004C11F2">
        <w:rPr>
          <w:rFonts w:ascii="Arial" w:hAnsi="Arial" w:cs="Arial"/>
        </w:rPr>
        <w:t>£</w:t>
      </w:r>
      <w:r w:rsidRPr="00D10BA2">
        <w:rPr>
          <w:rFonts w:ascii="Arial" w:hAnsi="Arial" w:cs="Arial"/>
        </w:rPr>
        <w:t>281</w:t>
      </w:r>
      <w:r w:rsidR="000F2F06">
        <w:rPr>
          <w:rFonts w:ascii="Arial" w:hAnsi="Arial" w:cs="Arial"/>
        </w:rPr>
        <w:t>m</w:t>
      </w:r>
      <w:r w:rsidRPr="003A1B1F">
        <w:rPr>
          <w:rFonts w:ascii="Arial" w:hAnsi="Arial" w:cs="Arial"/>
        </w:rPr>
        <w:t xml:space="preserve">). </w:t>
      </w:r>
      <w:r>
        <w:rPr>
          <w:rFonts w:ascii="Arial" w:hAnsi="Arial" w:cs="Arial"/>
          <w:bCs/>
        </w:rPr>
        <w:t>Following</w:t>
      </w:r>
      <w:r w:rsidRPr="003A1B1F">
        <w:rPr>
          <w:rFonts w:ascii="Arial" w:hAnsi="Arial" w:cs="Arial"/>
          <w:bCs/>
        </w:rPr>
        <w:t xml:space="preserve"> the onset of the </w:t>
      </w:r>
      <w:r>
        <w:rPr>
          <w:rFonts w:ascii="Arial" w:hAnsi="Arial" w:cs="Arial"/>
          <w:bCs/>
        </w:rPr>
        <w:t xml:space="preserve">pandemic </w:t>
      </w:r>
      <w:r w:rsidRPr="003A1B1F">
        <w:rPr>
          <w:rFonts w:ascii="Arial" w:hAnsi="Arial" w:cs="Arial"/>
          <w:bCs/>
        </w:rPr>
        <w:t xml:space="preserve">in </w:t>
      </w:r>
      <w:r w:rsidRPr="00967DFF">
        <w:rPr>
          <w:rFonts w:ascii="Arial" w:hAnsi="Arial" w:cs="Arial"/>
          <w:bCs/>
        </w:rPr>
        <w:t>FY 20/21, capital expenditure was largely limited to essential areas, and as a result approximately £70</w:t>
      </w:r>
      <w:r w:rsidR="000F2F06" w:rsidRPr="00967DFF">
        <w:rPr>
          <w:rFonts w:ascii="Arial" w:hAnsi="Arial" w:cs="Arial"/>
          <w:bCs/>
        </w:rPr>
        <w:t>m</w:t>
      </w:r>
      <w:r w:rsidRPr="00967DFF">
        <w:rPr>
          <w:rFonts w:ascii="Arial" w:hAnsi="Arial" w:cs="Arial"/>
          <w:bCs/>
        </w:rPr>
        <w:t xml:space="preserve"> was</w:t>
      </w:r>
      <w:r>
        <w:rPr>
          <w:rFonts w:ascii="Arial" w:hAnsi="Arial" w:cs="Arial"/>
          <w:bCs/>
        </w:rPr>
        <w:t xml:space="preserve"> deferred to FY 21/22. </w:t>
      </w:r>
      <w:r w:rsidRPr="00FA021B">
        <w:rPr>
          <w:rFonts w:ascii="Arial" w:hAnsi="Arial" w:cs="Arial"/>
        </w:rPr>
        <w:t xml:space="preserve">Of </w:t>
      </w:r>
      <w:r>
        <w:rPr>
          <w:rFonts w:ascii="Arial" w:hAnsi="Arial" w:cs="Arial"/>
        </w:rPr>
        <w:t>the expenditure in FY 21/</w:t>
      </w:r>
      <w:r w:rsidRPr="00967DFF">
        <w:rPr>
          <w:rFonts w:ascii="Arial" w:hAnsi="Arial" w:cs="Arial"/>
        </w:rPr>
        <w:t>22, 3</w:t>
      </w:r>
      <w:r w:rsidR="00967DFF" w:rsidRPr="00967DFF">
        <w:rPr>
          <w:rFonts w:ascii="Arial" w:hAnsi="Arial" w:cs="Arial"/>
        </w:rPr>
        <w:t>4</w:t>
      </w:r>
      <w:r w:rsidRPr="00967DFF">
        <w:rPr>
          <w:rFonts w:ascii="Arial" w:hAnsi="Arial" w:cs="Arial"/>
        </w:rPr>
        <w:t>% was</w:t>
      </w:r>
      <w:r w:rsidRPr="00214E2B">
        <w:rPr>
          <w:rFonts w:ascii="Arial" w:hAnsi="Arial" w:cs="Arial"/>
        </w:rPr>
        <w:t xml:space="preserve"> invested on refreshing, maintaining and adapting existing stores (including renewable energy initiatives</w:t>
      </w:r>
      <w:r w:rsidRPr="00967DFF">
        <w:rPr>
          <w:rFonts w:ascii="Arial" w:hAnsi="Arial" w:cs="Arial"/>
        </w:rPr>
        <w:t>), 16%</w:t>
      </w:r>
      <w:r w:rsidRPr="00214E2B">
        <w:rPr>
          <w:rFonts w:ascii="Arial" w:hAnsi="Arial" w:cs="Arial"/>
        </w:rPr>
        <w:t xml:space="preserve"> on new </w:t>
      </w:r>
      <w:r w:rsidRPr="00967DFF">
        <w:rPr>
          <w:rFonts w:ascii="Arial" w:hAnsi="Arial" w:cs="Arial"/>
        </w:rPr>
        <w:t xml:space="preserve">stores, </w:t>
      </w:r>
      <w:r w:rsidR="00967DFF" w:rsidRPr="00967DFF">
        <w:rPr>
          <w:rFonts w:ascii="Arial" w:hAnsi="Arial" w:cs="Arial"/>
        </w:rPr>
        <w:t>26</w:t>
      </w:r>
      <w:r w:rsidRPr="00967DFF">
        <w:rPr>
          <w:rFonts w:ascii="Arial" w:hAnsi="Arial" w:cs="Arial"/>
        </w:rPr>
        <w:t>% on technology</w:t>
      </w:r>
      <w:r w:rsidRPr="00214E2B">
        <w:rPr>
          <w:rFonts w:ascii="Arial" w:hAnsi="Arial" w:cs="Arial"/>
        </w:rPr>
        <w:t xml:space="preserve"> and digital </w:t>
      </w:r>
      <w:r w:rsidRPr="00967DFF">
        <w:rPr>
          <w:rFonts w:ascii="Arial" w:hAnsi="Arial" w:cs="Arial"/>
        </w:rPr>
        <w:t>development, 9% on range</w:t>
      </w:r>
      <w:r w:rsidRPr="00214E2B">
        <w:rPr>
          <w:rFonts w:ascii="Arial" w:hAnsi="Arial" w:cs="Arial"/>
        </w:rPr>
        <w:t xml:space="preserve"> </w:t>
      </w:r>
      <w:r w:rsidRPr="00967DFF">
        <w:rPr>
          <w:rFonts w:ascii="Arial" w:hAnsi="Arial" w:cs="Arial"/>
        </w:rPr>
        <w:t>reviews and 1</w:t>
      </w:r>
      <w:r w:rsidR="00967DFF" w:rsidRPr="00967DFF">
        <w:rPr>
          <w:rFonts w:ascii="Arial" w:hAnsi="Arial" w:cs="Arial"/>
        </w:rPr>
        <w:t>5</w:t>
      </w:r>
      <w:r w:rsidRPr="00967DFF">
        <w:rPr>
          <w:rFonts w:ascii="Arial" w:hAnsi="Arial" w:cs="Arial"/>
        </w:rPr>
        <w:t>% on</w:t>
      </w:r>
      <w:r w:rsidRPr="00214E2B">
        <w:rPr>
          <w:rFonts w:ascii="Arial" w:hAnsi="Arial" w:cs="Arial"/>
        </w:rPr>
        <w:t xml:space="preserve"> other areas including supply chain investment.</w:t>
      </w:r>
      <w:r w:rsidRPr="00E33CC8">
        <w:rPr>
          <w:rFonts w:ascii="Arial" w:hAnsi="Arial" w:cs="Arial"/>
        </w:rPr>
        <w:t xml:space="preserve"> </w:t>
      </w:r>
    </w:p>
    <w:bookmarkEnd w:id="96"/>
    <w:p w14:paraId="213E4265" w14:textId="77777777" w:rsidR="0035042E" w:rsidRDefault="0035042E" w:rsidP="0035042E">
      <w:pPr>
        <w:jc w:val="left"/>
        <w:rPr>
          <w:rFonts w:ascii="Arial" w:hAnsi="Arial" w:cs="Arial"/>
        </w:rPr>
      </w:pPr>
    </w:p>
    <w:p w14:paraId="6C85ECCA" w14:textId="49964AFD" w:rsidR="0035042E" w:rsidRPr="002C63EC" w:rsidRDefault="0035042E" w:rsidP="0035042E">
      <w:pPr>
        <w:jc w:val="left"/>
        <w:rPr>
          <w:rFonts w:ascii="Arial" w:hAnsi="Arial" w:cs="Arial"/>
        </w:rPr>
      </w:pPr>
      <w:r>
        <w:rPr>
          <w:rFonts w:ascii="Arial" w:hAnsi="Arial" w:cs="Arial"/>
        </w:rPr>
        <w:t>Overall, f</w:t>
      </w:r>
      <w:r w:rsidRPr="00D978CF">
        <w:rPr>
          <w:rFonts w:ascii="Arial" w:hAnsi="Arial" w:cs="Arial"/>
        </w:rPr>
        <w:t xml:space="preserve">ree cash </w:t>
      </w:r>
      <w:r w:rsidRPr="002C63EC">
        <w:rPr>
          <w:rFonts w:ascii="Arial" w:hAnsi="Arial" w:cs="Arial"/>
        </w:rPr>
        <w:t xml:space="preserve">flow for </w:t>
      </w:r>
      <w:r>
        <w:rPr>
          <w:rFonts w:ascii="Arial" w:hAnsi="Arial" w:cs="Arial"/>
        </w:rPr>
        <w:t>FY</w:t>
      </w:r>
      <w:r w:rsidRPr="002C63EC">
        <w:rPr>
          <w:rFonts w:ascii="Arial" w:hAnsi="Arial" w:cs="Arial"/>
        </w:rPr>
        <w:t xml:space="preserve"> 21/22 wa</w:t>
      </w:r>
      <w:r w:rsidRPr="00302695">
        <w:rPr>
          <w:rFonts w:ascii="Arial" w:hAnsi="Arial" w:cs="Arial"/>
        </w:rPr>
        <w:t>s £</w:t>
      </w:r>
      <w:r w:rsidRPr="00D10BA2">
        <w:rPr>
          <w:rFonts w:ascii="Arial" w:hAnsi="Arial" w:cs="Arial"/>
        </w:rPr>
        <w:t>385</w:t>
      </w:r>
      <w:r w:rsidR="000F2F06">
        <w:rPr>
          <w:rFonts w:ascii="Arial" w:hAnsi="Arial" w:cs="Arial"/>
        </w:rPr>
        <w:t>m</w:t>
      </w:r>
      <w:r w:rsidRPr="002C63EC">
        <w:rPr>
          <w:rFonts w:ascii="Arial" w:hAnsi="Arial" w:cs="Arial"/>
        </w:rPr>
        <w:t xml:space="preserve"> (</w:t>
      </w:r>
      <w:r w:rsidR="001C00A7">
        <w:rPr>
          <w:rFonts w:ascii="Arial" w:hAnsi="Arial" w:cs="Arial"/>
        </w:rPr>
        <w:t>FY 20/21</w:t>
      </w:r>
      <w:r w:rsidRPr="002C63EC">
        <w:rPr>
          <w:rFonts w:ascii="Arial" w:hAnsi="Arial" w:cs="Arial"/>
        </w:rPr>
        <w:t xml:space="preserve">: </w:t>
      </w:r>
      <w:r w:rsidRPr="00D10BA2">
        <w:rPr>
          <w:rFonts w:ascii="Arial" w:hAnsi="Arial" w:cs="Arial"/>
        </w:rPr>
        <w:t>£938</w:t>
      </w:r>
      <w:r w:rsidR="000F2F06">
        <w:rPr>
          <w:rFonts w:ascii="Arial" w:hAnsi="Arial" w:cs="Arial"/>
        </w:rPr>
        <w:t>m</w:t>
      </w:r>
      <w:r w:rsidRPr="002C63EC">
        <w:rPr>
          <w:rFonts w:ascii="Arial" w:hAnsi="Arial" w:cs="Arial"/>
        </w:rPr>
        <w:t xml:space="preserve">). </w:t>
      </w:r>
    </w:p>
    <w:p w14:paraId="68D9E1E3" w14:textId="77777777" w:rsidR="0035042E" w:rsidRPr="002C63EC" w:rsidRDefault="0035042E" w:rsidP="0035042E">
      <w:pPr>
        <w:jc w:val="left"/>
        <w:rPr>
          <w:rFonts w:ascii="Arial" w:hAnsi="Arial" w:cs="Arial"/>
        </w:rPr>
      </w:pPr>
    </w:p>
    <w:p w14:paraId="09BBBFDF" w14:textId="16D307B5" w:rsidR="0035042E" w:rsidRDefault="0035042E" w:rsidP="0035042E">
      <w:pPr>
        <w:jc w:val="left"/>
        <w:rPr>
          <w:rFonts w:ascii="Arial" w:hAnsi="Arial" w:cs="Arial"/>
        </w:rPr>
      </w:pPr>
      <w:r w:rsidRPr="002C63EC">
        <w:rPr>
          <w:rFonts w:ascii="Arial" w:hAnsi="Arial" w:cs="Arial"/>
        </w:rPr>
        <w:t xml:space="preserve">Net debt (including IFRS 16 lease liabilities) as </w:t>
      </w:r>
      <w:r>
        <w:rPr>
          <w:rFonts w:ascii="Arial" w:hAnsi="Arial" w:cs="Arial"/>
        </w:rPr>
        <w:t>of 31 January 2022</w:t>
      </w:r>
      <w:r w:rsidRPr="002C63EC">
        <w:rPr>
          <w:rFonts w:ascii="Arial" w:hAnsi="Arial" w:cs="Arial"/>
        </w:rPr>
        <w:t xml:space="preserve"> was £</w:t>
      </w:r>
      <w:r w:rsidRPr="00D10BA2">
        <w:rPr>
          <w:rFonts w:ascii="Arial" w:hAnsi="Arial" w:cs="Arial"/>
        </w:rPr>
        <w:t>1,5</w:t>
      </w:r>
      <w:r w:rsidR="00480D23">
        <w:rPr>
          <w:rFonts w:ascii="Arial" w:hAnsi="Arial" w:cs="Arial"/>
        </w:rPr>
        <w:t>72</w:t>
      </w:r>
      <w:r w:rsidR="000F2F06">
        <w:rPr>
          <w:rFonts w:ascii="Arial" w:hAnsi="Arial" w:cs="Arial"/>
        </w:rPr>
        <w:t>m</w:t>
      </w:r>
      <w:r w:rsidRPr="002C63EC">
        <w:rPr>
          <w:rFonts w:ascii="Arial" w:hAnsi="Arial" w:cs="Arial"/>
        </w:rPr>
        <w:t xml:space="preserve"> (</w:t>
      </w:r>
      <w:r w:rsidR="001C00A7">
        <w:rPr>
          <w:rFonts w:ascii="Arial" w:hAnsi="Arial" w:cs="Arial"/>
        </w:rPr>
        <w:t>FY 20/21</w:t>
      </w:r>
      <w:r w:rsidRPr="002C63EC">
        <w:rPr>
          <w:rFonts w:ascii="Arial" w:hAnsi="Arial" w:cs="Arial"/>
        </w:rPr>
        <w:t>: £</w:t>
      </w:r>
      <w:r w:rsidRPr="00D10BA2">
        <w:rPr>
          <w:rFonts w:ascii="Arial" w:hAnsi="Arial" w:cs="Arial"/>
        </w:rPr>
        <w:t>1,394</w:t>
      </w:r>
      <w:r w:rsidR="000F2F06">
        <w:rPr>
          <w:rFonts w:ascii="Arial" w:hAnsi="Arial" w:cs="Arial"/>
        </w:rPr>
        <w:t>m</w:t>
      </w:r>
      <w:r w:rsidRPr="002C63EC">
        <w:rPr>
          <w:rFonts w:ascii="Arial" w:hAnsi="Arial" w:cs="Arial"/>
        </w:rPr>
        <w:t>).</w:t>
      </w:r>
    </w:p>
    <w:p w14:paraId="02BC91E7" w14:textId="77777777" w:rsidR="0035042E" w:rsidRPr="002C63EC" w:rsidRDefault="0035042E" w:rsidP="0035042E">
      <w:pPr>
        <w:jc w:val="left"/>
        <w:rPr>
          <w:rFonts w:ascii="Arial" w:hAnsi="Arial" w:cs="Arial"/>
        </w:rPr>
      </w:pPr>
    </w:p>
    <w:tbl>
      <w:tblPr>
        <w:tblpPr w:leftFromText="180" w:rightFromText="180" w:vertAnchor="text" w:horzAnchor="margin" w:tblpY="808"/>
        <w:tblW w:w="5000" w:type="pct"/>
        <w:tblLayout w:type="fixed"/>
        <w:tblLook w:val="0000" w:firstRow="0" w:lastRow="0" w:firstColumn="0" w:lastColumn="0" w:noHBand="0" w:noVBand="0"/>
      </w:tblPr>
      <w:tblGrid>
        <w:gridCol w:w="7347"/>
        <w:gridCol w:w="1428"/>
        <w:gridCol w:w="1429"/>
      </w:tblGrid>
      <w:tr w:rsidR="0035042E" w:rsidRPr="00337BFB" w14:paraId="3AA6CD87" w14:textId="77777777" w:rsidTr="00337BFB">
        <w:trPr>
          <w:trHeight w:val="520"/>
        </w:trPr>
        <w:tc>
          <w:tcPr>
            <w:tcW w:w="7347" w:type="dxa"/>
            <w:shd w:val="clear" w:color="auto" w:fill="auto"/>
            <w:vAlign w:val="center"/>
          </w:tcPr>
          <w:p w14:paraId="1735EDC3" w14:textId="77777777" w:rsidR="0035042E" w:rsidRPr="00A845B7" w:rsidRDefault="0035042E" w:rsidP="00DE0F31">
            <w:pPr>
              <w:jc w:val="left"/>
              <w:rPr>
                <w:rFonts w:ascii="Arial" w:hAnsi="Arial" w:cs="Arial"/>
                <w:b/>
              </w:rPr>
            </w:pPr>
          </w:p>
        </w:tc>
        <w:tc>
          <w:tcPr>
            <w:tcW w:w="1428" w:type="dxa"/>
            <w:vAlign w:val="center"/>
          </w:tcPr>
          <w:p w14:paraId="0AEF1714" w14:textId="77777777" w:rsidR="0035042E" w:rsidRPr="00337BFB" w:rsidRDefault="0035042E" w:rsidP="00DE0F31">
            <w:pPr>
              <w:jc w:val="right"/>
              <w:rPr>
                <w:rFonts w:ascii="Arial" w:hAnsi="Arial" w:cs="Arial"/>
                <w:b/>
              </w:rPr>
            </w:pPr>
            <w:r w:rsidRPr="00337BFB">
              <w:rPr>
                <w:rFonts w:ascii="Arial" w:hAnsi="Arial" w:cs="Arial"/>
                <w:b/>
              </w:rPr>
              <w:t>2021/22</w:t>
            </w:r>
          </w:p>
          <w:p w14:paraId="11551E74" w14:textId="77777777" w:rsidR="0035042E" w:rsidRPr="00337BFB" w:rsidRDefault="0035042E" w:rsidP="00DE0F31">
            <w:pPr>
              <w:jc w:val="right"/>
              <w:rPr>
                <w:rFonts w:ascii="Arial" w:hAnsi="Arial" w:cs="Arial"/>
                <w:b/>
              </w:rPr>
            </w:pPr>
            <w:r w:rsidRPr="00337BFB">
              <w:rPr>
                <w:rFonts w:ascii="Arial" w:hAnsi="Arial" w:cs="Arial"/>
                <w:b/>
              </w:rPr>
              <w:t>£m</w:t>
            </w:r>
          </w:p>
        </w:tc>
        <w:tc>
          <w:tcPr>
            <w:tcW w:w="1429" w:type="dxa"/>
            <w:vAlign w:val="center"/>
          </w:tcPr>
          <w:p w14:paraId="097E06DC" w14:textId="77777777" w:rsidR="0035042E" w:rsidRPr="00337BFB" w:rsidRDefault="0035042E" w:rsidP="00DE0F31">
            <w:pPr>
              <w:jc w:val="right"/>
              <w:rPr>
                <w:rFonts w:ascii="Arial" w:hAnsi="Arial" w:cs="Arial"/>
              </w:rPr>
            </w:pPr>
            <w:r w:rsidRPr="00337BFB">
              <w:rPr>
                <w:rFonts w:ascii="Arial" w:hAnsi="Arial" w:cs="Arial"/>
              </w:rPr>
              <w:t>2020/21</w:t>
            </w:r>
          </w:p>
          <w:p w14:paraId="42D9DAAC" w14:textId="77777777" w:rsidR="0035042E" w:rsidRPr="00337BFB" w:rsidRDefault="0035042E" w:rsidP="00DE0F31">
            <w:pPr>
              <w:jc w:val="right"/>
              <w:rPr>
                <w:rFonts w:ascii="Arial" w:hAnsi="Arial" w:cs="Arial"/>
                <w:bCs/>
              </w:rPr>
            </w:pPr>
            <w:r w:rsidRPr="00337BFB">
              <w:rPr>
                <w:rFonts w:ascii="Arial" w:hAnsi="Arial" w:cs="Arial"/>
              </w:rPr>
              <w:t>£m</w:t>
            </w:r>
          </w:p>
        </w:tc>
      </w:tr>
      <w:tr w:rsidR="0035042E" w:rsidRPr="00337BFB" w14:paraId="34CF91D8" w14:textId="77777777" w:rsidTr="00337BFB">
        <w:trPr>
          <w:trHeight w:val="266"/>
        </w:trPr>
        <w:tc>
          <w:tcPr>
            <w:tcW w:w="7347" w:type="dxa"/>
            <w:tcBorders>
              <w:top w:val="single" w:sz="4" w:space="0" w:color="auto"/>
            </w:tcBorders>
            <w:shd w:val="clear" w:color="auto" w:fill="auto"/>
            <w:vAlign w:val="center"/>
          </w:tcPr>
          <w:p w14:paraId="2C27941A" w14:textId="77777777" w:rsidR="0035042E" w:rsidRPr="00337BFB" w:rsidRDefault="0035042E" w:rsidP="00DE0F31">
            <w:pPr>
              <w:jc w:val="left"/>
              <w:rPr>
                <w:rFonts w:ascii="Arial" w:hAnsi="Arial" w:cs="Arial"/>
                <w:b/>
              </w:rPr>
            </w:pPr>
            <w:r w:rsidRPr="00337BFB">
              <w:rPr>
                <w:rFonts w:ascii="Arial" w:hAnsi="Arial" w:cs="Arial"/>
                <w:b/>
              </w:rPr>
              <w:t xml:space="preserve">Free cash flow </w:t>
            </w:r>
          </w:p>
        </w:tc>
        <w:tc>
          <w:tcPr>
            <w:tcW w:w="1428" w:type="dxa"/>
            <w:tcBorders>
              <w:top w:val="single" w:sz="4" w:space="0" w:color="auto"/>
            </w:tcBorders>
            <w:vAlign w:val="center"/>
          </w:tcPr>
          <w:p w14:paraId="05697E0B" w14:textId="77777777" w:rsidR="0035042E" w:rsidRPr="00337BFB" w:rsidRDefault="0035042E" w:rsidP="00DE0F31">
            <w:pPr>
              <w:jc w:val="right"/>
              <w:rPr>
                <w:rFonts w:ascii="Arial" w:hAnsi="Arial" w:cs="Arial"/>
                <w:b/>
              </w:rPr>
            </w:pPr>
            <w:r w:rsidRPr="00337BFB">
              <w:rPr>
                <w:rFonts w:ascii="Arial" w:hAnsi="Arial" w:cs="Arial"/>
                <w:b/>
              </w:rPr>
              <w:t>385</w:t>
            </w:r>
          </w:p>
        </w:tc>
        <w:tc>
          <w:tcPr>
            <w:tcW w:w="1429" w:type="dxa"/>
            <w:tcBorders>
              <w:top w:val="single" w:sz="4" w:space="0" w:color="auto"/>
            </w:tcBorders>
            <w:vAlign w:val="center"/>
          </w:tcPr>
          <w:p w14:paraId="3B15223F" w14:textId="77777777" w:rsidR="0035042E" w:rsidRPr="00337BFB" w:rsidRDefault="0035042E" w:rsidP="00DE0F31">
            <w:pPr>
              <w:jc w:val="right"/>
              <w:rPr>
                <w:rFonts w:ascii="Arial" w:hAnsi="Arial" w:cs="Arial"/>
                <w:bCs/>
              </w:rPr>
            </w:pPr>
            <w:r w:rsidRPr="00337BFB">
              <w:rPr>
                <w:rFonts w:ascii="Arial" w:hAnsi="Arial" w:cs="Arial"/>
                <w:bCs/>
              </w:rPr>
              <w:t>938</w:t>
            </w:r>
          </w:p>
        </w:tc>
      </w:tr>
      <w:tr w:rsidR="0035042E" w:rsidRPr="00337BFB" w14:paraId="26D6185A" w14:textId="77777777" w:rsidTr="00337BFB">
        <w:trPr>
          <w:trHeight w:val="266"/>
        </w:trPr>
        <w:tc>
          <w:tcPr>
            <w:tcW w:w="7347" w:type="dxa"/>
            <w:shd w:val="clear" w:color="auto" w:fill="auto"/>
            <w:vAlign w:val="center"/>
          </w:tcPr>
          <w:p w14:paraId="2A5230C7" w14:textId="77777777" w:rsidR="0035042E" w:rsidRPr="00337BFB" w:rsidRDefault="0035042E" w:rsidP="00DE0F31">
            <w:pPr>
              <w:jc w:val="left"/>
              <w:rPr>
                <w:rFonts w:ascii="Arial" w:hAnsi="Arial" w:cs="Arial"/>
              </w:rPr>
            </w:pPr>
            <w:r w:rsidRPr="00337BFB">
              <w:rPr>
                <w:rFonts w:ascii="Arial" w:hAnsi="Arial" w:cs="Arial"/>
              </w:rPr>
              <w:t>Ordinary dividends paid</w:t>
            </w:r>
          </w:p>
        </w:tc>
        <w:tc>
          <w:tcPr>
            <w:tcW w:w="1428" w:type="dxa"/>
            <w:vAlign w:val="center"/>
          </w:tcPr>
          <w:p w14:paraId="2E26177D" w14:textId="6F30B81B" w:rsidR="0035042E" w:rsidRPr="00337BFB" w:rsidRDefault="0035042E" w:rsidP="00DE0F31">
            <w:pPr>
              <w:jc w:val="right"/>
              <w:rPr>
                <w:rFonts w:ascii="Arial" w:hAnsi="Arial" w:cs="Arial"/>
                <w:b/>
              </w:rPr>
            </w:pPr>
            <w:r w:rsidRPr="00337BFB">
              <w:rPr>
                <w:rFonts w:ascii="Arial" w:hAnsi="Arial" w:cs="Arial"/>
                <w:b/>
              </w:rPr>
              <w:t>(</w:t>
            </w:r>
            <w:r w:rsidR="00337BFB" w:rsidRPr="00337BFB">
              <w:rPr>
                <w:rFonts w:ascii="Arial" w:hAnsi="Arial" w:cs="Arial"/>
                <w:b/>
              </w:rPr>
              <w:t>254</w:t>
            </w:r>
            <w:r w:rsidRPr="00337BFB">
              <w:rPr>
                <w:rFonts w:ascii="Arial" w:hAnsi="Arial" w:cs="Arial"/>
                <w:b/>
              </w:rPr>
              <w:t>)</w:t>
            </w:r>
          </w:p>
        </w:tc>
        <w:tc>
          <w:tcPr>
            <w:tcW w:w="1429" w:type="dxa"/>
            <w:vAlign w:val="center"/>
          </w:tcPr>
          <w:p w14:paraId="065FDE0C" w14:textId="77777777" w:rsidR="0035042E" w:rsidRPr="00337BFB" w:rsidRDefault="0035042E" w:rsidP="00DE0F31">
            <w:pPr>
              <w:jc w:val="right"/>
              <w:rPr>
                <w:rFonts w:ascii="Arial" w:hAnsi="Arial" w:cs="Arial"/>
                <w:bCs/>
              </w:rPr>
            </w:pPr>
            <w:r w:rsidRPr="00337BFB">
              <w:rPr>
                <w:rFonts w:ascii="Arial" w:hAnsi="Arial" w:cs="Arial"/>
                <w:bCs/>
              </w:rPr>
              <w:t>-</w:t>
            </w:r>
          </w:p>
        </w:tc>
      </w:tr>
      <w:tr w:rsidR="00A07B5A" w:rsidRPr="00337BFB" w14:paraId="53A5FA5C" w14:textId="77777777" w:rsidTr="00337BFB">
        <w:trPr>
          <w:trHeight w:val="266"/>
        </w:trPr>
        <w:tc>
          <w:tcPr>
            <w:tcW w:w="7347" w:type="dxa"/>
            <w:shd w:val="clear" w:color="auto" w:fill="auto"/>
            <w:vAlign w:val="center"/>
          </w:tcPr>
          <w:p w14:paraId="0659AD99" w14:textId="57E84EE2" w:rsidR="00A07B5A" w:rsidRPr="00337BFB" w:rsidRDefault="00A07B5A" w:rsidP="00A07B5A">
            <w:pPr>
              <w:jc w:val="left"/>
              <w:rPr>
                <w:rFonts w:ascii="Arial" w:hAnsi="Arial" w:cs="Arial"/>
              </w:rPr>
            </w:pPr>
            <w:r w:rsidRPr="00337BFB">
              <w:rPr>
                <w:rFonts w:ascii="Arial" w:hAnsi="Arial" w:cs="Arial"/>
              </w:rPr>
              <w:t>Share buybacks</w:t>
            </w:r>
          </w:p>
        </w:tc>
        <w:tc>
          <w:tcPr>
            <w:tcW w:w="1428" w:type="dxa"/>
            <w:vAlign w:val="center"/>
          </w:tcPr>
          <w:p w14:paraId="39656920" w14:textId="10320E6A" w:rsidR="00A07B5A" w:rsidRPr="00337BFB" w:rsidRDefault="00A07B5A" w:rsidP="00A07B5A">
            <w:pPr>
              <w:jc w:val="right"/>
              <w:rPr>
                <w:rFonts w:ascii="Arial" w:hAnsi="Arial" w:cs="Arial"/>
                <w:b/>
              </w:rPr>
            </w:pPr>
            <w:r w:rsidRPr="00337BFB">
              <w:rPr>
                <w:rFonts w:ascii="Arial" w:hAnsi="Arial" w:cs="Arial"/>
                <w:b/>
              </w:rPr>
              <w:t>(157)</w:t>
            </w:r>
          </w:p>
        </w:tc>
        <w:tc>
          <w:tcPr>
            <w:tcW w:w="1429" w:type="dxa"/>
            <w:vAlign w:val="center"/>
          </w:tcPr>
          <w:p w14:paraId="027EC05A" w14:textId="73C65A53" w:rsidR="00A07B5A" w:rsidRPr="00337BFB" w:rsidRDefault="00A07B5A" w:rsidP="00A07B5A">
            <w:pPr>
              <w:jc w:val="right"/>
              <w:rPr>
                <w:rFonts w:ascii="Arial" w:hAnsi="Arial" w:cs="Arial"/>
                <w:bCs/>
              </w:rPr>
            </w:pPr>
            <w:r w:rsidRPr="00337BFB">
              <w:rPr>
                <w:rFonts w:ascii="Arial" w:hAnsi="Arial" w:cs="Arial"/>
                <w:bCs/>
              </w:rPr>
              <w:t>-</w:t>
            </w:r>
          </w:p>
        </w:tc>
      </w:tr>
      <w:tr w:rsidR="00A07B5A" w:rsidRPr="00337BFB" w14:paraId="5E8E794C" w14:textId="77777777" w:rsidTr="00337BFB">
        <w:trPr>
          <w:trHeight w:val="266"/>
        </w:trPr>
        <w:tc>
          <w:tcPr>
            <w:tcW w:w="7347" w:type="dxa"/>
            <w:shd w:val="clear" w:color="auto" w:fill="auto"/>
            <w:vAlign w:val="center"/>
          </w:tcPr>
          <w:p w14:paraId="69089D99" w14:textId="14D2E98E" w:rsidR="00A07B5A" w:rsidRPr="00337BFB" w:rsidRDefault="00A07B5A" w:rsidP="00A07B5A">
            <w:pPr>
              <w:jc w:val="left"/>
              <w:rPr>
                <w:rFonts w:ascii="Arial" w:hAnsi="Arial" w:cs="Arial"/>
              </w:rPr>
            </w:pPr>
            <w:r w:rsidRPr="00DE0F31">
              <w:rPr>
                <w:rFonts w:ascii="Arial" w:hAnsi="Arial" w:cs="Arial"/>
              </w:rPr>
              <w:t>Share purchase for employee incentive schemes</w:t>
            </w:r>
          </w:p>
        </w:tc>
        <w:tc>
          <w:tcPr>
            <w:tcW w:w="1428" w:type="dxa"/>
            <w:vAlign w:val="center"/>
          </w:tcPr>
          <w:p w14:paraId="0A92D36C" w14:textId="6FF1A1E2" w:rsidR="00A07B5A" w:rsidRPr="00337BFB" w:rsidRDefault="00A07B5A" w:rsidP="00A07B5A">
            <w:pPr>
              <w:jc w:val="right"/>
              <w:rPr>
                <w:rFonts w:ascii="Arial" w:hAnsi="Arial" w:cs="Arial"/>
                <w:b/>
              </w:rPr>
            </w:pPr>
            <w:r w:rsidRPr="00337BFB">
              <w:rPr>
                <w:rFonts w:ascii="Arial" w:hAnsi="Arial" w:cs="Arial"/>
                <w:b/>
              </w:rPr>
              <w:t>(29)</w:t>
            </w:r>
          </w:p>
        </w:tc>
        <w:tc>
          <w:tcPr>
            <w:tcW w:w="1429" w:type="dxa"/>
            <w:vAlign w:val="center"/>
          </w:tcPr>
          <w:p w14:paraId="3DC58BBC" w14:textId="23DC5B15" w:rsidR="00A07B5A" w:rsidRPr="00337BFB" w:rsidRDefault="00A07B5A" w:rsidP="00A07B5A">
            <w:pPr>
              <w:jc w:val="right"/>
              <w:rPr>
                <w:rFonts w:ascii="Arial" w:hAnsi="Arial" w:cs="Arial"/>
                <w:bCs/>
              </w:rPr>
            </w:pPr>
            <w:r w:rsidRPr="00337BFB">
              <w:rPr>
                <w:rFonts w:ascii="Arial" w:hAnsi="Arial" w:cs="Arial"/>
                <w:bCs/>
              </w:rPr>
              <w:t>(14)</w:t>
            </w:r>
          </w:p>
        </w:tc>
      </w:tr>
      <w:tr w:rsidR="0035042E" w:rsidRPr="00337BFB" w14:paraId="0B0DBDDD" w14:textId="77777777" w:rsidTr="00337BFB">
        <w:trPr>
          <w:trHeight w:val="266"/>
        </w:trPr>
        <w:tc>
          <w:tcPr>
            <w:tcW w:w="7347" w:type="dxa"/>
            <w:shd w:val="clear" w:color="auto" w:fill="auto"/>
            <w:vAlign w:val="center"/>
          </w:tcPr>
          <w:p w14:paraId="7E70EBB0" w14:textId="77777777" w:rsidR="0035042E" w:rsidRPr="00337BFB" w:rsidRDefault="0035042E" w:rsidP="00DE0F31">
            <w:pPr>
              <w:jc w:val="left"/>
              <w:rPr>
                <w:rFonts w:ascii="Arial" w:hAnsi="Arial" w:cs="Arial"/>
              </w:rPr>
            </w:pPr>
            <w:r w:rsidRPr="00337BFB">
              <w:rPr>
                <w:rFonts w:ascii="Arial" w:hAnsi="Arial" w:cs="Arial"/>
              </w:rPr>
              <w:t>Disposal of Castorama Russia and acquisition of NeedHelp</w:t>
            </w:r>
          </w:p>
        </w:tc>
        <w:tc>
          <w:tcPr>
            <w:tcW w:w="1428" w:type="dxa"/>
            <w:vAlign w:val="center"/>
          </w:tcPr>
          <w:p w14:paraId="4D0ECB94" w14:textId="0B88B15E" w:rsidR="0035042E" w:rsidRPr="00337BFB" w:rsidRDefault="00A07B5A" w:rsidP="00DE0F31">
            <w:pPr>
              <w:jc w:val="right"/>
              <w:rPr>
                <w:rFonts w:ascii="Arial" w:hAnsi="Arial" w:cs="Arial"/>
                <w:b/>
              </w:rPr>
            </w:pPr>
            <w:r>
              <w:rPr>
                <w:rFonts w:ascii="Arial" w:hAnsi="Arial" w:cs="Arial"/>
                <w:b/>
              </w:rPr>
              <w:t>7</w:t>
            </w:r>
          </w:p>
        </w:tc>
        <w:tc>
          <w:tcPr>
            <w:tcW w:w="1429" w:type="dxa"/>
            <w:vAlign w:val="center"/>
          </w:tcPr>
          <w:p w14:paraId="4BA4C45B" w14:textId="77777777" w:rsidR="0035042E" w:rsidRPr="00337BFB" w:rsidRDefault="0035042E" w:rsidP="00DE0F31">
            <w:pPr>
              <w:jc w:val="right"/>
              <w:rPr>
                <w:rFonts w:ascii="Arial" w:hAnsi="Arial" w:cs="Arial"/>
                <w:bCs/>
              </w:rPr>
            </w:pPr>
            <w:r w:rsidRPr="00337BFB">
              <w:rPr>
                <w:rFonts w:ascii="Arial" w:hAnsi="Arial" w:cs="Arial"/>
                <w:bCs/>
              </w:rPr>
              <w:t>19</w:t>
            </w:r>
          </w:p>
        </w:tc>
      </w:tr>
      <w:tr w:rsidR="0035042E" w:rsidRPr="00337BFB" w14:paraId="431FCF4F" w14:textId="77777777" w:rsidTr="00337BFB">
        <w:trPr>
          <w:trHeight w:val="266"/>
        </w:trPr>
        <w:tc>
          <w:tcPr>
            <w:tcW w:w="7347" w:type="dxa"/>
            <w:shd w:val="clear" w:color="auto" w:fill="auto"/>
            <w:vAlign w:val="center"/>
          </w:tcPr>
          <w:p w14:paraId="293982DB" w14:textId="77777777" w:rsidR="0035042E" w:rsidRPr="00337BFB" w:rsidRDefault="0035042E" w:rsidP="00DE0F31">
            <w:pPr>
              <w:jc w:val="left"/>
              <w:rPr>
                <w:rFonts w:ascii="Arial" w:hAnsi="Arial" w:cs="Arial"/>
              </w:rPr>
            </w:pPr>
            <w:r w:rsidRPr="00337BFB">
              <w:rPr>
                <w:rFonts w:ascii="Arial" w:hAnsi="Arial" w:cs="Arial"/>
              </w:rPr>
              <w:t>Other tax authority payments</w:t>
            </w:r>
            <w:r w:rsidRPr="00337BFB">
              <w:rPr>
                <w:rFonts w:ascii="Arial" w:hAnsi="Arial" w:cs="Arial"/>
                <w:vertAlign w:val="superscript"/>
              </w:rPr>
              <w:t>(1)</w:t>
            </w:r>
          </w:p>
        </w:tc>
        <w:tc>
          <w:tcPr>
            <w:tcW w:w="1428" w:type="dxa"/>
            <w:vAlign w:val="center"/>
          </w:tcPr>
          <w:p w14:paraId="1E5DCE8C" w14:textId="77777777" w:rsidR="0035042E" w:rsidRPr="00337BFB" w:rsidRDefault="0035042E" w:rsidP="00DE0F31">
            <w:pPr>
              <w:jc w:val="right"/>
              <w:rPr>
                <w:rFonts w:ascii="Arial" w:hAnsi="Arial" w:cs="Arial"/>
                <w:b/>
              </w:rPr>
            </w:pPr>
            <w:r w:rsidRPr="00337BFB">
              <w:rPr>
                <w:rFonts w:ascii="Arial" w:hAnsi="Arial" w:cs="Arial"/>
                <w:b/>
              </w:rPr>
              <w:t>(64)</w:t>
            </w:r>
          </w:p>
        </w:tc>
        <w:tc>
          <w:tcPr>
            <w:tcW w:w="1429" w:type="dxa"/>
            <w:vAlign w:val="center"/>
          </w:tcPr>
          <w:p w14:paraId="0FC9932D" w14:textId="77777777" w:rsidR="0035042E" w:rsidRPr="00337BFB" w:rsidRDefault="0035042E" w:rsidP="00DE0F31">
            <w:pPr>
              <w:jc w:val="right"/>
              <w:rPr>
                <w:rFonts w:ascii="Arial" w:hAnsi="Arial" w:cs="Arial"/>
                <w:bCs/>
              </w:rPr>
            </w:pPr>
            <w:r w:rsidRPr="00337BFB">
              <w:rPr>
                <w:rFonts w:ascii="Arial" w:hAnsi="Arial" w:cs="Arial"/>
                <w:bCs/>
              </w:rPr>
              <w:t>-</w:t>
            </w:r>
          </w:p>
        </w:tc>
      </w:tr>
      <w:tr w:rsidR="0035042E" w:rsidRPr="00337BFB" w14:paraId="3FA66019" w14:textId="77777777" w:rsidTr="00337BFB">
        <w:trPr>
          <w:trHeight w:val="266"/>
        </w:trPr>
        <w:tc>
          <w:tcPr>
            <w:tcW w:w="7347" w:type="dxa"/>
            <w:shd w:val="clear" w:color="auto" w:fill="auto"/>
            <w:vAlign w:val="center"/>
          </w:tcPr>
          <w:p w14:paraId="3660D8C0" w14:textId="77777777" w:rsidR="0035042E" w:rsidRPr="00337BFB" w:rsidRDefault="0035042E" w:rsidP="00DE0F31">
            <w:pPr>
              <w:jc w:val="left"/>
              <w:rPr>
                <w:rFonts w:ascii="Arial" w:hAnsi="Arial" w:cs="Arial"/>
              </w:rPr>
            </w:pPr>
            <w:r w:rsidRPr="00337BFB">
              <w:rPr>
                <w:rFonts w:ascii="Arial" w:hAnsi="Arial" w:cs="Arial"/>
              </w:rPr>
              <w:t>Disposal of assets and other</w:t>
            </w:r>
            <w:r w:rsidRPr="00337BFB">
              <w:rPr>
                <w:rFonts w:ascii="Arial" w:hAnsi="Arial" w:cs="Arial"/>
                <w:vertAlign w:val="superscript"/>
              </w:rPr>
              <w:t>(2)</w:t>
            </w:r>
          </w:p>
        </w:tc>
        <w:tc>
          <w:tcPr>
            <w:tcW w:w="1428" w:type="dxa"/>
            <w:vAlign w:val="center"/>
          </w:tcPr>
          <w:p w14:paraId="3C68096E" w14:textId="16091FEB" w:rsidR="0035042E" w:rsidRPr="00337BFB" w:rsidRDefault="0035042E" w:rsidP="00DE0F31">
            <w:pPr>
              <w:jc w:val="right"/>
              <w:rPr>
                <w:rFonts w:ascii="Arial" w:hAnsi="Arial" w:cs="Arial"/>
                <w:b/>
              </w:rPr>
            </w:pPr>
            <w:r w:rsidRPr="00337BFB">
              <w:rPr>
                <w:rFonts w:ascii="Arial" w:hAnsi="Arial" w:cs="Arial"/>
                <w:b/>
              </w:rPr>
              <w:t>(</w:t>
            </w:r>
            <w:r w:rsidR="00337BFB" w:rsidRPr="00337BFB">
              <w:rPr>
                <w:rFonts w:ascii="Arial" w:hAnsi="Arial" w:cs="Arial"/>
                <w:b/>
              </w:rPr>
              <w:t>2</w:t>
            </w:r>
            <w:r w:rsidR="00A07B5A">
              <w:rPr>
                <w:rFonts w:ascii="Arial" w:hAnsi="Arial" w:cs="Arial"/>
                <w:b/>
              </w:rPr>
              <w:t>8</w:t>
            </w:r>
            <w:r w:rsidRPr="00337BFB">
              <w:rPr>
                <w:rFonts w:ascii="Arial" w:hAnsi="Arial" w:cs="Arial"/>
                <w:b/>
              </w:rPr>
              <w:t>)</w:t>
            </w:r>
          </w:p>
        </w:tc>
        <w:tc>
          <w:tcPr>
            <w:tcW w:w="1429" w:type="dxa"/>
            <w:vAlign w:val="center"/>
          </w:tcPr>
          <w:p w14:paraId="7E3E85F7" w14:textId="77777777" w:rsidR="0035042E" w:rsidRPr="00337BFB" w:rsidRDefault="0035042E" w:rsidP="00DE0F31">
            <w:pPr>
              <w:jc w:val="right"/>
              <w:rPr>
                <w:rFonts w:ascii="Arial" w:hAnsi="Arial" w:cs="Arial"/>
                <w:bCs/>
              </w:rPr>
            </w:pPr>
            <w:r w:rsidRPr="00337BFB">
              <w:rPr>
                <w:rFonts w:ascii="Arial" w:hAnsi="Arial" w:cs="Arial"/>
                <w:bCs/>
              </w:rPr>
              <w:t>(1)</w:t>
            </w:r>
          </w:p>
        </w:tc>
      </w:tr>
      <w:tr w:rsidR="0035042E" w:rsidRPr="00337BFB" w14:paraId="5C4EE88A" w14:textId="77777777" w:rsidTr="00337BFB">
        <w:trPr>
          <w:trHeight w:val="266"/>
        </w:trPr>
        <w:tc>
          <w:tcPr>
            <w:tcW w:w="7347" w:type="dxa"/>
            <w:tcBorders>
              <w:top w:val="single" w:sz="4" w:space="0" w:color="auto"/>
            </w:tcBorders>
            <w:shd w:val="clear" w:color="auto" w:fill="auto"/>
            <w:vAlign w:val="center"/>
          </w:tcPr>
          <w:p w14:paraId="6CC17339" w14:textId="77777777" w:rsidR="0035042E" w:rsidRPr="00337BFB" w:rsidRDefault="0035042E" w:rsidP="00DE0F31">
            <w:pPr>
              <w:jc w:val="left"/>
              <w:rPr>
                <w:rFonts w:ascii="Arial" w:hAnsi="Arial" w:cs="Arial"/>
                <w:b/>
                <w:bCs/>
              </w:rPr>
            </w:pPr>
            <w:r w:rsidRPr="00337BFB">
              <w:rPr>
                <w:rFonts w:ascii="Arial" w:hAnsi="Arial" w:cs="Arial"/>
                <w:b/>
                <w:bCs/>
              </w:rPr>
              <w:t>Net cash flow</w:t>
            </w:r>
          </w:p>
        </w:tc>
        <w:tc>
          <w:tcPr>
            <w:tcW w:w="1428" w:type="dxa"/>
            <w:tcBorders>
              <w:top w:val="single" w:sz="4" w:space="0" w:color="auto"/>
            </w:tcBorders>
            <w:vAlign w:val="center"/>
          </w:tcPr>
          <w:p w14:paraId="546E513C" w14:textId="442A6AF3" w:rsidR="0035042E" w:rsidRPr="00337BFB" w:rsidRDefault="00337BFB" w:rsidP="00DE0F31">
            <w:pPr>
              <w:jc w:val="right"/>
              <w:rPr>
                <w:rFonts w:ascii="Arial" w:hAnsi="Arial" w:cs="Arial"/>
                <w:b/>
                <w:bCs/>
              </w:rPr>
            </w:pPr>
            <w:r w:rsidRPr="00337BFB">
              <w:rPr>
                <w:rFonts w:ascii="Arial" w:hAnsi="Arial" w:cs="Arial"/>
                <w:b/>
                <w:bCs/>
              </w:rPr>
              <w:t>(14</w:t>
            </w:r>
            <w:r w:rsidR="005F642E">
              <w:rPr>
                <w:rFonts w:ascii="Arial" w:hAnsi="Arial" w:cs="Arial"/>
                <w:b/>
                <w:bCs/>
              </w:rPr>
              <w:t>0</w:t>
            </w:r>
            <w:r w:rsidRPr="00337BFB">
              <w:rPr>
                <w:rFonts w:ascii="Arial" w:hAnsi="Arial" w:cs="Arial"/>
                <w:b/>
                <w:bCs/>
              </w:rPr>
              <w:t>)</w:t>
            </w:r>
          </w:p>
        </w:tc>
        <w:tc>
          <w:tcPr>
            <w:tcW w:w="1429" w:type="dxa"/>
            <w:tcBorders>
              <w:top w:val="single" w:sz="4" w:space="0" w:color="auto"/>
            </w:tcBorders>
            <w:vAlign w:val="center"/>
          </w:tcPr>
          <w:p w14:paraId="272F4AA2" w14:textId="77777777" w:rsidR="0035042E" w:rsidRPr="00337BFB" w:rsidRDefault="0035042E" w:rsidP="00DE0F31">
            <w:pPr>
              <w:jc w:val="right"/>
              <w:rPr>
                <w:rFonts w:ascii="Arial" w:hAnsi="Arial" w:cs="Arial"/>
                <w:bCs/>
              </w:rPr>
            </w:pPr>
            <w:r w:rsidRPr="00337BFB">
              <w:rPr>
                <w:rFonts w:ascii="Arial" w:hAnsi="Arial" w:cs="Arial"/>
                <w:bCs/>
              </w:rPr>
              <w:t>942</w:t>
            </w:r>
          </w:p>
        </w:tc>
      </w:tr>
      <w:tr w:rsidR="0035042E" w:rsidRPr="00337BFB" w14:paraId="04451C6D" w14:textId="77777777" w:rsidTr="00337BFB">
        <w:trPr>
          <w:trHeight w:val="266"/>
        </w:trPr>
        <w:tc>
          <w:tcPr>
            <w:tcW w:w="7347" w:type="dxa"/>
            <w:shd w:val="clear" w:color="auto" w:fill="auto"/>
            <w:vAlign w:val="center"/>
          </w:tcPr>
          <w:p w14:paraId="5A3BDF1B" w14:textId="77777777" w:rsidR="0035042E" w:rsidRPr="00337BFB" w:rsidRDefault="0035042E" w:rsidP="00DE0F31">
            <w:pPr>
              <w:jc w:val="left"/>
              <w:rPr>
                <w:rFonts w:ascii="Arial" w:hAnsi="Arial" w:cs="Arial"/>
              </w:rPr>
            </w:pPr>
            <w:r w:rsidRPr="00337BFB">
              <w:rPr>
                <w:rFonts w:ascii="Arial" w:hAnsi="Arial" w:cs="Arial"/>
              </w:rPr>
              <w:t>Repayment of bank loans</w:t>
            </w:r>
          </w:p>
        </w:tc>
        <w:tc>
          <w:tcPr>
            <w:tcW w:w="1428" w:type="dxa"/>
            <w:vAlign w:val="center"/>
          </w:tcPr>
          <w:p w14:paraId="45EAFB01" w14:textId="6FCAD70D" w:rsidR="0035042E" w:rsidRPr="00337BFB" w:rsidRDefault="0035042E" w:rsidP="00DE0F31">
            <w:pPr>
              <w:jc w:val="right"/>
              <w:rPr>
                <w:rFonts w:ascii="Arial" w:hAnsi="Arial" w:cs="Arial"/>
                <w:b/>
              </w:rPr>
            </w:pPr>
            <w:r w:rsidRPr="00337BFB">
              <w:rPr>
                <w:rFonts w:ascii="Arial" w:hAnsi="Arial" w:cs="Arial"/>
                <w:b/>
              </w:rPr>
              <w:t>(</w:t>
            </w:r>
            <w:r w:rsidR="00337BFB" w:rsidRPr="00337BFB">
              <w:rPr>
                <w:rFonts w:ascii="Arial" w:hAnsi="Arial" w:cs="Arial"/>
                <w:b/>
              </w:rPr>
              <w:t>2</w:t>
            </w:r>
            <w:r w:rsidRPr="00337BFB">
              <w:rPr>
                <w:rFonts w:ascii="Arial" w:hAnsi="Arial" w:cs="Arial"/>
                <w:b/>
              </w:rPr>
              <w:t>)</w:t>
            </w:r>
          </w:p>
        </w:tc>
        <w:tc>
          <w:tcPr>
            <w:tcW w:w="1429" w:type="dxa"/>
            <w:vAlign w:val="center"/>
          </w:tcPr>
          <w:p w14:paraId="62AC3A4A" w14:textId="77777777" w:rsidR="0035042E" w:rsidRPr="00337BFB" w:rsidRDefault="0035042E" w:rsidP="00DE0F31">
            <w:pPr>
              <w:jc w:val="right"/>
              <w:rPr>
                <w:rFonts w:ascii="Arial" w:hAnsi="Arial" w:cs="Arial"/>
                <w:bCs/>
              </w:rPr>
            </w:pPr>
            <w:r w:rsidRPr="00337BFB">
              <w:rPr>
                <w:rFonts w:ascii="Arial" w:hAnsi="Arial" w:cs="Arial"/>
                <w:bCs/>
              </w:rPr>
              <w:t>(1)</w:t>
            </w:r>
          </w:p>
        </w:tc>
      </w:tr>
      <w:tr w:rsidR="0035042E" w:rsidRPr="00337BFB" w14:paraId="4DE4864C" w14:textId="77777777" w:rsidTr="00337BFB">
        <w:trPr>
          <w:trHeight w:val="266"/>
        </w:trPr>
        <w:tc>
          <w:tcPr>
            <w:tcW w:w="7347" w:type="dxa"/>
            <w:shd w:val="clear" w:color="auto" w:fill="auto"/>
            <w:vAlign w:val="center"/>
          </w:tcPr>
          <w:p w14:paraId="6A603885" w14:textId="77777777" w:rsidR="0035042E" w:rsidRPr="00337BFB" w:rsidRDefault="0035042E" w:rsidP="00DE0F31">
            <w:pPr>
              <w:jc w:val="left"/>
              <w:rPr>
                <w:rFonts w:ascii="Arial" w:hAnsi="Arial" w:cs="Arial"/>
              </w:rPr>
            </w:pPr>
            <w:r w:rsidRPr="00337BFB">
              <w:rPr>
                <w:rFonts w:ascii="Arial" w:hAnsi="Arial" w:cs="Arial"/>
              </w:rPr>
              <w:t>Issue of fixed term debt</w:t>
            </w:r>
          </w:p>
        </w:tc>
        <w:tc>
          <w:tcPr>
            <w:tcW w:w="1428" w:type="dxa"/>
            <w:vAlign w:val="center"/>
          </w:tcPr>
          <w:p w14:paraId="086525A1" w14:textId="77777777" w:rsidR="0035042E" w:rsidRPr="00337BFB" w:rsidRDefault="0035042E" w:rsidP="00DE0F31">
            <w:pPr>
              <w:jc w:val="right"/>
              <w:rPr>
                <w:rFonts w:ascii="Arial" w:hAnsi="Arial" w:cs="Arial"/>
                <w:b/>
              </w:rPr>
            </w:pPr>
            <w:r w:rsidRPr="00337BFB">
              <w:rPr>
                <w:rFonts w:ascii="Arial" w:hAnsi="Arial" w:cs="Arial"/>
                <w:b/>
              </w:rPr>
              <w:t>-</w:t>
            </w:r>
          </w:p>
        </w:tc>
        <w:tc>
          <w:tcPr>
            <w:tcW w:w="1429" w:type="dxa"/>
            <w:vAlign w:val="center"/>
          </w:tcPr>
          <w:p w14:paraId="2B6146C4" w14:textId="77777777" w:rsidR="0035042E" w:rsidRPr="00337BFB" w:rsidRDefault="0035042E" w:rsidP="00DE0F31">
            <w:pPr>
              <w:jc w:val="right"/>
              <w:rPr>
                <w:rFonts w:ascii="Arial" w:hAnsi="Arial" w:cs="Arial"/>
                <w:bCs/>
              </w:rPr>
            </w:pPr>
            <w:r w:rsidRPr="00337BFB">
              <w:rPr>
                <w:rFonts w:ascii="Arial" w:hAnsi="Arial" w:cs="Arial"/>
                <w:bCs/>
              </w:rPr>
              <w:t>1,950</w:t>
            </w:r>
          </w:p>
        </w:tc>
      </w:tr>
      <w:tr w:rsidR="0035042E" w:rsidRPr="00337BFB" w14:paraId="5586776D" w14:textId="77777777" w:rsidTr="00337BFB">
        <w:trPr>
          <w:trHeight w:val="266"/>
        </w:trPr>
        <w:tc>
          <w:tcPr>
            <w:tcW w:w="7347" w:type="dxa"/>
            <w:shd w:val="clear" w:color="auto" w:fill="auto"/>
            <w:vAlign w:val="center"/>
          </w:tcPr>
          <w:p w14:paraId="5300FB2F" w14:textId="77777777" w:rsidR="0035042E" w:rsidRPr="00337BFB" w:rsidRDefault="0035042E" w:rsidP="00DE0F31">
            <w:pPr>
              <w:jc w:val="left"/>
              <w:rPr>
                <w:rFonts w:ascii="Arial" w:hAnsi="Arial" w:cs="Arial"/>
              </w:rPr>
            </w:pPr>
            <w:r w:rsidRPr="00337BFB">
              <w:rPr>
                <w:rFonts w:ascii="Arial" w:hAnsi="Arial" w:cs="Arial"/>
              </w:rPr>
              <w:t>Repayment of fixed term debt</w:t>
            </w:r>
          </w:p>
        </w:tc>
        <w:tc>
          <w:tcPr>
            <w:tcW w:w="1428" w:type="dxa"/>
            <w:vAlign w:val="center"/>
          </w:tcPr>
          <w:p w14:paraId="67B1114A" w14:textId="53A90396" w:rsidR="0035042E" w:rsidRPr="00337BFB" w:rsidRDefault="00337BFB" w:rsidP="00DE0F31">
            <w:pPr>
              <w:jc w:val="right"/>
              <w:rPr>
                <w:rFonts w:ascii="Arial" w:hAnsi="Arial" w:cs="Arial"/>
                <w:b/>
              </w:rPr>
            </w:pPr>
            <w:r w:rsidRPr="00337BFB">
              <w:rPr>
                <w:rFonts w:ascii="Arial" w:hAnsi="Arial" w:cs="Arial"/>
                <w:b/>
              </w:rPr>
              <w:t>(95)</w:t>
            </w:r>
          </w:p>
        </w:tc>
        <w:tc>
          <w:tcPr>
            <w:tcW w:w="1429" w:type="dxa"/>
            <w:vAlign w:val="center"/>
          </w:tcPr>
          <w:p w14:paraId="0EF12E36" w14:textId="77777777" w:rsidR="0035042E" w:rsidRPr="00337BFB" w:rsidRDefault="0035042E" w:rsidP="00DE0F31">
            <w:pPr>
              <w:jc w:val="right"/>
              <w:rPr>
                <w:rFonts w:ascii="Arial" w:hAnsi="Arial" w:cs="Arial"/>
                <w:bCs/>
              </w:rPr>
            </w:pPr>
            <w:r w:rsidRPr="00337BFB">
              <w:rPr>
                <w:rFonts w:ascii="Arial" w:hAnsi="Arial" w:cs="Arial"/>
                <w:bCs/>
              </w:rPr>
              <w:t>(2,011)</w:t>
            </w:r>
          </w:p>
        </w:tc>
      </w:tr>
      <w:tr w:rsidR="0035042E" w:rsidRPr="00337BFB" w14:paraId="2907D4B2" w14:textId="77777777" w:rsidTr="00337BFB">
        <w:trPr>
          <w:trHeight w:val="266"/>
        </w:trPr>
        <w:tc>
          <w:tcPr>
            <w:tcW w:w="7347" w:type="dxa"/>
            <w:shd w:val="clear" w:color="auto" w:fill="auto"/>
            <w:vAlign w:val="center"/>
          </w:tcPr>
          <w:p w14:paraId="22A07813" w14:textId="77777777" w:rsidR="0035042E" w:rsidRPr="00337BFB" w:rsidRDefault="0035042E" w:rsidP="00DE0F31">
            <w:pPr>
              <w:jc w:val="left"/>
              <w:rPr>
                <w:rFonts w:ascii="Arial" w:hAnsi="Arial" w:cs="Arial"/>
              </w:rPr>
            </w:pPr>
            <w:r w:rsidRPr="00337BFB">
              <w:rPr>
                <w:rFonts w:ascii="Arial" w:hAnsi="Arial" w:cs="Arial"/>
              </w:rPr>
              <w:t>Receipt on financing derivatives</w:t>
            </w:r>
          </w:p>
        </w:tc>
        <w:tc>
          <w:tcPr>
            <w:tcW w:w="1428" w:type="dxa"/>
            <w:vAlign w:val="center"/>
          </w:tcPr>
          <w:p w14:paraId="012B44D4" w14:textId="77777777" w:rsidR="0035042E" w:rsidRPr="00337BFB" w:rsidRDefault="0035042E" w:rsidP="00DE0F31">
            <w:pPr>
              <w:jc w:val="right"/>
              <w:rPr>
                <w:rFonts w:ascii="Arial" w:hAnsi="Arial" w:cs="Arial"/>
                <w:b/>
              </w:rPr>
            </w:pPr>
            <w:r w:rsidRPr="00337BFB">
              <w:rPr>
                <w:rFonts w:ascii="Arial" w:hAnsi="Arial" w:cs="Arial"/>
                <w:b/>
              </w:rPr>
              <w:t>-</w:t>
            </w:r>
          </w:p>
        </w:tc>
        <w:tc>
          <w:tcPr>
            <w:tcW w:w="1429" w:type="dxa"/>
            <w:vAlign w:val="center"/>
          </w:tcPr>
          <w:p w14:paraId="73FC16E9" w14:textId="77777777" w:rsidR="0035042E" w:rsidRPr="00337BFB" w:rsidRDefault="0035042E" w:rsidP="00DE0F31">
            <w:pPr>
              <w:jc w:val="right"/>
              <w:rPr>
                <w:rFonts w:ascii="Arial" w:hAnsi="Arial" w:cs="Arial"/>
                <w:bCs/>
              </w:rPr>
            </w:pPr>
            <w:r w:rsidRPr="00337BFB">
              <w:rPr>
                <w:rFonts w:ascii="Arial" w:hAnsi="Arial" w:cs="Arial"/>
                <w:bCs/>
              </w:rPr>
              <w:t>1</w:t>
            </w:r>
          </w:p>
        </w:tc>
      </w:tr>
      <w:tr w:rsidR="0035042E" w:rsidRPr="00337BFB" w14:paraId="32FEA7E6" w14:textId="77777777" w:rsidTr="00337BFB">
        <w:trPr>
          <w:trHeight w:val="266"/>
        </w:trPr>
        <w:tc>
          <w:tcPr>
            <w:tcW w:w="7347" w:type="dxa"/>
            <w:tcBorders>
              <w:top w:val="single" w:sz="4" w:space="0" w:color="auto"/>
              <w:bottom w:val="single" w:sz="4" w:space="0" w:color="auto"/>
            </w:tcBorders>
            <w:shd w:val="clear" w:color="auto" w:fill="auto"/>
            <w:vAlign w:val="center"/>
          </w:tcPr>
          <w:p w14:paraId="2C776CD5" w14:textId="6FEBBAC6" w:rsidR="0035042E" w:rsidRPr="00337BFB" w:rsidRDefault="0035042E" w:rsidP="00DE0F31">
            <w:pPr>
              <w:jc w:val="left"/>
              <w:rPr>
                <w:rFonts w:ascii="Arial" w:hAnsi="Arial" w:cs="Arial"/>
                <w:b/>
              </w:rPr>
            </w:pPr>
            <w:r w:rsidRPr="00337BFB">
              <w:rPr>
                <w:rFonts w:ascii="Arial" w:hAnsi="Arial" w:cs="Arial"/>
                <w:b/>
              </w:rPr>
              <w:t xml:space="preserve">Net </w:t>
            </w:r>
            <w:r w:rsidR="00337BFB" w:rsidRPr="00337BFB">
              <w:rPr>
                <w:rFonts w:ascii="Arial" w:hAnsi="Arial" w:cs="Arial"/>
                <w:b/>
              </w:rPr>
              <w:t>(decrease)/</w:t>
            </w:r>
            <w:r w:rsidRPr="00337BFB">
              <w:rPr>
                <w:rFonts w:ascii="Arial" w:hAnsi="Arial" w:cs="Arial"/>
                <w:b/>
              </w:rPr>
              <w:t xml:space="preserve">increase in cash and cash equivalents </w:t>
            </w:r>
            <w:r w:rsidR="00337BFB" w:rsidRPr="00337BFB">
              <w:rPr>
                <w:rFonts w:ascii="Arial" w:hAnsi="Arial" w:cs="Arial"/>
                <w:b/>
              </w:rPr>
              <w:br/>
            </w:r>
            <w:r w:rsidRPr="00337BFB">
              <w:rPr>
                <w:rFonts w:ascii="Arial" w:hAnsi="Arial" w:cs="Arial"/>
                <w:b/>
              </w:rPr>
              <w:t>and bank overdrafts</w:t>
            </w:r>
          </w:p>
        </w:tc>
        <w:tc>
          <w:tcPr>
            <w:tcW w:w="1428" w:type="dxa"/>
            <w:tcBorders>
              <w:top w:val="single" w:sz="4" w:space="0" w:color="auto"/>
              <w:bottom w:val="single" w:sz="4" w:space="0" w:color="auto"/>
            </w:tcBorders>
            <w:vAlign w:val="center"/>
          </w:tcPr>
          <w:p w14:paraId="7C96FBBF" w14:textId="2A55BF86" w:rsidR="0035042E" w:rsidRPr="00337BFB" w:rsidRDefault="00337BFB" w:rsidP="00DE0F31">
            <w:pPr>
              <w:jc w:val="right"/>
              <w:rPr>
                <w:rFonts w:ascii="Arial" w:hAnsi="Arial" w:cs="Arial"/>
                <w:b/>
              </w:rPr>
            </w:pPr>
            <w:r w:rsidRPr="00337BFB">
              <w:rPr>
                <w:rFonts w:ascii="Arial" w:hAnsi="Arial" w:cs="Arial"/>
                <w:b/>
              </w:rPr>
              <w:t>(23</w:t>
            </w:r>
            <w:r w:rsidR="005F642E">
              <w:rPr>
                <w:rFonts w:ascii="Arial" w:hAnsi="Arial" w:cs="Arial"/>
                <w:b/>
              </w:rPr>
              <w:t>7</w:t>
            </w:r>
            <w:r w:rsidRPr="00337BFB">
              <w:rPr>
                <w:rFonts w:ascii="Arial" w:hAnsi="Arial" w:cs="Arial"/>
                <w:b/>
              </w:rPr>
              <w:t>)</w:t>
            </w:r>
          </w:p>
        </w:tc>
        <w:tc>
          <w:tcPr>
            <w:tcW w:w="1429" w:type="dxa"/>
            <w:tcBorders>
              <w:top w:val="single" w:sz="4" w:space="0" w:color="auto"/>
              <w:bottom w:val="single" w:sz="4" w:space="0" w:color="auto"/>
            </w:tcBorders>
            <w:vAlign w:val="center"/>
          </w:tcPr>
          <w:p w14:paraId="4744BC75" w14:textId="77777777" w:rsidR="0035042E" w:rsidRPr="00337BFB" w:rsidRDefault="0035042E" w:rsidP="00DE0F31">
            <w:pPr>
              <w:jc w:val="right"/>
              <w:rPr>
                <w:rFonts w:ascii="Arial" w:hAnsi="Arial" w:cs="Arial"/>
                <w:bCs/>
              </w:rPr>
            </w:pPr>
            <w:r w:rsidRPr="00337BFB">
              <w:rPr>
                <w:rFonts w:ascii="Arial" w:hAnsi="Arial" w:cs="Arial"/>
                <w:bCs/>
              </w:rPr>
              <w:t>881</w:t>
            </w:r>
          </w:p>
        </w:tc>
      </w:tr>
    </w:tbl>
    <w:p w14:paraId="6E7C02C3" w14:textId="77777777" w:rsidR="0035042E" w:rsidRPr="00337BFB" w:rsidRDefault="0035042E" w:rsidP="0035042E">
      <w:pPr>
        <w:jc w:val="left"/>
        <w:rPr>
          <w:rFonts w:ascii="Arial" w:hAnsi="Arial" w:cs="Arial"/>
        </w:rPr>
      </w:pPr>
      <w:r w:rsidRPr="00337BFB">
        <w:rPr>
          <w:rFonts w:ascii="Arial" w:hAnsi="Arial" w:cs="Arial"/>
        </w:rPr>
        <w:t>A reconciliation of free cash flow and net cashflow to the statutory net increase in cash and cash equivalents and bank overdrafts is set out below:</w:t>
      </w:r>
    </w:p>
    <w:p w14:paraId="2682D55F" w14:textId="77777777" w:rsidR="0035042E" w:rsidRPr="00337BFB" w:rsidRDefault="0035042E" w:rsidP="0035042E">
      <w:pPr>
        <w:jc w:val="left"/>
        <w:rPr>
          <w:rFonts w:ascii="Arial" w:hAnsi="Arial" w:cs="Arial"/>
        </w:rPr>
      </w:pPr>
    </w:p>
    <w:p w14:paraId="044071F6" w14:textId="77777777" w:rsidR="0035042E" w:rsidRPr="00337BFB" w:rsidRDefault="0035042E" w:rsidP="0035042E">
      <w:pPr>
        <w:jc w:val="left"/>
        <w:rPr>
          <w:rFonts w:ascii="Arial" w:hAnsi="Arial" w:cs="Arial"/>
        </w:rPr>
      </w:pPr>
    </w:p>
    <w:p w14:paraId="376092AE" w14:textId="77777777" w:rsidR="0035042E" w:rsidRPr="00337BFB" w:rsidRDefault="0035042E" w:rsidP="0035042E">
      <w:pPr>
        <w:jc w:val="left"/>
        <w:rPr>
          <w:rFonts w:ascii="Arial" w:hAnsi="Arial" w:cs="Arial"/>
        </w:rPr>
      </w:pPr>
      <w:r w:rsidRPr="00337BFB">
        <w:rPr>
          <w:rFonts w:ascii="Arial" w:hAnsi="Arial" w:cs="Arial"/>
          <w:bCs/>
          <w:sz w:val="18"/>
          <w:szCs w:val="18"/>
          <w:vertAlign w:val="superscript"/>
        </w:rPr>
        <w:t>(1)</w:t>
      </w:r>
      <w:r w:rsidRPr="00337BFB">
        <w:rPr>
          <w:rFonts w:ascii="Arial" w:hAnsi="Arial" w:cs="Arial"/>
          <w:color w:val="000000"/>
          <w:sz w:val="18"/>
          <w:szCs w:val="18"/>
        </w:rPr>
        <w:t xml:space="preserve"> </w:t>
      </w:r>
      <w:r w:rsidRPr="00337BFB">
        <w:rPr>
          <w:rFonts w:ascii="Arial" w:hAnsi="Arial" w:cs="Arial"/>
          <w:sz w:val="18"/>
          <w:szCs w:val="18"/>
        </w:rPr>
        <w:t>Payments made in relation to the EC state aid challenge (refer to the Taxation section above for further details).</w:t>
      </w:r>
    </w:p>
    <w:p w14:paraId="0EE7EC6A" w14:textId="4EAB3F78" w:rsidR="0035042E" w:rsidRDefault="0035042E" w:rsidP="0035042E">
      <w:pPr>
        <w:jc w:val="left"/>
        <w:rPr>
          <w:rFonts w:ascii="Arial" w:hAnsi="Arial" w:cs="Arial"/>
          <w:sz w:val="18"/>
          <w:szCs w:val="18"/>
        </w:rPr>
      </w:pPr>
      <w:r w:rsidRPr="00337BFB">
        <w:rPr>
          <w:rFonts w:ascii="Arial" w:hAnsi="Arial" w:cs="Arial"/>
          <w:bCs/>
          <w:sz w:val="18"/>
          <w:szCs w:val="18"/>
          <w:vertAlign w:val="superscript"/>
        </w:rPr>
        <w:t>(2)</w:t>
      </w:r>
      <w:r w:rsidRPr="00337BFB">
        <w:rPr>
          <w:rFonts w:ascii="Arial" w:hAnsi="Arial" w:cs="Arial"/>
          <w:color w:val="000000"/>
          <w:sz w:val="18"/>
          <w:szCs w:val="18"/>
        </w:rPr>
        <w:t xml:space="preserve"> </w:t>
      </w:r>
      <w:r w:rsidR="00337BFB" w:rsidRPr="00337BFB">
        <w:rPr>
          <w:rFonts w:ascii="Arial" w:hAnsi="Arial" w:cs="Arial"/>
          <w:sz w:val="18"/>
          <w:szCs w:val="18"/>
        </w:rPr>
        <w:t>Includes adjusting cash flow items, principally comprising restructuring costs and settlement of interest relating to legacy tax positions; offset by property disposals.</w:t>
      </w:r>
    </w:p>
    <w:p w14:paraId="726551C2" w14:textId="6E97C2F9" w:rsidR="0035042E" w:rsidRPr="009101D7" w:rsidRDefault="0035042E" w:rsidP="0035042E">
      <w:pPr>
        <w:jc w:val="left"/>
        <w:rPr>
          <w:rFonts w:ascii="Arial" w:hAnsi="Arial" w:cs="Arial"/>
        </w:rPr>
      </w:pPr>
    </w:p>
    <w:p w14:paraId="2EF09EC1" w14:textId="77777777" w:rsidR="009101D7" w:rsidRPr="00A845B7" w:rsidRDefault="009101D7" w:rsidP="009101D7">
      <w:pPr>
        <w:tabs>
          <w:tab w:val="right" w:pos="9356"/>
        </w:tabs>
        <w:jc w:val="left"/>
        <w:rPr>
          <w:rFonts w:ascii="Arial" w:hAnsi="Arial" w:cs="Arial"/>
          <w:b/>
        </w:rPr>
      </w:pPr>
      <w:r>
        <w:rPr>
          <w:rFonts w:ascii="Arial" w:hAnsi="Arial" w:cs="Arial"/>
          <w:b/>
        </w:rPr>
        <w:t>R</w:t>
      </w:r>
      <w:r w:rsidRPr="00A845B7">
        <w:rPr>
          <w:rFonts w:ascii="Arial" w:hAnsi="Arial" w:cs="Arial"/>
          <w:b/>
        </w:rPr>
        <w:t>eturn on capital employed (ROCE</w:t>
      </w:r>
      <w:r>
        <w:rPr>
          <w:rFonts w:ascii="Arial" w:hAnsi="Arial" w:cs="Arial"/>
          <w:b/>
        </w:rPr>
        <w:t>*</w:t>
      </w:r>
      <w:r w:rsidRPr="00A845B7">
        <w:rPr>
          <w:rFonts w:ascii="Arial" w:hAnsi="Arial" w:cs="Arial"/>
          <w:b/>
        </w:rPr>
        <w:t>)</w:t>
      </w:r>
      <w:r w:rsidRPr="00A845B7">
        <w:rPr>
          <w:rFonts w:ascii="Arial" w:hAnsi="Arial" w:cs="Arial"/>
          <w:b/>
        </w:rPr>
        <w:tab/>
      </w:r>
    </w:p>
    <w:p w14:paraId="60072FEC" w14:textId="649EDA0C" w:rsidR="009101D7" w:rsidRDefault="009101D7" w:rsidP="009101D7">
      <w:pPr>
        <w:jc w:val="left"/>
        <w:rPr>
          <w:rFonts w:ascii="Arial" w:hAnsi="Arial" w:cs="Arial"/>
        </w:rPr>
      </w:pPr>
      <w:r>
        <w:rPr>
          <w:rFonts w:ascii="Arial" w:hAnsi="Arial" w:cs="Arial"/>
        </w:rPr>
        <w:t xml:space="preserve">In FY 21/22, Kingfisher’s post-tax </w:t>
      </w:r>
      <w:r w:rsidRPr="00AF4503">
        <w:rPr>
          <w:rFonts w:ascii="Arial" w:hAnsi="Arial" w:cs="Arial"/>
        </w:rPr>
        <w:t xml:space="preserve">ROCE was </w:t>
      </w:r>
      <w:r w:rsidR="00AF4503" w:rsidRPr="00AF4503">
        <w:rPr>
          <w:rFonts w:ascii="Arial" w:hAnsi="Arial" w:cs="Arial"/>
        </w:rPr>
        <w:t>14.6</w:t>
      </w:r>
      <w:r w:rsidRPr="00AF4503">
        <w:rPr>
          <w:rFonts w:ascii="Arial" w:hAnsi="Arial" w:cs="Arial"/>
        </w:rPr>
        <w:t xml:space="preserve">% (FY 20/21: 12.7%). The increase was mainly driven by higher profit in the UK &amp; Ireland and France, partially offset by the impact </w:t>
      </w:r>
      <w:r w:rsidR="00786D14">
        <w:rPr>
          <w:rFonts w:ascii="Arial" w:hAnsi="Arial" w:cs="Arial"/>
        </w:rPr>
        <w:t xml:space="preserve">of higher working capital </w:t>
      </w:r>
      <w:r w:rsidRPr="00AF4503">
        <w:rPr>
          <w:rFonts w:ascii="Arial" w:hAnsi="Arial" w:cs="Arial"/>
        </w:rPr>
        <w:t>on capital employed. Kingfisher’s weighted average</w:t>
      </w:r>
      <w:r w:rsidRPr="000F6848">
        <w:rPr>
          <w:rFonts w:ascii="Arial" w:hAnsi="Arial" w:cs="Arial"/>
        </w:rPr>
        <w:t xml:space="preserve"> cost of capital (WACC) is </w:t>
      </w:r>
      <w:r w:rsidRPr="008F0B7D">
        <w:rPr>
          <w:rFonts w:ascii="Arial" w:hAnsi="Arial" w:cs="Arial"/>
        </w:rPr>
        <w:t>7.6%</w:t>
      </w:r>
      <w:r w:rsidRPr="000F6848">
        <w:rPr>
          <w:rFonts w:ascii="Arial" w:hAnsi="Arial" w:cs="Arial"/>
        </w:rPr>
        <w:t>.</w:t>
      </w:r>
      <w:r w:rsidRPr="00045054">
        <w:rPr>
          <w:rFonts w:ascii="Arial" w:hAnsi="Arial" w:cs="Arial"/>
        </w:rPr>
        <w:t xml:space="preserve"> </w:t>
      </w:r>
    </w:p>
    <w:p w14:paraId="0EC65A76" w14:textId="77777777" w:rsidR="009101D7" w:rsidRDefault="009101D7" w:rsidP="009101D7">
      <w:pPr>
        <w:jc w:val="left"/>
        <w:rPr>
          <w:rFonts w:ascii="Arial" w:hAnsi="Arial" w:cs="Arial"/>
        </w:rPr>
      </w:pPr>
    </w:p>
    <w:p w14:paraId="6A891FA8" w14:textId="77777777" w:rsidR="009101D7" w:rsidRPr="00A90810" w:rsidRDefault="009101D7" w:rsidP="009101D7">
      <w:pPr>
        <w:jc w:val="left"/>
        <w:rPr>
          <w:rFonts w:ascii="Arial" w:hAnsi="Arial" w:cs="Arial"/>
        </w:rPr>
      </w:pPr>
      <w:r w:rsidRPr="00F74486">
        <w:rPr>
          <w:rFonts w:ascii="Arial" w:hAnsi="Arial" w:cs="Arial"/>
        </w:rPr>
        <w:t>ROC</w:t>
      </w:r>
      <w:r>
        <w:rPr>
          <w:rFonts w:ascii="Arial" w:hAnsi="Arial" w:cs="Arial"/>
        </w:rPr>
        <w:t>E b</w:t>
      </w:r>
      <w:r w:rsidRPr="00F74486">
        <w:rPr>
          <w:rFonts w:ascii="Arial" w:hAnsi="Arial" w:cs="Arial"/>
        </w:rPr>
        <w:t>y geographic division is analysed below</w:t>
      </w:r>
      <w:r>
        <w:rPr>
          <w:rFonts w:ascii="Arial" w:hAnsi="Arial" w:cs="Arial"/>
        </w:rPr>
        <w:t xml:space="preserve"> (Russia is excluded from FY 20/21)</w:t>
      </w:r>
      <w:r w:rsidRPr="00F74486">
        <w:rPr>
          <w:rFonts w:ascii="Arial" w:hAnsi="Arial" w:cs="Arial"/>
        </w:rPr>
        <w:t>:</w:t>
      </w:r>
      <w:r w:rsidRPr="00A90810">
        <w:rPr>
          <w:rFonts w:ascii="Arial" w:hAnsi="Arial" w:cs="Arial"/>
        </w:rPr>
        <w:t xml:space="preserve"> </w:t>
      </w:r>
    </w:p>
    <w:p w14:paraId="2990521D" w14:textId="77777777" w:rsidR="009101D7" w:rsidRPr="00F74486" w:rsidRDefault="009101D7" w:rsidP="009101D7">
      <w:pPr>
        <w:jc w:val="left"/>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8"/>
        <w:gridCol w:w="1308"/>
        <w:gridCol w:w="1308"/>
        <w:gridCol w:w="1308"/>
        <w:gridCol w:w="1308"/>
        <w:gridCol w:w="1308"/>
        <w:gridCol w:w="1306"/>
      </w:tblGrid>
      <w:tr w:rsidR="009101D7" w:rsidRPr="006525D6" w14:paraId="15AB4927" w14:textId="77777777" w:rsidTr="00A423BF">
        <w:trPr>
          <w:trHeight w:val="555"/>
        </w:trPr>
        <w:tc>
          <w:tcPr>
            <w:tcW w:w="1155" w:type="pct"/>
            <w:tcBorders>
              <w:bottom w:val="single" w:sz="4" w:space="0" w:color="auto"/>
            </w:tcBorders>
            <w:vAlign w:val="center"/>
          </w:tcPr>
          <w:p w14:paraId="20AAF376" w14:textId="77777777" w:rsidR="009101D7" w:rsidRPr="006525D6" w:rsidRDefault="009101D7" w:rsidP="00A423BF">
            <w:pPr>
              <w:jc w:val="left"/>
              <w:rPr>
                <w:rFonts w:ascii="Arial" w:hAnsi="Arial" w:cs="Arial"/>
                <w:sz w:val="22"/>
                <w:szCs w:val="22"/>
              </w:rPr>
            </w:pPr>
          </w:p>
          <w:p w14:paraId="594AAFEF" w14:textId="77777777" w:rsidR="009101D7" w:rsidRPr="006525D6" w:rsidRDefault="009101D7" w:rsidP="00A423BF">
            <w:pPr>
              <w:jc w:val="left"/>
              <w:rPr>
                <w:rFonts w:ascii="Arial" w:hAnsi="Arial" w:cs="Arial"/>
                <w:sz w:val="22"/>
                <w:szCs w:val="22"/>
              </w:rPr>
            </w:pPr>
          </w:p>
        </w:tc>
        <w:tc>
          <w:tcPr>
            <w:tcW w:w="641" w:type="pct"/>
            <w:tcBorders>
              <w:bottom w:val="single" w:sz="4" w:space="0" w:color="auto"/>
            </w:tcBorders>
            <w:vAlign w:val="center"/>
          </w:tcPr>
          <w:p w14:paraId="214C5B43" w14:textId="77777777" w:rsidR="009101D7" w:rsidRPr="006525D6" w:rsidRDefault="009101D7" w:rsidP="00A423BF">
            <w:pPr>
              <w:jc w:val="right"/>
              <w:rPr>
                <w:rFonts w:ascii="Arial" w:hAnsi="Arial" w:cs="Arial"/>
                <w:sz w:val="22"/>
                <w:szCs w:val="22"/>
              </w:rPr>
            </w:pPr>
          </w:p>
          <w:p w14:paraId="0955E159" w14:textId="77777777" w:rsidR="009101D7" w:rsidRDefault="009101D7" w:rsidP="00A423BF">
            <w:pPr>
              <w:jc w:val="right"/>
              <w:rPr>
                <w:rFonts w:ascii="Arial" w:hAnsi="Arial" w:cs="Arial"/>
                <w:sz w:val="22"/>
                <w:szCs w:val="22"/>
              </w:rPr>
            </w:pPr>
            <w:r w:rsidRPr="006525D6">
              <w:rPr>
                <w:rFonts w:ascii="Arial" w:hAnsi="Arial" w:cs="Arial"/>
                <w:sz w:val="22"/>
                <w:szCs w:val="22"/>
              </w:rPr>
              <w:t xml:space="preserve">Sales </w:t>
            </w:r>
          </w:p>
          <w:p w14:paraId="3EB2DC2A" w14:textId="77777777" w:rsidR="009101D7" w:rsidRPr="006525D6" w:rsidRDefault="009101D7" w:rsidP="00A423BF">
            <w:pPr>
              <w:jc w:val="right"/>
              <w:rPr>
                <w:rFonts w:ascii="Arial" w:hAnsi="Arial" w:cs="Arial"/>
                <w:sz w:val="22"/>
                <w:szCs w:val="22"/>
              </w:rPr>
            </w:pPr>
            <w:r w:rsidRPr="006525D6">
              <w:rPr>
                <w:rFonts w:ascii="Arial" w:hAnsi="Arial" w:cs="Arial"/>
                <w:sz w:val="22"/>
                <w:szCs w:val="22"/>
              </w:rPr>
              <w:t>£bn</w:t>
            </w:r>
          </w:p>
        </w:tc>
        <w:tc>
          <w:tcPr>
            <w:tcW w:w="641" w:type="pct"/>
            <w:tcBorders>
              <w:bottom w:val="single" w:sz="4" w:space="0" w:color="auto"/>
            </w:tcBorders>
            <w:vAlign w:val="center"/>
          </w:tcPr>
          <w:p w14:paraId="6EB50003" w14:textId="77777777" w:rsidR="009101D7" w:rsidRPr="006525D6" w:rsidRDefault="009101D7" w:rsidP="00A423BF">
            <w:pPr>
              <w:jc w:val="right"/>
              <w:rPr>
                <w:rFonts w:ascii="Arial" w:hAnsi="Arial" w:cs="Arial"/>
                <w:sz w:val="22"/>
                <w:szCs w:val="22"/>
              </w:rPr>
            </w:pPr>
            <w:r w:rsidRPr="006525D6">
              <w:rPr>
                <w:rFonts w:ascii="Arial" w:hAnsi="Arial" w:cs="Arial"/>
                <w:sz w:val="22"/>
                <w:szCs w:val="22"/>
              </w:rPr>
              <w:t xml:space="preserve">Proportion of Group sales </w:t>
            </w:r>
          </w:p>
        </w:tc>
        <w:tc>
          <w:tcPr>
            <w:tcW w:w="641" w:type="pct"/>
            <w:tcBorders>
              <w:bottom w:val="single" w:sz="4" w:space="0" w:color="auto"/>
            </w:tcBorders>
            <w:vAlign w:val="center"/>
          </w:tcPr>
          <w:p w14:paraId="30CE5B3E" w14:textId="77777777" w:rsidR="009101D7" w:rsidRPr="006525D6" w:rsidRDefault="009101D7" w:rsidP="00A423BF">
            <w:pPr>
              <w:ind w:left="-12"/>
              <w:jc w:val="right"/>
              <w:rPr>
                <w:rFonts w:ascii="Arial" w:hAnsi="Arial" w:cs="Arial"/>
                <w:sz w:val="22"/>
                <w:szCs w:val="22"/>
              </w:rPr>
            </w:pPr>
            <w:r w:rsidRPr="006525D6">
              <w:rPr>
                <w:rFonts w:ascii="Arial" w:hAnsi="Arial" w:cs="Arial"/>
                <w:sz w:val="22"/>
                <w:szCs w:val="22"/>
              </w:rPr>
              <w:t xml:space="preserve">Capital </w:t>
            </w:r>
            <w:r>
              <w:rPr>
                <w:rFonts w:ascii="Arial" w:hAnsi="Arial" w:cs="Arial"/>
                <w:sz w:val="22"/>
                <w:szCs w:val="22"/>
              </w:rPr>
              <w:t>e</w:t>
            </w:r>
            <w:r w:rsidRPr="006525D6">
              <w:rPr>
                <w:rFonts w:ascii="Arial" w:hAnsi="Arial" w:cs="Arial"/>
                <w:sz w:val="22"/>
                <w:szCs w:val="22"/>
              </w:rPr>
              <w:t>mployed (CE) £bn</w:t>
            </w:r>
          </w:p>
        </w:tc>
        <w:tc>
          <w:tcPr>
            <w:tcW w:w="641" w:type="pct"/>
            <w:tcBorders>
              <w:bottom w:val="single" w:sz="4" w:space="0" w:color="auto"/>
            </w:tcBorders>
            <w:vAlign w:val="center"/>
          </w:tcPr>
          <w:p w14:paraId="778F1F94" w14:textId="77777777" w:rsidR="009101D7" w:rsidRPr="006525D6" w:rsidRDefault="009101D7" w:rsidP="00A423BF">
            <w:pPr>
              <w:jc w:val="right"/>
              <w:rPr>
                <w:rFonts w:ascii="Arial" w:hAnsi="Arial" w:cs="Arial"/>
                <w:sz w:val="22"/>
                <w:szCs w:val="22"/>
              </w:rPr>
            </w:pPr>
            <w:r w:rsidRPr="006525D6">
              <w:rPr>
                <w:rFonts w:ascii="Arial" w:hAnsi="Arial" w:cs="Arial"/>
                <w:sz w:val="22"/>
                <w:szCs w:val="22"/>
              </w:rPr>
              <w:t>Proportion of Group CE</w:t>
            </w:r>
          </w:p>
        </w:tc>
        <w:tc>
          <w:tcPr>
            <w:tcW w:w="641" w:type="pct"/>
            <w:tcBorders>
              <w:bottom w:val="single" w:sz="4" w:space="0" w:color="auto"/>
            </w:tcBorders>
            <w:vAlign w:val="center"/>
          </w:tcPr>
          <w:p w14:paraId="48BB6A99" w14:textId="77777777" w:rsidR="009101D7" w:rsidRPr="006525D6" w:rsidRDefault="009101D7" w:rsidP="00A423BF">
            <w:pPr>
              <w:jc w:val="right"/>
              <w:rPr>
                <w:rFonts w:ascii="Arial" w:hAnsi="Arial" w:cs="Arial"/>
                <w:b/>
                <w:sz w:val="22"/>
                <w:szCs w:val="22"/>
              </w:rPr>
            </w:pPr>
          </w:p>
          <w:p w14:paraId="58F556E8" w14:textId="77777777" w:rsidR="009101D7" w:rsidRPr="006525D6" w:rsidRDefault="009101D7" w:rsidP="00A423BF">
            <w:pPr>
              <w:jc w:val="right"/>
              <w:rPr>
                <w:rFonts w:ascii="Arial" w:hAnsi="Arial" w:cs="Arial"/>
                <w:b/>
                <w:sz w:val="22"/>
                <w:szCs w:val="22"/>
              </w:rPr>
            </w:pPr>
            <w:r w:rsidRPr="006525D6">
              <w:rPr>
                <w:rFonts w:ascii="Arial" w:hAnsi="Arial" w:cs="Arial"/>
                <w:b/>
                <w:sz w:val="22"/>
                <w:szCs w:val="22"/>
              </w:rPr>
              <w:t>ROCE</w:t>
            </w:r>
          </w:p>
          <w:p w14:paraId="5713EEA0" w14:textId="77777777" w:rsidR="009101D7" w:rsidRPr="006525D6" w:rsidRDefault="009101D7" w:rsidP="00A423BF">
            <w:pPr>
              <w:jc w:val="right"/>
              <w:rPr>
                <w:rFonts w:ascii="Arial" w:hAnsi="Arial" w:cs="Arial"/>
                <w:b/>
                <w:sz w:val="22"/>
                <w:szCs w:val="22"/>
              </w:rPr>
            </w:pPr>
            <w:r w:rsidRPr="006525D6">
              <w:rPr>
                <w:rFonts w:ascii="Arial" w:hAnsi="Arial" w:cs="Arial"/>
                <w:b/>
                <w:sz w:val="22"/>
                <w:szCs w:val="22"/>
              </w:rPr>
              <w:t>20</w:t>
            </w:r>
            <w:r>
              <w:rPr>
                <w:rFonts w:ascii="Arial" w:hAnsi="Arial" w:cs="Arial"/>
                <w:b/>
                <w:sz w:val="22"/>
                <w:szCs w:val="22"/>
              </w:rPr>
              <w:t>21/22</w:t>
            </w:r>
          </w:p>
        </w:tc>
        <w:tc>
          <w:tcPr>
            <w:tcW w:w="640" w:type="pct"/>
            <w:tcBorders>
              <w:bottom w:val="single" w:sz="4" w:space="0" w:color="auto"/>
            </w:tcBorders>
            <w:vAlign w:val="center"/>
          </w:tcPr>
          <w:p w14:paraId="32B662FE" w14:textId="77777777" w:rsidR="009101D7" w:rsidRPr="006525D6" w:rsidRDefault="009101D7" w:rsidP="00A423BF">
            <w:pPr>
              <w:jc w:val="right"/>
              <w:rPr>
                <w:rFonts w:ascii="Arial" w:hAnsi="Arial" w:cs="Arial"/>
                <w:sz w:val="22"/>
                <w:szCs w:val="22"/>
              </w:rPr>
            </w:pPr>
          </w:p>
          <w:p w14:paraId="1A006F36" w14:textId="77777777" w:rsidR="009101D7" w:rsidRPr="006525D6" w:rsidRDefault="009101D7" w:rsidP="00A423BF">
            <w:pPr>
              <w:jc w:val="right"/>
              <w:rPr>
                <w:rFonts w:ascii="Arial" w:hAnsi="Arial" w:cs="Arial"/>
                <w:sz w:val="22"/>
                <w:szCs w:val="22"/>
              </w:rPr>
            </w:pPr>
            <w:r w:rsidRPr="006525D6">
              <w:rPr>
                <w:rFonts w:ascii="Arial" w:hAnsi="Arial" w:cs="Arial"/>
                <w:sz w:val="22"/>
                <w:szCs w:val="22"/>
              </w:rPr>
              <w:t>ROCE</w:t>
            </w:r>
          </w:p>
          <w:p w14:paraId="1DB7224B" w14:textId="77777777" w:rsidR="009101D7" w:rsidRPr="006525D6" w:rsidRDefault="009101D7" w:rsidP="00A423BF">
            <w:pPr>
              <w:jc w:val="right"/>
              <w:rPr>
                <w:rFonts w:ascii="Arial" w:hAnsi="Arial" w:cs="Arial"/>
                <w:sz w:val="22"/>
                <w:szCs w:val="22"/>
              </w:rPr>
            </w:pPr>
            <w:r w:rsidRPr="006525D6">
              <w:rPr>
                <w:rFonts w:ascii="Arial" w:hAnsi="Arial" w:cs="Arial"/>
                <w:sz w:val="22"/>
                <w:szCs w:val="22"/>
              </w:rPr>
              <w:t>20</w:t>
            </w:r>
            <w:r>
              <w:rPr>
                <w:rFonts w:ascii="Arial" w:hAnsi="Arial" w:cs="Arial"/>
                <w:sz w:val="22"/>
                <w:szCs w:val="22"/>
              </w:rPr>
              <w:t>20/21</w:t>
            </w:r>
          </w:p>
        </w:tc>
      </w:tr>
      <w:tr w:rsidR="009101D7" w:rsidRPr="003523C1" w14:paraId="77830104" w14:textId="77777777" w:rsidTr="00A423BF">
        <w:tc>
          <w:tcPr>
            <w:tcW w:w="1155" w:type="pct"/>
            <w:vAlign w:val="center"/>
          </w:tcPr>
          <w:p w14:paraId="67220F98" w14:textId="77777777" w:rsidR="009101D7" w:rsidRPr="003523C1" w:rsidRDefault="009101D7" w:rsidP="00A423BF">
            <w:pPr>
              <w:jc w:val="left"/>
              <w:rPr>
                <w:rFonts w:ascii="Arial" w:hAnsi="Arial" w:cs="Arial"/>
                <w:sz w:val="22"/>
                <w:szCs w:val="22"/>
              </w:rPr>
            </w:pPr>
            <w:r w:rsidRPr="003523C1">
              <w:rPr>
                <w:rFonts w:ascii="Arial" w:hAnsi="Arial" w:cs="Arial"/>
                <w:sz w:val="22"/>
                <w:szCs w:val="22"/>
              </w:rPr>
              <w:t>UK &amp; Ireland</w:t>
            </w:r>
          </w:p>
        </w:tc>
        <w:tc>
          <w:tcPr>
            <w:tcW w:w="641" w:type="pct"/>
            <w:shd w:val="clear" w:color="auto" w:fill="auto"/>
            <w:vAlign w:val="center"/>
          </w:tcPr>
          <w:p w14:paraId="20BD1D6D" w14:textId="77777777" w:rsidR="009101D7" w:rsidRPr="003523C1" w:rsidRDefault="009101D7" w:rsidP="00A423BF">
            <w:pPr>
              <w:jc w:val="right"/>
              <w:rPr>
                <w:rFonts w:ascii="Arial" w:hAnsi="Arial" w:cs="Arial"/>
                <w:sz w:val="22"/>
                <w:szCs w:val="22"/>
              </w:rPr>
            </w:pPr>
            <w:r w:rsidRPr="003523C1">
              <w:rPr>
                <w:rFonts w:ascii="Arial" w:hAnsi="Arial" w:cs="Arial"/>
                <w:sz w:val="22"/>
                <w:szCs w:val="22"/>
              </w:rPr>
              <w:t>6.5</w:t>
            </w:r>
          </w:p>
        </w:tc>
        <w:tc>
          <w:tcPr>
            <w:tcW w:w="641" w:type="pct"/>
            <w:shd w:val="clear" w:color="auto" w:fill="auto"/>
            <w:vAlign w:val="center"/>
          </w:tcPr>
          <w:p w14:paraId="121EA4F5" w14:textId="77777777" w:rsidR="009101D7" w:rsidRPr="003523C1" w:rsidRDefault="009101D7" w:rsidP="00A423BF">
            <w:pPr>
              <w:jc w:val="right"/>
              <w:rPr>
                <w:rFonts w:ascii="Arial" w:hAnsi="Arial" w:cs="Arial"/>
                <w:sz w:val="22"/>
                <w:szCs w:val="22"/>
              </w:rPr>
            </w:pPr>
            <w:r w:rsidRPr="003523C1">
              <w:rPr>
                <w:rFonts w:ascii="Arial" w:hAnsi="Arial" w:cs="Arial"/>
                <w:sz w:val="22"/>
                <w:szCs w:val="22"/>
              </w:rPr>
              <w:t>49.3%</w:t>
            </w:r>
          </w:p>
        </w:tc>
        <w:tc>
          <w:tcPr>
            <w:tcW w:w="641" w:type="pct"/>
            <w:shd w:val="clear" w:color="auto" w:fill="auto"/>
            <w:vAlign w:val="center"/>
          </w:tcPr>
          <w:p w14:paraId="3CAB13FC" w14:textId="77777777" w:rsidR="009101D7" w:rsidRPr="003523C1" w:rsidRDefault="009101D7" w:rsidP="00A423BF">
            <w:pPr>
              <w:jc w:val="right"/>
              <w:rPr>
                <w:rFonts w:ascii="Arial" w:hAnsi="Arial" w:cs="Arial"/>
                <w:sz w:val="22"/>
                <w:szCs w:val="22"/>
              </w:rPr>
            </w:pPr>
            <w:r w:rsidRPr="003523C1">
              <w:rPr>
                <w:rFonts w:ascii="Arial" w:hAnsi="Arial" w:cs="Arial"/>
                <w:sz w:val="22"/>
                <w:szCs w:val="22"/>
              </w:rPr>
              <w:t>2.8</w:t>
            </w:r>
          </w:p>
        </w:tc>
        <w:tc>
          <w:tcPr>
            <w:tcW w:w="641" w:type="pct"/>
            <w:shd w:val="clear" w:color="auto" w:fill="auto"/>
            <w:vAlign w:val="center"/>
          </w:tcPr>
          <w:p w14:paraId="0A2A813E" w14:textId="627D4B4C" w:rsidR="009101D7" w:rsidRPr="003523C1" w:rsidRDefault="009101D7" w:rsidP="00A423BF">
            <w:pPr>
              <w:jc w:val="right"/>
              <w:rPr>
                <w:rFonts w:ascii="Arial" w:hAnsi="Arial" w:cs="Arial"/>
                <w:sz w:val="22"/>
                <w:szCs w:val="22"/>
              </w:rPr>
            </w:pPr>
            <w:r w:rsidRPr="003523C1">
              <w:rPr>
                <w:rFonts w:ascii="Arial" w:hAnsi="Arial" w:cs="Arial"/>
                <w:sz w:val="22"/>
                <w:szCs w:val="22"/>
              </w:rPr>
              <w:t>4</w:t>
            </w:r>
            <w:r w:rsidR="003523C1" w:rsidRPr="003523C1">
              <w:rPr>
                <w:rFonts w:ascii="Arial" w:hAnsi="Arial" w:cs="Arial"/>
                <w:sz w:val="22"/>
                <w:szCs w:val="22"/>
              </w:rPr>
              <w:t>9</w:t>
            </w:r>
            <w:r w:rsidRPr="003523C1">
              <w:rPr>
                <w:rFonts w:ascii="Arial" w:hAnsi="Arial" w:cs="Arial"/>
                <w:sz w:val="22"/>
                <w:szCs w:val="22"/>
              </w:rPr>
              <w:t>.</w:t>
            </w:r>
            <w:r w:rsidR="003523C1" w:rsidRPr="003523C1">
              <w:rPr>
                <w:rFonts w:ascii="Arial" w:hAnsi="Arial" w:cs="Arial"/>
                <w:sz w:val="22"/>
                <w:szCs w:val="22"/>
              </w:rPr>
              <w:t>3</w:t>
            </w:r>
            <w:r w:rsidRPr="003523C1">
              <w:rPr>
                <w:rFonts w:ascii="Arial" w:hAnsi="Arial" w:cs="Arial"/>
                <w:sz w:val="22"/>
                <w:szCs w:val="22"/>
              </w:rPr>
              <w:t>%</w:t>
            </w:r>
          </w:p>
        </w:tc>
        <w:tc>
          <w:tcPr>
            <w:tcW w:w="641" w:type="pct"/>
            <w:shd w:val="clear" w:color="auto" w:fill="auto"/>
            <w:vAlign w:val="center"/>
          </w:tcPr>
          <w:p w14:paraId="1BACE112" w14:textId="7BBE8596" w:rsidR="009101D7" w:rsidRPr="003523C1" w:rsidRDefault="003523C1" w:rsidP="00A423BF">
            <w:pPr>
              <w:jc w:val="right"/>
              <w:rPr>
                <w:rFonts w:ascii="Arial" w:hAnsi="Arial" w:cs="Arial"/>
                <w:b/>
                <w:sz w:val="22"/>
                <w:szCs w:val="22"/>
              </w:rPr>
            </w:pPr>
            <w:r w:rsidRPr="003523C1">
              <w:rPr>
                <w:rFonts w:ascii="Arial" w:hAnsi="Arial" w:cs="Arial"/>
                <w:b/>
                <w:sz w:val="22"/>
                <w:szCs w:val="22"/>
              </w:rPr>
              <w:t>22</w:t>
            </w:r>
            <w:r w:rsidR="009101D7" w:rsidRPr="003523C1">
              <w:rPr>
                <w:rFonts w:ascii="Arial" w:hAnsi="Arial" w:cs="Arial"/>
                <w:b/>
                <w:sz w:val="22"/>
                <w:szCs w:val="22"/>
              </w:rPr>
              <w:t>.6%</w:t>
            </w:r>
          </w:p>
        </w:tc>
        <w:tc>
          <w:tcPr>
            <w:tcW w:w="640" w:type="pct"/>
            <w:vAlign w:val="center"/>
          </w:tcPr>
          <w:p w14:paraId="52433632" w14:textId="77777777" w:rsidR="009101D7" w:rsidRPr="003523C1" w:rsidRDefault="009101D7" w:rsidP="00A423BF">
            <w:pPr>
              <w:jc w:val="right"/>
              <w:rPr>
                <w:rFonts w:ascii="Arial" w:hAnsi="Arial" w:cs="Arial"/>
                <w:bCs/>
                <w:sz w:val="22"/>
                <w:szCs w:val="22"/>
              </w:rPr>
            </w:pPr>
            <w:r w:rsidRPr="003523C1">
              <w:rPr>
                <w:rFonts w:ascii="Arial" w:hAnsi="Arial" w:cs="Arial"/>
                <w:bCs/>
                <w:sz w:val="22"/>
                <w:szCs w:val="22"/>
              </w:rPr>
              <w:t>19.6%</w:t>
            </w:r>
          </w:p>
        </w:tc>
      </w:tr>
      <w:tr w:rsidR="009101D7" w:rsidRPr="003523C1" w14:paraId="6B6AB449" w14:textId="77777777" w:rsidTr="00A423BF">
        <w:tc>
          <w:tcPr>
            <w:tcW w:w="1155" w:type="pct"/>
            <w:vAlign w:val="center"/>
          </w:tcPr>
          <w:p w14:paraId="77CAE305" w14:textId="77777777" w:rsidR="009101D7" w:rsidRPr="003523C1" w:rsidRDefault="009101D7" w:rsidP="00A423BF">
            <w:pPr>
              <w:jc w:val="left"/>
              <w:rPr>
                <w:rFonts w:ascii="Arial" w:hAnsi="Arial" w:cs="Arial"/>
                <w:sz w:val="22"/>
                <w:szCs w:val="22"/>
              </w:rPr>
            </w:pPr>
            <w:r w:rsidRPr="003523C1">
              <w:rPr>
                <w:rFonts w:ascii="Arial" w:hAnsi="Arial" w:cs="Arial"/>
                <w:sz w:val="22"/>
                <w:szCs w:val="22"/>
              </w:rPr>
              <w:t xml:space="preserve">France </w:t>
            </w:r>
          </w:p>
        </w:tc>
        <w:tc>
          <w:tcPr>
            <w:tcW w:w="641" w:type="pct"/>
            <w:shd w:val="clear" w:color="auto" w:fill="auto"/>
            <w:vAlign w:val="center"/>
          </w:tcPr>
          <w:p w14:paraId="3D743EA9" w14:textId="77777777" w:rsidR="009101D7" w:rsidRPr="003523C1" w:rsidRDefault="009101D7" w:rsidP="00A423BF">
            <w:pPr>
              <w:jc w:val="right"/>
              <w:rPr>
                <w:rFonts w:ascii="Arial" w:hAnsi="Arial" w:cs="Arial"/>
                <w:sz w:val="22"/>
                <w:szCs w:val="22"/>
              </w:rPr>
            </w:pPr>
            <w:r w:rsidRPr="003523C1">
              <w:rPr>
                <w:rFonts w:ascii="Arial" w:hAnsi="Arial" w:cs="Arial"/>
                <w:sz w:val="22"/>
                <w:szCs w:val="22"/>
              </w:rPr>
              <w:t>4.5</w:t>
            </w:r>
          </w:p>
        </w:tc>
        <w:tc>
          <w:tcPr>
            <w:tcW w:w="641" w:type="pct"/>
            <w:shd w:val="clear" w:color="auto" w:fill="auto"/>
            <w:vAlign w:val="center"/>
          </w:tcPr>
          <w:p w14:paraId="2F94BF60" w14:textId="77777777" w:rsidR="009101D7" w:rsidRPr="003523C1" w:rsidRDefault="009101D7" w:rsidP="00A423BF">
            <w:pPr>
              <w:jc w:val="right"/>
              <w:rPr>
                <w:rFonts w:ascii="Arial" w:hAnsi="Arial" w:cs="Arial"/>
                <w:sz w:val="22"/>
                <w:szCs w:val="22"/>
              </w:rPr>
            </w:pPr>
            <w:r w:rsidRPr="003523C1">
              <w:rPr>
                <w:rFonts w:ascii="Arial" w:hAnsi="Arial" w:cs="Arial"/>
                <w:sz w:val="22"/>
                <w:szCs w:val="22"/>
              </w:rPr>
              <w:t>34.1%</w:t>
            </w:r>
          </w:p>
        </w:tc>
        <w:tc>
          <w:tcPr>
            <w:tcW w:w="641" w:type="pct"/>
            <w:shd w:val="clear" w:color="auto" w:fill="auto"/>
            <w:vAlign w:val="center"/>
          </w:tcPr>
          <w:p w14:paraId="787E8184" w14:textId="5717C9AC" w:rsidR="009101D7" w:rsidRPr="003523C1" w:rsidRDefault="009101D7" w:rsidP="00A423BF">
            <w:pPr>
              <w:jc w:val="right"/>
              <w:rPr>
                <w:rFonts w:ascii="Arial" w:hAnsi="Arial" w:cs="Arial"/>
                <w:sz w:val="22"/>
                <w:szCs w:val="22"/>
              </w:rPr>
            </w:pPr>
            <w:r w:rsidRPr="003523C1">
              <w:rPr>
                <w:rFonts w:ascii="Arial" w:hAnsi="Arial" w:cs="Arial"/>
                <w:sz w:val="22"/>
                <w:szCs w:val="22"/>
              </w:rPr>
              <w:t>1.</w:t>
            </w:r>
            <w:r w:rsidR="003523C1" w:rsidRPr="003523C1">
              <w:rPr>
                <w:rFonts w:ascii="Arial" w:hAnsi="Arial" w:cs="Arial"/>
                <w:sz w:val="22"/>
                <w:szCs w:val="22"/>
              </w:rPr>
              <w:t>6</w:t>
            </w:r>
          </w:p>
        </w:tc>
        <w:tc>
          <w:tcPr>
            <w:tcW w:w="641" w:type="pct"/>
            <w:shd w:val="clear" w:color="auto" w:fill="auto"/>
            <w:vAlign w:val="center"/>
          </w:tcPr>
          <w:p w14:paraId="283B9546" w14:textId="46A0A0D4" w:rsidR="009101D7" w:rsidRPr="003523C1" w:rsidRDefault="003523C1" w:rsidP="00A423BF">
            <w:pPr>
              <w:jc w:val="right"/>
              <w:rPr>
                <w:rFonts w:ascii="Arial" w:hAnsi="Arial" w:cs="Arial"/>
                <w:sz w:val="22"/>
                <w:szCs w:val="22"/>
              </w:rPr>
            </w:pPr>
            <w:r w:rsidRPr="003523C1">
              <w:rPr>
                <w:rFonts w:ascii="Arial" w:hAnsi="Arial" w:cs="Arial"/>
                <w:sz w:val="22"/>
                <w:szCs w:val="22"/>
              </w:rPr>
              <w:t>28</w:t>
            </w:r>
            <w:r w:rsidR="009101D7" w:rsidRPr="003523C1">
              <w:rPr>
                <w:rFonts w:ascii="Arial" w:hAnsi="Arial" w:cs="Arial"/>
                <w:sz w:val="22"/>
                <w:szCs w:val="22"/>
              </w:rPr>
              <w:t>.3%</w:t>
            </w:r>
          </w:p>
        </w:tc>
        <w:tc>
          <w:tcPr>
            <w:tcW w:w="641" w:type="pct"/>
            <w:shd w:val="clear" w:color="auto" w:fill="auto"/>
            <w:vAlign w:val="center"/>
          </w:tcPr>
          <w:p w14:paraId="10DA5CB3" w14:textId="0370D09B" w:rsidR="009101D7" w:rsidRPr="003523C1" w:rsidDel="00E00BDF" w:rsidRDefault="003523C1" w:rsidP="00A423BF">
            <w:pPr>
              <w:jc w:val="right"/>
              <w:rPr>
                <w:rFonts w:ascii="Arial" w:hAnsi="Arial" w:cs="Arial"/>
                <w:b/>
                <w:sz w:val="22"/>
                <w:szCs w:val="22"/>
              </w:rPr>
            </w:pPr>
            <w:r w:rsidRPr="003523C1">
              <w:rPr>
                <w:rFonts w:ascii="Arial" w:hAnsi="Arial" w:cs="Arial"/>
                <w:b/>
                <w:sz w:val="22"/>
                <w:szCs w:val="22"/>
              </w:rPr>
              <w:t>9</w:t>
            </w:r>
            <w:r w:rsidR="009101D7" w:rsidRPr="003523C1">
              <w:rPr>
                <w:rFonts w:ascii="Arial" w:hAnsi="Arial" w:cs="Arial"/>
                <w:b/>
                <w:sz w:val="22"/>
                <w:szCs w:val="22"/>
              </w:rPr>
              <w:t>.</w:t>
            </w:r>
            <w:r w:rsidRPr="003523C1">
              <w:rPr>
                <w:rFonts w:ascii="Arial" w:hAnsi="Arial" w:cs="Arial"/>
                <w:b/>
                <w:sz w:val="22"/>
                <w:szCs w:val="22"/>
              </w:rPr>
              <w:t>7</w:t>
            </w:r>
            <w:r w:rsidR="009101D7" w:rsidRPr="003523C1">
              <w:rPr>
                <w:rFonts w:ascii="Arial" w:hAnsi="Arial" w:cs="Arial"/>
                <w:b/>
                <w:sz w:val="22"/>
                <w:szCs w:val="22"/>
              </w:rPr>
              <w:t>%</w:t>
            </w:r>
          </w:p>
        </w:tc>
        <w:tc>
          <w:tcPr>
            <w:tcW w:w="640" w:type="pct"/>
            <w:vAlign w:val="center"/>
          </w:tcPr>
          <w:p w14:paraId="2422F055" w14:textId="77777777" w:rsidR="009101D7" w:rsidRPr="003523C1" w:rsidRDefault="009101D7" w:rsidP="00A423BF">
            <w:pPr>
              <w:jc w:val="right"/>
              <w:rPr>
                <w:rFonts w:ascii="Arial" w:hAnsi="Arial" w:cs="Arial"/>
                <w:bCs/>
                <w:sz w:val="22"/>
                <w:szCs w:val="22"/>
              </w:rPr>
            </w:pPr>
            <w:r w:rsidRPr="003523C1">
              <w:rPr>
                <w:rFonts w:ascii="Arial" w:hAnsi="Arial" w:cs="Arial"/>
                <w:bCs/>
                <w:sz w:val="22"/>
                <w:szCs w:val="22"/>
              </w:rPr>
              <w:t>7.0%</w:t>
            </w:r>
          </w:p>
        </w:tc>
      </w:tr>
      <w:tr w:rsidR="009101D7" w:rsidRPr="003523C1" w14:paraId="50F66EC8" w14:textId="77777777" w:rsidTr="00A423BF">
        <w:tc>
          <w:tcPr>
            <w:tcW w:w="1155" w:type="pct"/>
            <w:vAlign w:val="center"/>
          </w:tcPr>
          <w:p w14:paraId="77933254" w14:textId="77777777" w:rsidR="009101D7" w:rsidRPr="003523C1" w:rsidRDefault="009101D7" w:rsidP="00A423BF">
            <w:pPr>
              <w:jc w:val="left"/>
              <w:rPr>
                <w:rFonts w:ascii="Arial" w:hAnsi="Arial" w:cs="Arial"/>
                <w:sz w:val="22"/>
                <w:szCs w:val="22"/>
              </w:rPr>
            </w:pPr>
            <w:r w:rsidRPr="003523C1">
              <w:rPr>
                <w:rFonts w:ascii="Arial" w:hAnsi="Arial" w:cs="Arial"/>
                <w:sz w:val="22"/>
                <w:szCs w:val="22"/>
              </w:rPr>
              <w:t>Other International</w:t>
            </w:r>
          </w:p>
        </w:tc>
        <w:tc>
          <w:tcPr>
            <w:tcW w:w="641" w:type="pct"/>
            <w:shd w:val="clear" w:color="auto" w:fill="auto"/>
            <w:vAlign w:val="center"/>
          </w:tcPr>
          <w:p w14:paraId="64FEAA3D" w14:textId="77777777" w:rsidR="009101D7" w:rsidRPr="003523C1" w:rsidRDefault="009101D7" w:rsidP="00A423BF">
            <w:pPr>
              <w:jc w:val="right"/>
              <w:rPr>
                <w:rFonts w:ascii="Arial" w:hAnsi="Arial" w:cs="Arial"/>
                <w:sz w:val="22"/>
                <w:szCs w:val="22"/>
              </w:rPr>
            </w:pPr>
            <w:r w:rsidRPr="003523C1">
              <w:rPr>
                <w:rFonts w:ascii="Arial" w:hAnsi="Arial" w:cs="Arial"/>
                <w:sz w:val="22"/>
                <w:szCs w:val="22"/>
              </w:rPr>
              <w:t>2.2</w:t>
            </w:r>
          </w:p>
        </w:tc>
        <w:tc>
          <w:tcPr>
            <w:tcW w:w="641" w:type="pct"/>
            <w:shd w:val="clear" w:color="auto" w:fill="auto"/>
            <w:vAlign w:val="center"/>
          </w:tcPr>
          <w:p w14:paraId="18D5CB64" w14:textId="77777777" w:rsidR="009101D7" w:rsidRPr="003523C1" w:rsidRDefault="009101D7" w:rsidP="00A423BF">
            <w:pPr>
              <w:jc w:val="right"/>
              <w:rPr>
                <w:rFonts w:ascii="Arial" w:hAnsi="Arial" w:cs="Arial"/>
                <w:sz w:val="22"/>
                <w:szCs w:val="22"/>
              </w:rPr>
            </w:pPr>
            <w:r w:rsidRPr="003523C1">
              <w:rPr>
                <w:rFonts w:ascii="Arial" w:hAnsi="Arial" w:cs="Arial"/>
                <w:sz w:val="22"/>
                <w:szCs w:val="22"/>
              </w:rPr>
              <w:t>16.6%</w:t>
            </w:r>
          </w:p>
        </w:tc>
        <w:tc>
          <w:tcPr>
            <w:tcW w:w="641" w:type="pct"/>
            <w:shd w:val="clear" w:color="auto" w:fill="auto"/>
            <w:vAlign w:val="center"/>
          </w:tcPr>
          <w:p w14:paraId="5CE87E03" w14:textId="77777777" w:rsidR="009101D7" w:rsidRPr="003523C1" w:rsidRDefault="009101D7" w:rsidP="00A423BF">
            <w:pPr>
              <w:jc w:val="right"/>
              <w:rPr>
                <w:rFonts w:ascii="Arial" w:hAnsi="Arial" w:cs="Arial"/>
                <w:sz w:val="22"/>
                <w:szCs w:val="22"/>
              </w:rPr>
            </w:pPr>
            <w:r w:rsidRPr="003523C1">
              <w:rPr>
                <w:rFonts w:ascii="Arial" w:hAnsi="Arial" w:cs="Arial"/>
                <w:sz w:val="22"/>
                <w:szCs w:val="22"/>
              </w:rPr>
              <w:t>1.2</w:t>
            </w:r>
          </w:p>
        </w:tc>
        <w:tc>
          <w:tcPr>
            <w:tcW w:w="641" w:type="pct"/>
            <w:shd w:val="clear" w:color="auto" w:fill="auto"/>
            <w:vAlign w:val="center"/>
          </w:tcPr>
          <w:p w14:paraId="5E372C41" w14:textId="19FF820F" w:rsidR="009101D7" w:rsidRPr="003523C1" w:rsidRDefault="009101D7" w:rsidP="00A423BF">
            <w:pPr>
              <w:jc w:val="right"/>
              <w:rPr>
                <w:rFonts w:ascii="Arial" w:hAnsi="Arial" w:cs="Arial"/>
                <w:sz w:val="22"/>
                <w:szCs w:val="22"/>
              </w:rPr>
            </w:pPr>
            <w:r w:rsidRPr="003523C1">
              <w:rPr>
                <w:rFonts w:ascii="Arial" w:hAnsi="Arial" w:cs="Arial"/>
                <w:sz w:val="22"/>
                <w:szCs w:val="22"/>
              </w:rPr>
              <w:t>20.</w:t>
            </w:r>
            <w:r w:rsidR="003523C1" w:rsidRPr="003523C1">
              <w:rPr>
                <w:rFonts w:ascii="Arial" w:hAnsi="Arial" w:cs="Arial"/>
                <w:sz w:val="22"/>
                <w:szCs w:val="22"/>
              </w:rPr>
              <w:t>3</w:t>
            </w:r>
            <w:r w:rsidRPr="003523C1">
              <w:rPr>
                <w:rFonts w:ascii="Arial" w:hAnsi="Arial" w:cs="Arial"/>
                <w:sz w:val="22"/>
                <w:szCs w:val="22"/>
              </w:rPr>
              <w:t>%</w:t>
            </w:r>
          </w:p>
        </w:tc>
        <w:tc>
          <w:tcPr>
            <w:tcW w:w="641" w:type="pct"/>
            <w:shd w:val="clear" w:color="auto" w:fill="auto"/>
            <w:vAlign w:val="center"/>
          </w:tcPr>
          <w:p w14:paraId="05A99A6D" w14:textId="77777777" w:rsidR="009101D7" w:rsidRPr="003523C1" w:rsidRDefault="009101D7" w:rsidP="00A423BF">
            <w:pPr>
              <w:jc w:val="right"/>
              <w:rPr>
                <w:rFonts w:ascii="Arial" w:hAnsi="Arial" w:cs="Arial"/>
                <w:b/>
                <w:sz w:val="22"/>
                <w:szCs w:val="22"/>
              </w:rPr>
            </w:pPr>
            <w:r w:rsidRPr="003523C1">
              <w:rPr>
                <w:rFonts w:ascii="Arial" w:hAnsi="Arial" w:cs="Arial"/>
                <w:b/>
                <w:sz w:val="22"/>
                <w:szCs w:val="22"/>
              </w:rPr>
              <w:t>9.3%</w:t>
            </w:r>
          </w:p>
        </w:tc>
        <w:tc>
          <w:tcPr>
            <w:tcW w:w="640" w:type="pct"/>
            <w:vAlign w:val="center"/>
          </w:tcPr>
          <w:p w14:paraId="5695EEC9" w14:textId="77777777" w:rsidR="009101D7" w:rsidRPr="003523C1" w:rsidRDefault="009101D7" w:rsidP="00A423BF">
            <w:pPr>
              <w:jc w:val="right"/>
              <w:rPr>
                <w:rFonts w:ascii="Arial" w:hAnsi="Arial" w:cs="Arial"/>
                <w:bCs/>
                <w:sz w:val="22"/>
                <w:szCs w:val="22"/>
              </w:rPr>
            </w:pPr>
            <w:r w:rsidRPr="003523C1">
              <w:rPr>
                <w:rFonts w:ascii="Arial" w:hAnsi="Arial" w:cs="Arial"/>
                <w:bCs/>
                <w:sz w:val="22"/>
                <w:szCs w:val="22"/>
              </w:rPr>
              <w:t>9.3%</w:t>
            </w:r>
          </w:p>
        </w:tc>
      </w:tr>
      <w:tr w:rsidR="009101D7" w:rsidRPr="003523C1" w14:paraId="63500E5A" w14:textId="77777777" w:rsidTr="00A423BF">
        <w:tc>
          <w:tcPr>
            <w:tcW w:w="1155" w:type="pct"/>
            <w:vAlign w:val="center"/>
          </w:tcPr>
          <w:p w14:paraId="1904DFBA" w14:textId="77777777" w:rsidR="009101D7" w:rsidRPr="003523C1" w:rsidRDefault="009101D7" w:rsidP="00A423BF">
            <w:pPr>
              <w:jc w:val="left"/>
              <w:rPr>
                <w:rFonts w:ascii="Arial" w:hAnsi="Arial" w:cs="Arial"/>
                <w:sz w:val="22"/>
                <w:szCs w:val="22"/>
              </w:rPr>
            </w:pPr>
            <w:r w:rsidRPr="003523C1">
              <w:rPr>
                <w:rFonts w:ascii="Arial" w:hAnsi="Arial" w:cs="Arial"/>
                <w:sz w:val="22"/>
                <w:szCs w:val="22"/>
              </w:rPr>
              <w:t>Central</w:t>
            </w:r>
          </w:p>
        </w:tc>
        <w:tc>
          <w:tcPr>
            <w:tcW w:w="641" w:type="pct"/>
            <w:shd w:val="clear" w:color="auto" w:fill="auto"/>
            <w:vAlign w:val="center"/>
          </w:tcPr>
          <w:p w14:paraId="6B0799B7" w14:textId="77777777" w:rsidR="009101D7" w:rsidRPr="003523C1" w:rsidRDefault="009101D7" w:rsidP="00A423BF">
            <w:pPr>
              <w:jc w:val="right"/>
              <w:rPr>
                <w:rFonts w:ascii="Arial" w:hAnsi="Arial" w:cs="Arial"/>
                <w:sz w:val="22"/>
                <w:szCs w:val="22"/>
              </w:rPr>
            </w:pPr>
          </w:p>
        </w:tc>
        <w:tc>
          <w:tcPr>
            <w:tcW w:w="641" w:type="pct"/>
            <w:shd w:val="clear" w:color="auto" w:fill="auto"/>
            <w:vAlign w:val="center"/>
          </w:tcPr>
          <w:p w14:paraId="1DA0F5B2" w14:textId="77777777" w:rsidR="009101D7" w:rsidRPr="003523C1" w:rsidDel="00203EFD" w:rsidRDefault="009101D7" w:rsidP="00A423BF">
            <w:pPr>
              <w:jc w:val="right"/>
              <w:rPr>
                <w:rFonts w:ascii="Arial" w:hAnsi="Arial" w:cs="Arial"/>
                <w:sz w:val="22"/>
                <w:szCs w:val="22"/>
              </w:rPr>
            </w:pPr>
          </w:p>
        </w:tc>
        <w:tc>
          <w:tcPr>
            <w:tcW w:w="641" w:type="pct"/>
            <w:shd w:val="clear" w:color="auto" w:fill="auto"/>
            <w:vAlign w:val="center"/>
          </w:tcPr>
          <w:p w14:paraId="42FE7D03" w14:textId="7A2D3251" w:rsidR="009101D7" w:rsidRPr="003523C1" w:rsidDel="00203EFD" w:rsidRDefault="003523C1" w:rsidP="00A423BF">
            <w:pPr>
              <w:jc w:val="right"/>
              <w:rPr>
                <w:rFonts w:ascii="Arial" w:hAnsi="Arial" w:cs="Arial"/>
                <w:sz w:val="22"/>
                <w:szCs w:val="22"/>
              </w:rPr>
            </w:pPr>
            <w:r w:rsidRPr="003523C1">
              <w:rPr>
                <w:rFonts w:ascii="Arial" w:hAnsi="Arial" w:cs="Arial"/>
                <w:sz w:val="22"/>
                <w:szCs w:val="22"/>
              </w:rPr>
              <w:t>0.1</w:t>
            </w:r>
          </w:p>
        </w:tc>
        <w:tc>
          <w:tcPr>
            <w:tcW w:w="641" w:type="pct"/>
            <w:shd w:val="clear" w:color="auto" w:fill="auto"/>
            <w:vAlign w:val="center"/>
          </w:tcPr>
          <w:p w14:paraId="380EC3A4" w14:textId="4718943C" w:rsidR="009101D7" w:rsidRPr="003523C1" w:rsidRDefault="003523C1" w:rsidP="00A423BF">
            <w:pPr>
              <w:jc w:val="right"/>
              <w:rPr>
                <w:rFonts w:ascii="Arial" w:hAnsi="Arial" w:cs="Arial"/>
                <w:sz w:val="22"/>
                <w:szCs w:val="22"/>
              </w:rPr>
            </w:pPr>
            <w:r w:rsidRPr="003523C1">
              <w:rPr>
                <w:rFonts w:ascii="Arial" w:hAnsi="Arial" w:cs="Arial"/>
                <w:sz w:val="22"/>
                <w:szCs w:val="22"/>
              </w:rPr>
              <w:t>2</w:t>
            </w:r>
            <w:r w:rsidR="009101D7" w:rsidRPr="003523C1">
              <w:rPr>
                <w:rFonts w:ascii="Arial" w:hAnsi="Arial" w:cs="Arial"/>
                <w:sz w:val="22"/>
                <w:szCs w:val="22"/>
              </w:rPr>
              <w:t>.</w:t>
            </w:r>
            <w:r w:rsidRPr="003523C1">
              <w:rPr>
                <w:rFonts w:ascii="Arial" w:hAnsi="Arial" w:cs="Arial"/>
                <w:sz w:val="22"/>
                <w:szCs w:val="22"/>
              </w:rPr>
              <w:t>1</w:t>
            </w:r>
            <w:r w:rsidR="009101D7" w:rsidRPr="003523C1">
              <w:rPr>
                <w:rFonts w:ascii="Arial" w:hAnsi="Arial" w:cs="Arial"/>
                <w:sz w:val="22"/>
                <w:szCs w:val="22"/>
              </w:rPr>
              <w:t>%</w:t>
            </w:r>
          </w:p>
        </w:tc>
        <w:tc>
          <w:tcPr>
            <w:tcW w:w="641" w:type="pct"/>
            <w:shd w:val="clear" w:color="auto" w:fill="auto"/>
            <w:vAlign w:val="center"/>
          </w:tcPr>
          <w:p w14:paraId="29744578" w14:textId="77777777" w:rsidR="009101D7" w:rsidRPr="003523C1" w:rsidDel="00203EFD" w:rsidRDefault="009101D7" w:rsidP="00A423BF">
            <w:pPr>
              <w:jc w:val="right"/>
              <w:rPr>
                <w:rFonts w:ascii="Arial" w:hAnsi="Arial" w:cs="Arial"/>
                <w:b/>
                <w:sz w:val="22"/>
                <w:szCs w:val="22"/>
              </w:rPr>
            </w:pPr>
          </w:p>
        </w:tc>
        <w:tc>
          <w:tcPr>
            <w:tcW w:w="640" w:type="pct"/>
            <w:vAlign w:val="center"/>
          </w:tcPr>
          <w:p w14:paraId="6C99CCBB" w14:textId="77777777" w:rsidR="009101D7" w:rsidRPr="003523C1" w:rsidRDefault="009101D7" w:rsidP="00A423BF">
            <w:pPr>
              <w:jc w:val="right"/>
              <w:rPr>
                <w:rFonts w:ascii="Arial" w:hAnsi="Arial" w:cs="Arial"/>
                <w:bCs/>
                <w:sz w:val="22"/>
                <w:szCs w:val="22"/>
              </w:rPr>
            </w:pPr>
          </w:p>
        </w:tc>
      </w:tr>
      <w:tr w:rsidR="009101D7" w:rsidRPr="006525D6" w14:paraId="46AB76CF" w14:textId="77777777" w:rsidTr="00A423BF">
        <w:tc>
          <w:tcPr>
            <w:tcW w:w="1155" w:type="pct"/>
            <w:tcBorders>
              <w:top w:val="single" w:sz="4" w:space="0" w:color="auto"/>
              <w:bottom w:val="single" w:sz="4" w:space="0" w:color="auto"/>
            </w:tcBorders>
            <w:vAlign w:val="center"/>
          </w:tcPr>
          <w:p w14:paraId="11438C9B" w14:textId="77777777" w:rsidR="009101D7" w:rsidRPr="003523C1" w:rsidRDefault="009101D7" w:rsidP="00A423BF">
            <w:pPr>
              <w:jc w:val="left"/>
              <w:rPr>
                <w:rFonts w:ascii="Arial" w:hAnsi="Arial" w:cs="Arial"/>
                <w:sz w:val="22"/>
                <w:szCs w:val="22"/>
              </w:rPr>
            </w:pPr>
            <w:r w:rsidRPr="003523C1">
              <w:rPr>
                <w:rFonts w:ascii="Arial" w:hAnsi="Arial" w:cs="Arial"/>
                <w:b/>
                <w:sz w:val="22"/>
                <w:szCs w:val="22"/>
              </w:rPr>
              <w:t>Total</w:t>
            </w:r>
          </w:p>
        </w:tc>
        <w:tc>
          <w:tcPr>
            <w:tcW w:w="641" w:type="pct"/>
            <w:tcBorders>
              <w:top w:val="single" w:sz="4" w:space="0" w:color="auto"/>
              <w:bottom w:val="single" w:sz="4" w:space="0" w:color="auto"/>
            </w:tcBorders>
            <w:shd w:val="clear" w:color="auto" w:fill="auto"/>
            <w:vAlign w:val="center"/>
          </w:tcPr>
          <w:p w14:paraId="6775DE16" w14:textId="77777777" w:rsidR="009101D7" w:rsidRPr="003523C1" w:rsidRDefault="009101D7" w:rsidP="00A423BF">
            <w:pPr>
              <w:jc w:val="right"/>
              <w:rPr>
                <w:rFonts w:ascii="Arial" w:hAnsi="Arial" w:cs="Arial"/>
                <w:b/>
                <w:sz w:val="22"/>
                <w:szCs w:val="22"/>
              </w:rPr>
            </w:pPr>
            <w:r w:rsidRPr="003523C1">
              <w:rPr>
                <w:rFonts w:ascii="Arial" w:hAnsi="Arial" w:cs="Arial"/>
                <w:b/>
                <w:sz w:val="22"/>
                <w:szCs w:val="22"/>
              </w:rPr>
              <w:t>13.2</w:t>
            </w:r>
          </w:p>
        </w:tc>
        <w:tc>
          <w:tcPr>
            <w:tcW w:w="641" w:type="pct"/>
            <w:tcBorders>
              <w:top w:val="single" w:sz="4" w:space="0" w:color="auto"/>
              <w:bottom w:val="single" w:sz="4" w:space="0" w:color="auto"/>
            </w:tcBorders>
            <w:shd w:val="clear" w:color="auto" w:fill="auto"/>
            <w:vAlign w:val="center"/>
          </w:tcPr>
          <w:p w14:paraId="2FD5F2A5" w14:textId="77777777" w:rsidR="009101D7" w:rsidRPr="003523C1" w:rsidRDefault="009101D7" w:rsidP="00A423BF">
            <w:pPr>
              <w:jc w:val="right"/>
              <w:rPr>
                <w:rFonts w:ascii="Arial" w:hAnsi="Arial" w:cs="Arial"/>
                <w:b/>
                <w:sz w:val="22"/>
                <w:szCs w:val="22"/>
              </w:rPr>
            </w:pPr>
          </w:p>
        </w:tc>
        <w:tc>
          <w:tcPr>
            <w:tcW w:w="641" w:type="pct"/>
            <w:tcBorders>
              <w:top w:val="single" w:sz="4" w:space="0" w:color="auto"/>
              <w:bottom w:val="single" w:sz="4" w:space="0" w:color="auto"/>
            </w:tcBorders>
            <w:shd w:val="clear" w:color="auto" w:fill="auto"/>
            <w:vAlign w:val="center"/>
          </w:tcPr>
          <w:p w14:paraId="3DCA790F" w14:textId="77777777" w:rsidR="009101D7" w:rsidRPr="003523C1" w:rsidRDefault="009101D7" w:rsidP="00A423BF">
            <w:pPr>
              <w:jc w:val="right"/>
              <w:rPr>
                <w:rFonts w:ascii="Arial" w:hAnsi="Arial" w:cs="Arial"/>
                <w:b/>
                <w:sz w:val="22"/>
                <w:szCs w:val="22"/>
              </w:rPr>
            </w:pPr>
            <w:r w:rsidRPr="003523C1">
              <w:rPr>
                <w:rFonts w:ascii="Arial" w:hAnsi="Arial" w:cs="Arial"/>
                <w:b/>
                <w:sz w:val="22"/>
                <w:szCs w:val="22"/>
              </w:rPr>
              <w:t>5.7</w:t>
            </w:r>
          </w:p>
        </w:tc>
        <w:tc>
          <w:tcPr>
            <w:tcW w:w="641" w:type="pct"/>
            <w:tcBorders>
              <w:top w:val="single" w:sz="4" w:space="0" w:color="auto"/>
              <w:bottom w:val="single" w:sz="4" w:space="0" w:color="auto"/>
            </w:tcBorders>
            <w:shd w:val="clear" w:color="auto" w:fill="auto"/>
            <w:vAlign w:val="center"/>
          </w:tcPr>
          <w:p w14:paraId="1B931B7A" w14:textId="77777777" w:rsidR="009101D7" w:rsidRPr="003523C1" w:rsidRDefault="009101D7" w:rsidP="00A423BF">
            <w:pPr>
              <w:jc w:val="right"/>
              <w:rPr>
                <w:rFonts w:ascii="Arial" w:hAnsi="Arial" w:cs="Arial"/>
                <w:b/>
                <w:sz w:val="22"/>
                <w:szCs w:val="22"/>
              </w:rPr>
            </w:pPr>
          </w:p>
        </w:tc>
        <w:tc>
          <w:tcPr>
            <w:tcW w:w="641" w:type="pct"/>
            <w:tcBorders>
              <w:top w:val="single" w:sz="4" w:space="0" w:color="auto"/>
              <w:bottom w:val="single" w:sz="4" w:space="0" w:color="auto"/>
            </w:tcBorders>
            <w:shd w:val="clear" w:color="auto" w:fill="auto"/>
            <w:vAlign w:val="center"/>
          </w:tcPr>
          <w:p w14:paraId="7591E7CA" w14:textId="1232BD8A" w:rsidR="009101D7" w:rsidRPr="003523C1" w:rsidRDefault="009101D7" w:rsidP="00A423BF">
            <w:pPr>
              <w:jc w:val="right"/>
              <w:rPr>
                <w:rFonts w:ascii="Arial" w:hAnsi="Arial" w:cs="Arial"/>
                <w:b/>
                <w:sz w:val="22"/>
                <w:szCs w:val="22"/>
              </w:rPr>
            </w:pPr>
            <w:r w:rsidRPr="003523C1">
              <w:rPr>
                <w:rFonts w:ascii="Arial" w:hAnsi="Arial" w:cs="Arial"/>
                <w:b/>
                <w:sz w:val="22"/>
                <w:szCs w:val="22"/>
              </w:rPr>
              <w:t>1</w:t>
            </w:r>
            <w:r w:rsidR="003523C1" w:rsidRPr="003523C1">
              <w:rPr>
                <w:rFonts w:ascii="Arial" w:hAnsi="Arial" w:cs="Arial"/>
                <w:b/>
                <w:sz w:val="22"/>
                <w:szCs w:val="22"/>
              </w:rPr>
              <w:t>4</w:t>
            </w:r>
            <w:r w:rsidRPr="003523C1">
              <w:rPr>
                <w:rFonts w:ascii="Arial" w:hAnsi="Arial" w:cs="Arial"/>
                <w:b/>
                <w:sz w:val="22"/>
                <w:szCs w:val="22"/>
              </w:rPr>
              <w:t>.</w:t>
            </w:r>
            <w:r w:rsidR="003523C1" w:rsidRPr="003523C1">
              <w:rPr>
                <w:rFonts w:ascii="Arial" w:hAnsi="Arial" w:cs="Arial"/>
                <w:b/>
                <w:sz w:val="22"/>
                <w:szCs w:val="22"/>
              </w:rPr>
              <w:t>6</w:t>
            </w:r>
            <w:r w:rsidRPr="003523C1">
              <w:rPr>
                <w:rFonts w:ascii="Arial" w:hAnsi="Arial" w:cs="Arial"/>
                <w:b/>
                <w:sz w:val="22"/>
                <w:szCs w:val="22"/>
              </w:rPr>
              <w:t>%</w:t>
            </w:r>
          </w:p>
        </w:tc>
        <w:tc>
          <w:tcPr>
            <w:tcW w:w="640" w:type="pct"/>
            <w:tcBorders>
              <w:top w:val="single" w:sz="4" w:space="0" w:color="auto"/>
              <w:bottom w:val="single" w:sz="4" w:space="0" w:color="auto"/>
            </w:tcBorders>
            <w:vAlign w:val="center"/>
          </w:tcPr>
          <w:p w14:paraId="797633BB" w14:textId="77777777" w:rsidR="009101D7" w:rsidRPr="004E3B34" w:rsidRDefault="009101D7" w:rsidP="00A423BF">
            <w:pPr>
              <w:jc w:val="right"/>
              <w:rPr>
                <w:rFonts w:ascii="Arial" w:hAnsi="Arial" w:cs="Arial"/>
                <w:bCs/>
                <w:sz w:val="22"/>
                <w:szCs w:val="22"/>
              </w:rPr>
            </w:pPr>
            <w:r w:rsidRPr="003523C1">
              <w:rPr>
                <w:rFonts w:ascii="Arial" w:hAnsi="Arial" w:cs="Arial"/>
                <w:bCs/>
                <w:sz w:val="22"/>
                <w:szCs w:val="22"/>
              </w:rPr>
              <w:t>12.7%</w:t>
            </w:r>
          </w:p>
        </w:tc>
      </w:tr>
    </w:tbl>
    <w:p w14:paraId="79D402AD" w14:textId="43E66FBC" w:rsidR="009101D7" w:rsidRDefault="009101D7" w:rsidP="009101D7">
      <w:pPr>
        <w:jc w:val="left"/>
        <w:rPr>
          <w:rFonts w:ascii="Arial" w:hAnsi="Arial" w:cs="Arial"/>
          <w:b/>
        </w:rPr>
      </w:pPr>
    </w:p>
    <w:p w14:paraId="7A59493F" w14:textId="4548DB76" w:rsidR="009101D7" w:rsidRDefault="009101D7" w:rsidP="009101D7">
      <w:pPr>
        <w:jc w:val="left"/>
        <w:rPr>
          <w:rFonts w:ascii="Arial" w:hAnsi="Arial" w:cs="Arial"/>
          <w:b/>
        </w:rPr>
      </w:pPr>
      <w:r>
        <w:rPr>
          <w:rFonts w:ascii="Arial" w:hAnsi="Arial" w:cs="Arial"/>
          <w:b/>
        </w:rPr>
        <w:br w:type="page"/>
      </w:r>
    </w:p>
    <w:p w14:paraId="0A5A20A4" w14:textId="3EA277A0" w:rsidR="0035042E" w:rsidRPr="00A845B7" w:rsidRDefault="0035042E" w:rsidP="0035042E">
      <w:pPr>
        <w:jc w:val="left"/>
        <w:rPr>
          <w:rFonts w:ascii="Arial" w:hAnsi="Arial" w:cs="Arial"/>
          <w:b/>
        </w:rPr>
      </w:pPr>
      <w:r w:rsidRPr="00A845B7">
        <w:rPr>
          <w:rFonts w:ascii="Arial" w:hAnsi="Arial" w:cs="Arial" w:hint="eastAsia"/>
          <w:b/>
        </w:rPr>
        <w:lastRenderedPageBreak/>
        <w:t>Property</w:t>
      </w:r>
    </w:p>
    <w:p w14:paraId="3EA2DA64" w14:textId="5F406CDF" w:rsidR="0035042E" w:rsidRDefault="0035042E" w:rsidP="0035042E">
      <w:pPr>
        <w:jc w:val="left"/>
        <w:rPr>
          <w:rFonts w:ascii="Arial" w:hAnsi="Arial" w:cs="Arial"/>
        </w:rPr>
      </w:pPr>
      <w:r w:rsidRPr="00342365">
        <w:rPr>
          <w:rFonts w:ascii="Arial" w:hAnsi="Arial" w:cs="Arial"/>
        </w:rPr>
        <w:t xml:space="preserve">Kingfisher owns a significant property portfolio, </w:t>
      </w:r>
      <w:r w:rsidRPr="0064743E">
        <w:rPr>
          <w:rFonts w:ascii="Arial" w:hAnsi="Arial" w:cs="Arial"/>
        </w:rPr>
        <w:t xml:space="preserve">almost all of which is used for trading purposes. A valuation was performed for internal purposes in </w:t>
      </w:r>
      <w:r w:rsidRPr="006957EC">
        <w:rPr>
          <w:rFonts w:ascii="Arial" w:hAnsi="Arial" w:cs="Arial"/>
        </w:rPr>
        <w:t xml:space="preserve">October </w:t>
      </w:r>
      <w:r w:rsidR="002F264F" w:rsidRPr="006957EC">
        <w:rPr>
          <w:rFonts w:ascii="Arial" w:hAnsi="Arial" w:cs="Arial"/>
        </w:rPr>
        <w:t>2021</w:t>
      </w:r>
      <w:r w:rsidR="002F264F" w:rsidRPr="0064743E">
        <w:rPr>
          <w:rFonts w:ascii="Arial" w:hAnsi="Arial" w:cs="Arial"/>
        </w:rPr>
        <w:t xml:space="preserve"> </w:t>
      </w:r>
      <w:r w:rsidRPr="0064743E">
        <w:rPr>
          <w:rFonts w:ascii="Arial" w:hAnsi="Arial" w:cs="Arial"/>
        </w:rPr>
        <w:t>with the portfolio valued by external professional valuers. Based on this exercise, on a sale</w:t>
      </w:r>
      <w:r w:rsidRPr="00437FA2">
        <w:rPr>
          <w:rFonts w:ascii="Arial" w:hAnsi="Arial" w:cs="Arial"/>
        </w:rPr>
        <w:t xml:space="preserve"> and leaseback basis with Kingfisher in occupancy</w:t>
      </w:r>
      <w:r w:rsidRPr="00744F0F">
        <w:rPr>
          <w:rFonts w:ascii="Arial" w:hAnsi="Arial" w:cs="Arial"/>
        </w:rPr>
        <w:t>, the value of property</w:t>
      </w:r>
      <w:r w:rsidRPr="00342365">
        <w:rPr>
          <w:rFonts w:ascii="Arial" w:hAnsi="Arial" w:cs="Arial"/>
        </w:rPr>
        <w:t xml:space="preserve"> </w:t>
      </w:r>
      <w:r w:rsidRPr="002F264F">
        <w:rPr>
          <w:rFonts w:ascii="Arial" w:hAnsi="Arial" w:cs="Arial"/>
        </w:rPr>
        <w:t xml:space="preserve">is </w:t>
      </w:r>
      <w:r w:rsidRPr="00590787">
        <w:rPr>
          <w:rFonts w:ascii="Arial" w:hAnsi="Arial" w:cs="Arial"/>
        </w:rPr>
        <w:t>£2.</w:t>
      </w:r>
      <w:r w:rsidR="002F264F" w:rsidRPr="00590787">
        <w:rPr>
          <w:rFonts w:ascii="Arial" w:hAnsi="Arial" w:cs="Arial"/>
        </w:rPr>
        <w:t>8</w:t>
      </w:r>
      <w:r w:rsidR="000F2F06" w:rsidRPr="00590787">
        <w:rPr>
          <w:rFonts w:ascii="Arial" w:hAnsi="Arial" w:cs="Arial"/>
        </w:rPr>
        <w:t>bn</w:t>
      </w:r>
      <w:r w:rsidRPr="00342365">
        <w:rPr>
          <w:rFonts w:ascii="Arial" w:hAnsi="Arial" w:cs="Arial"/>
        </w:rPr>
        <w:t xml:space="preserve"> </w:t>
      </w:r>
      <w:r>
        <w:rPr>
          <w:rFonts w:ascii="Arial" w:hAnsi="Arial" w:cs="Arial"/>
        </w:rPr>
        <w:t xml:space="preserve">as of 31 January 2022 </w:t>
      </w:r>
      <w:r w:rsidRPr="00342365">
        <w:rPr>
          <w:rFonts w:ascii="Arial" w:hAnsi="Arial" w:cs="Arial"/>
        </w:rPr>
        <w:t>(</w:t>
      </w:r>
      <w:r w:rsidR="001C00A7">
        <w:rPr>
          <w:rFonts w:ascii="Arial" w:hAnsi="Arial" w:cs="Arial"/>
        </w:rPr>
        <w:t>FY 20/21</w:t>
      </w:r>
      <w:r w:rsidRPr="00342365">
        <w:rPr>
          <w:rFonts w:ascii="Arial" w:hAnsi="Arial" w:cs="Arial"/>
        </w:rPr>
        <w:t>: £</w:t>
      </w:r>
      <w:r>
        <w:rPr>
          <w:rFonts w:ascii="Arial" w:hAnsi="Arial" w:cs="Arial"/>
        </w:rPr>
        <w:t>2.7</w:t>
      </w:r>
      <w:r w:rsidR="000F2F06">
        <w:rPr>
          <w:rFonts w:ascii="Arial" w:hAnsi="Arial" w:cs="Arial"/>
        </w:rPr>
        <w:t>bn</w:t>
      </w:r>
      <w:r w:rsidRPr="00342365">
        <w:rPr>
          <w:rFonts w:ascii="Arial" w:hAnsi="Arial" w:cs="Arial"/>
        </w:rPr>
        <w:t>).</w:t>
      </w:r>
      <w:r>
        <w:rPr>
          <w:rFonts w:ascii="Arial" w:hAnsi="Arial" w:cs="Arial"/>
        </w:rPr>
        <w:t xml:space="preserve"> </w:t>
      </w:r>
    </w:p>
    <w:p w14:paraId="08A10B9E" w14:textId="77777777" w:rsidR="0035042E" w:rsidRPr="00A845B7" w:rsidRDefault="0035042E" w:rsidP="0035042E">
      <w:pPr>
        <w:jc w:val="left"/>
        <w:rPr>
          <w:rFonts w:ascii="Arial" w:hAnsi="Arial" w:cs="Arial"/>
        </w:rPr>
      </w:pPr>
    </w:p>
    <w:tbl>
      <w:tblPr>
        <w:tblW w:w="5000" w:type="pct"/>
        <w:tblLook w:val="04A0" w:firstRow="1" w:lastRow="0" w:firstColumn="1" w:lastColumn="0" w:noHBand="0" w:noVBand="1"/>
      </w:tblPr>
      <w:tblGrid>
        <w:gridCol w:w="4768"/>
        <w:gridCol w:w="1359"/>
        <w:gridCol w:w="1359"/>
        <w:gridCol w:w="1359"/>
        <w:gridCol w:w="1359"/>
      </w:tblGrid>
      <w:tr w:rsidR="0035042E" w:rsidRPr="00CD6F7F" w14:paraId="26D97A52" w14:textId="77777777" w:rsidTr="007B244C">
        <w:trPr>
          <w:trHeight w:val="525"/>
        </w:trPr>
        <w:tc>
          <w:tcPr>
            <w:tcW w:w="2336" w:type="pct"/>
            <w:tcBorders>
              <w:top w:val="nil"/>
              <w:left w:val="nil"/>
              <w:bottom w:val="single" w:sz="4" w:space="0" w:color="auto"/>
              <w:right w:val="nil"/>
            </w:tcBorders>
            <w:vAlign w:val="bottom"/>
          </w:tcPr>
          <w:p w14:paraId="25476559" w14:textId="77777777" w:rsidR="0035042E" w:rsidRPr="00CD6F7F" w:rsidRDefault="0035042E" w:rsidP="007B244C">
            <w:pPr>
              <w:jc w:val="left"/>
              <w:rPr>
                <w:rFonts w:ascii="Arial" w:hAnsi="Arial" w:cs="Arial"/>
                <w:bCs/>
              </w:rPr>
            </w:pPr>
          </w:p>
        </w:tc>
        <w:tc>
          <w:tcPr>
            <w:tcW w:w="666" w:type="pct"/>
            <w:tcBorders>
              <w:top w:val="nil"/>
              <w:left w:val="nil"/>
              <w:bottom w:val="single" w:sz="4" w:space="0" w:color="auto"/>
              <w:right w:val="nil"/>
            </w:tcBorders>
            <w:vAlign w:val="bottom"/>
            <w:hideMark/>
          </w:tcPr>
          <w:p w14:paraId="3F07BC9B" w14:textId="77777777" w:rsidR="0035042E" w:rsidRPr="00CD6F7F" w:rsidRDefault="0035042E" w:rsidP="007B244C">
            <w:pPr>
              <w:jc w:val="right"/>
              <w:rPr>
                <w:rFonts w:ascii="Arial" w:hAnsi="Arial" w:cs="Arial"/>
                <w:b/>
                <w:bCs/>
              </w:rPr>
            </w:pPr>
            <w:r w:rsidRPr="00CD6F7F">
              <w:rPr>
                <w:rFonts w:ascii="Arial" w:hAnsi="Arial" w:cs="Arial"/>
                <w:b/>
                <w:bCs/>
              </w:rPr>
              <w:t>20</w:t>
            </w:r>
            <w:r>
              <w:rPr>
                <w:rFonts w:ascii="Arial" w:hAnsi="Arial" w:cs="Arial"/>
                <w:b/>
                <w:bCs/>
              </w:rPr>
              <w:t>21/22</w:t>
            </w:r>
          </w:p>
          <w:p w14:paraId="26DB65C5" w14:textId="77777777" w:rsidR="0035042E" w:rsidRPr="00CD6F7F" w:rsidRDefault="0035042E" w:rsidP="007B244C">
            <w:pPr>
              <w:jc w:val="right"/>
              <w:rPr>
                <w:rFonts w:ascii="Arial" w:hAnsi="Arial" w:cs="Arial"/>
                <w:b/>
                <w:bCs/>
              </w:rPr>
            </w:pPr>
            <w:r w:rsidRPr="00CD6F7F">
              <w:rPr>
                <w:rFonts w:ascii="Arial" w:hAnsi="Arial" w:cs="Arial"/>
                <w:b/>
                <w:bCs/>
              </w:rPr>
              <w:t>£bn</w:t>
            </w:r>
          </w:p>
        </w:tc>
        <w:tc>
          <w:tcPr>
            <w:tcW w:w="666" w:type="pct"/>
            <w:tcBorders>
              <w:top w:val="nil"/>
              <w:left w:val="nil"/>
              <w:bottom w:val="single" w:sz="4" w:space="0" w:color="auto"/>
              <w:right w:val="nil"/>
            </w:tcBorders>
            <w:vAlign w:val="bottom"/>
            <w:hideMark/>
          </w:tcPr>
          <w:p w14:paraId="49DBF9C7" w14:textId="77777777" w:rsidR="0035042E" w:rsidRPr="00CD6F7F" w:rsidRDefault="0035042E" w:rsidP="007B244C">
            <w:pPr>
              <w:jc w:val="right"/>
              <w:rPr>
                <w:rFonts w:ascii="Arial" w:hAnsi="Arial" w:cs="Arial"/>
                <w:b/>
                <w:bCs/>
              </w:rPr>
            </w:pPr>
            <w:r w:rsidRPr="00CD6F7F">
              <w:rPr>
                <w:rFonts w:ascii="Arial" w:hAnsi="Arial" w:cs="Arial"/>
                <w:b/>
                <w:bCs/>
              </w:rPr>
              <w:t>20</w:t>
            </w:r>
            <w:r>
              <w:rPr>
                <w:rFonts w:ascii="Arial" w:hAnsi="Arial" w:cs="Arial"/>
                <w:b/>
                <w:bCs/>
              </w:rPr>
              <w:t>21/22</w:t>
            </w:r>
            <w:r w:rsidRPr="00CD6F7F">
              <w:rPr>
                <w:rFonts w:ascii="Arial" w:hAnsi="Arial" w:cs="Arial"/>
                <w:b/>
                <w:bCs/>
              </w:rPr>
              <w:t xml:space="preserve"> Yields</w:t>
            </w:r>
          </w:p>
        </w:tc>
        <w:tc>
          <w:tcPr>
            <w:tcW w:w="666" w:type="pct"/>
            <w:tcBorders>
              <w:top w:val="nil"/>
              <w:left w:val="nil"/>
              <w:bottom w:val="single" w:sz="4" w:space="0" w:color="auto"/>
              <w:right w:val="nil"/>
            </w:tcBorders>
          </w:tcPr>
          <w:p w14:paraId="170A1E83" w14:textId="77777777" w:rsidR="0035042E" w:rsidRPr="00CD6F7F" w:rsidRDefault="0035042E" w:rsidP="007B244C">
            <w:pPr>
              <w:jc w:val="right"/>
              <w:rPr>
                <w:rFonts w:ascii="Arial" w:hAnsi="Arial" w:cs="Arial"/>
                <w:bCs/>
              </w:rPr>
            </w:pPr>
            <w:r w:rsidRPr="00CD6F7F">
              <w:rPr>
                <w:rFonts w:ascii="Arial" w:hAnsi="Arial" w:cs="Arial"/>
                <w:bCs/>
              </w:rPr>
              <w:t>20</w:t>
            </w:r>
            <w:r>
              <w:rPr>
                <w:rFonts w:ascii="Arial" w:hAnsi="Arial" w:cs="Arial"/>
                <w:bCs/>
              </w:rPr>
              <w:t>20/21</w:t>
            </w:r>
          </w:p>
          <w:p w14:paraId="7A414B8C" w14:textId="77777777" w:rsidR="0035042E" w:rsidRPr="00CD6F7F" w:rsidRDefault="0035042E" w:rsidP="007B244C">
            <w:pPr>
              <w:jc w:val="right"/>
              <w:rPr>
                <w:rFonts w:ascii="Arial" w:hAnsi="Arial" w:cs="Arial"/>
                <w:bCs/>
              </w:rPr>
            </w:pPr>
            <w:r w:rsidRPr="00CD6F7F">
              <w:rPr>
                <w:rFonts w:ascii="Arial" w:hAnsi="Arial" w:cs="Arial"/>
                <w:bCs/>
              </w:rPr>
              <w:t>£bn</w:t>
            </w:r>
          </w:p>
        </w:tc>
        <w:tc>
          <w:tcPr>
            <w:tcW w:w="666" w:type="pct"/>
            <w:tcBorders>
              <w:top w:val="nil"/>
              <w:left w:val="nil"/>
              <w:bottom w:val="single" w:sz="4" w:space="0" w:color="auto"/>
              <w:right w:val="nil"/>
            </w:tcBorders>
          </w:tcPr>
          <w:p w14:paraId="35FC3066" w14:textId="77777777" w:rsidR="0035042E" w:rsidRPr="00CD6F7F" w:rsidRDefault="0035042E" w:rsidP="007B244C">
            <w:pPr>
              <w:jc w:val="right"/>
              <w:rPr>
                <w:rFonts w:ascii="Arial" w:hAnsi="Arial" w:cs="Arial"/>
                <w:bCs/>
              </w:rPr>
            </w:pPr>
            <w:r>
              <w:rPr>
                <w:rFonts w:ascii="Arial" w:hAnsi="Arial" w:cs="Arial"/>
                <w:bCs/>
              </w:rPr>
              <w:t>2020/21</w:t>
            </w:r>
            <w:r w:rsidRPr="00CD6F7F">
              <w:rPr>
                <w:rFonts w:ascii="Arial" w:hAnsi="Arial" w:cs="Arial"/>
                <w:bCs/>
              </w:rPr>
              <w:t xml:space="preserve"> Yields</w:t>
            </w:r>
          </w:p>
        </w:tc>
      </w:tr>
      <w:tr w:rsidR="0035042E" w:rsidRPr="00CD6F7F" w14:paraId="0D9EA8F5" w14:textId="77777777" w:rsidTr="007B244C">
        <w:trPr>
          <w:trHeight w:val="266"/>
        </w:trPr>
        <w:tc>
          <w:tcPr>
            <w:tcW w:w="2336" w:type="pct"/>
            <w:tcBorders>
              <w:top w:val="single" w:sz="4" w:space="0" w:color="auto"/>
            </w:tcBorders>
            <w:vAlign w:val="bottom"/>
          </w:tcPr>
          <w:p w14:paraId="00365749" w14:textId="77777777" w:rsidR="0035042E" w:rsidRPr="00CD6F7F" w:rsidRDefault="0035042E" w:rsidP="007B244C">
            <w:pPr>
              <w:rPr>
                <w:rFonts w:ascii="Arial" w:hAnsi="Arial" w:cs="Arial"/>
              </w:rPr>
            </w:pPr>
            <w:r w:rsidRPr="00CD6F7F">
              <w:rPr>
                <w:rFonts w:ascii="Arial" w:hAnsi="Arial" w:cs="Arial"/>
              </w:rPr>
              <w:t>France</w:t>
            </w:r>
          </w:p>
        </w:tc>
        <w:tc>
          <w:tcPr>
            <w:tcW w:w="666" w:type="pct"/>
            <w:tcBorders>
              <w:top w:val="single" w:sz="4" w:space="0" w:color="auto"/>
            </w:tcBorders>
            <w:vAlign w:val="bottom"/>
          </w:tcPr>
          <w:p w14:paraId="3FBF478A" w14:textId="459D8BA4" w:rsidR="0035042E" w:rsidRPr="00590787" w:rsidRDefault="0035042E" w:rsidP="007B244C">
            <w:pPr>
              <w:jc w:val="right"/>
              <w:rPr>
                <w:rFonts w:ascii="Arial" w:hAnsi="Arial" w:cs="Arial"/>
                <w:b/>
              </w:rPr>
            </w:pPr>
            <w:r w:rsidRPr="00590787">
              <w:rPr>
                <w:rFonts w:ascii="Arial" w:hAnsi="Arial" w:cs="Arial"/>
                <w:b/>
              </w:rPr>
              <w:t>1.</w:t>
            </w:r>
            <w:r w:rsidR="002F264F" w:rsidRPr="00590787">
              <w:rPr>
                <w:rFonts w:ascii="Arial" w:hAnsi="Arial" w:cs="Arial"/>
                <w:b/>
              </w:rPr>
              <w:t>3</w:t>
            </w:r>
          </w:p>
        </w:tc>
        <w:tc>
          <w:tcPr>
            <w:tcW w:w="666" w:type="pct"/>
            <w:tcBorders>
              <w:top w:val="single" w:sz="4" w:space="0" w:color="auto"/>
            </w:tcBorders>
            <w:vAlign w:val="bottom"/>
          </w:tcPr>
          <w:p w14:paraId="28283F92" w14:textId="4802EA3E" w:rsidR="0035042E" w:rsidRPr="00590787" w:rsidRDefault="0035042E" w:rsidP="007B244C">
            <w:pPr>
              <w:jc w:val="right"/>
              <w:rPr>
                <w:rFonts w:ascii="Arial" w:hAnsi="Arial" w:cs="Arial"/>
                <w:b/>
              </w:rPr>
            </w:pPr>
            <w:r w:rsidRPr="00590787">
              <w:rPr>
                <w:rFonts w:ascii="Arial" w:hAnsi="Arial" w:cs="Arial"/>
                <w:b/>
              </w:rPr>
              <w:t>8.</w:t>
            </w:r>
            <w:r w:rsidR="002F264F" w:rsidRPr="00590787">
              <w:rPr>
                <w:rFonts w:ascii="Arial" w:hAnsi="Arial" w:cs="Arial"/>
                <w:b/>
              </w:rPr>
              <w:t>0</w:t>
            </w:r>
            <w:r w:rsidRPr="00590787">
              <w:rPr>
                <w:rFonts w:ascii="Arial" w:hAnsi="Arial" w:cs="Arial"/>
                <w:b/>
              </w:rPr>
              <w:t>%</w:t>
            </w:r>
          </w:p>
        </w:tc>
        <w:tc>
          <w:tcPr>
            <w:tcW w:w="666" w:type="pct"/>
            <w:tcBorders>
              <w:top w:val="single" w:sz="4" w:space="0" w:color="auto"/>
            </w:tcBorders>
            <w:vAlign w:val="bottom"/>
          </w:tcPr>
          <w:p w14:paraId="2B1B7C03" w14:textId="77777777" w:rsidR="0035042E" w:rsidRPr="00254C9D" w:rsidRDefault="0035042E" w:rsidP="007B244C">
            <w:pPr>
              <w:jc w:val="right"/>
              <w:rPr>
                <w:rFonts w:ascii="Arial" w:hAnsi="Arial" w:cs="Arial"/>
                <w:bCs/>
              </w:rPr>
            </w:pPr>
            <w:r w:rsidRPr="00254C9D">
              <w:rPr>
                <w:rFonts w:ascii="Arial" w:hAnsi="Arial" w:cs="Arial"/>
                <w:bCs/>
              </w:rPr>
              <w:t>1.4</w:t>
            </w:r>
          </w:p>
        </w:tc>
        <w:tc>
          <w:tcPr>
            <w:tcW w:w="666" w:type="pct"/>
            <w:tcBorders>
              <w:top w:val="single" w:sz="4" w:space="0" w:color="auto"/>
            </w:tcBorders>
            <w:vAlign w:val="bottom"/>
          </w:tcPr>
          <w:p w14:paraId="58714CDD" w14:textId="77777777" w:rsidR="0035042E" w:rsidRPr="00254C9D" w:rsidRDefault="0035042E" w:rsidP="007B244C">
            <w:pPr>
              <w:jc w:val="right"/>
              <w:rPr>
                <w:rFonts w:ascii="Arial" w:hAnsi="Arial" w:cs="Arial"/>
                <w:bCs/>
              </w:rPr>
            </w:pPr>
            <w:r w:rsidRPr="00254C9D">
              <w:rPr>
                <w:rFonts w:ascii="Arial" w:hAnsi="Arial" w:cs="Arial"/>
                <w:bCs/>
              </w:rPr>
              <w:t>8.</w:t>
            </w:r>
            <w:r>
              <w:rPr>
                <w:rFonts w:ascii="Arial" w:hAnsi="Arial" w:cs="Arial"/>
                <w:bCs/>
              </w:rPr>
              <w:t>3</w:t>
            </w:r>
            <w:r w:rsidRPr="00254C9D">
              <w:rPr>
                <w:rFonts w:ascii="Arial" w:hAnsi="Arial" w:cs="Arial"/>
                <w:bCs/>
              </w:rPr>
              <w:t>%</w:t>
            </w:r>
          </w:p>
        </w:tc>
      </w:tr>
      <w:tr w:rsidR="0035042E" w:rsidRPr="00CD6F7F" w14:paraId="525EFE17" w14:textId="77777777" w:rsidTr="007B244C">
        <w:trPr>
          <w:trHeight w:val="266"/>
        </w:trPr>
        <w:tc>
          <w:tcPr>
            <w:tcW w:w="2336" w:type="pct"/>
            <w:tcBorders>
              <w:left w:val="nil"/>
              <w:bottom w:val="nil"/>
              <w:right w:val="nil"/>
            </w:tcBorders>
            <w:vAlign w:val="bottom"/>
          </w:tcPr>
          <w:p w14:paraId="1AC47D59" w14:textId="77777777" w:rsidR="0035042E" w:rsidRPr="00CD6F7F" w:rsidRDefault="0035042E" w:rsidP="007B244C">
            <w:pPr>
              <w:rPr>
                <w:rFonts w:ascii="Arial" w:hAnsi="Arial" w:cs="Arial"/>
              </w:rPr>
            </w:pPr>
            <w:r w:rsidRPr="00CD6F7F">
              <w:rPr>
                <w:rFonts w:ascii="Arial" w:hAnsi="Arial" w:cs="Arial"/>
              </w:rPr>
              <w:t>UK</w:t>
            </w:r>
          </w:p>
        </w:tc>
        <w:tc>
          <w:tcPr>
            <w:tcW w:w="666" w:type="pct"/>
            <w:tcBorders>
              <w:left w:val="nil"/>
              <w:bottom w:val="nil"/>
              <w:right w:val="nil"/>
            </w:tcBorders>
            <w:vAlign w:val="bottom"/>
          </w:tcPr>
          <w:p w14:paraId="7F09779A" w14:textId="32E13A4B" w:rsidR="0035042E" w:rsidRPr="00590787" w:rsidRDefault="0035042E" w:rsidP="007B244C">
            <w:pPr>
              <w:jc w:val="right"/>
              <w:rPr>
                <w:rFonts w:ascii="Arial" w:hAnsi="Arial" w:cs="Arial"/>
                <w:b/>
              </w:rPr>
            </w:pPr>
            <w:r w:rsidRPr="00590787">
              <w:rPr>
                <w:rFonts w:ascii="Arial" w:hAnsi="Arial" w:cs="Arial"/>
                <w:b/>
              </w:rPr>
              <w:t>0.</w:t>
            </w:r>
            <w:r w:rsidR="002F264F" w:rsidRPr="00590787">
              <w:rPr>
                <w:rFonts w:ascii="Arial" w:hAnsi="Arial" w:cs="Arial"/>
                <w:b/>
              </w:rPr>
              <w:t>6</w:t>
            </w:r>
          </w:p>
        </w:tc>
        <w:tc>
          <w:tcPr>
            <w:tcW w:w="666" w:type="pct"/>
            <w:tcBorders>
              <w:left w:val="nil"/>
              <w:bottom w:val="nil"/>
              <w:right w:val="nil"/>
            </w:tcBorders>
            <w:vAlign w:val="bottom"/>
          </w:tcPr>
          <w:p w14:paraId="293E3899" w14:textId="05862D0F" w:rsidR="0035042E" w:rsidRPr="00590787" w:rsidRDefault="0035042E" w:rsidP="007B244C">
            <w:pPr>
              <w:jc w:val="right"/>
              <w:rPr>
                <w:rFonts w:ascii="Arial" w:hAnsi="Arial" w:cs="Arial"/>
                <w:b/>
              </w:rPr>
            </w:pPr>
            <w:r w:rsidRPr="00590787">
              <w:rPr>
                <w:rFonts w:ascii="Arial" w:hAnsi="Arial" w:cs="Arial"/>
                <w:b/>
              </w:rPr>
              <w:t>6.</w:t>
            </w:r>
            <w:r w:rsidR="002F264F" w:rsidRPr="00590787">
              <w:rPr>
                <w:rFonts w:ascii="Arial" w:hAnsi="Arial" w:cs="Arial"/>
                <w:b/>
              </w:rPr>
              <w:t>2</w:t>
            </w:r>
            <w:r w:rsidRPr="00590787">
              <w:rPr>
                <w:rFonts w:ascii="Arial" w:hAnsi="Arial" w:cs="Arial"/>
                <w:b/>
              </w:rPr>
              <w:t>%</w:t>
            </w:r>
          </w:p>
        </w:tc>
        <w:tc>
          <w:tcPr>
            <w:tcW w:w="666" w:type="pct"/>
            <w:tcBorders>
              <w:left w:val="nil"/>
              <w:bottom w:val="nil"/>
              <w:right w:val="nil"/>
            </w:tcBorders>
            <w:vAlign w:val="bottom"/>
          </w:tcPr>
          <w:p w14:paraId="530DFD8D" w14:textId="77777777" w:rsidR="0035042E" w:rsidRPr="00254C9D" w:rsidRDefault="0035042E" w:rsidP="007B244C">
            <w:pPr>
              <w:jc w:val="right"/>
              <w:rPr>
                <w:rFonts w:ascii="Arial" w:hAnsi="Arial" w:cs="Arial"/>
                <w:bCs/>
              </w:rPr>
            </w:pPr>
            <w:r w:rsidRPr="00254C9D">
              <w:rPr>
                <w:rFonts w:ascii="Arial" w:hAnsi="Arial" w:cs="Arial"/>
                <w:bCs/>
              </w:rPr>
              <w:t>0.</w:t>
            </w:r>
            <w:r>
              <w:rPr>
                <w:rFonts w:ascii="Arial" w:hAnsi="Arial" w:cs="Arial"/>
                <w:bCs/>
              </w:rPr>
              <w:t>5</w:t>
            </w:r>
          </w:p>
        </w:tc>
        <w:tc>
          <w:tcPr>
            <w:tcW w:w="666" w:type="pct"/>
            <w:tcBorders>
              <w:left w:val="nil"/>
              <w:bottom w:val="nil"/>
              <w:right w:val="nil"/>
            </w:tcBorders>
            <w:vAlign w:val="bottom"/>
          </w:tcPr>
          <w:p w14:paraId="5AC4FE5C" w14:textId="77777777" w:rsidR="0035042E" w:rsidRPr="00254C9D" w:rsidRDefault="0035042E" w:rsidP="007B244C">
            <w:pPr>
              <w:jc w:val="right"/>
              <w:rPr>
                <w:rFonts w:ascii="Arial" w:hAnsi="Arial" w:cs="Arial"/>
                <w:bCs/>
              </w:rPr>
            </w:pPr>
            <w:r>
              <w:rPr>
                <w:rFonts w:ascii="Arial" w:hAnsi="Arial" w:cs="Arial"/>
                <w:bCs/>
              </w:rPr>
              <w:t>6.9</w:t>
            </w:r>
            <w:r w:rsidRPr="00254C9D">
              <w:rPr>
                <w:rFonts w:ascii="Arial" w:hAnsi="Arial" w:cs="Arial"/>
                <w:bCs/>
              </w:rPr>
              <w:t>%</w:t>
            </w:r>
          </w:p>
        </w:tc>
      </w:tr>
      <w:tr w:rsidR="0035042E" w:rsidRPr="00CD6F7F" w14:paraId="10F5EABB" w14:textId="77777777" w:rsidTr="007B244C">
        <w:trPr>
          <w:trHeight w:val="266"/>
        </w:trPr>
        <w:tc>
          <w:tcPr>
            <w:tcW w:w="2336" w:type="pct"/>
            <w:vAlign w:val="bottom"/>
          </w:tcPr>
          <w:p w14:paraId="21469D10" w14:textId="77777777" w:rsidR="0035042E" w:rsidRPr="00CD6F7F" w:rsidRDefault="0035042E" w:rsidP="007B244C">
            <w:pPr>
              <w:rPr>
                <w:rFonts w:ascii="Arial" w:hAnsi="Arial" w:cs="Arial"/>
              </w:rPr>
            </w:pPr>
            <w:r w:rsidRPr="00CD6F7F">
              <w:rPr>
                <w:rFonts w:ascii="Arial" w:hAnsi="Arial" w:cs="Arial"/>
              </w:rPr>
              <w:t>Poland</w:t>
            </w:r>
          </w:p>
        </w:tc>
        <w:tc>
          <w:tcPr>
            <w:tcW w:w="666" w:type="pct"/>
            <w:vAlign w:val="bottom"/>
          </w:tcPr>
          <w:p w14:paraId="2D042716" w14:textId="077B5BD0" w:rsidR="0035042E" w:rsidRPr="00590787" w:rsidRDefault="0035042E" w:rsidP="007B244C">
            <w:pPr>
              <w:jc w:val="right"/>
              <w:rPr>
                <w:rFonts w:ascii="Arial" w:hAnsi="Arial" w:cs="Arial"/>
                <w:b/>
              </w:rPr>
            </w:pPr>
            <w:r w:rsidRPr="00590787">
              <w:rPr>
                <w:rFonts w:ascii="Arial" w:hAnsi="Arial" w:cs="Arial"/>
                <w:b/>
              </w:rPr>
              <w:t>0.</w:t>
            </w:r>
            <w:r w:rsidR="002F264F" w:rsidRPr="00590787">
              <w:rPr>
                <w:rFonts w:ascii="Arial" w:hAnsi="Arial" w:cs="Arial"/>
                <w:b/>
              </w:rPr>
              <w:t>7</w:t>
            </w:r>
          </w:p>
        </w:tc>
        <w:tc>
          <w:tcPr>
            <w:tcW w:w="666" w:type="pct"/>
            <w:vAlign w:val="bottom"/>
          </w:tcPr>
          <w:p w14:paraId="135C3A48" w14:textId="227DF95B" w:rsidR="0035042E" w:rsidRPr="00590787" w:rsidRDefault="0035042E" w:rsidP="007B244C">
            <w:pPr>
              <w:jc w:val="right"/>
              <w:rPr>
                <w:rFonts w:ascii="Arial" w:hAnsi="Arial" w:cs="Arial"/>
                <w:b/>
              </w:rPr>
            </w:pPr>
            <w:r w:rsidRPr="00590787">
              <w:rPr>
                <w:rFonts w:ascii="Arial" w:hAnsi="Arial" w:cs="Arial"/>
                <w:b/>
              </w:rPr>
              <w:t>7.</w:t>
            </w:r>
            <w:r w:rsidR="002F264F" w:rsidRPr="00590787">
              <w:rPr>
                <w:rFonts w:ascii="Arial" w:hAnsi="Arial" w:cs="Arial"/>
                <w:b/>
              </w:rPr>
              <w:t>6</w:t>
            </w:r>
            <w:r w:rsidRPr="00590787">
              <w:rPr>
                <w:rFonts w:ascii="Arial" w:hAnsi="Arial" w:cs="Arial"/>
                <w:b/>
              </w:rPr>
              <w:t>%</w:t>
            </w:r>
          </w:p>
        </w:tc>
        <w:tc>
          <w:tcPr>
            <w:tcW w:w="666" w:type="pct"/>
            <w:vAlign w:val="bottom"/>
          </w:tcPr>
          <w:p w14:paraId="543493FA" w14:textId="77777777" w:rsidR="0035042E" w:rsidRPr="00254C9D" w:rsidRDefault="0035042E" w:rsidP="007B244C">
            <w:pPr>
              <w:jc w:val="right"/>
              <w:rPr>
                <w:rFonts w:ascii="Arial" w:hAnsi="Arial" w:cs="Arial"/>
                <w:bCs/>
              </w:rPr>
            </w:pPr>
            <w:r w:rsidRPr="00254C9D">
              <w:rPr>
                <w:rFonts w:ascii="Arial" w:hAnsi="Arial" w:cs="Arial"/>
                <w:bCs/>
              </w:rPr>
              <w:t>0.6</w:t>
            </w:r>
          </w:p>
        </w:tc>
        <w:tc>
          <w:tcPr>
            <w:tcW w:w="666" w:type="pct"/>
            <w:vAlign w:val="bottom"/>
          </w:tcPr>
          <w:p w14:paraId="001DC407" w14:textId="77777777" w:rsidR="0035042E" w:rsidRPr="00254C9D" w:rsidRDefault="0035042E" w:rsidP="007B244C">
            <w:pPr>
              <w:jc w:val="right"/>
              <w:rPr>
                <w:rFonts w:ascii="Arial" w:hAnsi="Arial" w:cs="Arial"/>
                <w:bCs/>
              </w:rPr>
            </w:pPr>
            <w:r w:rsidRPr="00254C9D">
              <w:rPr>
                <w:rFonts w:ascii="Arial" w:hAnsi="Arial" w:cs="Arial"/>
                <w:bCs/>
              </w:rPr>
              <w:t>7.</w:t>
            </w:r>
            <w:r>
              <w:rPr>
                <w:rFonts w:ascii="Arial" w:hAnsi="Arial" w:cs="Arial"/>
                <w:bCs/>
              </w:rPr>
              <w:t>9</w:t>
            </w:r>
            <w:r w:rsidRPr="00254C9D">
              <w:rPr>
                <w:rFonts w:ascii="Arial" w:hAnsi="Arial" w:cs="Arial"/>
                <w:bCs/>
              </w:rPr>
              <w:t>%</w:t>
            </w:r>
          </w:p>
        </w:tc>
      </w:tr>
      <w:tr w:rsidR="0035042E" w:rsidRPr="00CD6F7F" w14:paraId="14BAA888" w14:textId="77777777" w:rsidTr="007B244C">
        <w:trPr>
          <w:trHeight w:val="266"/>
        </w:trPr>
        <w:tc>
          <w:tcPr>
            <w:tcW w:w="2336" w:type="pct"/>
            <w:tcBorders>
              <w:top w:val="nil"/>
              <w:left w:val="nil"/>
              <w:bottom w:val="single" w:sz="4" w:space="0" w:color="auto"/>
              <w:right w:val="nil"/>
            </w:tcBorders>
            <w:vAlign w:val="bottom"/>
          </w:tcPr>
          <w:p w14:paraId="453AC587" w14:textId="77777777" w:rsidR="0035042E" w:rsidRPr="00CD6F7F" w:rsidRDefault="0035042E" w:rsidP="007B244C">
            <w:pPr>
              <w:jc w:val="left"/>
              <w:rPr>
                <w:rFonts w:ascii="Arial" w:hAnsi="Arial" w:cs="Arial"/>
              </w:rPr>
            </w:pPr>
            <w:r w:rsidRPr="00CD6F7F">
              <w:rPr>
                <w:rFonts w:ascii="Arial" w:hAnsi="Arial" w:cs="Arial"/>
              </w:rPr>
              <w:t>Other</w:t>
            </w:r>
          </w:p>
        </w:tc>
        <w:tc>
          <w:tcPr>
            <w:tcW w:w="666" w:type="pct"/>
            <w:tcBorders>
              <w:top w:val="nil"/>
              <w:left w:val="nil"/>
              <w:bottom w:val="single" w:sz="4" w:space="0" w:color="auto"/>
              <w:right w:val="nil"/>
            </w:tcBorders>
            <w:vAlign w:val="bottom"/>
          </w:tcPr>
          <w:p w14:paraId="7AB899B9" w14:textId="77777777" w:rsidR="0035042E" w:rsidRPr="00590787" w:rsidRDefault="0035042E" w:rsidP="007B244C">
            <w:pPr>
              <w:jc w:val="right"/>
              <w:rPr>
                <w:rFonts w:ascii="Arial" w:hAnsi="Arial" w:cs="Arial"/>
                <w:b/>
              </w:rPr>
            </w:pPr>
            <w:r w:rsidRPr="00590787">
              <w:rPr>
                <w:rFonts w:ascii="Arial" w:hAnsi="Arial" w:cs="Arial"/>
                <w:b/>
              </w:rPr>
              <w:t>0.2</w:t>
            </w:r>
          </w:p>
        </w:tc>
        <w:tc>
          <w:tcPr>
            <w:tcW w:w="666" w:type="pct"/>
            <w:tcBorders>
              <w:top w:val="nil"/>
              <w:left w:val="nil"/>
              <w:bottom w:val="single" w:sz="4" w:space="0" w:color="auto"/>
              <w:right w:val="nil"/>
            </w:tcBorders>
            <w:vAlign w:val="bottom"/>
          </w:tcPr>
          <w:p w14:paraId="16EE3DC7" w14:textId="3A704A37" w:rsidR="0035042E" w:rsidRPr="00590787" w:rsidRDefault="0035042E" w:rsidP="007B244C">
            <w:pPr>
              <w:jc w:val="right"/>
              <w:rPr>
                <w:rFonts w:ascii="Arial" w:hAnsi="Arial" w:cs="Arial"/>
                <w:b/>
              </w:rPr>
            </w:pPr>
            <w:r w:rsidRPr="00590787">
              <w:rPr>
                <w:rFonts w:ascii="Arial" w:hAnsi="Arial" w:cs="Arial"/>
                <w:b/>
              </w:rPr>
              <w:t>n</w:t>
            </w:r>
            <w:r w:rsidR="00590787">
              <w:rPr>
                <w:rFonts w:ascii="Arial" w:hAnsi="Arial" w:cs="Arial"/>
                <w:b/>
              </w:rPr>
              <w:t>/</w:t>
            </w:r>
            <w:r w:rsidRPr="00590787">
              <w:rPr>
                <w:rFonts w:ascii="Arial" w:hAnsi="Arial" w:cs="Arial"/>
                <w:b/>
              </w:rPr>
              <w:t>a</w:t>
            </w:r>
          </w:p>
        </w:tc>
        <w:tc>
          <w:tcPr>
            <w:tcW w:w="666" w:type="pct"/>
            <w:tcBorders>
              <w:top w:val="nil"/>
              <w:left w:val="nil"/>
              <w:bottom w:val="single" w:sz="4" w:space="0" w:color="auto"/>
              <w:right w:val="nil"/>
            </w:tcBorders>
            <w:vAlign w:val="bottom"/>
          </w:tcPr>
          <w:p w14:paraId="4CC4C09A" w14:textId="77777777" w:rsidR="0035042E" w:rsidRPr="00254C9D" w:rsidRDefault="0035042E" w:rsidP="007B244C">
            <w:pPr>
              <w:jc w:val="right"/>
              <w:rPr>
                <w:rFonts w:ascii="Arial" w:hAnsi="Arial" w:cs="Arial"/>
                <w:bCs/>
              </w:rPr>
            </w:pPr>
            <w:r w:rsidRPr="00254C9D">
              <w:rPr>
                <w:rFonts w:ascii="Arial" w:hAnsi="Arial" w:cs="Arial"/>
                <w:bCs/>
              </w:rPr>
              <w:t>0.</w:t>
            </w:r>
            <w:r>
              <w:rPr>
                <w:rFonts w:ascii="Arial" w:hAnsi="Arial" w:cs="Arial"/>
                <w:bCs/>
              </w:rPr>
              <w:t>2</w:t>
            </w:r>
          </w:p>
        </w:tc>
        <w:tc>
          <w:tcPr>
            <w:tcW w:w="666" w:type="pct"/>
            <w:tcBorders>
              <w:top w:val="nil"/>
              <w:left w:val="nil"/>
              <w:bottom w:val="single" w:sz="4" w:space="0" w:color="auto"/>
              <w:right w:val="nil"/>
            </w:tcBorders>
            <w:vAlign w:val="bottom"/>
          </w:tcPr>
          <w:p w14:paraId="331DAE76" w14:textId="1308B395" w:rsidR="0035042E" w:rsidRPr="00254C9D" w:rsidRDefault="0035042E" w:rsidP="007B244C">
            <w:pPr>
              <w:jc w:val="right"/>
              <w:rPr>
                <w:rFonts w:ascii="Arial" w:hAnsi="Arial" w:cs="Arial"/>
                <w:bCs/>
              </w:rPr>
            </w:pPr>
            <w:r>
              <w:rPr>
                <w:rFonts w:ascii="Arial" w:hAnsi="Arial" w:cs="Arial"/>
                <w:bCs/>
              </w:rPr>
              <w:t>n</w:t>
            </w:r>
            <w:r w:rsidR="00590787">
              <w:rPr>
                <w:rFonts w:ascii="Arial" w:hAnsi="Arial" w:cs="Arial"/>
                <w:bCs/>
              </w:rPr>
              <w:t>/</w:t>
            </w:r>
            <w:r>
              <w:rPr>
                <w:rFonts w:ascii="Arial" w:hAnsi="Arial" w:cs="Arial"/>
                <w:bCs/>
              </w:rPr>
              <w:t>a</w:t>
            </w:r>
          </w:p>
        </w:tc>
      </w:tr>
      <w:tr w:rsidR="0035042E" w:rsidRPr="00CD6F7F" w14:paraId="6D106A12" w14:textId="77777777" w:rsidTr="007B244C">
        <w:trPr>
          <w:trHeight w:val="266"/>
        </w:trPr>
        <w:tc>
          <w:tcPr>
            <w:tcW w:w="2336" w:type="pct"/>
            <w:tcBorders>
              <w:top w:val="single" w:sz="4" w:space="0" w:color="auto"/>
              <w:left w:val="nil"/>
              <w:bottom w:val="single" w:sz="4" w:space="0" w:color="auto"/>
              <w:right w:val="nil"/>
            </w:tcBorders>
            <w:vAlign w:val="bottom"/>
          </w:tcPr>
          <w:p w14:paraId="57E01DB4" w14:textId="77777777" w:rsidR="0035042E" w:rsidRPr="00CD6F7F" w:rsidRDefault="0035042E" w:rsidP="007B244C">
            <w:pPr>
              <w:jc w:val="left"/>
              <w:rPr>
                <w:rFonts w:ascii="Arial" w:hAnsi="Arial" w:cs="Arial"/>
                <w:b/>
              </w:rPr>
            </w:pPr>
            <w:r w:rsidRPr="00CD6F7F">
              <w:rPr>
                <w:rFonts w:ascii="Arial" w:hAnsi="Arial" w:cs="Arial"/>
                <w:b/>
              </w:rPr>
              <w:t>Total</w:t>
            </w:r>
          </w:p>
        </w:tc>
        <w:tc>
          <w:tcPr>
            <w:tcW w:w="666" w:type="pct"/>
            <w:tcBorders>
              <w:top w:val="single" w:sz="4" w:space="0" w:color="auto"/>
              <w:left w:val="nil"/>
              <w:bottom w:val="single" w:sz="4" w:space="0" w:color="auto"/>
              <w:right w:val="nil"/>
            </w:tcBorders>
            <w:vAlign w:val="bottom"/>
          </w:tcPr>
          <w:p w14:paraId="4BE07A5A" w14:textId="17F6CA0D" w:rsidR="0035042E" w:rsidRPr="00590787" w:rsidRDefault="002F264F" w:rsidP="007B244C">
            <w:pPr>
              <w:jc w:val="right"/>
              <w:rPr>
                <w:rFonts w:ascii="Arial" w:hAnsi="Arial" w:cs="Arial"/>
                <w:b/>
              </w:rPr>
            </w:pPr>
            <w:r w:rsidRPr="00590787">
              <w:rPr>
                <w:rFonts w:ascii="Arial" w:hAnsi="Arial" w:cs="Arial"/>
                <w:b/>
              </w:rPr>
              <w:t>2.8</w:t>
            </w:r>
          </w:p>
        </w:tc>
        <w:tc>
          <w:tcPr>
            <w:tcW w:w="666" w:type="pct"/>
            <w:tcBorders>
              <w:top w:val="single" w:sz="4" w:space="0" w:color="auto"/>
              <w:left w:val="nil"/>
              <w:bottom w:val="single" w:sz="4" w:space="0" w:color="auto"/>
              <w:right w:val="nil"/>
            </w:tcBorders>
            <w:vAlign w:val="bottom"/>
          </w:tcPr>
          <w:p w14:paraId="7DC2A11D" w14:textId="77777777" w:rsidR="0035042E" w:rsidRPr="002F264F" w:rsidRDefault="0035042E" w:rsidP="007B244C">
            <w:pPr>
              <w:jc w:val="right"/>
              <w:rPr>
                <w:rFonts w:ascii="Arial" w:hAnsi="Arial" w:cs="Arial"/>
              </w:rPr>
            </w:pPr>
          </w:p>
        </w:tc>
        <w:tc>
          <w:tcPr>
            <w:tcW w:w="666" w:type="pct"/>
            <w:tcBorders>
              <w:top w:val="single" w:sz="4" w:space="0" w:color="auto"/>
              <w:left w:val="nil"/>
              <w:bottom w:val="single" w:sz="4" w:space="0" w:color="auto"/>
              <w:right w:val="nil"/>
            </w:tcBorders>
            <w:vAlign w:val="bottom"/>
          </w:tcPr>
          <w:p w14:paraId="2EABCE3F" w14:textId="77777777" w:rsidR="0035042E" w:rsidRPr="00254C9D" w:rsidRDefault="0035042E" w:rsidP="007B244C">
            <w:pPr>
              <w:jc w:val="right"/>
              <w:rPr>
                <w:rFonts w:ascii="Arial" w:hAnsi="Arial" w:cs="Arial"/>
                <w:bCs/>
              </w:rPr>
            </w:pPr>
            <w:r w:rsidRPr="00254C9D">
              <w:rPr>
                <w:rFonts w:ascii="Arial" w:hAnsi="Arial" w:cs="Arial"/>
                <w:bCs/>
              </w:rPr>
              <w:t>2.</w:t>
            </w:r>
            <w:r>
              <w:rPr>
                <w:rFonts w:ascii="Arial" w:hAnsi="Arial" w:cs="Arial"/>
                <w:bCs/>
              </w:rPr>
              <w:t>7</w:t>
            </w:r>
          </w:p>
        </w:tc>
        <w:tc>
          <w:tcPr>
            <w:tcW w:w="666" w:type="pct"/>
            <w:tcBorders>
              <w:top w:val="single" w:sz="4" w:space="0" w:color="auto"/>
              <w:left w:val="nil"/>
              <w:bottom w:val="single" w:sz="4" w:space="0" w:color="auto"/>
              <w:right w:val="nil"/>
            </w:tcBorders>
            <w:vAlign w:val="bottom"/>
          </w:tcPr>
          <w:p w14:paraId="10141258" w14:textId="77777777" w:rsidR="0035042E" w:rsidRPr="00254C9D" w:rsidRDefault="0035042E" w:rsidP="007B244C">
            <w:pPr>
              <w:jc w:val="right"/>
              <w:rPr>
                <w:rFonts w:ascii="Arial" w:hAnsi="Arial" w:cs="Arial"/>
                <w:bCs/>
              </w:rPr>
            </w:pPr>
          </w:p>
        </w:tc>
      </w:tr>
    </w:tbl>
    <w:p w14:paraId="29C225E8" w14:textId="77777777" w:rsidR="0035042E" w:rsidRDefault="0035042E" w:rsidP="0035042E">
      <w:pPr>
        <w:jc w:val="left"/>
        <w:rPr>
          <w:rFonts w:ascii="Arial" w:hAnsi="Arial" w:cs="Arial"/>
        </w:rPr>
      </w:pPr>
    </w:p>
    <w:p w14:paraId="4B365400" w14:textId="69E10D4B" w:rsidR="00AC05F3" w:rsidRDefault="0035042E" w:rsidP="00AC05F3">
      <w:pPr>
        <w:jc w:val="left"/>
        <w:rPr>
          <w:rFonts w:ascii="Arial" w:hAnsi="Arial" w:cs="Arial"/>
          <w:bCs/>
        </w:rPr>
      </w:pPr>
      <w:r w:rsidRPr="004F2746">
        <w:rPr>
          <w:rFonts w:ascii="Arial" w:hAnsi="Arial" w:cs="Arial"/>
        </w:rPr>
        <w:t xml:space="preserve">This is compared to the net book </w:t>
      </w:r>
      <w:r w:rsidRPr="00EE4463">
        <w:rPr>
          <w:rFonts w:ascii="Arial" w:hAnsi="Arial" w:cs="Arial"/>
        </w:rPr>
        <w:t xml:space="preserve">value of </w:t>
      </w:r>
      <w:r w:rsidRPr="00590787">
        <w:rPr>
          <w:rFonts w:ascii="Arial" w:hAnsi="Arial" w:cs="Arial"/>
        </w:rPr>
        <w:t>£2.2</w:t>
      </w:r>
      <w:r w:rsidR="000F2F06" w:rsidRPr="00590787">
        <w:rPr>
          <w:rFonts w:ascii="Arial" w:hAnsi="Arial" w:cs="Arial"/>
        </w:rPr>
        <w:t>bn</w:t>
      </w:r>
      <w:r w:rsidRPr="00EE4463">
        <w:rPr>
          <w:rFonts w:ascii="Arial" w:hAnsi="Arial" w:cs="Arial"/>
        </w:rPr>
        <w:t xml:space="preserve"> (</w:t>
      </w:r>
      <w:r w:rsidR="001C00A7">
        <w:rPr>
          <w:rFonts w:ascii="Arial" w:hAnsi="Arial" w:cs="Arial"/>
        </w:rPr>
        <w:t>FY 20</w:t>
      </w:r>
      <w:r w:rsidRPr="00EE4463">
        <w:rPr>
          <w:rFonts w:ascii="Arial" w:hAnsi="Arial" w:cs="Arial"/>
        </w:rPr>
        <w:t>/2</w:t>
      </w:r>
      <w:r w:rsidR="001C00A7">
        <w:rPr>
          <w:rFonts w:ascii="Arial" w:hAnsi="Arial" w:cs="Arial"/>
        </w:rPr>
        <w:t>1</w:t>
      </w:r>
      <w:r w:rsidRPr="00EE4463">
        <w:rPr>
          <w:rFonts w:ascii="Arial" w:hAnsi="Arial" w:cs="Arial"/>
        </w:rPr>
        <w:t>: £2.2</w:t>
      </w:r>
      <w:r w:rsidR="000F2F06">
        <w:rPr>
          <w:rFonts w:ascii="Arial" w:hAnsi="Arial" w:cs="Arial"/>
        </w:rPr>
        <w:t>bn</w:t>
      </w:r>
      <w:r w:rsidRPr="00B66095">
        <w:rPr>
          <w:rFonts w:ascii="Arial" w:hAnsi="Arial" w:cs="Arial"/>
        </w:rPr>
        <w:t>) recorded in the financial statements (including investment property and property</w:t>
      </w:r>
      <w:r w:rsidRPr="0068131D">
        <w:rPr>
          <w:rFonts w:ascii="Arial" w:hAnsi="Arial" w:cs="Arial"/>
        </w:rPr>
        <w:t xml:space="preserve"> </w:t>
      </w:r>
      <w:r>
        <w:rPr>
          <w:rFonts w:ascii="Arial" w:hAnsi="Arial" w:cs="Arial"/>
        </w:rPr>
        <w:t>included within assets</w:t>
      </w:r>
      <w:r w:rsidRPr="0068131D">
        <w:rPr>
          <w:rFonts w:ascii="Arial" w:hAnsi="Arial" w:cs="Arial"/>
        </w:rPr>
        <w:t xml:space="preserve"> held for sale). </w:t>
      </w:r>
      <w:r w:rsidRPr="0068131D">
        <w:rPr>
          <w:rFonts w:ascii="Arial" w:hAnsi="Arial" w:cs="Arial"/>
          <w:bCs/>
        </w:rPr>
        <w:t xml:space="preserve">Balance sheet values were frozen </w:t>
      </w:r>
      <w:proofErr w:type="gramStart"/>
      <w:r w:rsidRPr="0068131D">
        <w:rPr>
          <w:rFonts w:ascii="Arial" w:hAnsi="Arial" w:cs="Arial"/>
          <w:bCs/>
        </w:rPr>
        <w:t>at</w:t>
      </w:r>
      <w:proofErr w:type="gramEnd"/>
      <w:r w:rsidRPr="0068131D">
        <w:rPr>
          <w:rFonts w:ascii="Arial" w:hAnsi="Arial" w:cs="Arial"/>
          <w:bCs/>
        </w:rPr>
        <w:t xml:space="preserve"> 1 February 2004 on the transition to IFRS</w:t>
      </w:r>
      <w:r w:rsidRPr="00FC5F48">
        <w:rPr>
          <w:rFonts w:ascii="Arial" w:hAnsi="Arial" w:cs="Arial"/>
          <w:bCs/>
        </w:rPr>
        <w:t>.</w:t>
      </w:r>
    </w:p>
    <w:p w14:paraId="79C7E6EF" w14:textId="77777777" w:rsidR="009101D7" w:rsidRDefault="009101D7" w:rsidP="00AC05F3">
      <w:pPr>
        <w:jc w:val="left"/>
        <w:rPr>
          <w:rFonts w:ascii="Arial" w:hAnsi="Arial" w:cs="Arial"/>
          <w:bCs/>
        </w:rPr>
      </w:pPr>
    </w:p>
    <w:p w14:paraId="04BF8CF6" w14:textId="77777777" w:rsidR="0035042E" w:rsidRPr="00E27F19" w:rsidRDefault="0035042E" w:rsidP="0035042E">
      <w:pPr>
        <w:jc w:val="left"/>
        <w:rPr>
          <w:rFonts w:ascii="Arial" w:hAnsi="Arial" w:cs="Arial"/>
          <w:b/>
          <w:bCs/>
        </w:rPr>
      </w:pPr>
      <w:r w:rsidRPr="00E27F19">
        <w:rPr>
          <w:rFonts w:ascii="Arial" w:hAnsi="Arial" w:cs="Arial"/>
          <w:b/>
          <w:bCs/>
        </w:rPr>
        <w:t>Pensions</w:t>
      </w:r>
    </w:p>
    <w:p w14:paraId="58F230F1" w14:textId="2E3C1CFB" w:rsidR="0035042E" w:rsidRPr="00E27F19" w:rsidRDefault="0035042E" w:rsidP="0035042E">
      <w:pPr>
        <w:jc w:val="left"/>
        <w:rPr>
          <w:rFonts w:ascii="Arial" w:hAnsi="Arial" w:cs="Arial"/>
        </w:rPr>
      </w:pPr>
      <w:r w:rsidRPr="00E27F19">
        <w:rPr>
          <w:rFonts w:ascii="Arial" w:hAnsi="Arial" w:cs="Arial"/>
        </w:rPr>
        <w:t>As of 31 January 2022, the Group had a net surplus of £</w:t>
      </w:r>
      <w:r w:rsidR="0072018F" w:rsidRPr="00E27F19">
        <w:rPr>
          <w:rFonts w:ascii="Arial" w:hAnsi="Arial" w:cs="Arial"/>
        </w:rPr>
        <w:t>410</w:t>
      </w:r>
      <w:r w:rsidR="000F2F06" w:rsidRPr="00E27F19">
        <w:rPr>
          <w:rFonts w:ascii="Arial" w:hAnsi="Arial" w:cs="Arial"/>
        </w:rPr>
        <w:t>m</w:t>
      </w:r>
      <w:r w:rsidRPr="00E27F19">
        <w:rPr>
          <w:rFonts w:ascii="Arial" w:hAnsi="Arial" w:cs="Arial"/>
        </w:rPr>
        <w:t xml:space="preserve"> (</w:t>
      </w:r>
      <w:r w:rsidR="001C00A7" w:rsidRPr="00E27F19">
        <w:rPr>
          <w:rFonts w:ascii="Arial" w:hAnsi="Arial" w:cs="Arial"/>
        </w:rPr>
        <w:t>FY 20/21</w:t>
      </w:r>
      <w:r w:rsidRPr="00E27F19">
        <w:rPr>
          <w:rFonts w:ascii="Arial" w:hAnsi="Arial" w:cs="Arial"/>
        </w:rPr>
        <w:t>: £359</w:t>
      </w:r>
      <w:r w:rsidR="000F2F06" w:rsidRPr="00E27F19">
        <w:rPr>
          <w:rFonts w:ascii="Arial" w:hAnsi="Arial" w:cs="Arial"/>
        </w:rPr>
        <w:t>m</w:t>
      </w:r>
      <w:r w:rsidRPr="00E27F19">
        <w:rPr>
          <w:rFonts w:ascii="Arial" w:hAnsi="Arial" w:cs="Arial"/>
        </w:rPr>
        <w:t xml:space="preserve"> net surplus) in relation</w:t>
      </w:r>
      <w:r w:rsidR="00E27F19" w:rsidRPr="00E27F19">
        <w:rPr>
          <w:rFonts w:ascii="Arial" w:hAnsi="Arial" w:cs="Arial"/>
        </w:rPr>
        <w:t xml:space="preserve"> </w:t>
      </w:r>
      <w:r w:rsidRPr="00E27F19">
        <w:rPr>
          <w:rFonts w:ascii="Arial" w:hAnsi="Arial" w:cs="Arial"/>
        </w:rPr>
        <w:t>to defined benefit pension arrangements, of which a £</w:t>
      </w:r>
      <w:r w:rsidRPr="00193488">
        <w:rPr>
          <w:rFonts w:ascii="Arial" w:hAnsi="Arial" w:cs="Arial"/>
        </w:rPr>
        <w:t>5</w:t>
      </w:r>
      <w:r w:rsidR="0072018F" w:rsidRPr="00193488">
        <w:rPr>
          <w:rFonts w:ascii="Arial" w:hAnsi="Arial" w:cs="Arial"/>
        </w:rPr>
        <w:t>40</w:t>
      </w:r>
      <w:r w:rsidR="000F2F06" w:rsidRPr="00E27F19">
        <w:rPr>
          <w:rFonts w:ascii="Arial" w:hAnsi="Arial" w:cs="Arial"/>
        </w:rPr>
        <w:t>m</w:t>
      </w:r>
      <w:r w:rsidRPr="00E27F19">
        <w:rPr>
          <w:rFonts w:ascii="Arial" w:hAnsi="Arial" w:cs="Arial"/>
        </w:rPr>
        <w:t xml:space="preserve"> surplus (£504</w:t>
      </w:r>
      <w:r w:rsidR="000F2F06" w:rsidRPr="00E27F19">
        <w:rPr>
          <w:rFonts w:ascii="Arial" w:hAnsi="Arial" w:cs="Arial"/>
        </w:rPr>
        <w:t>m</w:t>
      </w:r>
      <w:r w:rsidRPr="00E27F19">
        <w:rPr>
          <w:rFonts w:ascii="Arial" w:hAnsi="Arial" w:cs="Arial"/>
        </w:rPr>
        <w:t xml:space="preserve"> surplus as of 31 January</w:t>
      </w:r>
      <w:r w:rsidR="00E27F19" w:rsidRPr="00E27F19">
        <w:rPr>
          <w:rFonts w:ascii="Arial" w:hAnsi="Arial" w:cs="Arial"/>
        </w:rPr>
        <w:t xml:space="preserve"> </w:t>
      </w:r>
      <w:r w:rsidRPr="00E27F19">
        <w:rPr>
          <w:rFonts w:ascii="Arial" w:hAnsi="Arial" w:cs="Arial"/>
        </w:rPr>
        <w:t xml:space="preserve">2021) was in relation to the UK scheme. The net surplus has </w:t>
      </w:r>
      <w:r w:rsidR="0072018F" w:rsidRPr="00E27F19">
        <w:rPr>
          <w:rFonts w:ascii="Arial" w:hAnsi="Arial" w:cs="Arial"/>
        </w:rPr>
        <w:t>increased</w:t>
      </w:r>
      <w:r w:rsidRPr="00E27F19">
        <w:rPr>
          <w:rFonts w:ascii="Arial" w:hAnsi="Arial" w:cs="Arial"/>
        </w:rPr>
        <w:t xml:space="preserve">, mainly due to </w:t>
      </w:r>
      <w:r w:rsidR="0072018F" w:rsidRPr="00E27F19">
        <w:rPr>
          <w:rFonts w:ascii="Arial" w:hAnsi="Arial" w:cs="Arial"/>
        </w:rPr>
        <w:t>a higher discount</w:t>
      </w:r>
      <w:r w:rsidR="00E27F19" w:rsidRPr="00E27F19">
        <w:rPr>
          <w:rFonts w:ascii="Arial" w:hAnsi="Arial" w:cs="Arial"/>
        </w:rPr>
        <w:t xml:space="preserve"> </w:t>
      </w:r>
      <w:r w:rsidR="0072018F" w:rsidRPr="00E27F19">
        <w:rPr>
          <w:rFonts w:ascii="Arial" w:hAnsi="Arial" w:cs="Arial"/>
        </w:rPr>
        <w:t>rate (net of inflation), reducing scheme liabilities, and employer contributions.</w:t>
      </w:r>
      <w:r w:rsidRPr="00E27F19">
        <w:rPr>
          <w:rFonts w:ascii="Arial" w:hAnsi="Arial" w:cs="Arial"/>
        </w:rPr>
        <w:t xml:space="preserve"> This accounting</w:t>
      </w:r>
      <w:r w:rsidR="00E27F19" w:rsidRPr="00E27F19">
        <w:rPr>
          <w:rFonts w:ascii="Arial" w:hAnsi="Arial" w:cs="Arial"/>
        </w:rPr>
        <w:t xml:space="preserve"> </w:t>
      </w:r>
      <w:r w:rsidRPr="00E27F19">
        <w:rPr>
          <w:rFonts w:ascii="Arial" w:hAnsi="Arial" w:cs="Arial"/>
        </w:rPr>
        <w:t>valuation</w:t>
      </w:r>
      <w:r w:rsidR="00E27F19" w:rsidRPr="00E27F19">
        <w:rPr>
          <w:rFonts w:ascii="Arial" w:hAnsi="Arial" w:cs="Arial"/>
        </w:rPr>
        <w:t xml:space="preserve"> </w:t>
      </w:r>
      <w:r w:rsidRPr="00E27F19">
        <w:rPr>
          <w:rFonts w:ascii="Arial" w:hAnsi="Arial" w:cs="Arial"/>
        </w:rPr>
        <w:t>is sensitive to a number of assumptions and market rates which are likely to fluctuate in the</w:t>
      </w:r>
      <w:r w:rsidR="00E27F19" w:rsidRPr="00E27F19">
        <w:rPr>
          <w:rFonts w:ascii="Arial" w:hAnsi="Arial" w:cs="Arial"/>
        </w:rPr>
        <w:t xml:space="preserve"> </w:t>
      </w:r>
      <w:r w:rsidRPr="00E27F19">
        <w:rPr>
          <w:rFonts w:ascii="Arial" w:hAnsi="Arial" w:cs="Arial"/>
        </w:rPr>
        <w:t>future. Refer</w:t>
      </w:r>
      <w:r w:rsidR="00E27F19" w:rsidRPr="00E27F19">
        <w:rPr>
          <w:rFonts w:ascii="Arial" w:hAnsi="Arial" w:cs="Arial"/>
        </w:rPr>
        <w:t xml:space="preserve"> </w:t>
      </w:r>
      <w:r w:rsidRPr="00E27F19">
        <w:rPr>
          <w:rFonts w:ascii="Arial" w:hAnsi="Arial" w:cs="Arial"/>
        </w:rPr>
        <w:t xml:space="preserve">to </w:t>
      </w:r>
      <w:r w:rsidRPr="006957EC">
        <w:rPr>
          <w:rFonts w:ascii="Arial" w:hAnsi="Arial" w:cs="Arial"/>
        </w:rPr>
        <w:t>note 1</w:t>
      </w:r>
      <w:r w:rsidR="00794B67">
        <w:rPr>
          <w:rFonts w:ascii="Arial" w:hAnsi="Arial" w:cs="Arial"/>
        </w:rPr>
        <w:t>0</w:t>
      </w:r>
      <w:r w:rsidRPr="00E27F19">
        <w:rPr>
          <w:rFonts w:ascii="Arial" w:hAnsi="Arial" w:cs="Arial"/>
        </w:rPr>
        <w:t xml:space="preserve"> of the condensed financial statements.</w:t>
      </w:r>
    </w:p>
    <w:p w14:paraId="5E4C850F" w14:textId="77777777" w:rsidR="0035042E" w:rsidRPr="00E27F19" w:rsidRDefault="0035042E" w:rsidP="0035042E">
      <w:pPr>
        <w:jc w:val="left"/>
        <w:rPr>
          <w:rFonts w:ascii="Arial" w:hAnsi="Arial" w:cs="Arial"/>
        </w:rPr>
      </w:pPr>
    </w:p>
    <w:p w14:paraId="199B1977" w14:textId="64D2800B" w:rsidR="000F2F06" w:rsidRDefault="0035042E" w:rsidP="00A75031">
      <w:pPr>
        <w:jc w:val="left"/>
        <w:rPr>
          <w:rFonts w:ascii="Arial" w:hAnsi="Arial" w:cs="Arial"/>
        </w:rPr>
      </w:pPr>
      <w:r w:rsidRPr="009935FE">
        <w:rPr>
          <w:rFonts w:ascii="Arial" w:hAnsi="Arial" w:cs="Arial"/>
        </w:rPr>
        <w:t>In July 2021, the Kingfisher Pension Scheme purchased a pensioner buy-in policy with an insurer for</w:t>
      </w:r>
      <w:r w:rsidR="00E27F19" w:rsidRPr="009935FE">
        <w:rPr>
          <w:rFonts w:ascii="Arial" w:hAnsi="Arial" w:cs="Arial"/>
        </w:rPr>
        <w:t xml:space="preserve"> </w:t>
      </w:r>
      <w:r w:rsidRPr="009935FE">
        <w:rPr>
          <w:rFonts w:ascii="Arial" w:hAnsi="Arial" w:cs="Arial"/>
        </w:rPr>
        <w:t>£902</w:t>
      </w:r>
      <w:r w:rsidR="000F2F06" w:rsidRPr="009935FE">
        <w:rPr>
          <w:rFonts w:ascii="Arial" w:hAnsi="Arial" w:cs="Arial"/>
        </w:rPr>
        <w:t>m</w:t>
      </w:r>
      <w:r w:rsidRPr="009935FE">
        <w:rPr>
          <w:rFonts w:ascii="Arial" w:hAnsi="Arial" w:cs="Arial"/>
        </w:rPr>
        <w:t xml:space="preserve">. The Scheme has now insured around </w:t>
      </w:r>
      <w:r w:rsidRPr="006957EC">
        <w:rPr>
          <w:rFonts w:ascii="Arial" w:hAnsi="Arial" w:cs="Arial"/>
        </w:rPr>
        <w:t>35%</w:t>
      </w:r>
      <w:r w:rsidRPr="009935FE">
        <w:rPr>
          <w:rFonts w:ascii="Arial" w:hAnsi="Arial" w:cs="Arial"/>
        </w:rPr>
        <w:t xml:space="preserve"> of the pension scheme liabilities. The buy-in</w:t>
      </w:r>
      <w:r w:rsidR="00E27F19" w:rsidRPr="009935FE">
        <w:rPr>
          <w:rFonts w:ascii="Arial" w:hAnsi="Arial" w:cs="Arial"/>
        </w:rPr>
        <w:t xml:space="preserve"> </w:t>
      </w:r>
      <w:r w:rsidRPr="009935FE">
        <w:rPr>
          <w:rFonts w:ascii="Arial" w:hAnsi="Arial" w:cs="Arial"/>
        </w:rPr>
        <w:t>policy</w:t>
      </w:r>
      <w:r w:rsidR="00E27F19" w:rsidRPr="009935FE">
        <w:rPr>
          <w:rFonts w:ascii="Arial" w:hAnsi="Arial" w:cs="Arial"/>
        </w:rPr>
        <w:t xml:space="preserve"> </w:t>
      </w:r>
      <w:r w:rsidRPr="009935FE">
        <w:rPr>
          <w:rFonts w:ascii="Arial" w:hAnsi="Arial" w:cs="Arial"/>
        </w:rPr>
        <w:t>covers specific pensioner liabilities and passes risk to an insurer in exchange for a fixed</w:t>
      </w:r>
      <w:r w:rsidR="00E27F19" w:rsidRPr="009935FE">
        <w:rPr>
          <w:rFonts w:ascii="Arial" w:hAnsi="Arial" w:cs="Arial"/>
        </w:rPr>
        <w:t xml:space="preserve"> </w:t>
      </w:r>
      <w:r w:rsidRPr="009935FE">
        <w:rPr>
          <w:rFonts w:ascii="Arial" w:hAnsi="Arial" w:cs="Arial"/>
        </w:rPr>
        <w:t>premium</w:t>
      </w:r>
      <w:r w:rsidR="00E27F19" w:rsidRPr="009935FE">
        <w:rPr>
          <w:rFonts w:ascii="Arial" w:hAnsi="Arial" w:cs="Arial"/>
        </w:rPr>
        <w:t xml:space="preserve"> </w:t>
      </w:r>
      <w:r w:rsidRPr="009935FE">
        <w:rPr>
          <w:rFonts w:ascii="Arial" w:hAnsi="Arial" w:cs="Arial"/>
        </w:rPr>
        <w:t>payment, thus reducing the Group's exposure</w:t>
      </w:r>
      <w:r w:rsidRPr="00E27F19">
        <w:rPr>
          <w:rFonts w:ascii="Arial" w:hAnsi="Arial" w:cs="Arial"/>
        </w:rPr>
        <w:t xml:space="preserve"> to changes in longevity.</w:t>
      </w:r>
      <w:r w:rsidR="000F2F06">
        <w:rPr>
          <w:rFonts w:ascii="Arial" w:hAnsi="Arial" w:cs="Arial"/>
        </w:rPr>
        <w:br w:type="page"/>
      </w:r>
    </w:p>
    <w:p w14:paraId="5CC492C2" w14:textId="77777777" w:rsidR="00EB4495" w:rsidRPr="00EB4495" w:rsidRDefault="00EB4495" w:rsidP="00EB4495">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color w:val="FFFFFF" w:themeColor="background1"/>
        </w:rPr>
      </w:pPr>
      <w:r w:rsidRPr="00EB4495">
        <w:rPr>
          <w:rFonts w:ascii="Arial" w:hAnsi="Arial" w:cs="Arial"/>
          <w:b/>
          <w:bCs/>
          <w:color w:val="FFFFFF" w:themeColor="background1"/>
        </w:rPr>
        <w:lastRenderedPageBreak/>
        <w:t>Section 6: Glossary</w:t>
      </w:r>
    </w:p>
    <w:p w14:paraId="7C3F0752" w14:textId="77777777" w:rsidR="00EB4495" w:rsidRPr="00EB4495" w:rsidRDefault="00EB4495" w:rsidP="00B52814">
      <w:pPr>
        <w:jc w:val="left"/>
        <w:rPr>
          <w:rFonts w:ascii="Arial" w:hAnsi="Arial" w:cs="Arial"/>
          <w:b/>
        </w:rPr>
      </w:pPr>
    </w:p>
    <w:p w14:paraId="1908D5BE" w14:textId="77777777" w:rsidR="00EB4495" w:rsidRPr="00EB4495" w:rsidRDefault="00EB4495" w:rsidP="00B52814">
      <w:pPr>
        <w:jc w:val="left"/>
        <w:rPr>
          <w:rFonts w:ascii="Arial" w:hAnsi="Arial" w:cs="Arial"/>
          <w:b/>
        </w:rPr>
      </w:pPr>
      <w:r w:rsidRPr="00EB4495">
        <w:rPr>
          <w:rFonts w:ascii="Arial" w:hAnsi="Arial" w:cs="Arial"/>
          <w:b/>
          <w:bCs/>
        </w:rPr>
        <w:t>Alternative Performance Measures (APMs)</w:t>
      </w:r>
    </w:p>
    <w:p w14:paraId="02FCA4BB" w14:textId="77777777" w:rsidR="00EB4495" w:rsidRPr="00EB4495" w:rsidRDefault="00EB4495" w:rsidP="00B52814">
      <w:pPr>
        <w:jc w:val="left"/>
        <w:rPr>
          <w:rFonts w:ascii="Arial" w:hAnsi="Arial" w:cs="Arial"/>
          <w:bCs/>
        </w:rPr>
      </w:pPr>
      <w:r w:rsidRPr="00EB4495">
        <w:rPr>
          <w:rFonts w:ascii="Arial" w:hAnsi="Arial" w:cs="Arial"/>
          <w:bCs/>
        </w:rPr>
        <w:t>In the reporting of financial information, the Directors have adopted various Alternative Performance Measures (APMs), also known as non-GAAP measures, of historical or future financial performance, position or cash flows other than those defined or specified under International Financial Reporting Standards (IFRS). These measures are not defined by IFRS and therefore may not be directly comparable with other companies’ APMs, including those used by other retailers. APMs should be considered in addition to, and are not intended to be a substitute for, or superior to, IFRS measurements.</w:t>
      </w:r>
    </w:p>
    <w:p w14:paraId="31485115" w14:textId="77777777" w:rsidR="00EB4495" w:rsidRPr="00EB4495" w:rsidRDefault="00EB4495" w:rsidP="00B52814">
      <w:pPr>
        <w:jc w:val="left"/>
        <w:rPr>
          <w:rFonts w:ascii="Arial" w:hAnsi="Arial" w:cs="Arial"/>
          <w:bCs/>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31"/>
        <w:gridCol w:w="2438"/>
        <w:gridCol w:w="4649"/>
      </w:tblGrid>
      <w:tr w:rsidR="00010DC1" w:rsidRPr="00EB4495" w14:paraId="2C99B7E1" w14:textId="77777777" w:rsidTr="003F41A1">
        <w:trPr>
          <w:trHeight w:val="885"/>
          <w:tblHeader/>
        </w:trPr>
        <w:tc>
          <w:tcPr>
            <w:tcW w:w="1701" w:type="dxa"/>
            <w:tcBorders>
              <w:top w:val="single" w:sz="4" w:space="0" w:color="auto"/>
              <w:left w:val="single" w:sz="4" w:space="0" w:color="auto"/>
              <w:bottom w:val="single" w:sz="4" w:space="0" w:color="auto"/>
              <w:right w:val="single" w:sz="4" w:space="0" w:color="auto"/>
            </w:tcBorders>
            <w:vAlign w:val="bottom"/>
            <w:hideMark/>
          </w:tcPr>
          <w:p w14:paraId="3E5B607B" w14:textId="77777777" w:rsidR="00EB4495" w:rsidRPr="00EB4495" w:rsidRDefault="00EB4495" w:rsidP="00B52814">
            <w:pPr>
              <w:jc w:val="left"/>
              <w:rPr>
                <w:rFonts w:ascii="Arial" w:eastAsia="Times New Roman" w:hAnsi="Arial" w:cs="Arial"/>
                <w:b/>
                <w:bCs/>
                <w:color w:val="000000"/>
                <w:lang w:eastAsia="en-US"/>
              </w:rPr>
            </w:pPr>
            <w:r w:rsidRPr="00EB4495">
              <w:rPr>
                <w:rFonts w:ascii="Arial" w:eastAsia="Times New Roman" w:hAnsi="Arial" w:cs="Arial"/>
                <w:b/>
                <w:bCs/>
                <w:color w:val="000000"/>
                <w:lang w:eastAsia="en-US"/>
              </w:rPr>
              <w:t xml:space="preserve">APM </w:t>
            </w:r>
          </w:p>
        </w:tc>
        <w:tc>
          <w:tcPr>
            <w:tcW w:w="1531" w:type="dxa"/>
            <w:tcBorders>
              <w:top w:val="single" w:sz="4" w:space="0" w:color="auto"/>
              <w:left w:val="single" w:sz="4" w:space="0" w:color="auto"/>
              <w:bottom w:val="single" w:sz="4" w:space="0" w:color="auto"/>
              <w:right w:val="single" w:sz="4" w:space="0" w:color="auto"/>
            </w:tcBorders>
            <w:vAlign w:val="bottom"/>
            <w:hideMark/>
          </w:tcPr>
          <w:p w14:paraId="529134F6" w14:textId="77777777" w:rsidR="00EB4495" w:rsidRPr="00EB4495" w:rsidRDefault="00EB4495" w:rsidP="00B52814">
            <w:pPr>
              <w:jc w:val="left"/>
              <w:rPr>
                <w:rFonts w:ascii="Arial" w:eastAsia="Times New Roman" w:hAnsi="Arial" w:cs="Arial"/>
                <w:b/>
                <w:bCs/>
                <w:color w:val="000000"/>
                <w:lang w:eastAsia="en-US"/>
              </w:rPr>
            </w:pPr>
            <w:r w:rsidRPr="00EB4495">
              <w:rPr>
                <w:rFonts w:ascii="Arial" w:eastAsia="Times New Roman" w:hAnsi="Arial" w:cs="Arial"/>
                <w:b/>
                <w:bCs/>
                <w:color w:val="000000"/>
                <w:lang w:eastAsia="en-US"/>
              </w:rPr>
              <w:t xml:space="preserve">Closest equivalent IFRS measure </w:t>
            </w:r>
          </w:p>
        </w:tc>
        <w:tc>
          <w:tcPr>
            <w:tcW w:w="2438" w:type="dxa"/>
            <w:tcBorders>
              <w:top w:val="single" w:sz="4" w:space="0" w:color="auto"/>
              <w:left w:val="single" w:sz="4" w:space="0" w:color="auto"/>
              <w:bottom w:val="single" w:sz="4" w:space="0" w:color="auto"/>
              <w:right w:val="single" w:sz="4" w:space="0" w:color="auto"/>
            </w:tcBorders>
            <w:vAlign w:val="bottom"/>
            <w:hideMark/>
          </w:tcPr>
          <w:p w14:paraId="27A998E3" w14:textId="77777777" w:rsidR="00EB4495" w:rsidRPr="00EB4495" w:rsidRDefault="00EB4495" w:rsidP="00B52814">
            <w:pPr>
              <w:jc w:val="left"/>
              <w:rPr>
                <w:rFonts w:ascii="Arial" w:eastAsia="Times New Roman" w:hAnsi="Arial" w:cs="Arial"/>
                <w:b/>
                <w:bCs/>
                <w:color w:val="000000"/>
                <w:lang w:eastAsia="en-US"/>
              </w:rPr>
            </w:pPr>
            <w:r w:rsidRPr="00EB4495">
              <w:rPr>
                <w:rFonts w:ascii="Arial" w:eastAsia="Times New Roman" w:hAnsi="Arial" w:cs="Arial"/>
                <w:b/>
                <w:bCs/>
                <w:color w:val="000000"/>
                <w:lang w:eastAsia="en-US"/>
              </w:rPr>
              <w:t xml:space="preserve">Reconciling items to IFRS measure </w:t>
            </w:r>
          </w:p>
        </w:tc>
        <w:tc>
          <w:tcPr>
            <w:tcW w:w="4649" w:type="dxa"/>
            <w:tcBorders>
              <w:top w:val="single" w:sz="4" w:space="0" w:color="auto"/>
              <w:left w:val="single" w:sz="4" w:space="0" w:color="auto"/>
              <w:bottom w:val="single" w:sz="4" w:space="0" w:color="auto"/>
              <w:right w:val="single" w:sz="4" w:space="0" w:color="auto"/>
            </w:tcBorders>
            <w:vAlign w:val="bottom"/>
            <w:hideMark/>
          </w:tcPr>
          <w:p w14:paraId="305AF5F0" w14:textId="77777777" w:rsidR="00EB4495" w:rsidRPr="00EB4495" w:rsidRDefault="00EB4495" w:rsidP="00B52814">
            <w:pPr>
              <w:jc w:val="left"/>
              <w:rPr>
                <w:rFonts w:ascii="Arial" w:eastAsia="Times New Roman" w:hAnsi="Arial" w:cs="Arial"/>
                <w:b/>
                <w:bCs/>
                <w:color w:val="000000"/>
                <w:lang w:eastAsia="en-US"/>
              </w:rPr>
            </w:pPr>
            <w:r w:rsidRPr="00EB4495">
              <w:rPr>
                <w:rFonts w:ascii="Arial" w:eastAsia="Times New Roman" w:hAnsi="Arial" w:cs="Arial"/>
                <w:b/>
                <w:bCs/>
                <w:color w:val="000000"/>
                <w:lang w:eastAsia="en-US"/>
              </w:rPr>
              <w:t xml:space="preserve">Definition and purpose </w:t>
            </w:r>
          </w:p>
        </w:tc>
      </w:tr>
      <w:tr w:rsidR="00010DC1" w:rsidRPr="00EB4495" w14:paraId="725C3301" w14:textId="77777777" w:rsidTr="003F41A1">
        <w:trPr>
          <w:trHeight w:val="1305"/>
        </w:trPr>
        <w:tc>
          <w:tcPr>
            <w:tcW w:w="1701" w:type="dxa"/>
            <w:tcBorders>
              <w:top w:val="single" w:sz="4" w:space="0" w:color="auto"/>
              <w:left w:val="single" w:sz="4" w:space="0" w:color="auto"/>
              <w:bottom w:val="single" w:sz="4" w:space="0" w:color="auto"/>
              <w:right w:val="single" w:sz="4" w:space="0" w:color="auto"/>
            </w:tcBorders>
            <w:hideMark/>
          </w:tcPr>
          <w:p w14:paraId="202FF55A"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Adjusted basic earnings per share (EPS)</w:t>
            </w:r>
          </w:p>
        </w:tc>
        <w:tc>
          <w:tcPr>
            <w:tcW w:w="1531" w:type="dxa"/>
            <w:tcBorders>
              <w:top w:val="single" w:sz="4" w:space="0" w:color="auto"/>
              <w:left w:val="single" w:sz="4" w:space="0" w:color="auto"/>
              <w:bottom w:val="single" w:sz="4" w:space="0" w:color="auto"/>
              <w:right w:val="single" w:sz="4" w:space="0" w:color="auto"/>
            </w:tcBorders>
            <w:hideMark/>
          </w:tcPr>
          <w:p w14:paraId="6AE44387"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Basic earnings per share</w:t>
            </w:r>
          </w:p>
        </w:tc>
        <w:tc>
          <w:tcPr>
            <w:tcW w:w="2438" w:type="dxa"/>
            <w:tcBorders>
              <w:top w:val="single" w:sz="4" w:space="0" w:color="auto"/>
              <w:left w:val="single" w:sz="4" w:space="0" w:color="auto"/>
              <w:bottom w:val="single" w:sz="4" w:space="0" w:color="auto"/>
              <w:right w:val="single" w:sz="4" w:space="0" w:color="auto"/>
            </w:tcBorders>
            <w:hideMark/>
          </w:tcPr>
          <w:p w14:paraId="51FF76F8" w14:textId="771A39C2"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 reconciliation of adjusted basic earnings per share is included in the </w:t>
            </w:r>
            <w:r w:rsidRPr="00E27F19">
              <w:rPr>
                <w:rFonts w:ascii="Arial" w:hAnsi="Arial" w:cs="Arial"/>
                <w:color w:val="000000"/>
                <w:lang w:eastAsia="en-US"/>
              </w:rPr>
              <w:t xml:space="preserve">Financial Review (Section </w:t>
            </w:r>
            <w:r w:rsidR="00E27F19">
              <w:rPr>
                <w:rFonts w:ascii="Arial" w:hAnsi="Arial" w:cs="Arial"/>
                <w:color w:val="000000"/>
                <w:lang w:eastAsia="en-US"/>
              </w:rPr>
              <w:t>5</w:t>
            </w:r>
            <w:r w:rsidRPr="00E27F19">
              <w:rPr>
                <w:rFonts w:ascii="Arial" w:hAnsi="Arial" w:cs="Arial"/>
                <w:color w:val="000000"/>
                <w:lang w:eastAsia="en-US"/>
              </w:rPr>
              <w:t>) and</w:t>
            </w:r>
            <w:r w:rsidRPr="00EB4495">
              <w:rPr>
                <w:rFonts w:ascii="Arial" w:hAnsi="Arial" w:cs="Arial"/>
                <w:color w:val="000000"/>
                <w:lang w:eastAsia="en-US"/>
              </w:rPr>
              <w:t xml:space="preserve"> note </w:t>
            </w:r>
            <w:r w:rsidR="00C170D1">
              <w:rPr>
                <w:rFonts w:ascii="Arial" w:hAnsi="Arial" w:cs="Arial"/>
                <w:color w:val="000000"/>
                <w:lang w:eastAsia="en-US"/>
              </w:rPr>
              <w:t>8</w:t>
            </w:r>
            <w:r w:rsidRPr="00EB4495">
              <w:rPr>
                <w:rFonts w:ascii="Arial" w:hAnsi="Arial" w:cs="Arial"/>
                <w:color w:val="000000"/>
                <w:lang w:eastAsia="en-US"/>
              </w:rPr>
              <w:t xml:space="preserve"> </w:t>
            </w:r>
            <w:r w:rsidRPr="00EB4495">
              <w:rPr>
                <w:rFonts w:ascii="Arial" w:eastAsia="Times New Roman" w:hAnsi="Arial" w:cs="Arial"/>
                <w:color w:val="000000"/>
                <w:lang w:eastAsia="en-US"/>
              </w:rPr>
              <w:t>of the condensed financial statements</w:t>
            </w:r>
          </w:p>
        </w:tc>
        <w:tc>
          <w:tcPr>
            <w:tcW w:w="4649" w:type="dxa"/>
            <w:tcBorders>
              <w:top w:val="single" w:sz="4" w:space="0" w:color="auto"/>
              <w:left w:val="single" w:sz="4" w:space="0" w:color="auto"/>
              <w:bottom w:val="single" w:sz="4" w:space="0" w:color="auto"/>
              <w:right w:val="single" w:sz="4" w:space="0" w:color="auto"/>
            </w:tcBorders>
            <w:hideMark/>
          </w:tcPr>
          <w:p w14:paraId="5083FBB5" w14:textId="672AD533" w:rsidR="00EB4495" w:rsidRPr="003B7D84" w:rsidRDefault="00B52814" w:rsidP="00B52814">
            <w:pPr>
              <w:jc w:val="left"/>
              <w:rPr>
                <w:rFonts w:ascii="Arial" w:eastAsia="Times New Roman" w:hAnsi="Arial" w:cs="Arial"/>
                <w:color w:val="000000"/>
                <w:lang w:eastAsia="en-US"/>
              </w:rPr>
            </w:pPr>
            <w:r w:rsidRPr="00EE21CA">
              <w:rPr>
                <w:rFonts w:ascii="Arial" w:eastAsia="Times New Roman" w:hAnsi="Arial" w:cs="Arial"/>
                <w:color w:val="000000"/>
              </w:rPr>
              <w:t xml:space="preserve">Adjusted basic earnings per share represents profit after tax attributable to the owners of the parent, before the impact of </w:t>
            </w:r>
            <w:r>
              <w:rPr>
                <w:rFonts w:ascii="Arial" w:eastAsia="Times New Roman" w:hAnsi="Arial" w:cs="Arial"/>
                <w:color w:val="000000"/>
              </w:rPr>
              <w:t>adjusting</w:t>
            </w:r>
            <w:r w:rsidRPr="00EE21CA">
              <w:rPr>
                <w:rFonts w:ascii="Arial" w:eastAsia="Times New Roman" w:hAnsi="Arial" w:cs="Arial"/>
                <w:color w:val="000000"/>
              </w:rPr>
              <w:t xml:space="preserve"> items</w:t>
            </w:r>
            <w:r>
              <w:rPr>
                <w:rFonts w:ascii="Arial" w:eastAsia="Times New Roman" w:hAnsi="Arial" w:cs="Arial"/>
                <w:color w:val="000000"/>
              </w:rPr>
              <w:t xml:space="preserve"> (see definition below), </w:t>
            </w:r>
            <w:r w:rsidRPr="00EE21CA">
              <w:rPr>
                <w:rFonts w:ascii="Arial" w:eastAsia="Times New Roman" w:hAnsi="Arial" w:cs="Arial"/>
                <w:color w:val="000000"/>
              </w:rPr>
              <w:t xml:space="preserve">divided by the weighted average number of shares in issue during the </w:t>
            </w:r>
            <w:r>
              <w:rPr>
                <w:rFonts w:ascii="Arial" w:eastAsia="Times New Roman" w:hAnsi="Arial" w:cs="Arial"/>
                <w:color w:val="000000"/>
              </w:rPr>
              <w:t>period</w:t>
            </w:r>
            <w:r w:rsidRPr="00EE21CA">
              <w:rPr>
                <w:rFonts w:ascii="Arial" w:eastAsia="Times New Roman" w:hAnsi="Arial" w:cs="Arial"/>
                <w:color w:val="000000"/>
              </w:rPr>
              <w:t xml:space="preserve">. The exclusion of </w:t>
            </w:r>
            <w:r>
              <w:rPr>
                <w:rFonts w:ascii="Arial" w:eastAsia="Times New Roman" w:hAnsi="Arial" w:cs="Arial"/>
                <w:color w:val="000000"/>
              </w:rPr>
              <w:t>adjusting</w:t>
            </w:r>
            <w:r w:rsidRPr="00EE21CA">
              <w:rPr>
                <w:rFonts w:ascii="Arial" w:eastAsia="Times New Roman" w:hAnsi="Arial" w:cs="Arial"/>
                <w:color w:val="000000"/>
              </w:rPr>
              <w:t xml:space="preserve"> items</w:t>
            </w:r>
            <w:bookmarkStart w:id="97" w:name="_Hlk80203380"/>
            <w:r w:rsidRPr="00EE21CA">
              <w:rPr>
                <w:rFonts w:ascii="Arial" w:eastAsia="Times New Roman" w:hAnsi="Arial" w:cs="Arial"/>
                <w:color w:val="000000"/>
              </w:rPr>
              <w:t xml:space="preserve"> </w:t>
            </w:r>
            <w:bookmarkEnd w:id="97"/>
            <w:r w:rsidRPr="00EE21CA">
              <w:rPr>
                <w:rFonts w:ascii="Arial" w:eastAsia="Times New Roman" w:hAnsi="Arial" w:cs="Arial"/>
                <w:color w:val="000000"/>
              </w:rPr>
              <w:t>helps provide an indication of the Group's ongoing business performance.</w:t>
            </w:r>
          </w:p>
        </w:tc>
      </w:tr>
      <w:tr w:rsidR="00010DC1" w:rsidRPr="00EB4495" w14:paraId="6C9FCDFE" w14:textId="77777777" w:rsidTr="003F41A1">
        <w:trPr>
          <w:trHeight w:val="1425"/>
        </w:trPr>
        <w:tc>
          <w:tcPr>
            <w:tcW w:w="1701" w:type="dxa"/>
            <w:tcBorders>
              <w:top w:val="single" w:sz="4" w:space="0" w:color="auto"/>
              <w:left w:val="single" w:sz="4" w:space="0" w:color="auto"/>
              <w:bottom w:val="single" w:sz="4" w:space="0" w:color="auto"/>
              <w:right w:val="single" w:sz="4" w:space="0" w:color="auto"/>
            </w:tcBorders>
            <w:hideMark/>
          </w:tcPr>
          <w:p w14:paraId="561DAEEA" w14:textId="77777777" w:rsidR="00CD73BB" w:rsidRPr="00EB4495" w:rsidRDefault="00CD73BB" w:rsidP="00CD73BB">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Adjusted effective tax rate</w:t>
            </w:r>
          </w:p>
        </w:tc>
        <w:tc>
          <w:tcPr>
            <w:tcW w:w="1531" w:type="dxa"/>
            <w:tcBorders>
              <w:top w:val="single" w:sz="4" w:space="0" w:color="auto"/>
              <w:left w:val="single" w:sz="4" w:space="0" w:color="auto"/>
              <w:bottom w:val="single" w:sz="4" w:space="0" w:color="auto"/>
              <w:right w:val="single" w:sz="4" w:space="0" w:color="auto"/>
            </w:tcBorders>
            <w:hideMark/>
          </w:tcPr>
          <w:p w14:paraId="4BCC2318" w14:textId="77777777" w:rsidR="00CD73BB" w:rsidRPr="00EB4495" w:rsidRDefault="00CD73BB" w:rsidP="00CD73BB">
            <w:pPr>
              <w:jc w:val="left"/>
              <w:rPr>
                <w:rFonts w:ascii="Arial" w:eastAsia="Times New Roman" w:hAnsi="Arial" w:cs="Arial"/>
                <w:color w:val="000000"/>
                <w:lang w:eastAsia="en-US"/>
              </w:rPr>
            </w:pPr>
            <w:r w:rsidRPr="00EB4495">
              <w:rPr>
                <w:rFonts w:ascii="Arial" w:eastAsia="Times New Roman" w:hAnsi="Arial" w:cs="Arial"/>
                <w:color w:val="000000"/>
                <w:lang w:eastAsia="en-US"/>
              </w:rPr>
              <w:t>Effective tax rate</w:t>
            </w:r>
          </w:p>
        </w:tc>
        <w:tc>
          <w:tcPr>
            <w:tcW w:w="2438" w:type="dxa"/>
            <w:tcBorders>
              <w:top w:val="single" w:sz="4" w:space="0" w:color="auto"/>
              <w:left w:val="single" w:sz="4" w:space="0" w:color="auto"/>
              <w:bottom w:val="single" w:sz="4" w:space="0" w:color="auto"/>
              <w:right w:val="single" w:sz="4" w:space="0" w:color="auto"/>
            </w:tcBorders>
            <w:hideMark/>
          </w:tcPr>
          <w:p w14:paraId="716B329F" w14:textId="20CD1E3E" w:rsidR="00CD73BB" w:rsidRPr="00EB4495" w:rsidRDefault="00CD73BB" w:rsidP="00CD73BB">
            <w:pPr>
              <w:jc w:val="left"/>
              <w:rPr>
                <w:rFonts w:ascii="Arial" w:eastAsia="Times New Roman" w:hAnsi="Arial" w:cs="Arial"/>
                <w:color w:val="000000"/>
                <w:lang w:eastAsia="en-US"/>
              </w:rPr>
            </w:pPr>
            <w:r w:rsidRPr="00EE21CA">
              <w:rPr>
                <w:rFonts w:ascii="Arial" w:eastAsia="Times New Roman" w:hAnsi="Arial" w:cs="Arial"/>
                <w:color w:val="000000"/>
              </w:rPr>
              <w:t xml:space="preserve">A reconciliation to the </w:t>
            </w:r>
            <w:r>
              <w:rPr>
                <w:rFonts w:ascii="Arial" w:eastAsia="Times New Roman" w:hAnsi="Arial" w:cs="Arial"/>
                <w:color w:val="000000"/>
              </w:rPr>
              <w:t xml:space="preserve">statutory effective </w:t>
            </w:r>
            <w:r w:rsidRPr="00B244C4">
              <w:rPr>
                <w:rFonts w:ascii="Arial" w:eastAsia="Times New Roman" w:hAnsi="Arial" w:cs="Arial"/>
                <w:color w:val="000000"/>
              </w:rPr>
              <w:t xml:space="preserve">tax rate is set out in the </w:t>
            </w:r>
            <w:r w:rsidRPr="00981143">
              <w:rPr>
                <w:rFonts w:ascii="Arial" w:hAnsi="Arial"/>
                <w:color w:val="000000"/>
              </w:rPr>
              <w:t>Financial Review (Section 5)</w:t>
            </w:r>
          </w:p>
        </w:tc>
        <w:tc>
          <w:tcPr>
            <w:tcW w:w="4649" w:type="dxa"/>
            <w:tcBorders>
              <w:top w:val="single" w:sz="4" w:space="0" w:color="auto"/>
              <w:left w:val="single" w:sz="4" w:space="0" w:color="auto"/>
              <w:bottom w:val="single" w:sz="4" w:space="0" w:color="auto"/>
              <w:right w:val="single" w:sz="4" w:space="0" w:color="auto"/>
            </w:tcBorders>
            <w:hideMark/>
          </w:tcPr>
          <w:p w14:paraId="3881F4F9" w14:textId="4C26952D" w:rsidR="00CD73BB" w:rsidRPr="00EB4495" w:rsidRDefault="00CD73BB" w:rsidP="00CD73BB">
            <w:pPr>
              <w:jc w:val="left"/>
              <w:rPr>
                <w:rFonts w:ascii="Arial" w:eastAsia="Times New Roman" w:hAnsi="Arial" w:cs="Arial"/>
                <w:color w:val="000000"/>
                <w:lang w:eastAsia="en-US"/>
              </w:rPr>
            </w:pPr>
            <w:r w:rsidRPr="00474809">
              <w:rPr>
                <w:rFonts w:ascii="Arial" w:eastAsia="Times New Roman" w:hAnsi="Arial" w:cs="Arial"/>
                <w:color w:val="000000"/>
              </w:rPr>
              <w:t xml:space="preserve">The adjusted effective tax rate is calculated as continuing income tax expense excluding tax </w:t>
            </w:r>
            <w:r>
              <w:rPr>
                <w:rFonts w:ascii="Arial" w:eastAsia="Times New Roman" w:hAnsi="Arial" w:cs="Arial"/>
                <w:color w:val="000000"/>
              </w:rPr>
              <w:t>adjustments in respect of prior years</w:t>
            </w:r>
            <w:r w:rsidRPr="00474809">
              <w:rPr>
                <w:rFonts w:ascii="Arial" w:eastAsia="Times New Roman" w:hAnsi="Arial" w:cs="Arial"/>
                <w:color w:val="000000"/>
              </w:rPr>
              <w:t xml:space="preserve"> </w:t>
            </w:r>
            <w:bookmarkStart w:id="98" w:name="_Hlk80254489"/>
            <w:r w:rsidRPr="00474809">
              <w:rPr>
                <w:rFonts w:ascii="Arial" w:eastAsia="Times New Roman" w:hAnsi="Arial" w:cs="Arial"/>
                <w:color w:val="000000"/>
              </w:rPr>
              <w:t>(including the impact of changes in tax rates on deferred tax), significant one-off tax settlements and provision charges/releases and the tax effects of adjusting items</w:t>
            </w:r>
            <w:bookmarkEnd w:id="98"/>
            <w:r w:rsidRPr="00474809">
              <w:rPr>
                <w:rFonts w:ascii="Arial" w:eastAsia="Times New Roman" w:hAnsi="Arial" w:cs="Arial"/>
                <w:color w:val="000000"/>
              </w:rPr>
              <w:t>, divided by continuing profit before taxation excluding adjusting items. Prior year tax items represent income statement tax relating to underlying items originally arising in prior years, including the impact of changes in tax rates on deferred tax. The exclusion of items relating to prior years, and those not in the ordinary course of business, helps provide a better indication of the Group’s ongoing rate of tax.</w:t>
            </w:r>
          </w:p>
        </w:tc>
      </w:tr>
      <w:tr w:rsidR="00010DC1" w:rsidRPr="00EB4495" w14:paraId="31755625" w14:textId="77777777" w:rsidTr="003F41A1">
        <w:trPr>
          <w:trHeight w:val="1200"/>
        </w:trPr>
        <w:tc>
          <w:tcPr>
            <w:tcW w:w="1701" w:type="dxa"/>
            <w:tcBorders>
              <w:top w:val="single" w:sz="4" w:space="0" w:color="auto"/>
              <w:left w:val="single" w:sz="4" w:space="0" w:color="auto"/>
              <w:bottom w:val="single" w:sz="4" w:space="0" w:color="auto"/>
              <w:right w:val="single" w:sz="4" w:space="0" w:color="auto"/>
            </w:tcBorders>
            <w:hideMark/>
          </w:tcPr>
          <w:p w14:paraId="49AE8BCC" w14:textId="77777777" w:rsidR="00CD73BB" w:rsidRPr="00EB4495" w:rsidRDefault="00CD73BB" w:rsidP="00CD73BB">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Adjusted pre-tax profit </w:t>
            </w:r>
          </w:p>
        </w:tc>
        <w:tc>
          <w:tcPr>
            <w:tcW w:w="1531" w:type="dxa"/>
            <w:tcBorders>
              <w:top w:val="single" w:sz="4" w:space="0" w:color="auto"/>
              <w:left w:val="single" w:sz="4" w:space="0" w:color="auto"/>
              <w:bottom w:val="single" w:sz="4" w:space="0" w:color="auto"/>
              <w:right w:val="single" w:sz="4" w:space="0" w:color="auto"/>
            </w:tcBorders>
            <w:hideMark/>
          </w:tcPr>
          <w:p w14:paraId="4835FB22" w14:textId="77777777" w:rsidR="00CD73BB" w:rsidRPr="00EB4495" w:rsidRDefault="00CD73BB" w:rsidP="00CD73BB">
            <w:pPr>
              <w:jc w:val="left"/>
              <w:rPr>
                <w:rFonts w:ascii="Arial" w:eastAsia="Times New Roman" w:hAnsi="Arial" w:cs="Arial"/>
                <w:color w:val="000000"/>
                <w:lang w:eastAsia="en-US"/>
              </w:rPr>
            </w:pPr>
            <w:r w:rsidRPr="00EB4495">
              <w:rPr>
                <w:rFonts w:ascii="Arial" w:eastAsia="Times New Roman" w:hAnsi="Arial" w:cs="Arial"/>
                <w:color w:val="000000"/>
                <w:lang w:eastAsia="en-US"/>
              </w:rPr>
              <w:t>Profit before taxation</w:t>
            </w:r>
          </w:p>
        </w:tc>
        <w:tc>
          <w:tcPr>
            <w:tcW w:w="2438" w:type="dxa"/>
            <w:tcBorders>
              <w:top w:val="single" w:sz="4" w:space="0" w:color="auto"/>
              <w:left w:val="single" w:sz="4" w:space="0" w:color="auto"/>
              <w:bottom w:val="single" w:sz="4" w:space="0" w:color="auto"/>
              <w:right w:val="single" w:sz="4" w:space="0" w:color="auto"/>
            </w:tcBorders>
            <w:hideMark/>
          </w:tcPr>
          <w:p w14:paraId="59F02203" w14:textId="5B4737F8" w:rsidR="00CD73BB" w:rsidRPr="00EB4495" w:rsidRDefault="00CD73BB" w:rsidP="00CD73BB">
            <w:pPr>
              <w:jc w:val="left"/>
              <w:rPr>
                <w:rFonts w:ascii="Arial" w:eastAsia="Times New Roman" w:hAnsi="Arial" w:cs="Arial"/>
                <w:color w:val="000000"/>
                <w:lang w:eastAsia="en-US"/>
              </w:rPr>
            </w:pPr>
            <w:r w:rsidRPr="00E22D86">
              <w:rPr>
                <w:rFonts w:ascii="Arial" w:eastAsia="Times New Roman" w:hAnsi="Arial" w:cs="Arial"/>
                <w:color w:val="000000"/>
              </w:rPr>
              <w:t xml:space="preserve">A reconciliation of adjusted pre-tax profit is </w:t>
            </w:r>
            <w:r w:rsidRPr="00B244C4">
              <w:rPr>
                <w:rFonts w:ascii="Arial" w:eastAsia="Times New Roman" w:hAnsi="Arial" w:cs="Arial"/>
                <w:color w:val="000000"/>
              </w:rPr>
              <w:t xml:space="preserve">set out in the </w:t>
            </w:r>
            <w:r w:rsidRPr="00981143">
              <w:rPr>
                <w:rFonts w:ascii="Arial" w:hAnsi="Arial"/>
                <w:color w:val="000000"/>
              </w:rPr>
              <w:t>Financial Review (Section 5)</w:t>
            </w:r>
            <w:r w:rsidRPr="00B244C4">
              <w:rPr>
                <w:rFonts w:ascii="Arial" w:eastAsia="Times New Roman" w:hAnsi="Arial" w:cs="Arial"/>
                <w:color w:val="000000"/>
              </w:rPr>
              <w:t xml:space="preserve"> </w:t>
            </w:r>
          </w:p>
        </w:tc>
        <w:tc>
          <w:tcPr>
            <w:tcW w:w="4649" w:type="dxa"/>
            <w:tcBorders>
              <w:top w:val="single" w:sz="4" w:space="0" w:color="auto"/>
              <w:left w:val="single" w:sz="4" w:space="0" w:color="auto"/>
              <w:bottom w:val="single" w:sz="4" w:space="0" w:color="auto"/>
              <w:right w:val="single" w:sz="4" w:space="0" w:color="auto"/>
            </w:tcBorders>
            <w:hideMark/>
          </w:tcPr>
          <w:p w14:paraId="329A6E3E" w14:textId="77777777" w:rsidR="00CD73BB" w:rsidRDefault="00CD73BB" w:rsidP="00CD73BB">
            <w:pPr>
              <w:jc w:val="left"/>
              <w:rPr>
                <w:rFonts w:ascii="Arial" w:eastAsia="Times New Roman" w:hAnsi="Arial" w:cs="Arial"/>
                <w:color w:val="000000"/>
              </w:rPr>
            </w:pPr>
            <w:r w:rsidRPr="00097A19">
              <w:rPr>
                <w:rFonts w:ascii="Arial" w:eastAsia="Times New Roman" w:hAnsi="Arial" w:cs="Arial"/>
                <w:color w:val="000000"/>
              </w:rPr>
              <w:t xml:space="preserve">Adjusted pre-tax profit is used to report the performance of the business at a Group level. This is stated before </w:t>
            </w:r>
            <w:r>
              <w:rPr>
                <w:rFonts w:ascii="Arial" w:eastAsia="Times New Roman" w:hAnsi="Arial" w:cs="Arial"/>
                <w:color w:val="000000"/>
              </w:rPr>
              <w:t>adjusting</w:t>
            </w:r>
            <w:r w:rsidRPr="00097A19">
              <w:rPr>
                <w:rFonts w:ascii="Arial" w:eastAsia="Times New Roman" w:hAnsi="Arial" w:cs="Arial"/>
                <w:color w:val="000000"/>
              </w:rPr>
              <w:t xml:space="preserve"> items. The exclusion of </w:t>
            </w:r>
            <w:r>
              <w:rPr>
                <w:rFonts w:ascii="Arial" w:eastAsia="Times New Roman" w:hAnsi="Arial" w:cs="Arial"/>
                <w:color w:val="000000"/>
              </w:rPr>
              <w:t>adjusting</w:t>
            </w:r>
            <w:r w:rsidRPr="00097A19">
              <w:rPr>
                <w:rFonts w:ascii="Arial" w:eastAsia="Times New Roman" w:hAnsi="Arial" w:cs="Arial"/>
                <w:color w:val="000000"/>
              </w:rPr>
              <w:t xml:space="preserve"> items helps provide an indication of the Group's ongoing business performance.</w:t>
            </w:r>
            <w:r>
              <w:rPr>
                <w:rFonts w:ascii="Arial" w:eastAsia="Times New Roman" w:hAnsi="Arial" w:cs="Arial"/>
                <w:color w:val="000000"/>
              </w:rPr>
              <w:t xml:space="preserve"> </w:t>
            </w:r>
          </w:p>
          <w:p w14:paraId="6C55C50C" w14:textId="563B0E24" w:rsidR="00CD73BB" w:rsidRPr="00EB4495" w:rsidRDefault="00CD73BB" w:rsidP="00CD73BB">
            <w:pPr>
              <w:jc w:val="left"/>
              <w:rPr>
                <w:rFonts w:ascii="Arial" w:eastAsia="Times New Roman" w:hAnsi="Arial" w:cs="Arial"/>
                <w:color w:val="000000"/>
                <w:lang w:eastAsia="en-US"/>
              </w:rPr>
            </w:pPr>
          </w:p>
        </w:tc>
      </w:tr>
      <w:tr w:rsidR="00010DC1" w:rsidRPr="00EB4495" w14:paraId="5C9A475C" w14:textId="77777777" w:rsidTr="003F41A1">
        <w:trPr>
          <w:trHeight w:val="505"/>
        </w:trPr>
        <w:tc>
          <w:tcPr>
            <w:tcW w:w="1701" w:type="dxa"/>
            <w:tcBorders>
              <w:top w:val="single" w:sz="4" w:space="0" w:color="auto"/>
              <w:left w:val="single" w:sz="4" w:space="0" w:color="auto"/>
              <w:bottom w:val="single" w:sz="4" w:space="0" w:color="auto"/>
              <w:right w:val="single" w:sz="4" w:space="0" w:color="auto"/>
            </w:tcBorders>
            <w:hideMark/>
          </w:tcPr>
          <w:p w14:paraId="7D769BC9"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Adjusted pre-tax profit margin %</w:t>
            </w:r>
          </w:p>
        </w:tc>
        <w:tc>
          <w:tcPr>
            <w:tcW w:w="1531" w:type="dxa"/>
            <w:tcBorders>
              <w:top w:val="single" w:sz="4" w:space="0" w:color="auto"/>
              <w:left w:val="single" w:sz="4" w:space="0" w:color="auto"/>
              <w:bottom w:val="single" w:sz="4" w:space="0" w:color="auto"/>
              <w:right w:val="single" w:sz="4" w:space="0" w:color="auto"/>
            </w:tcBorders>
            <w:hideMark/>
          </w:tcPr>
          <w:p w14:paraId="4A435FC3"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15BD8B7E"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649" w:type="dxa"/>
            <w:tcBorders>
              <w:top w:val="single" w:sz="4" w:space="0" w:color="auto"/>
              <w:left w:val="single" w:sz="4" w:space="0" w:color="auto"/>
              <w:bottom w:val="single" w:sz="4" w:space="0" w:color="auto"/>
              <w:right w:val="single" w:sz="4" w:space="0" w:color="auto"/>
            </w:tcBorders>
            <w:hideMark/>
          </w:tcPr>
          <w:p w14:paraId="239D1779"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Adjusted pre-tax profit is used to report the performance of the business at a Group level and is separately defined. Adjusted pre-tax profit margin % represents adjusted pre-tax profit as a percentage of sales. It is a measure of overall business profitability.</w:t>
            </w:r>
          </w:p>
        </w:tc>
      </w:tr>
      <w:tr w:rsidR="00010DC1" w:rsidRPr="00EB4495" w14:paraId="786008E0" w14:textId="77777777" w:rsidTr="003F41A1">
        <w:trPr>
          <w:trHeight w:val="680"/>
        </w:trPr>
        <w:tc>
          <w:tcPr>
            <w:tcW w:w="1701" w:type="dxa"/>
            <w:tcBorders>
              <w:top w:val="single" w:sz="4" w:space="0" w:color="auto"/>
              <w:left w:val="single" w:sz="4" w:space="0" w:color="auto"/>
              <w:bottom w:val="single" w:sz="4" w:space="0" w:color="auto"/>
              <w:right w:val="single" w:sz="4" w:space="0" w:color="auto"/>
            </w:tcBorders>
            <w:hideMark/>
          </w:tcPr>
          <w:p w14:paraId="25B07C6D"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Adjusted post-tax profit</w:t>
            </w:r>
          </w:p>
        </w:tc>
        <w:tc>
          <w:tcPr>
            <w:tcW w:w="1531" w:type="dxa"/>
            <w:tcBorders>
              <w:top w:val="single" w:sz="4" w:space="0" w:color="auto"/>
              <w:left w:val="single" w:sz="4" w:space="0" w:color="auto"/>
              <w:bottom w:val="single" w:sz="4" w:space="0" w:color="auto"/>
              <w:right w:val="single" w:sz="4" w:space="0" w:color="auto"/>
            </w:tcBorders>
            <w:hideMark/>
          </w:tcPr>
          <w:p w14:paraId="7EA21991"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Profit after tax</w:t>
            </w:r>
          </w:p>
        </w:tc>
        <w:tc>
          <w:tcPr>
            <w:tcW w:w="2438" w:type="dxa"/>
            <w:tcBorders>
              <w:top w:val="single" w:sz="4" w:space="0" w:color="auto"/>
              <w:left w:val="single" w:sz="4" w:space="0" w:color="auto"/>
              <w:bottom w:val="single" w:sz="4" w:space="0" w:color="auto"/>
              <w:right w:val="single" w:sz="4" w:space="0" w:color="auto"/>
            </w:tcBorders>
            <w:hideMark/>
          </w:tcPr>
          <w:p w14:paraId="2BBBC3D1" w14:textId="4426BAF1"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 reconciliation of adjusted post-tax profit is set </w:t>
            </w:r>
            <w:r w:rsidRPr="00E27F19">
              <w:rPr>
                <w:rFonts w:ascii="Arial" w:eastAsia="Times New Roman" w:hAnsi="Arial" w:cs="Arial"/>
                <w:color w:val="000000"/>
                <w:lang w:eastAsia="en-US"/>
              </w:rPr>
              <w:t xml:space="preserve">out in the </w:t>
            </w:r>
            <w:r w:rsidRPr="00E27F19">
              <w:rPr>
                <w:rFonts w:ascii="Arial" w:hAnsi="Arial" w:cs="Arial"/>
                <w:color w:val="000000"/>
                <w:lang w:eastAsia="en-US"/>
              </w:rPr>
              <w:t xml:space="preserve">Financial Review (Section </w:t>
            </w:r>
            <w:r w:rsidR="00E27F19">
              <w:rPr>
                <w:rFonts w:ascii="Arial" w:hAnsi="Arial" w:cs="Arial"/>
                <w:color w:val="000000"/>
                <w:lang w:eastAsia="en-US"/>
              </w:rPr>
              <w:t>5</w:t>
            </w:r>
            <w:r w:rsidRPr="00E27F19">
              <w:rPr>
                <w:rFonts w:ascii="Arial" w:hAnsi="Arial" w:cs="Arial"/>
                <w:color w:val="000000"/>
                <w:lang w:eastAsia="en-US"/>
              </w:rPr>
              <w:t>)</w:t>
            </w:r>
            <w:r w:rsidRPr="00E27F19">
              <w:rPr>
                <w:rFonts w:ascii="Arial" w:eastAsia="Times New Roman" w:hAnsi="Arial" w:cs="Arial"/>
                <w:color w:val="000000"/>
                <w:lang w:eastAsia="en-US"/>
              </w:rPr>
              <w:t xml:space="preserve"> and</w:t>
            </w:r>
            <w:r w:rsidRPr="00EB4495">
              <w:rPr>
                <w:rFonts w:ascii="Arial" w:eastAsia="Times New Roman" w:hAnsi="Arial" w:cs="Arial"/>
                <w:color w:val="000000"/>
                <w:lang w:eastAsia="en-US"/>
              </w:rPr>
              <w:t xml:space="preserve"> note </w:t>
            </w:r>
            <w:r w:rsidR="00C170D1">
              <w:rPr>
                <w:rFonts w:ascii="Arial" w:eastAsia="Times New Roman" w:hAnsi="Arial" w:cs="Arial"/>
                <w:color w:val="000000"/>
                <w:lang w:eastAsia="en-US"/>
              </w:rPr>
              <w:t>8</w:t>
            </w:r>
            <w:r w:rsidRPr="00EB4495">
              <w:rPr>
                <w:rFonts w:ascii="Arial" w:eastAsia="Times New Roman" w:hAnsi="Arial" w:cs="Arial"/>
                <w:color w:val="000000"/>
                <w:lang w:eastAsia="en-US"/>
              </w:rPr>
              <w:t xml:space="preserve"> </w:t>
            </w:r>
            <w:r w:rsidRPr="00EB4495">
              <w:rPr>
                <w:rFonts w:ascii="Arial" w:eastAsia="Times New Roman" w:hAnsi="Arial" w:cs="Arial"/>
                <w:color w:val="000000"/>
                <w:lang w:eastAsia="en-US"/>
              </w:rPr>
              <w:lastRenderedPageBreak/>
              <w:t>of the condensed financial statements</w:t>
            </w:r>
          </w:p>
        </w:tc>
        <w:tc>
          <w:tcPr>
            <w:tcW w:w="4649" w:type="dxa"/>
            <w:tcBorders>
              <w:top w:val="single" w:sz="4" w:space="0" w:color="auto"/>
              <w:left w:val="single" w:sz="4" w:space="0" w:color="auto"/>
              <w:bottom w:val="single" w:sz="4" w:space="0" w:color="auto"/>
              <w:right w:val="single" w:sz="4" w:space="0" w:color="auto"/>
            </w:tcBorders>
            <w:hideMark/>
          </w:tcPr>
          <w:p w14:paraId="5D53F161" w14:textId="0AB4F14F" w:rsidR="00EB4495" w:rsidRPr="00EB4495" w:rsidRDefault="00CD73BB" w:rsidP="00B52814">
            <w:pPr>
              <w:jc w:val="left"/>
              <w:rPr>
                <w:rFonts w:ascii="Arial" w:eastAsia="Times New Roman" w:hAnsi="Arial" w:cs="Arial"/>
                <w:color w:val="000000"/>
                <w:lang w:eastAsia="en-US"/>
              </w:rPr>
            </w:pPr>
            <w:r>
              <w:rPr>
                <w:rFonts w:ascii="Arial" w:eastAsia="Times New Roman" w:hAnsi="Arial" w:cs="Arial"/>
                <w:color w:val="000000"/>
              </w:rPr>
              <w:lastRenderedPageBreak/>
              <w:t xml:space="preserve">Adjusted post-tax profit is </w:t>
            </w:r>
            <w:r w:rsidRPr="00491096">
              <w:rPr>
                <w:rFonts w:ascii="Arial" w:eastAsia="Times New Roman" w:hAnsi="Arial" w:cs="Arial"/>
                <w:color w:val="000000"/>
              </w:rPr>
              <w:t>used to report the</w:t>
            </w:r>
            <w:r>
              <w:rPr>
                <w:rFonts w:ascii="Arial" w:eastAsia="Times New Roman" w:hAnsi="Arial" w:cs="Arial"/>
                <w:color w:val="000000"/>
              </w:rPr>
              <w:t xml:space="preserve"> after</w:t>
            </w:r>
            <w:r w:rsidR="00590787">
              <w:rPr>
                <w:rFonts w:ascii="Arial" w:eastAsia="Times New Roman" w:hAnsi="Arial" w:cs="Arial"/>
                <w:color w:val="000000"/>
              </w:rPr>
              <w:t>-</w:t>
            </w:r>
            <w:r>
              <w:rPr>
                <w:rFonts w:ascii="Arial" w:eastAsia="Times New Roman" w:hAnsi="Arial" w:cs="Arial"/>
                <w:color w:val="000000"/>
              </w:rPr>
              <w:t xml:space="preserve">tax </w:t>
            </w:r>
            <w:r w:rsidRPr="00491096">
              <w:rPr>
                <w:rFonts w:ascii="Arial" w:eastAsia="Times New Roman" w:hAnsi="Arial" w:cs="Arial"/>
                <w:color w:val="000000"/>
              </w:rPr>
              <w:t>performance of the business at a Group level</w:t>
            </w:r>
            <w:r>
              <w:rPr>
                <w:rFonts w:ascii="Arial" w:eastAsia="Times New Roman" w:hAnsi="Arial" w:cs="Arial"/>
                <w:color w:val="000000"/>
              </w:rPr>
              <w:t xml:space="preserve">. </w:t>
            </w:r>
            <w:r w:rsidRPr="00B75897">
              <w:rPr>
                <w:rFonts w:ascii="Arial" w:eastAsia="Times New Roman" w:hAnsi="Arial" w:cs="Arial"/>
                <w:color w:val="000000"/>
              </w:rPr>
              <w:t xml:space="preserve">This is stated before </w:t>
            </w:r>
            <w:r>
              <w:rPr>
                <w:rFonts w:ascii="Arial" w:eastAsia="Times New Roman" w:hAnsi="Arial" w:cs="Arial"/>
                <w:color w:val="000000"/>
              </w:rPr>
              <w:t>adjusting</w:t>
            </w:r>
            <w:r w:rsidRPr="00B75897">
              <w:rPr>
                <w:rFonts w:ascii="Arial" w:eastAsia="Times New Roman" w:hAnsi="Arial" w:cs="Arial"/>
                <w:color w:val="000000"/>
              </w:rPr>
              <w:t xml:space="preserve"> items</w:t>
            </w:r>
            <w:r>
              <w:rPr>
                <w:rFonts w:ascii="Arial" w:eastAsia="Times New Roman" w:hAnsi="Arial" w:cs="Arial"/>
                <w:color w:val="000000"/>
              </w:rPr>
              <w:t xml:space="preserve">. </w:t>
            </w:r>
            <w:r w:rsidRPr="00B75897">
              <w:rPr>
                <w:rFonts w:ascii="Arial" w:eastAsia="Times New Roman" w:hAnsi="Arial" w:cs="Arial"/>
                <w:color w:val="000000"/>
              </w:rPr>
              <w:t>The exclusion of</w:t>
            </w:r>
            <w:r>
              <w:rPr>
                <w:rFonts w:ascii="Arial" w:eastAsia="Times New Roman" w:hAnsi="Arial" w:cs="Arial"/>
                <w:color w:val="000000"/>
              </w:rPr>
              <w:t xml:space="preserve"> adjusting items</w:t>
            </w:r>
            <w:r w:rsidRPr="00B75897">
              <w:rPr>
                <w:rFonts w:ascii="Arial" w:eastAsia="Times New Roman" w:hAnsi="Arial" w:cs="Arial"/>
                <w:color w:val="000000"/>
              </w:rPr>
              <w:t xml:space="preserve"> helps provide a</w:t>
            </w:r>
            <w:r>
              <w:rPr>
                <w:rFonts w:ascii="Arial" w:eastAsia="Times New Roman" w:hAnsi="Arial" w:cs="Arial"/>
                <w:color w:val="000000"/>
              </w:rPr>
              <w:t>n</w:t>
            </w:r>
            <w:r w:rsidRPr="00B75897">
              <w:rPr>
                <w:rFonts w:ascii="Arial" w:eastAsia="Times New Roman" w:hAnsi="Arial" w:cs="Arial"/>
                <w:color w:val="000000"/>
              </w:rPr>
              <w:t xml:space="preserve"> indication of the Group's ongoing </w:t>
            </w:r>
            <w:r>
              <w:rPr>
                <w:rFonts w:ascii="Arial" w:eastAsia="Times New Roman" w:hAnsi="Arial" w:cs="Arial"/>
                <w:color w:val="000000"/>
              </w:rPr>
              <w:t>after</w:t>
            </w:r>
            <w:r w:rsidR="00590787">
              <w:rPr>
                <w:rFonts w:ascii="Arial" w:eastAsia="Times New Roman" w:hAnsi="Arial" w:cs="Arial"/>
                <w:color w:val="000000"/>
              </w:rPr>
              <w:t>-</w:t>
            </w:r>
            <w:r>
              <w:rPr>
                <w:rFonts w:ascii="Arial" w:eastAsia="Times New Roman" w:hAnsi="Arial" w:cs="Arial"/>
                <w:color w:val="000000"/>
              </w:rPr>
              <w:t>tax business performance.</w:t>
            </w:r>
            <w:r w:rsidR="00EB4495" w:rsidRPr="00EB4495">
              <w:rPr>
                <w:rFonts w:ascii="Arial" w:eastAsia="Times New Roman" w:hAnsi="Arial" w:cs="Arial"/>
                <w:color w:val="000000"/>
                <w:lang w:eastAsia="en-US"/>
              </w:rPr>
              <w:t xml:space="preserve"> </w:t>
            </w:r>
          </w:p>
        </w:tc>
      </w:tr>
      <w:tr w:rsidR="00010DC1" w:rsidRPr="00EB4495" w14:paraId="2398B9C2" w14:textId="77777777" w:rsidTr="003F41A1">
        <w:trPr>
          <w:trHeight w:val="1200"/>
        </w:trPr>
        <w:tc>
          <w:tcPr>
            <w:tcW w:w="1701" w:type="dxa"/>
            <w:tcBorders>
              <w:top w:val="single" w:sz="4" w:space="0" w:color="auto"/>
              <w:left w:val="single" w:sz="4" w:space="0" w:color="auto"/>
              <w:bottom w:val="single" w:sz="4" w:space="0" w:color="auto"/>
              <w:right w:val="single" w:sz="4" w:space="0" w:color="auto"/>
            </w:tcBorders>
            <w:hideMark/>
          </w:tcPr>
          <w:p w14:paraId="17417622"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Adjusting items</w:t>
            </w:r>
          </w:p>
        </w:tc>
        <w:tc>
          <w:tcPr>
            <w:tcW w:w="1531" w:type="dxa"/>
            <w:tcBorders>
              <w:top w:val="single" w:sz="4" w:space="0" w:color="auto"/>
              <w:left w:val="single" w:sz="4" w:space="0" w:color="auto"/>
              <w:bottom w:val="single" w:sz="4" w:space="0" w:color="auto"/>
              <w:right w:val="single" w:sz="4" w:space="0" w:color="auto"/>
            </w:tcBorders>
            <w:hideMark/>
          </w:tcPr>
          <w:p w14:paraId="455DBA76"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37C71EFA"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Not applicable </w:t>
            </w:r>
          </w:p>
        </w:tc>
        <w:tc>
          <w:tcPr>
            <w:tcW w:w="4649" w:type="dxa"/>
            <w:tcBorders>
              <w:top w:val="single" w:sz="4" w:space="0" w:color="auto"/>
              <w:left w:val="single" w:sz="4" w:space="0" w:color="auto"/>
              <w:bottom w:val="single" w:sz="4" w:space="0" w:color="auto"/>
              <w:right w:val="single" w:sz="4" w:space="0" w:color="auto"/>
            </w:tcBorders>
            <w:hideMark/>
          </w:tcPr>
          <w:p w14:paraId="6CFC3C0D" w14:textId="61CB1031" w:rsidR="00EB4495" w:rsidRPr="00EB4495" w:rsidRDefault="00CD73BB" w:rsidP="00B52814">
            <w:pPr>
              <w:jc w:val="left"/>
              <w:rPr>
                <w:rFonts w:ascii="Arial" w:eastAsia="Times New Roman" w:hAnsi="Arial" w:cs="Arial"/>
                <w:color w:val="000000"/>
                <w:lang w:eastAsia="en-US"/>
              </w:rPr>
            </w:pPr>
            <w:r w:rsidRPr="00E0494B">
              <w:rPr>
                <w:rFonts w:ascii="Arial" w:eastAsia="Times New Roman" w:hAnsi="Arial" w:cs="Arial"/>
                <w:color w:val="000000"/>
              </w:rPr>
              <w:t>Adjusting items, which are presented separately within their relevant income statement category, include items which by virtue of their size and/or nature, do not reflect the Group’s ongoing trading performance. Adjusting items may include, but are not limited to:</w:t>
            </w:r>
            <w:r>
              <w:rPr>
                <w:rFonts w:ascii="Arial" w:eastAsia="Times New Roman" w:hAnsi="Arial" w:cs="Arial"/>
                <w:color w:val="000000"/>
              </w:rPr>
              <w:t xml:space="preserve"> </w:t>
            </w:r>
            <w:r w:rsidRPr="00E0494B">
              <w:rPr>
                <w:rFonts w:ascii="Arial" w:eastAsia="Times New Roman" w:hAnsi="Arial" w:cs="Arial"/>
                <w:color w:val="000000"/>
              </w:rPr>
              <w:t>non-trading items included in operating profit such as profits and losses on the disposal, closure, exit or impairment of subsidiaries, joint ventures, associates and investments which do not form part of the Group’s ongoing trading activities;</w:t>
            </w:r>
            <w:r>
              <w:rPr>
                <w:rFonts w:ascii="Arial" w:eastAsia="Times New Roman" w:hAnsi="Arial" w:cs="Arial"/>
                <w:color w:val="000000"/>
              </w:rPr>
              <w:t xml:space="preserve"> </w:t>
            </w:r>
            <w:r w:rsidRPr="00E0494B">
              <w:rPr>
                <w:rFonts w:ascii="Arial" w:eastAsia="Times New Roman" w:hAnsi="Arial" w:cs="Arial"/>
                <w:color w:val="000000"/>
              </w:rPr>
              <w:t>the costs of significant restructuring and incremental acquisition integration costs;</w:t>
            </w:r>
            <w:r>
              <w:rPr>
                <w:rFonts w:ascii="Arial" w:eastAsia="Times New Roman" w:hAnsi="Arial" w:cs="Arial"/>
                <w:color w:val="000000"/>
              </w:rPr>
              <w:t xml:space="preserve"> </w:t>
            </w:r>
            <w:r w:rsidRPr="00E0494B">
              <w:rPr>
                <w:rFonts w:ascii="Arial" w:eastAsia="Times New Roman" w:hAnsi="Arial" w:cs="Arial"/>
                <w:color w:val="000000"/>
              </w:rPr>
              <w:t xml:space="preserve">profits and losses on the </w:t>
            </w:r>
            <w:r w:rsidR="00EA5946">
              <w:rPr>
                <w:rFonts w:ascii="Arial" w:eastAsia="Times New Roman" w:hAnsi="Arial" w:cs="Arial"/>
                <w:color w:val="000000"/>
              </w:rPr>
              <w:t xml:space="preserve">exit </w:t>
            </w:r>
            <w:r w:rsidRPr="00E0494B">
              <w:rPr>
                <w:rFonts w:ascii="Arial" w:eastAsia="Times New Roman" w:hAnsi="Arial" w:cs="Arial"/>
                <w:color w:val="000000"/>
              </w:rPr>
              <w:t>of properties, impairments of goodwill and significant impairments (or impairment reversals) of other non-current assets;</w:t>
            </w:r>
            <w:r>
              <w:rPr>
                <w:rFonts w:ascii="Arial" w:eastAsia="Times New Roman" w:hAnsi="Arial" w:cs="Arial"/>
                <w:color w:val="000000"/>
              </w:rPr>
              <w:t xml:space="preserve"> </w:t>
            </w:r>
            <w:r w:rsidRPr="00E0494B">
              <w:rPr>
                <w:rFonts w:ascii="Arial" w:eastAsia="Times New Roman" w:hAnsi="Arial" w:cs="Arial"/>
                <w:color w:val="000000"/>
              </w:rPr>
              <w:t>prior year tax items (including the impact of changes in tax rates on deferred tax), significant one-off tax settlements and provision charges/releases and the tax effects of other adjusting items;</w:t>
            </w:r>
            <w:r>
              <w:rPr>
                <w:rFonts w:ascii="Arial" w:eastAsia="Times New Roman" w:hAnsi="Arial" w:cs="Arial"/>
                <w:color w:val="000000"/>
              </w:rPr>
              <w:t xml:space="preserve"> f</w:t>
            </w:r>
            <w:r w:rsidRPr="00E0494B">
              <w:rPr>
                <w:rFonts w:ascii="Arial" w:eastAsia="Times New Roman" w:hAnsi="Arial" w:cs="Arial"/>
                <w:color w:val="000000"/>
              </w:rPr>
              <w:t xml:space="preserve">inancing fair value remeasurements i.e. changes in the fair value of financing derivatives, excluding interest accruals, offset by fair value adjustments to the carrying amount of borrowings and other hedged items under fair value </w:t>
            </w:r>
            <w:r w:rsidR="00840866">
              <w:rPr>
                <w:rFonts w:ascii="Arial" w:eastAsia="Times New Roman" w:hAnsi="Arial" w:cs="Arial"/>
                <w:color w:val="000000"/>
              </w:rPr>
              <w:t xml:space="preserve">(or non-designated) </w:t>
            </w:r>
            <w:r w:rsidRPr="00E0494B">
              <w:rPr>
                <w:rFonts w:ascii="Arial" w:eastAsia="Times New Roman" w:hAnsi="Arial" w:cs="Arial"/>
                <w:color w:val="000000"/>
              </w:rPr>
              <w:t>hedge relationships. Financing derivatives are those that relate to hedged items of a financing nature.</w:t>
            </w:r>
          </w:p>
        </w:tc>
      </w:tr>
      <w:tr w:rsidR="00010DC1" w:rsidRPr="00EB4495" w14:paraId="79C2689B" w14:textId="77777777" w:rsidTr="003F41A1">
        <w:trPr>
          <w:trHeight w:val="964"/>
        </w:trPr>
        <w:tc>
          <w:tcPr>
            <w:tcW w:w="1701" w:type="dxa"/>
            <w:tcBorders>
              <w:top w:val="single" w:sz="4" w:space="0" w:color="auto"/>
              <w:left w:val="single" w:sz="4" w:space="0" w:color="auto"/>
              <w:bottom w:val="single" w:sz="4" w:space="0" w:color="auto"/>
              <w:right w:val="single" w:sz="4" w:space="0" w:color="auto"/>
            </w:tcBorders>
            <w:hideMark/>
          </w:tcPr>
          <w:p w14:paraId="351B04D8"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Central costs</w:t>
            </w:r>
          </w:p>
        </w:tc>
        <w:tc>
          <w:tcPr>
            <w:tcW w:w="1531" w:type="dxa"/>
            <w:tcBorders>
              <w:top w:val="single" w:sz="4" w:space="0" w:color="auto"/>
              <w:left w:val="single" w:sz="4" w:space="0" w:color="auto"/>
              <w:bottom w:val="single" w:sz="4" w:space="0" w:color="auto"/>
              <w:right w:val="single" w:sz="4" w:space="0" w:color="auto"/>
            </w:tcBorders>
            <w:hideMark/>
          </w:tcPr>
          <w:p w14:paraId="6895A33D"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4FA45405"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Not applicable</w:t>
            </w:r>
          </w:p>
        </w:tc>
        <w:tc>
          <w:tcPr>
            <w:tcW w:w="4649" w:type="dxa"/>
            <w:tcBorders>
              <w:top w:val="single" w:sz="4" w:space="0" w:color="auto"/>
              <w:left w:val="single" w:sz="4" w:space="0" w:color="auto"/>
              <w:bottom w:val="single" w:sz="4" w:space="0" w:color="auto"/>
              <w:right w:val="single" w:sz="4" w:space="0" w:color="auto"/>
            </w:tcBorders>
            <w:hideMark/>
          </w:tcPr>
          <w:p w14:paraId="6E381D21" w14:textId="69BA7CE1"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Central costs principally comprise the costs of the Group’s head office before adjusting items. This helps provide an indication of the Group’s ongoing head office costs.</w:t>
            </w:r>
          </w:p>
        </w:tc>
      </w:tr>
      <w:tr w:rsidR="00010DC1" w:rsidRPr="00EB4495" w14:paraId="7C0A5424" w14:textId="77777777" w:rsidTr="003F41A1">
        <w:trPr>
          <w:trHeight w:val="505"/>
        </w:trPr>
        <w:tc>
          <w:tcPr>
            <w:tcW w:w="1701" w:type="dxa"/>
            <w:tcBorders>
              <w:top w:val="single" w:sz="4" w:space="0" w:color="auto"/>
              <w:left w:val="single" w:sz="4" w:space="0" w:color="auto"/>
              <w:bottom w:val="single" w:sz="4" w:space="0" w:color="auto"/>
              <w:right w:val="single" w:sz="4" w:space="0" w:color="auto"/>
            </w:tcBorders>
            <w:hideMark/>
          </w:tcPr>
          <w:p w14:paraId="3233F89F"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Constant currency</w:t>
            </w:r>
          </w:p>
        </w:tc>
        <w:tc>
          <w:tcPr>
            <w:tcW w:w="1531" w:type="dxa"/>
            <w:tcBorders>
              <w:top w:val="single" w:sz="4" w:space="0" w:color="auto"/>
              <w:left w:val="single" w:sz="4" w:space="0" w:color="auto"/>
              <w:bottom w:val="single" w:sz="4" w:space="0" w:color="auto"/>
              <w:right w:val="single" w:sz="4" w:space="0" w:color="auto"/>
            </w:tcBorders>
            <w:hideMark/>
          </w:tcPr>
          <w:p w14:paraId="0ED5BE69"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38F68308"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Not applicable</w:t>
            </w:r>
          </w:p>
        </w:tc>
        <w:tc>
          <w:tcPr>
            <w:tcW w:w="4649" w:type="dxa"/>
            <w:tcBorders>
              <w:top w:val="single" w:sz="4" w:space="0" w:color="auto"/>
              <w:left w:val="single" w:sz="4" w:space="0" w:color="auto"/>
              <w:bottom w:val="single" w:sz="4" w:space="0" w:color="auto"/>
              <w:right w:val="single" w:sz="4" w:space="0" w:color="auto"/>
            </w:tcBorders>
            <w:hideMark/>
          </w:tcPr>
          <w:p w14:paraId="640DAF48" w14:textId="1FC558F4" w:rsidR="00EB4495" w:rsidRPr="00EB4495" w:rsidRDefault="00CD73BB" w:rsidP="00B52814">
            <w:pPr>
              <w:jc w:val="left"/>
              <w:rPr>
                <w:rFonts w:ascii="Arial" w:eastAsia="Times New Roman" w:hAnsi="Arial" w:cs="Arial"/>
                <w:color w:val="000000"/>
                <w:lang w:eastAsia="en-US"/>
              </w:rPr>
            </w:pPr>
            <w:r w:rsidRPr="001C7D4C">
              <w:rPr>
                <w:rFonts w:ascii="Arial" w:eastAsia="Times New Roman" w:hAnsi="Arial" w:cs="Arial"/>
                <w:color w:val="000000"/>
              </w:rPr>
              <w:t>Constant currency changes in total sales, LFL sales</w:t>
            </w:r>
            <w:r>
              <w:rPr>
                <w:rFonts w:ascii="Arial" w:eastAsia="Times New Roman" w:hAnsi="Arial" w:cs="Arial"/>
                <w:color w:val="000000"/>
              </w:rPr>
              <w:t>, gross profit, gross margin</w:t>
            </w:r>
            <w:r w:rsidRPr="001C7D4C">
              <w:rPr>
                <w:rFonts w:ascii="Arial" w:eastAsia="Times New Roman" w:hAnsi="Arial" w:cs="Arial"/>
                <w:color w:val="000000"/>
              </w:rPr>
              <w:t xml:space="preserve"> </w:t>
            </w:r>
            <w:r>
              <w:rPr>
                <w:rFonts w:ascii="Arial" w:eastAsia="Times New Roman" w:hAnsi="Arial" w:cs="Arial"/>
                <w:color w:val="000000"/>
              </w:rPr>
              <w:t xml:space="preserve">%, </w:t>
            </w:r>
            <w:r w:rsidRPr="001C7D4C">
              <w:rPr>
                <w:rFonts w:ascii="Arial" w:eastAsia="Times New Roman" w:hAnsi="Arial" w:cs="Arial"/>
                <w:color w:val="000000"/>
              </w:rPr>
              <w:t>retail profit</w:t>
            </w:r>
            <w:r w:rsidR="00C170D1">
              <w:rPr>
                <w:rFonts w:ascii="Arial" w:eastAsia="Times New Roman" w:hAnsi="Arial" w:cs="Arial"/>
                <w:color w:val="000000"/>
              </w:rPr>
              <w:t xml:space="preserve">, </w:t>
            </w:r>
            <w:r>
              <w:rPr>
                <w:rFonts w:ascii="Arial" w:eastAsia="Times New Roman" w:hAnsi="Arial" w:cs="Arial"/>
                <w:color w:val="000000"/>
              </w:rPr>
              <w:t xml:space="preserve">retail profit margin % </w:t>
            </w:r>
            <w:r w:rsidR="00C170D1">
              <w:rPr>
                <w:rFonts w:ascii="Arial" w:eastAsia="Times New Roman" w:hAnsi="Arial" w:cs="Arial"/>
                <w:color w:val="000000"/>
              </w:rPr>
              <w:t>and operating costs</w:t>
            </w:r>
            <w:r w:rsidR="00C170D1" w:rsidRPr="001C7D4C">
              <w:rPr>
                <w:rFonts w:ascii="Arial" w:eastAsia="Times New Roman" w:hAnsi="Arial" w:cs="Arial"/>
                <w:color w:val="000000"/>
              </w:rPr>
              <w:t xml:space="preserve"> </w:t>
            </w:r>
            <w:r w:rsidRPr="001C7D4C">
              <w:rPr>
                <w:rFonts w:ascii="Arial" w:eastAsia="Times New Roman" w:hAnsi="Arial" w:cs="Arial"/>
                <w:color w:val="000000"/>
              </w:rPr>
              <w:t xml:space="preserve">reflect the </w:t>
            </w:r>
            <w:r w:rsidR="003E10F7" w:rsidRPr="001C7D4C">
              <w:rPr>
                <w:rFonts w:ascii="Arial" w:eastAsia="Times New Roman" w:hAnsi="Arial" w:cs="Arial"/>
                <w:color w:val="000000"/>
              </w:rPr>
              <w:t>year-on-year</w:t>
            </w:r>
            <w:r w:rsidRPr="001C7D4C">
              <w:rPr>
                <w:rFonts w:ascii="Arial" w:eastAsia="Times New Roman" w:hAnsi="Arial" w:cs="Arial"/>
                <w:color w:val="000000"/>
              </w:rPr>
              <w:t xml:space="preserve"> movements after translating the prior year comparatives at the current year’s average exchange rates. These are presented to eliminate the effects of exchange rate fluctuation</w:t>
            </w:r>
            <w:r>
              <w:rPr>
                <w:rFonts w:ascii="Arial" w:eastAsia="Times New Roman" w:hAnsi="Arial" w:cs="Arial"/>
                <w:color w:val="000000"/>
              </w:rPr>
              <w:t>s</w:t>
            </w:r>
            <w:r w:rsidRPr="001C7D4C">
              <w:rPr>
                <w:rFonts w:ascii="Arial" w:eastAsia="Times New Roman" w:hAnsi="Arial" w:cs="Arial"/>
                <w:color w:val="000000"/>
              </w:rPr>
              <w:t xml:space="preserve"> on the reported results.</w:t>
            </w:r>
          </w:p>
        </w:tc>
      </w:tr>
      <w:tr w:rsidR="00010DC1" w:rsidRPr="00EB4495" w14:paraId="5A361DE3" w14:textId="77777777" w:rsidTr="003F41A1">
        <w:trPr>
          <w:trHeight w:val="505"/>
        </w:trPr>
        <w:tc>
          <w:tcPr>
            <w:tcW w:w="1701" w:type="dxa"/>
            <w:tcBorders>
              <w:top w:val="single" w:sz="4" w:space="0" w:color="auto"/>
              <w:left w:val="single" w:sz="4" w:space="0" w:color="auto"/>
              <w:bottom w:val="single" w:sz="4" w:space="0" w:color="auto"/>
              <w:right w:val="single" w:sz="4" w:space="0" w:color="auto"/>
            </w:tcBorders>
            <w:hideMark/>
          </w:tcPr>
          <w:p w14:paraId="334AD400"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Dividend cover</w:t>
            </w:r>
          </w:p>
        </w:tc>
        <w:tc>
          <w:tcPr>
            <w:tcW w:w="1531" w:type="dxa"/>
            <w:tcBorders>
              <w:top w:val="single" w:sz="4" w:space="0" w:color="auto"/>
              <w:left w:val="single" w:sz="4" w:space="0" w:color="auto"/>
              <w:bottom w:val="single" w:sz="4" w:space="0" w:color="auto"/>
              <w:right w:val="single" w:sz="4" w:space="0" w:color="auto"/>
            </w:tcBorders>
            <w:hideMark/>
          </w:tcPr>
          <w:p w14:paraId="58B3E5A1"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087D4555"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Not applicable</w:t>
            </w:r>
          </w:p>
        </w:tc>
        <w:tc>
          <w:tcPr>
            <w:tcW w:w="4649" w:type="dxa"/>
            <w:tcBorders>
              <w:top w:val="single" w:sz="4" w:space="0" w:color="auto"/>
              <w:left w:val="single" w:sz="4" w:space="0" w:color="auto"/>
              <w:bottom w:val="single" w:sz="4" w:space="0" w:color="auto"/>
              <w:right w:val="single" w:sz="4" w:space="0" w:color="auto"/>
            </w:tcBorders>
            <w:hideMark/>
          </w:tcPr>
          <w:p w14:paraId="48D97A50"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Dividend cover represents the ratio of earnings to dividends. It is calculated as adjusted basic earnings per share divided by the total (full year) dividend per share. It is used as an indication of how sustainable dividend payments are. </w:t>
            </w:r>
          </w:p>
        </w:tc>
      </w:tr>
      <w:tr w:rsidR="00010DC1" w:rsidRPr="00EB4495" w14:paraId="08D30B9E" w14:textId="77777777" w:rsidTr="003F41A1">
        <w:trPr>
          <w:trHeight w:val="1200"/>
        </w:trPr>
        <w:tc>
          <w:tcPr>
            <w:tcW w:w="1701" w:type="dxa"/>
            <w:tcBorders>
              <w:top w:val="single" w:sz="4" w:space="0" w:color="auto"/>
              <w:left w:val="single" w:sz="4" w:space="0" w:color="auto"/>
              <w:bottom w:val="single" w:sz="4" w:space="0" w:color="auto"/>
              <w:right w:val="single" w:sz="4" w:space="0" w:color="auto"/>
            </w:tcBorders>
            <w:hideMark/>
          </w:tcPr>
          <w:p w14:paraId="69256A99"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lastRenderedPageBreak/>
              <w:t>EBITDA</w:t>
            </w:r>
          </w:p>
        </w:tc>
        <w:tc>
          <w:tcPr>
            <w:tcW w:w="1531" w:type="dxa"/>
            <w:tcBorders>
              <w:top w:val="single" w:sz="4" w:space="0" w:color="auto"/>
              <w:left w:val="single" w:sz="4" w:space="0" w:color="auto"/>
              <w:bottom w:val="single" w:sz="4" w:space="0" w:color="auto"/>
              <w:right w:val="single" w:sz="4" w:space="0" w:color="auto"/>
            </w:tcBorders>
            <w:hideMark/>
          </w:tcPr>
          <w:p w14:paraId="5B776751"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Profit before taxation</w:t>
            </w:r>
          </w:p>
        </w:tc>
        <w:tc>
          <w:tcPr>
            <w:tcW w:w="2438" w:type="dxa"/>
            <w:tcBorders>
              <w:top w:val="single" w:sz="4" w:space="0" w:color="auto"/>
              <w:left w:val="single" w:sz="4" w:space="0" w:color="auto"/>
              <w:bottom w:val="single" w:sz="4" w:space="0" w:color="auto"/>
              <w:right w:val="single" w:sz="4" w:space="0" w:color="auto"/>
            </w:tcBorders>
            <w:hideMark/>
          </w:tcPr>
          <w:p w14:paraId="0EC3724F" w14:textId="5A9A1E84"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 reconciliation of EBITDA is set out in the </w:t>
            </w:r>
            <w:r w:rsidRPr="00EB4495">
              <w:rPr>
                <w:rFonts w:ascii="Arial" w:hAnsi="Arial" w:cs="Arial"/>
                <w:color w:val="000000"/>
                <w:lang w:eastAsia="en-US"/>
              </w:rPr>
              <w:t xml:space="preserve">Financial Review (Section </w:t>
            </w:r>
            <w:r w:rsidR="00E27F19">
              <w:rPr>
                <w:rFonts w:ascii="Arial" w:hAnsi="Arial" w:cs="Arial"/>
                <w:color w:val="000000"/>
                <w:lang w:eastAsia="en-US"/>
              </w:rPr>
              <w:t>5</w:t>
            </w:r>
            <w:r w:rsidRPr="00EB4495">
              <w:rPr>
                <w:rFonts w:ascii="Arial" w:hAnsi="Arial" w:cs="Arial"/>
                <w:color w:val="000000"/>
                <w:lang w:eastAsia="en-US"/>
              </w:rPr>
              <w:t>)</w:t>
            </w:r>
          </w:p>
        </w:tc>
        <w:tc>
          <w:tcPr>
            <w:tcW w:w="4649" w:type="dxa"/>
            <w:tcBorders>
              <w:top w:val="single" w:sz="4" w:space="0" w:color="auto"/>
              <w:left w:val="single" w:sz="4" w:space="0" w:color="auto"/>
              <w:bottom w:val="single" w:sz="4" w:space="0" w:color="auto"/>
              <w:right w:val="single" w:sz="4" w:space="0" w:color="auto"/>
            </w:tcBorders>
            <w:hideMark/>
          </w:tcPr>
          <w:p w14:paraId="7B04F90B"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EBITDA (earnings before interest, tax, depreciation and amortisation) is calculated as retail profit </w:t>
            </w:r>
            <w:proofErr w:type="gramStart"/>
            <w:r w:rsidRPr="00EB4495">
              <w:rPr>
                <w:rFonts w:ascii="Arial" w:eastAsia="Times New Roman" w:hAnsi="Arial" w:cs="Arial"/>
                <w:color w:val="000000"/>
                <w:lang w:eastAsia="en-US"/>
              </w:rPr>
              <w:t>less</w:t>
            </w:r>
            <w:proofErr w:type="gramEnd"/>
            <w:r w:rsidRPr="00EB4495">
              <w:rPr>
                <w:rFonts w:ascii="Arial" w:eastAsia="Times New Roman" w:hAnsi="Arial" w:cs="Arial"/>
                <w:color w:val="000000"/>
                <w:lang w:eastAsia="en-US"/>
              </w:rPr>
              <w:t xml:space="preserve"> central costs and before depreciation and amortisation. This measure is widely used in calculating the ratio of net debt to EBITDA, and is used to reflect the Group's leverage. </w:t>
            </w:r>
          </w:p>
        </w:tc>
      </w:tr>
      <w:tr w:rsidR="00010DC1" w:rsidRPr="00EB4495" w14:paraId="437656F4" w14:textId="77777777" w:rsidTr="003F41A1">
        <w:trPr>
          <w:trHeight w:val="964"/>
        </w:trPr>
        <w:tc>
          <w:tcPr>
            <w:tcW w:w="1701" w:type="dxa"/>
            <w:tcBorders>
              <w:top w:val="single" w:sz="4" w:space="0" w:color="auto"/>
              <w:left w:val="single" w:sz="4" w:space="0" w:color="auto"/>
              <w:bottom w:val="single" w:sz="4" w:space="0" w:color="auto"/>
              <w:right w:val="single" w:sz="4" w:space="0" w:color="auto"/>
            </w:tcBorders>
            <w:hideMark/>
          </w:tcPr>
          <w:p w14:paraId="1B934302"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FFVR</w:t>
            </w:r>
          </w:p>
        </w:tc>
        <w:tc>
          <w:tcPr>
            <w:tcW w:w="1531" w:type="dxa"/>
            <w:tcBorders>
              <w:top w:val="single" w:sz="4" w:space="0" w:color="auto"/>
              <w:left w:val="single" w:sz="4" w:space="0" w:color="auto"/>
              <w:bottom w:val="single" w:sz="4" w:space="0" w:color="auto"/>
              <w:right w:val="single" w:sz="4" w:space="0" w:color="auto"/>
            </w:tcBorders>
            <w:hideMark/>
          </w:tcPr>
          <w:p w14:paraId="7B7E65BC"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3B11DE79" w14:textId="70F2396B"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Included within net finance costs in </w:t>
            </w:r>
            <w:r w:rsidRPr="00EB4495">
              <w:rPr>
                <w:rFonts w:ascii="Arial" w:hAnsi="Arial" w:cs="Arial"/>
                <w:color w:val="000000"/>
                <w:lang w:eastAsia="en-US"/>
              </w:rPr>
              <w:t xml:space="preserve">note </w:t>
            </w:r>
            <w:r w:rsidR="00C170D1">
              <w:rPr>
                <w:rFonts w:ascii="Arial" w:eastAsia="Times New Roman" w:hAnsi="Arial" w:cs="Arial"/>
                <w:color w:val="000000"/>
                <w:lang w:eastAsia="en-US"/>
              </w:rPr>
              <w:t>5</w:t>
            </w:r>
            <w:r w:rsidRPr="00EB4495">
              <w:rPr>
                <w:rFonts w:ascii="Arial" w:eastAsia="Times New Roman" w:hAnsi="Arial" w:cs="Arial"/>
                <w:color w:val="000000"/>
                <w:lang w:eastAsia="en-US"/>
              </w:rPr>
              <w:t xml:space="preserve"> of the condensed financial statements</w:t>
            </w:r>
          </w:p>
        </w:tc>
        <w:tc>
          <w:tcPr>
            <w:tcW w:w="4649" w:type="dxa"/>
            <w:tcBorders>
              <w:top w:val="single" w:sz="4" w:space="0" w:color="auto"/>
              <w:left w:val="single" w:sz="4" w:space="0" w:color="auto"/>
              <w:bottom w:val="single" w:sz="4" w:space="0" w:color="auto"/>
              <w:right w:val="single" w:sz="4" w:space="0" w:color="auto"/>
            </w:tcBorders>
            <w:hideMark/>
          </w:tcPr>
          <w:p w14:paraId="3790A77E" w14:textId="454EB0CD" w:rsidR="00EB4495" w:rsidRPr="00EB4495" w:rsidRDefault="00CD73BB" w:rsidP="00B52814">
            <w:pPr>
              <w:jc w:val="left"/>
              <w:rPr>
                <w:rFonts w:ascii="Arial" w:eastAsia="Times New Roman" w:hAnsi="Arial" w:cs="Arial"/>
                <w:color w:val="000000"/>
                <w:lang w:eastAsia="en-US"/>
              </w:rPr>
            </w:pPr>
            <w:r w:rsidRPr="00EE21CA">
              <w:rPr>
                <w:rFonts w:ascii="Arial" w:eastAsia="Times New Roman" w:hAnsi="Arial" w:cs="Arial"/>
                <w:color w:val="000000"/>
              </w:rPr>
              <w:t xml:space="preserve">FFVR (financing fair value remeasurements) </w:t>
            </w:r>
            <w:r>
              <w:rPr>
                <w:rFonts w:ascii="Arial" w:eastAsia="Times New Roman" w:hAnsi="Arial" w:cs="Arial"/>
                <w:color w:val="000000"/>
              </w:rPr>
              <w:t xml:space="preserve">is included within adjusting items (see definition above) and </w:t>
            </w:r>
            <w:r w:rsidRPr="00EE21CA">
              <w:rPr>
                <w:rFonts w:ascii="Arial" w:eastAsia="Times New Roman" w:hAnsi="Arial" w:cs="Arial"/>
                <w:color w:val="000000"/>
              </w:rPr>
              <w:t>represent fair value fluctuations from financial instruments.</w:t>
            </w:r>
          </w:p>
        </w:tc>
      </w:tr>
      <w:tr w:rsidR="00010DC1" w:rsidRPr="00EB4495" w14:paraId="458DA0E8" w14:textId="77777777" w:rsidTr="003F41A1">
        <w:trPr>
          <w:trHeight w:val="1350"/>
        </w:trPr>
        <w:tc>
          <w:tcPr>
            <w:tcW w:w="1701" w:type="dxa"/>
            <w:tcBorders>
              <w:top w:val="single" w:sz="4" w:space="0" w:color="auto"/>
              <w:left w:val="single" w:sz="4" w:space="0" w:color="auto"/>
              <w:bottom w:val="single" w:sz="4" w:space="0" w:color="auto"/>
              <w:right w:val="single" w:sz="4" w:space="0" w:color="auto"/>
            </w:tcBorders>
            <w:hideMark/>
          </w:tcPr>
          <w:p w14:paraId="2DF2A1BD"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Free cash flow</w:t>
            </w:r>
          </w:p>
        </w:tc>
        <w:tc>
          <w:tcPr>
            <w:tcW w:w="1531" w:type="dxa"/>
            <w:tcBorders>
              <w:top w:val="single" w:sz="4" w:space="0" w:color="auto"/>
              <w:left w:val="single" w:sz="4" w:space="0" w:color="auto"/>
              <w:bottom w:val="single" w:sz="4" w:space="0" w:color="auto"/>
              <w:right w:val="single" w:sz="4" w:space="0" w:color="auto"/>
            </w:tcBorders>
            <w:hideMark/>
          </w:tcPr>
          <w:p w14:paraId="503393FE" w14:textId="41E067C6" w:rsidR="00EB4495" w:rsidRPr="00EB4495" w:rsidRDefault="00A331D1" w:rsidP="00B52814">
            <w:pPr>
              <w:jc w:val="left"/>
              <w:rPr>
                <w:rFonts w:ascii="Arial" w:eastAsia="Times New Roman" w:hAnsi="Arial" w:cs="Arial"/>
                <w:color w:val="000000"/>
                <w:lang w:eastAsia="en-US"/>
              </w:rPr>
            </w:pPr>
            <w:r w:rsidRPr="00E551A1">
              <w:rPr>
                <w:rFonts w:ascii="Arial" w:eastAsia="Times New Roman" w:hAnsi="Arial" w:cs="Arial"/>
                <w:color w:val="000000"/>
              </w:rPr>
              <w:t>Net increase in cash and cash equivalents and bank overdrafts</w:t>
            </w:r>
          </w:p>
        </w:tc>
        <w:tc>
          <w:tcPr>
            <w:tcW w:w="2438" w:type="dxa"/>
            <w:tcBorders>
              <w:top w:val="single" w:sz="4" w:space="0" w:color="auto"/>
              <w:left w:val="single" w:sz="4" w:space="0" w:color="auto"/>
              <w:bottom w:val="single" w:sz="4" w:space="0" w:color="auto"/>
              <w:right w:val="single" w:sz="4" w:space="0" w:color="auto"/>
            </w:tcBorders>
            <w:hideMark/>
          </w:tcPr>
          <w:p w14:paraId="65C16A49" w14:textId="65919E58" w:rsidR="00EB4495" w:rsidRPr="00E27F19" w:rsidRDefault="00EB4495" w:rsidP="00B52814">
            <w:pPr>
              <w:jc w:val="left"/>
              <w:rPr>
                <w:rFonts w:ascii="Arial" w:eastAsia="Times New Roman" w:hAnsi="Arial" w:cs="Arial"/>
                <w:color w:val="000000"/>
                <w:lang w:eastAsia="en-US"/>
              </w:rPr>
            </w:pPr>
            <w:r w:rsidRPr="00E27F19">
              <w:rPr>
                <w:rFonts w:ascii="Arial" w:eastAsia="Times New Roman" w:hAnsi="Arial" w:cs="Arial"/>
                <w:color w:val="000000"/>
                <w:lang w:eastAsia="en-US"/>
              </w:rPr>
              <w:t xml:space="preserve">A reconciliation of free cash flow is set out in the </w:t>
            </w:r>
            <w:r w:rsidRPr="00E27F19">
              <w:rPr>
                <w:rFonts w:ascii="Arial" w:hAnsi="Arial" w:cs="Arial"/>
                <w:color w:val="000000"/>
                <w:lang w:eastAsia="en-US"/>
              </w:rPr>
              <w:t xml:space="preserve">Financial Review (Section </w:t>
            </w:r>
            <w:r w:rsidR="00E27F19">
              <w:rPr>
                <w:rFonts w:ascii="Arial" w:hAnsi="Arial" w:cs="Arial"/>
                <w:color w:val="000000"/>
                <w:lang w:eastAsia="en-US"/>
              </w:rPr>
              <w:t>5</w:t>
            </w:r>
            <w:r w:rsidRPr="00E27F19">
              <w:rPr>
                <w:rFonts w:ascii="Arial" w:hAnsi="Arial" w:cs="Arial"/>
                <w:color w:val="000000"/>
                <w:lang w:eastAsia="en-US"/>
              </w:rPr>
              <w:t>)</w:t>
            </w:r>
          </w:p>
        </w:tc>
        <w:tc>
          <w:tcPr>
            <w:tcW w:w="4649" w:type="dxa"/>
            <w:tcBorders>
              <w:top w:val="single" w:sz="4" w:space="0" w:color="auto"/>
              <w:left w:val="single" w:sz="4" w:space="0" w:color="auto"/>
              <w:bottom w:val="single" w:sz="4" w:space="0" w:color="auto"/>
              <w:right w:val="single" w:sz="4" w:space="0" w:color="auto"/>
            </w:tcBorders>
            <w:hideMark/>
          </w:tcPr>
          <w:p w14:paraId="48176BC1" w14:textId="7DAEDBD7" w:rsidR="00EB4495" w:rsidRPr="00E27F19" w:rsidRDefault="00A331D1" w:rsidP="00B52814">
            <w:pPr>
              <w:jc w:val="left"/>
              <w:rPr>
                <w:rFonts w:ascii="Arial" w:eastAsia="Times New Roman" w:hAnsi="Arial" w:cs="Arial"/>
                <w:color w:val="000000"/>
                <w:lang w:eastAsia="en-US"/>
              </w:rPr>
            </w:pPr>
            <w:r w:rsidRPr="00097A19">
              <w:rPr>
                <w:rFonts w:ascii="Arial" w:eastAsia="Times New Roman" w:hAnsi="Arial" w:cs="Arial"/>
                <w:color w:val="000000"/>
              </w:rPr>
              <w:t xml:space="preserve">Free cash flow represents the cash generated from operations (excluding </w:t>
            </w:r>
            <w:r>
              <w:rPr>
                <w:rFonts w:ascii="Arial" w:eastAsia="Times New Roman" w:hAnsi="Arial" w:cs="Arial"/>
                <w:color w:val="000000"/>
              </w:rPr>
              <w:t>adjusting</w:t>
            </w:r>
            <w:r w:rsidRPr="00097A19">
              <w:rPr>
                <w:rFonts w:ascii="Arial" w:eastAsia="Times New Roman" w:hAnsi="Arial" w:cs="Arial"/>
                <w:color w:val="000000"/>
              </w:rPr>
              <w:t xml:space="preserve"> items) less the amount spent on interest, tax and capital expenditure during the year (excluding asset disposals).</w:t>
            </w:r>
            <w:r>
              <w:rPr>
                <w:rFonts w:ascii="Arial" w:eastAsia="Times New Roman" w:hAnsi="Arial" w:cs="Arial"/>
                <w:color w:val="000000"/>
              </w:rPr>
              <w:t xml:space="preserve"> </w:t>
            </w:r>
            <w:r w:rsidRPr="00097A19">
              <w:rPr>
                <w:rFonts w:ascii="Arial" w:eastAsia="Times New Roman" w:hAnsi="Arial" w:cs="Arial"/>
                <w:color w:val="000000"/>
              </w:rPr>
              <w:t>This provides a measure of how much cash the business generates that can be used for expansion, capital returns and other purposes.</w:t>
            </w:r>
          </w:p>
        </w:tc>
      </w:tr>
      <w:tr w:rsidR="00010DC1" w:rsidRPr="00EB4495" w14:paraId="12E6BDF3" w14:textId="77777777" w:rsidTr="003F41A1">
        <w:trPr>
          <w:trHeight w:val="1247"/>
        </w:trPr>
        <w:tc>
          <w:tcPr>
            <w:tcW w:w="1701" w:type="dxa"/>
            <w:tcBorders>
              <w:top w:val="single" w:sz="4" w:space="0" w:color="auto"/>
              <w:left w:val="single" w:sz="4" w:space="0" w:color="auto"/>
              <w:bottom w:val="single" w:sz="4" w:space="0" w:color="auto"/>
              <w:right w:val="single" w:sz="4" w:space="0" w:color="auto"/>
            </w:tcBorders>
            <w:hideMark/>
          </w:tcPr>
          <w:p w14:paraId="6562BD4B"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Gross margin % </w:t>
            </w:r>
          </w:p>
        </w:tc>
        <w:tc>
          <w:tcPr>
            <w:tcW w:w="1531" w:type="dxa"/>
            <w:tcBorders>
              <w:top w:val="single" w:sz="4" w:space="0" w:color="auto"/>
              <w:left w:val="single" w:sz="4" w:space="0" w:color="auto"/>
              <w:bottom w:val="single" w:sz="4" w:space="0" w:color="auto"/>
              <w:right w:val="single" w:sz="4" w:space="0" w:color="auto"/>
            </w:tcBorders>
            <w:hideMark/>
          </w:tcPr>
          <w:p w14:paraId="1804DE5C"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0DD3296B"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649" w:type="dxa"/>
            <w:tcBorders>
              <w:top w:val="single" w:sz="4" w:space="0" w:color="auto"/>
              <w:left w:val="single" w:sz="4" w:space="0" w:color="auto"/>
              <w:bottom w:val="single" w:sz="4" w:space="0" w:color="auto"/>
              <w:right w:val="single" w:sz="4" w:space="0" w:color="auto"/>
            </w:tcBorders>
            <w:hideMark/>
          </w:tcPr>
          <w:p w14:paraId="78E8B7F9"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Gross profit represents sales from the supply of home improvement products and services (excluding VAT), less the associated cost of those sales. Gross margin % represents gross profit as a percentage of sales. It is a measure of operating performance.</w:t>
            </w:r>
          </w:p>
        </w:tc>
      </w:tr>
      <w:tr w:rsidR="00010DC1" w:rsidRPr="00EB4495" w14:paraId="6F5DA887" w14:textId="77777777" w:rsidTr="003F41A1">
        <w:trPr>
          <w:trHeight w:val="510"/>
        </w:trPr>
        <w:tc>
          <w:tcPr>
            <w:tcW w:w="1701" w:type="dxa"/>
            <w:tcBorders>
              <w:top w:val="single" w:sz="4" w:space="0" w:color="auto"/>
              <w:left w:val="single" w:sz="4" w:space="0" w:color="auto"/>
              <w:bottom w:val="single" w:sz="4" w:space="0" w:color="auto"/>
              <w:right w:val="single" w:sz="4" w:space="0" w:color="auto"/>
            </w:tcBorders>
            <w:hideMark/>
          </w:tcPr>
          <w:p w14:paraId="3911DBBC"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LFL</w:t>
            </w:r>
          </w:p>
        </w:tc>
        <w:tc>
          <w:tcPr>
            <w:tcW w:w="1531" w:type="dxa"/>
            <w:tcBorders>
              <w:top w:val="single" w:sz="4" w:space="0" w:color="auto"/>
              <w:left w:val="single" w:sz="4" w:space="0" w:color="auto"/>
              <w:bottom w:val="single" w:sz="4" w:space="0" w:color="auto"/>
              <w:right w:val="single" w:sz="4" w:space="0" w:color="auto"/>
            </w:tcBorders>
            <w:hideMark/>
          </w:tcPr>
          <w:p w14:paraId="7D278792"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Sales</w:t>
            </w:r>
          </w:p>
        </w:tc>
        <w:tc>
          <w:tcPr>
            <w:tcW w:w="2438" w:type="dxa"/>
            <w:tcBorders>
              <w:top w:val="single" w:sz="4" w:space="0" w:color="auto"/>
              <w:left w:val="single" w:sz="4" w:space="0" w:color="auto"/>
              <w:bottom w:val="single" w:sz="4" w:space="0" w:color="auto"/>
              <w:right w:val="single" w:sz="4" w:space="0" w:color="auto"/>
            </w:tcBorders>
            <w:hideMark/>
          </w:tcPr>
          <w:p w14:paraId="7088E8CB"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Refer to definition</w:t>
            </w:r>
          </w:p>
        </w:tc>
        <w:tc>
          <w:tcPr>
            <w:tcW w:w="4649" w:type="dxa"/>
            <w:tcBorders>
              <w:top w:val="single" w:sz="4" w:space="0" w:color="auto"/>
              <w:left w:val="single" w:sz="4" w:space="0" w:color="auto"/>
              <w:bottom w:val="single" w:sz="4" w:space="0" w:color="auto"/>
              <w:right w:val="single" w:sz="4" w:space="0" w:color="auto"/>
            </w:tcBorders>
            <w:hideMark/>
          </w:tcPr>
          <w:p w14:paraId="4F579E38"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LFL (like-for-like) sales growth represents the constant currency, year on year sales growth for stores that have been open for more than one year. </w:t>
            </w:r>
            <w:r w:rsidRPr="00EB4495">
              <w:rPr>
                <w:rFonts w:ascii="Arial" w:eastAsia="Times New Roman" w:hAnsi="Arial" w:cs="Arial"/>
                <w:bCs/>
                <w:color w:val="000000"/>
                <w:lang w:eastAsia="en-US"/>
              </w:rPr>
              <w:t xml:space="preserve">Stores temporarily closed or otherwise impacted due to COVID are also included. </w:t>
            </w:r>
            <w:r w:rsidRPr="00EB4495">
              <w:rPr>
                <w:rFonts w:ascii="Arial" w:eastAsia="Times New Roman" w:hAnsi="Arial" w:cs="Arial"/>
                <w:color w:val="000000"/>
                <w:lang w:eastAsia="en-US"/>
              </w:rPr>
              <w:t>It is a measure to reflect the Group's performance on a comparable basis.</w:t>
            </w:r>
          </w:p>
        </w:tc>
      </w:tr>
      <w:tr w:rsidR="00010DC1" w:rsidRPr="00EB4495" w14:paraId="18030B22" w14:textId="77777777" w:rsidTr="003F41A1">
        <w:trPr>
          <w:trHeight w:val="510"/>
        </w:trPr>
        <w:tc>
          <w:tcPr>
            <w:tcW w:w="1701" w:type="dxa"/>
            <w:tcBorders>
              <w:top w:val="single" w:sz="4" w:space="0" w:color="auto"/>
              <w:left w:val="single" w:sz="4" w:space="0" w:color="auto"/>
              <w:bottom w:val="single" w:sz="4" w:space="0" w:color="auto"/>
              <w:right w:val="single" w:sz="4" w:space="0" w:color="auto"/>
            </w:tcBorders>
            <w:hideMark/>
          </w:tcPr>
          <w:p w14:paraId="7717293E"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2-year LFL</w:t>
            </w:r>
          </w:p>
        </w:tc>
        <w:tc>
          <w:tcPr>
            <w:tcW w:w="1531" w:type="dxa"/>
            <w:tcBorders>
              <w:top w:val="single" w:sz="4" w:space="0" w:color="auto"/>
              <w:left w:val="single" w:sz="4" w:space="0" w:color="auto"/>
              <w:bottom w:val="single" w:sz="4" w:space="0" w:color="auto"/>
              <w:right w:val="single" w:sz="4" w:space="0" w:color="auto"/>
            </w:tcBorders>
            <w:hideMark/>
          </w:tcPr>
          <w:p w14:paraId="4E96266F"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Sales</w:t>
            </w:r>
          </w:p>
        </w:tc>
        <w:tc>
          <w:tcPr>
            <w:tcW w:w="2438" w:type="dxa"/>
            <w:tcBorders>
              <w:top w:val="single" w:sz="4" w:space="0" w:color="auto"/>
              <w:left w:val="single" w:sz="4" w:space="0" w:color="auto"/>
              <w:bottom w:val="single" w:sz="4" w:space="0" w:color="auto"/>
              <w:right w:val="single" w:sz="4" w:space="0" w:color="auto"/>
            </w:tcBorders>
            <w:hideMark/>
          </w:tcPr>
          <w:p w14:paraId="714D545A" w14:textId="77777777"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Refer to definition</w:t>
            </w:r>
          </w:p>
        </w:tc>
        <w:tc>
          <w:tcPr>
            <w:tcW w:w="4649" w:type="dxa"/>
            <w:tcBorders>
              <w:top w:val="single" w:sz="4" w:space="0" w:color="auto"/>
              <w:left w:val="single" w:sz="4" w:space="0" w:color="auto"/>
              <w:bottom w:val="single" w:sz="4" w:space="0" w:color="auto"/>
              <w:right w:val="single" w:sz="4" w:space="0" w:color="auto"/>
            </w:tcBorders>
            <w:hideMark/>
          </w:tcPr>
          <w:p w14:paraId="3EA9ED57" w14:textId="1E74817E" w:rsidR="00EB4495" w:rsidRPr="00EB4495" w:rsidRDefault="00EB4495"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2-year LFL is calculated by compounding current and prior year LFL growth. For example, current year LFL growth of 10% and prior year LFL growth of 5% results in 2-year LFL growth of 15.5%. </w:t>
            </w:r>
            <w:r w:rsidR="00A331D1">
              <w:rPr>
                <w:rFonts w:ascii="Arial" w:hAnsi="Arial" w:cs="Arial"/>
                <w:bCs/>
              </w:rPr>
              <w:t>Prior year LFL growth excludes Russia for the purposes of the Group and Other International 2-year LFL calculations.</w:t>
            </w:r>
            <w:r w:rsidR="00A331D1" w:rsidRPr="00F55A76">
              <w:rPr>
                <w:rFonts w:ascii="Arial" w:eastAsia="Times New Roman" w:hAnsi="Arial" w:cs="Arial"/>
                <w:color w:val="000000"/>
              </w:rPr>
              <w:t xml:space="preserve"> </w:t>
            </w:r>
            <w:r w:rsidRPr="00EB4495">
              <w:rPr>
                <w:rFonts w:ascii="Arial" w:eastAsia="Times New Roman" w:hAnsi="Arial" w:cs="Arial"/>
                <w:color w:val="000000"/>
                <w:lang w:eastAsia="en-US"/>
              </w:rPr>
              <w:t xml:space="preserve">It is a measure </w:t>
            </w:r>
            <w:r w:rsidR="00A331D1">
              <w:rPr>
                <w:rFonts w:ascii="Arial" w:eastAsia="Times New Roman" w:hAnsi="Arial" w:cs="Arial"/>
                <w:color w:val="000000"/>
                <w:lang w:eastAsia="en-US"/>
              </w:rPr>
              <w:t xml:space="preserve">of </w:t>
            </w:r>
            <w:r w:rsidRPr="00EB4495">
              <w:rPr>
                <w:rFonts w:ascii="Arial" w:eastAsia="Times New Roman" w:hAnsi="Arial" w:cs="Arial"/>
                <w:color w:val="000000"/>
                <w:lang w:eastAsia="en-US"/>
              </w:rPr>
              <w:t>the Group's performance on a comparable basis.</w:t>
            </w:r>
          </w:p>
        </w:tc>
      </w:tr>
      <w:tr w:rsidR="00010DC1" w:rsidRPr="00EB4495" w14:paraId="3F4A9C35" w14:textId="77777777" w:rsidTr="003F41A1">
        <w:trPr>
          <w:trHeight w:val="1350"/>
        </w:trPr>
        <w:tc>
          <w:tcPr>
            <w:tcW w:w="1701" w:type="dxa"/>
            <w:tcBorders>
              <w:top w:val="single" w:sz="4" w:space="0" w:color="auto"/>
              <w:left w:val="single" w:sz="4" w:space="0" w:color="auto"/>
              <w:bottom w:val="single" w:sz="4" w:space="0" w:color="auto"/>
              <w:right w:val="single" w:sz="4" w:space="0" w:color="auto"/>
            </w:tcBorders>
            <w:hideMark/>
          </w:tcPr>
          <w:p w14:paraId="47CED9BD"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Net debt</w:t>
            </w:r>
          </w:p>
        </w:tc>
        <w:tc>
          <w:tcPr>
            <w:tcW w:w="1531" w:type="dxa"/>
            <w:tcBorders>
              <w:top w:val="single" w:sz="4" w:space="0" w:color="auto"/>
              <w:left w:val="single" w:sz="4" w:space="0" w:color="auto"/>
              <w:bottom w:val="single" w:sz="4" w:space="0" w:color="auto"/>
              <w:right w:val="single" w:sz="4" w:space="0" w:color="auto"/>
            </w:tcBorders>
            <w:hideMark/>
          </w:tcPr>
          <w:p w14:paraId="6583FEF3"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13D8A192" w14:textId="1791A13B"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 reconciliation of </w:t>
            </w:r>
            <w:r w:rsidRPr="00E27F19">
              <w:rPr>
                <w:rFonts w:ascii="Arial" w:eastAsia="Times New Roman" w:hAnsi="Arial" w:cs="Arial"/>
                <w:color w:val="000000"/>
                <w:lang w:eastAsia="en-US"/>
              </w:rPr>
              <w:t xml:space="preserve">this measure is provided in </w:t>
            </w:r>
            <w:r w:rsidRPr="00E27F19">
              <w:rPr>
                <w:rFonts w:ascii="Arial" w:hAnsi="Arial" w:cs="Arial"/>
                <w:color w:val="000000"/>
                <w:lang w:eastAsia="en-US"/>
              </w:rPr>
              <w:t xml:space="preserve">note </w:t>
            </w:r>
            <w:r w:rsidRPr="006957EC">
              <w:rPr>
                <w:rFonts w:ascii="Arial" w:hAnsi="Arial" w:cs="Arial"/>
                <w:color w:val="000000"/>
                <w:lang w:eastAsia="en-US"/>
              </w:rPr>
              <w:t>1</w:t>
            </w:r>
            <w:r w:rsidR="00C170D1">
              <w:rPr>
                <w:rFonts w:ascii="Arial" w:hAnsi="Arial" w:cs="Arial"/>
                <w:color w:val="000000"/>
                <w:lang w:eastAsia="en-US"/>
              </w:rPr>
              <w:t>2</w:t>
            </w:r>
            <w:r w:rsidR="00E27F19" w:rsidRPr="00E27F19">
              <w:rPr>
                <w:rFonts w:ascii="Arial" w:eastAsia="Times New Roman" w:hAnsi="Arial" w:cs="Arial"/>
                <w:color w:val="000000"/>
                <w:lang w:eastAsia="en-US"/>
              </w:rPr>
              <w:t xml:space="preserve"> </w:t>
            </w:r>
            <w:r w:rsidRPr="00E27F19">
              <w:rPr>
                <w:rFonts w:ascii="Arial" w:eastAsia="Times New Roman" w:hAnsi="Arial" w:cs="Arial"/>
                <w:color w:val="000000"/>
                <w:lang w:eastAsia="en-US"/>
              </w:rPr>
              <w:t>of the condensed financial</w:t>
            </w:r>
            <w:r w:rsidRPr="00EB4495">
              <w:rPr>
                <w:rFonts w:ascii="Arial" w:eastAsia="Times New Roman" w:hAnsi="Arial" w:cs="Arial"/>
                <w:color w:val="000000"/>
                <w:lang w:eastAsia="en-US"/>
              </w:rPr>
              <w:t xml:space="preserve"> statements</w:t>
            </w:r>
          </w:p>
        </w:tc>
        <w:tc>
          <w:tcPr>
            <w:tcW w:w="4649" w:type="dxa"/>
            <w:tcBorders>
              <w:top w:val="single" w:sz="4" w:space="0" w:color="auto"/>
              <w:left w:val="single" w:sz="4" w:space="0" w:color="auto"/>
              <w:bottom w:val="single" w:sz="4" w:space="0" w:color="auto"/>
              <w:right w:val="single" w:sz="4" w:space="0" w:color="auto"/>
            </w:tcBorders>
            <w:hideMark/>
          </w:tcPr>
          <w:p w14:paraId="78BB2A17" w14:textId="0F927B9C"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Net debt comprises lease liabilities, borrowings and financing derivatives (excluding accrued interest), less cash and cash equivalents and </w:t>
            </w:r>
            <w:proofErr w:type="gramStart"/>
            <w:r w:rsidRPr="00EB4495">
              <w:rPr>
                <w:rFonts w:ascii="Arial" w:eastAsia="Times New Roman" w:hAnsi="Arial" w:cs="Arial"/>
                <w:color w:val="000000"/>
                <w:lang w:eastAsia="en-US"/>
              </w:rPr>
              <w:t>short</w:t>
            </w:r>
            <w:r w:rsidR="00A331D1">
              <w:rPr>
                <w:rFonts w:ascii="Arial" w:eastAsia="Times New Roman" w:hAnsi="Arial" w:cs="Arial"/>
                <w:color w:val="000000"/>
                <w:lang w:eastAsia="en-US"/>
              </w:rPr>
              <w:t xml:space="preserve"> </w:t>
            </w:r>
            <w:r w:rsidRPr="00EB4495">
              <w:rPr>
                <w:rFonts w:ascii="Arial" w:eastAsia="Times New Roman" w:hAnsi="Arial" w:cs="Arial"/>
                <w:color w:val="000000"/>
                <w:lang w:eastAsia="en-US"/>
              </w:rPr>
              <w:t>term</w:t>
            </w:r>
            <w:proofErr w:type="gramEnd"/>
            <w:r w:rsidRPr="00EB4495">
              <w:rPr>
                <w:rFonts w:ascii="Arial" w:eastAsia="Times New Roman" w:hAnsi="Arial" w:cs="Arial"/>
                <w:color w:val="000000"/>
                <w:lang w:eastAsia="en-US"/>
              </w:rPr>
              <w:t xml:space="preserve"> deposits, including such balances classified as held for sale. </w:t>
            </w:r>
          </w:p>
        </w:tc>
      </w:tr>
      <w:tr w:rsidR="00010DC1" w:rsidRPr="00EB4495" w14:paraId="7DBEDF88" w14:textId="77777777" w:rsidTr="003F41A1">
        <w:trPr>
          <w:trHeight w:val="1020"/>
        </w:trPr>
        <w:tc>
          <w:tcPr>
            <w:tcW w:w="1701" w:type="dxa"/>
            <w:tcBorders>
              <w:top w:val="single" w:sz="4" w:space="0" w:color="auto"/>
              <w:left w:val="single" w:sz="4" w:space="0" w:color="auto"/>
              <w:bottom w:val="single" w:sz="4" w:space="0" w:color="auto"/>
              <w:right w:val="single" w:sz="4" w:space="0" w:color="auto"/>
            </w:tcBorders>
            <w:hideMark/>
          </w:tcPr>
          <w:p w14:paraId="2C576DCE"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Net cash flow</w:t>
            </w:r>
          </w:p>
        </w:tc>
        <w:tc>
          <w:tcPr>
            <w:tcW w:w="1531" w:type="dxa"/>
            <w:tcBorders>
              <w:top w:val="single" w:sz="4" w:space="0" w:color="auto"/>
              <w:left w:val="single" w:sz="4" w:space="0" w:color="auto"/>
              <w:bottom w:val="single" w:sz="4" w:space="0" w:color="auto"/>
              <w:right w:val="single" w:sz="4" w:space="0" w:color="auto"/>
            </w:tcBorders>
            <w:hideMark/>
          </w:tcPr>
          <w:p w14:paraId="311C356E"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Net increase in cash and cash equivalents and bank overdrafts</w:t>
            </w:r>
          </w:p>
        </w:tc>
        <w:tc>
          <w:tcPr>
            <w:tcW w:w="2438" w:type="dxa"/>
            <w:tcBorders>
              <w:top w:val="single" w:sz="4" w:space="0" w:color="auto"/>
              <w:left w:val="single" w:sz="4" w:space="0" w:color="auto"/>
              <w:bottom w:val="single" w:sz="4" w:space="0" w:color="auto"/>
              <w:right w:val="single" w:sz="4" w:space="0" w:color="auto"/>
            </w:tcBorders>
            <w:hideMark/>
          </w:tcPr>
          <w:p w14:paraId="223A7C47" w14:textId="48E30284"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 reconciliation of net cash flow is set out in </w:t>
            </w:r>
            <w:r w:rsidR="00A331D1" w:rsidRPr="00E0494B">
              <w:rPr>
                <w:rFonts w:ascii="Arial" w:eastAsia="Times New Roman" w:hAnsi="Arial" w:cs="Arial"/>
                <w:color w:val="000000"/>
              </w:rPr>
              <w:t>the Financial Review (Section 5)</w:t>
            </w:r>
            <w:r w:rsidR="00A331D1">
              <w:rPr>
                <w:rFonts w:ascii="Arial" w:eastAsia="Times New Roman" w:hAnsi="Arial" w:cs="Arial"/>
                <w:color w:val="000000"/>
              </w:rPr>
              <w:t xml:space="preserve"> and </w:t>
            </w:r>
            <w:r w:rsidR="00A331D1" w:rsidRPr="00702704">
              <w:rPr>
                <w:rFonts w:ascii="Arial" w:eastAsia="Times New Roman" w:hAnsi="Arial" w:cs="Arial"/>
                <w:color w:val="000000"/>
              </w:rPr>
              <w:t xml:space="preserve">in </w:t>
            </w:r>
            <w:r w:rsidR="00A331D1" w:rsidRPr="00FE2F7D">
              <w:rPr>
                <w:rFonts w:ascii="Arial" w:eastAsia="Times New Roman" w:hAnsi="Arial" w:cs="Arial"/>
                <w:color w:val="000000"/>
              </w:rPr>
              <w:t xml:space="preserve">note </w:t>
            </w:r>
            <w:r w:rsidR="00A331D1" w:rsidRPr="006957EC">
              <w:rPr>
                <w:rFonts w:ascii="Arial" w:eastAsia="Times New Roman" w:hAnsi="Arial" w:cs="Arial"/>
                <w:color w:val="000000"/>
              </w:rPr>
              <w:t>1</w:t>
            </w:r>
            <w:r w:rsidR="00C170D1">
              <w:rPr>
                <w:rFonts w:ascii="Arial" w:eastAsia="Times New Roman" w:hAnsi="Arial" w:cs="Arial"/>
                <w:color w:val="000000"/>
              </w:rPr>
              <w:t>2</w:t>
            </w:r>
            <w:r w:rsidR="00A331D1">
              <w:rPr>
                <w:rFonts w:ascii="Arial" w:eastAsia="Times New Roman" w:hAnsi="Arial" w:cs="Arial"/>
                <w:color w:val="000000"/>
              </w:rPr>
              <w:t xml:space="preserve"> of the condensed financial statements</w:t>
            </w:r>
          </w:p>
        </w:tc>
        <w:tc>
          <w:tcPr>
            <w:tcW w:w="4649" w:type="dxa"/>
            <w:tcBorders>
              <w:top w:val="single" w:sz="4" w:space="0" w:color="auto"/>
              <w:left w:val="single" w:sz="4" w:space="0" w:color="auto"/>
              <w:bottom w:val="single" w:sz="4" w:space="0" w:color="auto"/>
              <w:right w:val="single" w:sz="4" w:space="0" w:color="auto"/>
            </w:tcBorders>
            <w:hideMark/>
          </w:tcPr>
          <w:p w14:paraId="38BE75ED"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Net cash flow is a measure to reflect the total movement in the net debt balance during the year excluding the movement in lease liabilities, exchange differences and other non-cash movements. </w:t>
            </w:r>
          </w:p>
        </w:tc>
      </w:tr>
      <w:tr w:rsidR="00010DC1" w:rsidRPr="00EB4495" w14:paraId="33B91098" w14:textId="77777777" w:rsidTr="003F41A1">
        <w:trPr>
          <w:trHeight w:val="1020"/>
        </w:trPr>
        <w:tc>
          <w:tcPr>
            <w:tcW w:w="1701" w:type="dxa"/>
            <w:tcBorders>
              <w:top w:val="single" w:sz="4" w:space="0" w:color="auto"/>
              <w:left w:val="single" w:sz="4" w:space="0" w:color="auto"/>
              <w:bottom w:val="single" w:sz="4" w:space="0" w:color="auto"/>
              <w:right w:val="single" w:sz="4" w:space="0" w:color="auto"/>
            </w:tcBorders>
            <w:hideMark/>
          </w:tcPr>
          <w:p w14:paraId="1E926DD4"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lastRenderedPageBreak/>
              <w:t>Non-recurring net cost savings</w:t>
            </w:r>
          </w:p>
        </w:tc>
        <w:tc>
          <w:tcPr>
            <w:tcW w:w="1531" w:type="dxa"/>
            <w:tcBorders>
              <w:top w:val="single" w:sz="4" w:space="0" w:color="auto"/>
              <w:left w:val="single" w:sz="4" w:space="0" w:color="auto"/>
              <w:bottom w:val="single" w:sz="4" w:space="0" w:color="auto"/>
              <w:right w:val="single" w:sz="4" w:space="0" w:color="auto"/>
            </w:tcBorders>
            <w:hideMark/>
          </w:tcPr>
          <w:p w14:paraId="728C1695"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034B57A8"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Not applicable</w:t>
            </w:r>
          </w:p>
        </w:tc>
        <w:tc>
          <w:tcPr>
            <w:tcW w:w="4649" w:type="dxa"/>
            <w:tcBorders>
              <w:top w:val="single" w:sz="4" w:space="0" w:color="auto"/>
              <w:left w:val="single" w:sz="4" w:space="0" w:color="auto"/>
              <w:bottom w:val="single" w:sz="4" w:space="0" w:color="auto"/>
              <w:right w:val="single" w:sz="4" w:space="0" w:color="auto"/>
            </w:tcBorders>
            <w:hideMark/>
          </w:tcPr>
          <w:p w14:paraId="7C6E6F84"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Non-recurring net cost savings include discretionary cost savings such as advertising &amp; marketing and government furlough programme support. This is net of one-off COVID-related costs, including supply &amp; logistics costs, costs of PPE and social distancing, donations, new store layouts, additional store security, and additional bonuses to frontline store staff.</w:t>
            </w:r>
          </w:p>
        </w:tc>
      </w:tr>
      <w:tr w:rsidR="005F642E" w:rsidRPr="00EB4495" w14:paraId="0DF69273" w14:textId="77777777" w:rsidTr="003F41A1">
        <w:trPr>
          <w:trHeight w:val="505"/>
        </w:trPr>
        <w:tc>
          <w:tcPr>
            <w:tcW w:w="1701" w:type="dxa"/>
            <w:tcBorders>
              <w:top w:val="single" w:sz="4" w:space="0" w:color="auto"/>
              <w:left w:val="single" w:sz="4" w:space="0" w:color="auto"/>
              <w:bottom w:val="single" w:sz="4" w:space="0" w:color="auto"/>
              <w:right w:val="single" w:sz="4" w:space="0" w:color="auto"/>
            </w:tcBorders>
          </w:tcPr>
          <w:p w14:paraId="7537C405" w14:textId="5638D4D9" w:rsidR="005F642E" w:rsidRPr="00EB4495" w:rsidRDefault="005F642E" w:rsidP="005F642E">
            <w:pPr>
              <w:jc w:val="left"/>
              <w:rPr>
                <w:rFonts w:ascii="Arial" w:eastAsia="Times New Roman" w:hAnsi="Arial" w:cs="Arial"/>
                <w:color w:val="000000"/>
                <w:lang w:eastAsia="en-US"/>
              </w:rPr>
            </w:pPr>
            <w:r>
              <w:rPr>
                <w:rFonts w:ascii="Arial" w:eastAsia="Times New Roman" w:hAnsi="Arial" w:cs="Arial"/>
                <w:color w:val="000000"/>
                <w:lang w:eastAsia="en-US"/>
              </w:rPr>
              <w:t>Operating costs</w:t>
            </w:r>
          </w:p>
        </w:tc>
        <w:tc>
          <w:tcPr>
            <w:tcW w:w="1531" w:type="dxa"/>
            <w:tcBorders>
              <w:top w:val="single" w:sz="4" w:space="0" w:color="auto"/>
              <w:left w:val="single" w:sz="4" w:space="0" w:color="auto"/>
              <w:bottom w:val="single" w:sz="4" w:space="0" w:color="auto"/>
              <w:right w:val="single" w:sz="4" w:space="0" w:color="auto"/>
            </w:tcBorders>
          </w:tcPr>
          <w:p w14:paraId="7767F6A3" w14:textId="5D4A7687" w:rsidR="005F642E" w:rsidRPr="00EB4495" w:rsidRDefault="005F642E" w:rsidP="005F642E">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tcPr>
          <w:p w14:paraId="6A6DD11C" w14:textId="0CB1EFE3" w:rsidR="005F642E" w:rsidRPr="00EB4495" w:rsidRDefault="005F642E" w:rsidP="005F642E">
            <w:pPr>
              <w:jc w:val="left"/>
              <w:rPr>
                <w:rFonts w:ascii="Arial" w:eastAsia="Times New Roman" w:hAnsi="Arial" w:cs="Arial"/>
                <w:color w:val="000000"/>
                <w:lang w:eastAsia="en-US"/>
              </w:rPr>
            </w:pPr>
            <w:r>
              <w:rPr>
                <w:rFonts w:ascii="Arial" w:eastAsia="Times New Roman" w:hAnsi="Arial" w:cs="Arial"/>
                <w:color w:val="000000"/>
                <w:lang w:eastAsia="en-US"/>
              </w:rPr>
              <w:t>Not applicable</w:t>
            </w:r>
          </w:p>
        </w:tc>
        <w:tc>
          <w:tcPr>
            <w:tcW w:w="4649" w:type="dxa"/>
            <w:tcBorders>
              <w:top w:val="single" w:sz="4" w:space="0" w:color="auto"/>
              <w:left w:val="single" w:sz="4" w:space="0" w:color="auto"/>
              <w:bottom w:val="single" w:sz="4" w:space="0" w:color="auto"/>
              <w:right w:val="single" w:sz="4" w:space="0" w:color="auto"/>
            </w:tcBorders>
          </w:tcPr>
          <w:p w14:paraId="11FC0FCB" w14:textId="21231213" w:rsidR="005F642E" w:rsidRPr="00EB4495" w:rsidRDefault="005F642E" w:rsidP="005F642E">
            <w:pPr>
              <w:jc w:val="left"/>
              <w:rPr>
                <w:rFonts w:ascii="Arial" w:eastAsia="Times New Roman" w:hAnsi="Arial" w:cs="Arial"/>
                <w:color w:val="000000"/>
                <w:lang w:eastAsia="en-US"/>
              </w:rPr>
            </w:pPr>
            <w:r>
              <w:rPr>
                <w:rFonts w:ascii="Arial" w:eastAsia="Times New Roman" w:hAnsi="Arial" w:cs="Arial"/>
                <w:color w:val="000000"/>
                <w:lang w:eastAsia="en-US"/>
              </w:rPr>
              <w:t xml:space="preserve">Operating costs represent gross profit less retail profit. </w:t>
            </w:r>
            <w:r w:rsidRPr="004F69D8">
              <w:rPr>
                <w:rFonts w:ascii="Arial" w:eastAsia="Times New Roman" w:hAnsi="Arial" w:cs="Arial"/>
                <w:color w:val="000000"/>
                <w:lang w:eastAsia="en-US"/>
              </w:rPr>
              <w:t>This is the Group</w:t>
            </w:r>
            <w:r>
              <w:rPr>
                <w:rFonts w:ascii="Arial" w:eastAsia="Times New Roman" w:hAnsi="Arial" w:cs="Arial"/>
                <w:color w:val="000000"/>
                <w:lang w:eastAsia="en-US"/>
              </w:rPr>
              <w:t>’</w:t>
            </w:r>
            <w:r w:rsidRPr="004F69D8">
              <w:rPr>
                <w:rFonts w:ascii="Arial" w:eastAsia="Times New Roman" w:hAnsi="Arial" w:cs="Arial"/>
                <w:color w:val="000000"/>
                <w:lang w:eastAsia="en-US"/>
              </w:rPr>
              <w:t xml:space="preserve">s operating </w:t>
            </w:r>
            <w:r>
              <w:rPr>
                <w:rFonts w:ascii="Arial" w:eastAsia="Times New Roman" w:hAnsi="Arial" w:cs="Arial"/>
                <w:color w:val="000000"/>
                <w:lang w:eastAsia="en-US"/>
              </w:rPr>
              <w:t>cost</w:t>
            </w:r>
            <w:r w:rsidRPr="004F69D8">
              <w:rPr>
                <w:rFonts w:ascii="Arial" w:eastAsia="Times New Roman" w:hAnsi="Arial" w:cs="Arial"/>
                <w:color w:val="000000"/>
                <w:lang w:eastAsia="en-US"/>
              </w:rPr>
              <w:t xml:space="preserve"> measure used to report the performance of our retail businesses.</w:t>
            </w:r>
          </w:p>
        </w:tc>
      </w:tr>
      <w:tr w:rsidR="00010DC1" w:rsidRPr="00EB4495" w14:paraId="660E9CBF" w14:textId="77777777" w:rsidTr="003F41A1">
        <w:trPr>
          <w:trHeight w:val="505"/>
        </w:trPr>
        <w:tc>
          <w:tcPr>
            <w:tcW w:w="1701" w:type="dxa"/>
            <w:tcBorders>
              <w:top w:val="single" w:sz="4" w:space="0" w:color="auto"/>
              <w:left w:val="single" w:sz="4" w:space="0" w:color="auto"/>
              <w:bottom w:val="single" w:sz="4" w:space="0" w:color="auto"/>
              <w:right w:val="single" w:sz="4" w:space="0" w:color="auto"/>
            </w:tcBorders>
            <w:hideMark/>
          </w:tcPr>
          <w:p w14:paraId="5DBE6884"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Retail profit </w:t>
            </w:r>
          </w:p>
        </w:tc>
        <w:tc>
          <w:tcPr>
            <w:tcW w:w="1531" w:type="dxa"/>
            <w:tcBorders>
              <w:top w:val="single" w:sz="4" w:space="0" w:color="auto"/>
              <w:left w:val="single" w:sz="4" w:space="0" w:color="auto"/>
              <w:bottom w:val="single" w:sz="4" w:space="0" w:color="auto"/>
              <w:right w:val="single" w:sz="4" w:space="0" w:color="auto"/>
            </w:tcBorders>
            <w:hideMark/>
          </w:tcPr>
          <w:p w14:paraId="6CBC6CDD"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Profit before taxation</w:t>
            </w:r>
          </w:p>
        </w:tc>
        <w:tc>
          <w:tcPr>
            <w:tcW w:w="2438" w:type="dxa"/>
            <w:tcBorders>
              <w:top w:val="single" w:sz="4" w:space="0" w:color="auto"/>
              <w:left w:val="single" w:sz="4" w:space="0" w:color="auto"/>
              <w:bottom w:val="single" w:sz="4" w:space="0" w:color="auto"/>
              <w:right w:val="single" w:sz="4" w:space="0" w:color="auto"/>
            </w:tcBorders>
            <w:hideMark/>
          </w:tcPr>
          <w:p w14:paraId="13A93D1E" w14:textId="2DDCBBB5"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 reconciliation </w:t>
            </w:r>
            <w:r w:rsidR="001536BD">
              <w:rPr>
                <w:rFonts w:ascii="Arial" w:eastAsia="Times New Roman" w:hAnsi="Arial" w:cs="Arial"/>
                <w:color w:val="000000"/>
                <w:lang w:eastAsia="en-US"/>
              </w:rPr>
              <w:t xml:space="preserve">of Group </w:t>
            </w:r>
            <w:r w:rsidR="001B3004">
              <w:rPr>
                <w:rFonts w:ascii="Arial" w:eastAsia="Times New Roman" w:hAnsi="Arial" w:cs="Arial"/>
                <w:color w:val="000000"/>
                <w:lang w:eastAsia="en-US"/>
              </w:rPr>
              <w:t xml:space="preserve">retail profit </w:t>
            </w:r>
            <w:r w:rsidRPr="00EB4495">
              <w:rPr>
                <w:rFonts w:ascii="Arial" w:eastAsia="Times New Roman" w:hAnsi="Arial" w:cs="Arial"/>
                <w:color w:val="000000"/>
                <w:lang w:eastAsia="en-US"/>
              </w:rPr>
              <w:t xml:space="preserve">to profit before taxation is set out in the </w:t>
            </w:r>
            <w:r w:rsidRPr="00EB4495">
              <w:rPr>
                <w:rFonts w:ascii="Arial" w:hAnsi="Arial" w:cs="Arial"/>
                <w:color w:val="000000"/>
                <w:lang w:eastAsia="en-US"/>
              </w:rPr>
              <w:t xml:space="preserve">Financial </w:t>
            </w:r>
            <w:r w:rsidRPr="00E27F19">
              <w:rPr>
                <w:rFonts w:ascii="Arial" w:hAnsi="Arial" w:cs="Arial"/>
                <w:color w:val="000000"/>
                <w:lang w:eastAsia="en-US"/>
              </w:rPr>
              <w:t xml:space="preserve">Review (Section </w:t>
            </w:r>
            <w:r w:rsidR="00E27F19">
              <w:rPr>
                <w:rFonts w:ascii="Arial" w:hAnsi="Arial" w:cs="Arial"/>
                <w:color w:val="000000"/>
                <w:lang w:eastAsia="en-US"/>
              </w:rPr>
              <w:t>5</w:t>
            </w:r>
            <w:r w:rsidRPr="00E27F19">
              <w:rPr>
                <w:rFonts w:ascii="Arial" w:hAnsi="Arial" w:cs="Arial"/>
                <w:color w:val="000000"/>
                <w:lang w:eastAsia="en-US"/>
              </w:rPr>
              <w:t>) and</w:t>
            </w:r>
            <w:r w:rsidRPr="00EB4495">
              <w:rPr>
                <w:rFonts w:ascii="Arial" w:hAnsi="Arial" w:cs="Arial"/>
                <w:color w:val="000000"/>
                <w:lang w:eastAsia="en-US"/>
              </w:rPr>
              <w:t xml:space="preserve"> note </w:t>
            </w:r>
            <w:r w:rsidR="000E09DB">
              <w:rPr>
                <w:rFonts w:ascii="Arial" w:hAnsi="Arial" w:cs="Arial"/>
                <w:color w:val="000000"/>
                <w:lang w:eastAsia="en-US"/>
              </w:rPr>
              <w:t>3</w:t>
            </w:r>
            <w:r w:rsidR="00713F48" w:rsidRPr="00EB4495">
              <w:rPr>
                <w:rFonts w:ascii="Arial" w:hAnsi="Arial" w:cs="Arial"/>
                <w:color w:val="000000"/>
                <w:lang w:eastAsia="en-US"/>
              </w:rPr>
              <w:t xml:space="preserve"> </w:t>
            </w:r>
            <w:r w:rsidRPr="00EB4495">
              <w:rPr>
                <w:rFonts w:ascii="Arial" w:eastAsia="Times New Roman" w:hAnsi="Arial" w:cs="Arial"/>
                <w:color w:val="000000"/>
                <w:lang w:eastAsia="en-US"/>
              </w:rPr>
              <w:t>of the condensed financial statements</w:t>
            </w:r>
            <w:r w:rsidR="001B3004">
              <w:rPr>
                <w:rFonts w:ascii="Arial" w:eastAsia="Times New Roman" w:hAnsi="Arial" w:cs="Arial"/>
                <w:color w:val="000000"/>
                <w:lang w:eastAsia="en-US"/>
              </w:rPr>
              <w:t xml:space="preserve">. </w:t>
            </w:r>
            <w:r w:rsidR="001B3004" w:rsidRPr="001B3004">
              <w:rPr>
                <w:rFonts w:ascii="Arial" w:eastAsia="Times New Roman" w:hAnsi="Arial" w:cs="Arial"/>
                <w:color w:val="000000"/>
                <w:lang w:eastAsia="en-US"/>
              </w:rPr>
              <w:t>There is no statutory equivalent to retail profit at a retail banner level</w:t>
            </w:r>
          </w:p>
        </w:tc>
        <w:tc>
          <w:tcPr>
            <w:tcW w:w="4649" w:type="dxa"/>
            <w:tcBorders>
              <w:top w:val="single" w:sz="4" w:space="0" w:color="auto"/>
              <w:left w:val="single" w:sz="4" w:space="0" w:color="auto"/>
              <w:bottom w:val="single" w:sz="4" w:space="0" w:color="auto"/>
              <w:right w:val="single" w:sz="4" w:space="0" w:color="auto"/>
            </w:tcBorders>
            <w:hideMark/>
          </w:tcPr>
          <w:p w14:paraId="5E9A71DA" w14:textId="566DC24F"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Retail profit is stated before central costs, adjusting items and the Group's share of interest and tax of JVs and associates. This is the Group's operating profit measure used to report the performance of our retail businesses.</w:t>
            </w:r>
          </w:p>
        </w:tc>
      </w:tr>
      <w:tr w:rsidR="00010DC1" w:rsidRPr="00EB4495" w14:paraId="085802D5" w14:textId="77777777" w:rsidTr="003F41A1">
        <w:trPr>
          <w:trHeight w:val="505"/>
        </w:trPr>
        <w:tc>
          <w:tcPr>
            <w:tcW w:w="1701" w:type="dxa"/>
            <w:tcBorders>
              <w:top w:val="single" w:sz="4" w:space="0" w:color="auto"/>
              <w:left w:val="single" w:sz="4" w:space="0" w:color="auto"/>
              <w:bottom w:val="single" w:sz="4" w:space="0" w:color="auto"/>
              <w:right w:val="single" w:sz="4" w:space="0" w:color="auto"/>
            </w:tcBorders>
            <w:hideMark/>
          </w:tcPr>
          <w:p w14:paraId="59A04272"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Retail profit margin %</w:t>
            </w:r>
          </w:p>
        </w:tc>
        <w:tc>
          <w:tcPr>
            <w:tcW w:w="1531" w:type="dxa"/>
            <w:tcBorders>
              <w:top w:val="single" w:sz="4" w:space="0" w:color="auto"/>
              <w:left w:val="single" w:sz="4" w:space="0" w:color="auto"/>
              <w:bottom w:val="single" w:sz="4" w:space="0" w:color="auto"/>
              <w:right w:val="single" w:sz="4" w:space="0" w:color="auto"/>
            </w:tcBorders>
            <w:hideMark/>
          </w:tcPr>
          <w:p w14:paraId="7422014D"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5798EAC5"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649" w:type="dxa"/>
            <w:tcBorders>
              <w:top w:val="single" w:sz="4" w:space="0" w:color="auto"/>
              <w:left w:val="single" w:sz="4" w:space="0" w:color="auto"/>
              <w:bottom w:val="single" w:sz="4" w:space="0" w:color="auto"/>
              <w:right w:val="single" w:sz="4" w:space="0" w:color="auto"/>
            </w:tcBorders>
            <w:hideMark/>
          </w:tcPr>
          <w:p w14:paraId="207374E4" w14:textId="6CB3068D"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Retail profit is the Group's operating profit measure used to report the performance of our retail businesses and is separately defined</w:t>
            </w:r>
            <w:r w:rsidR="00713F48">
              <w:rPr>
                <w:rFonts w:ascii="Arial" w:eastAsia="Times New Roman" w:hAnsi="Arial" w:cs="Arial"/>
                <w:color w:val="000000"/>
                <w:lang w:eastAsia="en-US"/>
              </w:rPr>
              <w:t xml:space="preserve"> above</w:t>
            </w:r>
            <w:r w:rsidRPr="00EB4495">
              <w:rPr>
                <w:rFonts w:ascii="Arial" w:eastAsia="Times New Roman" w:hAnsi="Arial" w:cs="Arial"/>
                <w:color w:val="000000"/>
                <w:lang w:eastAsia="en-US"/>
              </w:rPr>
              <w:t>. Retail profit margin % represents retail profit as a percentage of sales. It is a measure of operating performance.</w:t>
            </w:r>
          </w:p>
        </w:tc>
      </w:tr>
      <w:tr w:rsidR="00010DC1" w:rsidRPr="00EB4495" w14:paraId="12573390" w14:textId="77777777" w:rsidTr="003F41A1">
        <w:trPr>
          <w:trHeight w:val="505"/>
        </w:trPr>
        <w:tc>
          <w:tcPr>
            <w:tcW w:w="1701" w:type="dxa"/>
            <w:tcBorders>
              <w:top w:val="single" w:sz="4" w:space="0" w:color="auto"/>
              <w:left w:val="single" w:sz="4" w:space="0" w:color="auto"/>
              <w:bottom w:val="single" w:sz="4" w:space="0" w:color="auto"/>
              <w:right w:val="single" w:sz="4" w:space="0" w:color="auto"/>
            </w:tcBorders>
            <w:hideMark/>
          </w:tcPr>
          <w:p w14:paraId="33715B1B"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ROCE</w:t>
            </w:r>
          </w:p>
        </w:tc>
        <w:tc>
          <w:tcPr>
            <w:tcW w:w="1531" w:type="dxa"/>
            <w:tcBorders>
              <w:top w:val="single" w:sz="4" w:space="0" w:color="auto"/>
              <w:left w:val="single" w:sz="4" w:space="0" w:color="auto"/>
              <w:bottom w:val="single" w:sz="4" w:space="0" w:color="auto"/>
              <w:right w:val="single" w:sz="4" w:space="0" w:color="auto"/>
            </w:tcBorders>
            <w:hideMark/>
          </w:tcPr>
          <w:p w14:paraId="1EC0D75A"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438" w:type="dxa"/>
            <w:tcBorders>
              <w:top w:val="single" w:sz="4" w:space="0" w:color="auto"/>
              <w:left w:val="single" w:sz="4" w:space="0" w:color="auto"/>
              <w:bottom w:val="single" w:sz="4" w:space="0" w:color="auto"/>
              <w:right w:val="single" w:sz="4" w:space="0" w:color="auto"/>
            </w:tcBorders>
            <w:hideMark/>
          </w:tcPr>
          <w:p w14:paraId="6712688A"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Refer to definition</w:t>
            </w:r>
          </w:p>
        </w:tc>
        <w:tc>
          <w:tcPr>
            <w:tcW w:w="4649" w:type="dxa"/>
            <w:tcBorders>
              <w:top w:val="single" w:sz="4" w:space="0" w:color="auto"/>
              <w:left w:val="single" w:sz="4" w:space="0" w:color="auto"/>
              <w:bottom w:val="single" w:sz="4" w:space="0" w:color="auto"/>
              <w:right w:val="single" w:sz="4" w:space="0" w:color="auto"/>
            </w:tcBorders>
            <w:hideMark/>
          </w:tcPr>
          <w:p w14:paraId="484175F6" w14:textId="36E33A7D" w:rsidR="00197BFE" w:rsidRPr="00EB4495" w:rsidRDefault="00197BFE" w:rsidP="00B52814">
            <w:pPr>
              <w:jc w:val="left"/>
              <w:rPr>
                <w:rFonts w:ascii="Arial" w:eastAsia="Times New Roman" w:hAnsi="Arial" w:cs="Arial"/>
                <w:color w:val="000000"/>
                <w:lang w:eastAsia="en-US"/>
              </w:rPr>
            </w:pPr>
            <w:r w:rsidRPr="00D122F6">
              <w:rPr>
                <w:rFonts w:ascii="Arial" w:eastAsia="Times New Roman" w:hAnsi="Arial" w:cs="Arial"/>
                <w:color w:val="000000"/>
                <w:lang w:eastAsia="en-US"/>
              </w:rPr>
              <w:t xml:space="preserve">ROCE is the post-tax retail profit </w:t>
            </w:r>
            <w:proofErr w:type="gramStart"/>
            <w:r w:rsidRPr="00D122F6">
              <w:rPr>
                <w:rFonts w:ascii="Arial" w:eastAsia="Times New Roman" w:hAnsi="Arial" w:cs="Arial"/>
                <w:color w:val="000000"/>
                <w:lang w:eastAsia="en-US"/>
              </w:rPr>
              <w:t>less</w:t>
            </w:r>
            <w:proofErr w:type="gramEnd"/>
            <w:r w:rsidRPr="00D122F6">
              <w:rPr>
                <w:rFonts w:ascii="Arial" w:eastAsia="Times New Roman" w:hAnsi="Arial" w:cs="Arial"/>
                <w:color w:val="000000"/>
                <w:lang w:eastAsia="en-US"/>
              </w:rPr>
              <w:t xml:space="preserve"> central costs, </w:t>
            </w:r>
            <w:r w:rsidRPr="006957EC">
              <w:rPr>
                <w:rFonts w:ascii="Arial" w:eastAsia="Times New Roman" w:hAnsi="Arial" w:cs="Arial"/>
                <w:color w:val="000000"/>
                <w:lang w:eastAsia="en-US"/>
              </w:rPr>
              <w:t>excluding adjusting items</w:t>
            </w:r>
            <w:r w:rsidRPr="00D122F6">
              <w:rPr>
                <w:rFonts w:ascii="Arial" w:eastAsia="Times New Roman" w:hAnsi="Arial" w:cs="Arial"/>
                <w:color w:val="000000"/>
                <w:lang w:eastAsia="en-US"/>
              </w:rPr>
              <w:t xml:space="preserve">, divided by capital employed excluding historic goodwill, net cash and </w:t>
            </w:r>
            <w:r w:rsidRPr="006957EC">
              <w:rPr>
                <w:rFonts w:ascii="Arial" w:eastAsia="Times New Roman" w:hAnsi="Arial" w:cs="Arial"/>
                <w:color w:val="000000"/>
                <w:lang w:eastAsia="en-US"/>
              </w:rPr>
              <w:t>adjusting restructuring provision</w:t>
            </w:r>
            <w:r w:rsidRPr="00D122F6">
              <w:rPr>
                <w:rFonts w:ascii="Arial" w:eastAsia="Times New Roman" w:hAnsi="Arial" w:cs="Arial"/>
                <w:color w:val="000000"/>
                <w:lang w:eastAsia="en-US"/>
              </w:rPr>
              <w:t>. The measure provides an indication of the ongoing returns</w:t>
            </w:r>
            <w:r w:rsidRPr="00EB4495">
              <w:rPr>
                <w:rFonts w:ascii="Arial" w:eastAsia="Times New Roman" w:hAnsi="Arial" w:cs="Arial"/>
                <w:color w:val="000000"/>
                <w:lang w:eastAsia="en-US"/>
              </w:rPr>
              <w:t xml:space="preserve"> from the capital invested in the business. Capital employed is calculated as a two</w:t>
            </w:r>
            <w:r w:rsidR="001F5F03">
              <w:rPr>
                <w:rFonts w:ascii="Arial" w:eastAsia="Times New Roman" w:hAnsi="Arial" w:cs="Arial"/>
                <w:color w:val="000000"/>
                <w:lang w:eastAsia="en-US"/>
              </w:rPr>
              <w:t>-</w:t>
            </w:r>
            <w:r w:rsidRPr="00EB4495">
              <w:rPr>
                <w:rFonts w:ascii="Arial" w:eastAsia="Times New Roman" w:hAnsi="Arial" w:cs="Arial"/>
                <w:color w:val="000000"/>
                <w:lang w:eastAsia="en-US"/>
              </w:rPr>
              <w:t>point average. The calculation excludes disposed businesses.</w:t>
            </w:r>
          </w:p>
        </w:tc>
      </w:tr>
      <w:tr w:rsidR="00010DC1" w:rsidRPr="00EB4495" w14:paraId="05A3B5E0" w14:textId="77777777" w:rsidTr="003F41A1">
        <w:trPr>
          <w:trHeight w:val="505"/>
        </w:trPr>
        <w:tc>
          <w:tcPr>
            <w:tcW w:w="1701" w:type="dxa"/>
            <w:tcBorders>
              <w:top w:val="single" w:sz="4" w:space="0" w:color="auto"/>
              <w:left w:val="single" w:sz="4" w:space="0" w:color="auto"/>
              <w:bottom w:val="single" w:sz="4" w:space="0" w:color="auto"/>
              <w:right w:val="single" w:sz="4" w:space="0" w:color="auto"/>
            </w:tcBorders>
            <w:hideMark/>
          </w:tcPr>
          <w:p w14:paraId="3661E2F2"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Same-store net inventory</w:t>
            </w:r>
          </w:p>
        </w:tc>
        <w:tc>
          <w:tcPr>
            <w:tcW w:w="1531" w:type="dxa"/>
            <w:tcBorders>
              <w:top w:val="single" w:sz="4" w:space="0" w:color="auto"/>
              <w:left w:val="single" w:sz="4" w:space="0" w:color="auto"/>
              <w:bottom w:val="single" w:sz="4" w:space="0" w:color="auto"/>
              <w:right w:val="single" w:sz="4" w:space="0" w:color="auto"/>
            </w:tcBorders>
            <w:hideMark/>
          </w:tcPr>
          <w:p w14:paraId="644C2A44"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Inventory</w:t>
            </w:r>
          </w:p>
        </w:tc>
        <w:tc>
          <w:tcPr>
            <w:tcW w:w="2438" w:type="dxa"/>
            <w:tcBorders>
              <w:top w:val="single" w:sz="4" w:space="0" w:color="auto"/>
              <w:left w:val="single" w:sz="4" w:space="0" w:color="auto"/>
              <w:bottom w:val="single" w:sz="4" w:space="0" w:color="auto"/>
              <w:right w:val="single" w:sz="4" w:space="0" w:color="auto"/>
            </w:tcBorders>
            <w:hideMark/>
          </w:tcPr>
          <w:p w14:paraId="58FE5010"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Refer to definition</w:t>
            </w:r>
          </w:p>
        </w:tc>
        <w:tc>
          <w:tcPr>
            <w:tcW w:w="4649" w:type="dxa"/>
            <w:tcBorders>
              <w:top w:val="single" w:sz="4" w:space="0" w:color="auto"/>
              <w:left w:val="single" w:sz="4" w:space="0" w:color="auto"/>
              <w:bottom w:val="single" w:sz="4" w:space="0" w:color="auto"/>
              <w:right w:val="single" w:sz="4" w:space="0" w:color="auto"/>
            </w:tcBorders>
            <w:hideMark/>
          </w:tcPr>
          <w:p w14:paraId="2F525C17" w14:textId="77777777" w:rsidR="00197BFE" w:rsidRPr="00EB4495" w:rsidRDefault="00197BFE" w:rsidP="00B52814">
            <w:pPr>
              <w:jc w:val="left"/>
              <w:rPr>
                <w:rFonts w:ascii="Arial" w:eastAsia="Times New Roman" w:hAnsi="Arial" w:cs="Arial"/>
                <w:color w:val="000000"/>
                <w:lang w:eastAsia="en-US"/>
              </w:rPr>
            </w:pPr>
            <w:r w:rsidRPr="00EB4495">
              <w:rPr>
                <w:rFonts w:ascii="Arial" w:eastAsia="Times New Roman" w:hAnsi="Arial" w:cs="Arial"/>
                <w:color w:val="000000"/>
                <w:lang w:eastAsia="en-US"/>
              </w:rPr>
              <w:t>Same-store net inventory movement represents the constant currency, year on year change in net inventory before the impact of store openings and closures. Stores temporarily closed or otherwise impacted due to COVID are also included. It is a measure to reflect the Group’s inventory management on a comparable basis.</w:t>
            </w:r>
          </w:p>
        </w:tc>
      </w:tr>
    </w:tbl>
    <w:p w14:paraId="18ABF7FE" w14:textId="3D355866" w:rsidR="006222A7" w:rsidRDefault="006222A7" w:rsidP="006222A7">
      <w:pPr>
        <w:jc w:val="left"/>
        <w:rPr>
          <w:rFonts w:ascii="Arial" w:hAnsi="Arial" w:cs="Arial"/>
          <w:b/>
          <w:bCs/>
          <w:szCs w:val="24"/>
        </w:rPr>
      </w:pPr>
    </w:p>
    <w:p w14:paraId="428D2250" w14:textId="77777777" w:rsidR="006222A7" w:rsidRDefault="006222A7" w:rsidP="003F41A1">
      <w:pPr>
        <w:jc w:val="left"/>
        <w:rPr>
          <w:rFonts w:ascii="Arial" w:hAnsi="Arial" w:cs="Arial"/>
          <w:b/>
          <w:bCs/>
          <w:szCs w:val="24"/>
        </w:rPr>
      </w:pPr>
      <w:r>
        <w:rPr>
          <w:rFonts w:ascii="Arial" w:hAnsi="Arial" w:cs="Arial"/>
          <w:b/>
          <w:bCs/>
          <w:szCs w:val="24"/>
        </w:rPr>
        <w:br w:type="page"/>
      </w:r>
    </w:p>
    <w:p w14:paraId="79386009" w14:textId="6BAE4C24" w:rsidR="00EE053B" w:rsidRPr="00EE053B" w:rsidRDefault="00EE053B" w:rsidP="00010DC1">
      <w:pPr>
        <w:jc w:val="left"/>
        <w:rPr>
          <w:rFonts w:ascii="Arial" w:hAnsi="Arial" w:cs="Arial"/>
          <w:b/>
          <w:bCs/>
          <w:szCs w:val="24"/>
        </w:rPr>
      </w:pPr>
      <w:r w:rsidRPr="00EE053B">
        <w:rPr>
          <w:rFonts w:ascii="Arial" w:hAnsi="Arial" w:cs="Arial"/>
          <w:b/>
          <w:bCs/>
          <w:szCs w:val="24"/>
        </w:rPr>
        <w:lastRenderedPageBreak/>
        <w:t>Other Definitions</w:t>
      </w:r>
    </w:p>
    <w:p w14:paraId="73784074" w14:textId="77777777" w:rsidR="00EE053B" w:rsidRPr="00EB4495" w:rsidRDefault="00EE053B" w:rsidP="00010DC1">
      <w:pPr>
        <w:jc w:val="left"/>
        <w:rPr>
          <w:rFonts w:ascii="Arial" w:hAnsi="Arial" w:cs="Arial"/>
          <w:b/>
          <w:bCs/>
          <w:szCs w:val="24"/>
        </w:rPr>
      </w:pPr>
    </w:p>
    <w:p w14:paraId="2F244386" w14:textId="77777777" w:rsidR="00EB4495" w:rsidRPr="00EB4495" w:rsidRDefault="00EB4495" w:rsidP="00B52814">
      <w:pPr>
        <w:jc w:val="left"/>
        <w:rPr>
          <w:rFonts w:ascii="Arial" w:hAnsi="Arial" w:cs="Arial"/>
          <w:iCs/>
        </w:rPr>
      </w:pPr>
      <w:r w:rsidRPr="00EB4495">
        <w:rPr>
          <w:rFonts w:ascii="Arial" w:hAnsi="Arial" w:cs="Arial"/>
          <w:b/>
          <w:iCs/>
        </w:rPr>
        <w:t xml:space="preserve">Banque de France </w:t>
      </w:r>
      <w:r w:rsidRPr="00EB4495">
        <w:rPr>
          <w:rFonts w:ascii="Arial" w:hAnsi="Arial" w:cs="Arial"/>
          <w:iCs/>
        </w:rPr>
        <w:t xml:space="preserve">data </w:t>
      </w:r>
      <w:r w:rsidRPr="00EB4495">
        <w:rPr>
          <w:rFonts w:ascii="Arial" w:hAnsi="Arial" w:cs="Arial"/>
          <w:bCs/>
          <w:iCs/>
        </w:rPr>
        <w:t xml:space="preserve">for DIY retail sales (non-seasonally adjusted). </w:t>
      </w:r>
      <w:r w:rsidRPr="00EB4495">
        <w:rPr>
          <w:rFonts w:ascii="Arial" w:hAnsi="Arial" w:cs="Arial"/>
          <w:iCs/>
        </w:rPr>
        <w:t xml:space="preserve">Includes relocated and extended stores. </w:t>
      </w:r>
      <w:hyperlink r:id="rId19" w:history="1">
        <w:r w:rsidRPr="00EB4495">
          <w:rPr>
            <w:rStyle w:val="Hyperlink"/>
            <w:rFonts w:ascii="Arial" w:hAnsi="Arial" w:cs="Arial"/>
            <w:iCs/>
          </w:rPr>
          <w:t>http://webstat.banque-france.fr/en/browse.do?node=5384326</w:t>
        </w:r>
      </w:hyperlink>
    </w:p>
    <w:p w14:paraId="1D3F2E71" w14:textId="7167B8E8" w:rsidR="00EB4495" w:rsidRPr="006957EC" w:rsidRDefault="00EB4495" w:rsidP="006957EC">
      <w:pPr>
        <w:jc w:val="left"/>
        <w:rPr>
          <w:rFonts w:ascii="Arial" w:hAnsi="Arial" w:cs="Arial"/>
          <w:bCs/>
          <w:iCs/>
        </w:rPr>
      </w:pPr>
    </w:p>
    <w:p w14:paraId="641170A5" w14:textId="7269ED62" w:rsidR="00B74539" w:rsidRPr="006957EC" w:rsidRDefault="00B74539" w:rsidP="006957EC">
      <w:pPr>
        <w:jc w:val="left"/>
        <w:rPr>
          <w:rFonts w:ascii="Arial" w:hAnsi="Arial" w:cs="Arial"/>
          <w:bCs/>
          <w:iCs/>
        </w:rPr>
      </w:pPr>
      <w:r>
        <w:rPr>
          <w:rFonts w:ascii="Arial" w:hAnsi="Arial" w:cs="Arial"/>
          <w:b/>
          <w:iCs/>
        </w:rPr>
        <w:t>‘</w:t>
      </w:r>
      <w:r w:rsidRPr="00B74539">
        <w:rPr>
          <w:rFonts w:ascii="Arial" w:hAnsi="Arial" w:cs="Arial"/>
          <w:b/>
          <w:iCs/>
        </w:rPr>
        <w:t>Do It Yourself’ (DIY)</w:t>
      </w:r>
      <w:r w:rsidRPr="006957EC">
        <w:rPr>
          <w:rFonts w:ascii="Arial" w:hAnsi="Arial" w:cs="Arial"/>
          <w:bCs/>
          <w:iCs/>
        </w:rPr>
        <w:t xml:space="preserve"> sales </w:t>
      </w:r>
      <w:r w:rsidR="006957EC">
        <w:rPr>
          <w:rFonts w:ascii="Arial" w:hAnsi="Arial" w:cs="Arial"/>
          <w:bCs/>
          <w:iCs/>
        </w:rPr>
        <w:t xml:space="preserve">include </w:t>
      </w:r>
      <w:r w:rsidRPr="006957EC">
        <w:rPr>
          <w:rFonts w:ascii="Arial" w:hAnsi="Arial" w:cs="Arial"/>
          <w:bCs/>
          <w:iCs/>
        </w:rPr>
        <w:t xml:space="preserve">products </w:t>
      </w:r>
      <w:r w:rsidR="006957EC">
        <w:rPr>
          <w:rFonts w:ascii="Arial" w:hAnsi="Arial" w:cs="Arial"/>
          <w:bCs/>
          <w:iCs/>
        </w:rPr>
        <w:t xml:space="preserve">that </w:t>
      </w:r>
      <w:r w:rsidRPr="006957EC">
        <w:rPr>
          <w:rFonts w:ascii="Arial" w:hAnsi="Arial" w:cs="Arial"/>
          <w:bCs/>
          <w:iCs/>
        </w:rPr>
        <w:t>facilitate self-undertaken home improvement projects</w:t>
      </w:r>
      <w:r w:rsidR="006957EC">
        <w:rPr>
          <w:rFonts w:ascii="Arial" w:hAnsi="Arial" w:cs="Arial"/>
          <w:bCs/>
          <w:iCs/>
        </w:rPr>
        <w:t xml:space="preserve"> and tasks,</w:t>
      </w:r>
      <w:r w:rsidRPr="006957EC">
        <w:rPr>
          <w:rFonts w:ascii="Arial" w:hAnsi="Arial" w:cs="Arial"/>
          <w:bCs/>
          <w:iCs/>
        </w:rPr>
        <w:t xml:space="preserve"> including paint, lighting, tools and hardware</w:t>
      </w:r>
      <w:r w:rsidR="00EE053B">
        <w:rPr>
          <w:rFonts w:ascii="Arial" w:hAnsi="Arial" w:cs="Arial"/>
          <w:bCs/>
          <w:iCs/>
        </w:rPr>
        <w:t>, and garden maintenance.</w:t>
      </w:r>
    </w:p>
    <w:p w14:paraId="7A78F8BC" w14:textId="77777777" w:rsidR="00B74539" w:rsidRPr="006957EC" w:rsidRDefault="00B74539" w:rsidP="006957EC">
      <w:pPr>
        <w:jc w:val="left"/>
        <w:rPr>
          <w:rFonts w:ascii="Arial" w:hAnsi="Arial" w:cs="Arial"/>
          <w:bCs/>
          <w:iCs/>
        </w:rPr>
      </w:pPr>
    </w:p>
    <w:p w14:paraId="135C023F" w14:textId="0FA78EF5" w:rsidR="00384555" w:rsidRPr="006957EC" w:rsidRDefault="00384555" w:rsidP="00B52814">
      <w:pPr>
        <w:jc w:val="left"/>
        <w:rPr>
          <w:rFonts w:ascii="Arial" w:hAnsi="Arial" w:cs="Arial"/>
          <w:bCs/>
          <w:iCs/>
        </w:rPr>
      </w:pPr>
      <w:r w:rsidRPr="00384555">
        <w:rPr>
          <w:rFonts w:ascii="Arial" w:hAnsi="Arial" w:cs="Arial"/>
          <w:b/>
          <w:iCs/>
        </w:rPr>
        <w:t xml:space="preserve">‘Do It </w:t>
      </w:r>
      <w:proofErr w:type="gramStart"/>
      <w:r w:rsidRPr="00384555">
        <w:rPr>
          <w:rFonts w:ascii="Arial" w:hAnsi="Arial" w:cs="Arial"/>
          <w:b/>
          <w:iCs/>
        </w:rPr>
        <w:t>For</w:t>
      </w:r>
      <w:proofErr w:type="gramEnd"/>
      <w:r w:rsidRPr="00384555">
        <w:rPr>
          <w:rFonts w:ascii="Arial" w:hAnsi="Arial" w:cs="Arial"/>
          <w:b/>
          <w:iCs/>
        </w:rPr>
        <w:t xml:space="preserve"> Me’ (DIFM)</w:t>
      </w:r>
      <w:r w:rsidRPr="006957EC">
        <w:rPr>
          <w:rFonts w:ascii="Arial" w:hAnsi="Arial" w:cs="Arial"/>
          <w:bCs/>
          <w:iCs/>
        </w:rPr>
        <w:t xml:space="preserve"> </w:t>
      </w:r>
      <w:r w:rsidR="00B74539" w:rsidRPr="006957EC">
        <w:rPr>
          <w:rFonts w:ascii="Arial" w:hAnsi="Arial" w:cs="Arial"/>
          <w:bCs/>
          <w:iCs/>
        </w:rPr>
        <w:t xml:space="preserve">sales </w:t>
      </w:r>
      <w:r w:rsidRPr="006957EC">
        <w:rPr>
          <w:rFonts w:ascii="Arial" w:hAnsi="Arial" w:cs="Arial"/>
          <w:bCs/>
          <w:iCs/>
        </w:rPr>
        <w:t>include</w:t>
      </w:r>
      <w:r w:rsidR="005D1D0E">
        <w:rPr>
          <w:rFonts w:ascii="Arial" w:hAnsi="Arial" w:cs="Arial"/>
          <w:bCs/>
          <w:iCs/>
        </w:rPr>
        <w:t xml:space="preserve"> products and services </w:t>
      </w:r>
      <w:r w:rsidR="00BC01C2">
        <w:rPr>
          <w:rFonts w:ascii="Arial" w:hAnsi="Arial" w:cs="Arial"/>
          <w:bCs/>
          <w:iCs/>
        </w:rPr>
        <w:t>used</w:t>
      </w:r>
      <w:r w:rsidRPr="006957EC">
        <w:rPr>
          <w:rFonts w:ascii="Arial" w:hAnsi="Arial" w:cs="Arial"/>
          <w:bCs/>
          <w:iCs/>
        </w:rPr>
        <w:t xml:space="preserve"> </w:t>
      </w:r>
      <w:r w:rsidR="00BC01C2">
        <w:rPr>
          <w:rFonts w:ascii="Arial" w:hAnsi="Arial" w:cs="Arial"/>
          <w:bCs/>
          <w:iCs/>
        </w:rPr>
        <w:t xml:space="preserve">in </w:t>
      </w:r>
      <w:r w:rsidRPr="006957EC">
        <w:rPr>
          <w:rFonts w:ascii="Arial" w:hAnsi="Arial" w:cs="Arial"/>
          <w:bCs/>
          <w:iCs/>
        </w:rPr>
        <w:t xml:space="preserve">home improvement projects and tasks </w:t>
      </w:r>
      <w:r w:rsidR="006957EC">
        <w:rPr>
          <w:rFonts w:ascii="Arial" w:hAnsi="Arial" w:cs="Arial"/>
          <w:bCs/>
          <w:iCs/>
        </w:rPr>
        <w:t xml:space="preserve">that </w:t>
      </w:r>
      <w:r w:rsidRPr="006957EC">
        <w:rPr>
          <w:rFonts w:ascii="Arial" w:hAnsi="Arial" w:cs="Arial"/>
          <w:bCs/>
          <w:iCs/>
        </w:rPr>
        <w:t>predominantly require a tradesperson to undertake, including kitchens, bathrooms, tiling, wardrobes, windows and doors, certain electrical and plumbing activities</w:t>
      </w:r>
      <w:r w:rsidR="006957EC">
        <w:rPr>
          <w:rFonts w:ascii="Arial" w:hAnsi="Arial" w:cs="Arial"/>
          <w:bCs/>
          <w:iCs/>
        </w:rPr>
        <w:t>, and installation services.</w:t>
      </w:r>
    </w:p>
    <w:p w14:paraId="3E398041" w14:textId="04A0BDA3" w:rsidR="00384555" w:rsidRPr="006957EC" w:rsidRDefault="00384555" w:rsidP="00B52814">
      <w:pPr>
        <w:jc w:val="left"/>
        <w:rPr>
          <w:rFonts w:ascii="Arial" w:hAnsi="Arial" w:cs="Arial"/>
          <w:b/>
          <w:iCs/>
        </w:rPr>
      </w:pPr>
    </w:p>
    <w:p w14:paraId="3B5FDDA7" w14:textId="6EB34E0E" w:rsidR="009330BC" w:rsidRPr="00A26158" w:rsidRDefault="009330BC" w:rsidP="00B52814">
      <w:pPr>
        <w:jc w:val="left"/>
        <w:rPr>
          <w:rFonts w:ascii="Arial" w:hAnsi="Arial" w:cs="Arial"/>
          <w:bCs/>
          <w:iCs/>
        </w:rPr>
      </w:pPr>
      <w:proofErr w:type="gramStart"/>
      <w:r w:rsidRPr="006957EC">
        <w:rPr>
          <w:rFonts w:ascii="Arial" w:hAnsi="Arial" w:cs="Arial"/>
          <w:b/>
          <w:iCs/>
        </w:rPr>
        <w:t>Digitally-enabled</w:t>
      </w:r>
      <w:proofErr w:type="gramEnd"/>
      <w:r w:rsidRPr="006957EC">
        <w:rPr>
          <w:rFonts w:ascii="Arial" w:hAnsi="Arial" w:cs="Arial"/>
          <w:b/>
          <w:iCs/>
        </w:rPr>
        <w:t xml:space="preserve"> sales</w:t>
      </w:r>
      <w:r w:rsidRPr="006957EC">
        <w:rPr>
          <w:rFonts w:ascii="Arial" w:hAnsi="Arial" w:cs="Arial"/>
          <w:bCs/>
          <w:iCs/>
        </w:rPr>
        <w:t xml:space="preserve"> are e-commerce sales plus sales associated with customer orders placed in stores or via contact centres for </w:t>
      </w:r>
      <w:r w:rsidR="00F1523A" w:rsidRPr="00DC73FD">
        <w:rPr>
          <w:rFonts w:ascii="Arial" w:hAnsi="Arial" w:cs="Arial"/>
          <w:bCs/>
          <w:iCs/>
        </w:rPr>
        <w:t>collection from store</w:t>
      </w:r>
      <w:r w:rsidR="00F1523A">
        <w:rPr>
          <w:rFonts w:ascii="Arial" w:hAnsi="Arial" w:cs="Arial"/>
          <w:bCs/>
          <w:iCs/>
        </w:rPr>
        <w:t xml:space="preserve"> or </w:t>
      </w:r>
      <w:r w:rsidR="00F1523A" w:rsidRPr="006957EC">
        <w:rPr>
          <w:rFonts w:ascii="Arial" w:hAnsi="Arial" w:cs="Arial"/>
          <w:bCs/>
          <w:iCs/>
        </w:rPr>
        <w:t>h</w:t>
      </w:r>
      <w:r w:rsidRPr="006957EC">
        <w:rPr>
          <w:rFonts w:ascii="Arial" w:hAnsi="Arial" w:cs="Arial"/>
          <w:bCs/>
          <w:iCs/>
        </w:rPr>
        <w:t xml:space="preserve">ome </w:t>
      </w:r>
      <w:r w:rsidR="00F1523A" w:rsidRPr="006957EC">
        <w:rPr>
          <w:rFonts w:ascii="Arial" w:hAnsi="Arial" w:cs="Arial"/>
          <w:bCs/>
          <w:iCs/>
        </w:rPr>
        <w:t>d</w:t>
      </w:r>
      <w:r w:rsidRPr="006957EC">
        <w:rPr>
          <w:rFonts w:ascii="Arial" w:hAnsi="Arial" w:cs="Arial"/>
          <w:bCs/>
          <w:iCs/>
        </w:rPr>
        <w:t xml:space="preserve">elivery (via central </w:t>
      </w:r>
      <w:r w:rsidR="00F1523A" w:rsidRPr="006957EC">
        <w:rPr>
          <w:rFonts w:ascii="Arial" w:hAnsi="Arial" w:cs="Arial"/>
          <w:bCs/>
          <w:iCs/>
        </w:rPr>
        <w:t>h</w:t>
      </w:r>
      <w:r w:rsidRPr="006957EC">
        <w:rPr>
          <w:rFonts w:ascii="Arial" w:hAnsi="Arial" w:cs="Arial"/>
          <w:bCs/>
          <w:iCs/>
        </w:rPr>
        <w:t xml:space="preserve">ome </w:t>
      </w:r>
      <w:r w:rsidR="00F1523A" w:rsidRPr="006957EC">
        <w:rPr>
          <w:rFonts w:ascii="Arial" w:hAnsi="Arial" w:cs="Arial"/>
          <w:bCs/>
          <w:iCs/>
        </w:rPr>
        <w:t>d</w:t>
      </w:r>
      <w:r w:rsidRPr="006957EC">
        <w:rPr>
          <w:rFonts w:ascii="Arial" w:hAnsi="Arial" w:cs="Arial"/>
          <w:bCs/>
          <w:iCs/>
        </w:rPr>
        <w:t xml:space="preserve">elivery or via </w:t>
      </w:r>
      <w:r w:rsidR="00F1523A" w:rsidRPr="006957EC">
        <w:rPr>
          <w:rFonts w:ascii="Arial" w:hAnsi="Arial" w:cs="Arial"/>
          <w:bCs/>
          <w:iCs/>
        </w:rPr>
        <w:t>s</w:t>
      </w:r>
      <w:r w:rsidRPr="006957EC">
        <w:rPr>
          <w:rFonts w:ascii="Arial" w:hAnsi="Arial" w:cs="Arial"/>
          <w:bCs/>
          <w:iCs/>
        </w:rPr>
        <w:t>tore</w:t>
      </w:r>
      <w:r w:rsidR="00F1523A" w:rsidRPr="006957EC">
        <w:rPr>
          <w:rFonts w:ascii="Arial" w:hAnsi="Arial" w:cs="Arial"/>
          <w:bCs/>
          <w:iCs/>
        </w:rPr>
        <w:t>-</w:t>
      </w:r>
      <w:r w:rsidRPr="006957EC">
        <w:rPr>
          <w:rFonts w:ascii="Arial" w:hAnsi="Arial" w:cs="Arial"/>
          <w:bCs/>
          <w:iCs/>
        </w:rPr>
        <w:t>to</w:t>
      </w:r>
      <w:r w:rsidR="00F1523A" w:rsidRPr="006957EC">
        <w:rPr>
          <w:rFonts w:ascii="Arial" w:hAnsi="Arial" w:cs="Arial"/>
          <w:bCs/>
          <w:iCs/>
        </w:rPr>
        <w:t>-h</w:t>
      </w:r>
      <w:r w:rsidRPr="006957EC">
        <w:rPr>
          <w:rFonts w:ascii="Arial" w:hAnsi="Arial" w:cs="Arial"/>
          <w:bCs/>
          <w:iCs/>
        </w:rPr>
        <w:t>ome).</w:t>
      </w:r>
    </w:p>
    <w:p w14:paraId="00A01F8B" w14:textId="77777777" w:rsidR="003A6F34" w:rsidRPr="00EB4495" w:rsidRDefault="003A6F34" w:rsidP="00B52814">
      <w:pPr>
        <w:rPr>
          <w:rFonts w:ascii="Arial" w:hAnsi="Arial" w:cs="Arial"/>
          <w:b/>
          <w:iCs/>
        </w:rPr>
      </w:pPr>
    </w:p>
    <w:p w14:paraId="1BE578D3" w14:textId="7B0ADE6A" w:rsidR="00EB4495" w:rsidRPr="00EB4495" w:rsidRDefault="00EB4495" w:rsidP="00B52814">
      <w:pPr>
        <w:jc w:val="left"/>
        <w:rPr>
          <w:rFonts w:ascii="Arial" w:hAnsi="Arial" w:cs="Arial"/>
          <w:iCs/>
        </w:rPr>
      </w:pPr>
      <w:r w:rsidRPr="00EB4495">
        <w:rPr>
          <w:rFonts w:ascii="Arial" w:hAnsi="Arial" w:cs="Arial"/>
          <w:b/>
          <w:iCs/>
        </w:rPr>
        <w:t xml:space="preserve">E-commerce sales </w:t>
      </w:r>
      <w:r w:rsidRPr="00EB4495">
        <w:rPr>
          <w:rFonts w:ascii="Arial" w:hAnsi="Arial" w:cs="Arial"/>
          <w:iCs/>
        </w:rPr>
        <w:t>are total sales derived from online transactions, including click &amp; collect</w:t>
      </w:r>
      <w:r w:rsidR="005F642E">
        <w:rPr>
          <w:rFonts w:ascii="Arial" w:hAnsi="Arial" w:cs="Arial"/>
          <w:iCs/>
        </w:rPr>
        <w:t xml:space="preserve"> (C&amp;C)</w:t>
      </w:r>
      <w:r w:rsidRPr="00EB4495">
        <w:rPr>
          <w:rFonts w:ascii="Arial" w:hAnsi="Arial" w:cs="Arial"/>
          <w:iCs/>
        </w:rPr>
        <w:t>. This includes sales transacted on any device, however not sales through a call centre. References to digital or e-commerce sales growth relates to growth at constant currency.</w:t>
      </w:r>
    </w:p>
    <w:p w14:paraId="4D58ECFA" w14:textId="77777777" w:rsidR="00EB4495" w:rsidRPr="00EB4495" w:rsidRDefault="00EB4495" w:rsidP="00B52814">
      <w:pPr>
        <w:jc w:val="left"/>
        <w:rPr>
          <w:rFonts w:ascii="Arial" w:hAnsi="Arial" w:cs="Arial"/>
          <w:iCs/>
        </w:rPr>
      </w:pPr>
    </w:p>
    <w:p w14:paraId="678800BE" w14:textId="77777777" w:rsidR="00EB4495" w:rsidRPr="00EB4495" w:rsidRDefault="00EB4495" w:rsidP="00B52814">
      <w:pPr>
        <w:jc w:val="left"/>
        <w:rPr>
          <w:rFonts w:ascii="Arial" w:hAnsi="Arial" w:cs="Arial"/>
          <w:iCs/>
        </w:rPr>
      </w:pPr>
      <w:r w:rsidRPr="00EB4495">
        <w:rPr>
          <w:rFonts w:ascii="Arial" w:hAnsi="Arial" w:cs="Arial"/>
          <w:b/>
          <w:iCs/>
        </w:rPr>
        <w:t>France</w:t>
      </w:r>
      <w:r w:rsidRPr="00EB4495">
        <w:rPr>
          <w:rFonts w:ascii="Arial" w:hAnsi="Arial" w:cs="Arial"/>
          <w:iCs/>
        </w:rPr>
        <w:t xml:space="preserve"> consists of Castorama France and Brico Dépôt France.</w:t>
      </w:r>
    </w:p>
    <w:p w14:paraId="679175A1" w14:textId="77777777" w:rsidR="00EB4495" w:rsidRPr="00EB4495" w:rsidRDefault="00EB4495" w:rsidP="00B52814">
      <w:pPr>
        <w:jc w:val="left"/>
        <w:rPr>
          <w:rFonts w:ascii="Arial" w:hAnsi="Arial" w:cs="Arial"/>
          <w:iCs/>
        </w:rPr>
      </w:pPr>
    </w:p>
    <w:p w14:paraId="525A7DF3" w14:textId="77777777" w:rsidR="00EB4495" w:rsidRPr="00EB4495" w:rsidRDefault="00EB4495" w:rsidP="00B52814">
      <w:pPr>
        <w:jc w:val="left"/>
        <w:rPr>
          <w:rFonts w:ascii="Arial" w:hAnsi="Arial" w:cs="Arial"/>
          <w:b/>
          <w:iCs/>
        </w:rPr>
      </w:pPr>
      <w:r w:rsidRPr="00EB4495">
        <w:rPr>
          <w:rFonts w:ascii="Arial" w:hAnsi="Arial" w:cs="Arial"/>
          <w:b/>
          <w:iCs/>
        </w:rPr>
        <w:t xml:space="preserve">GNFR </w:t>
      </w:r>
      <w:r w:rsidRPr="00EB4495">
        <w:rPr>
          <w:rFonts w:ascii="Arial" w:hAnsi="Arial" w:cs="Arial"/>
          <w:iCs/>
        </w:rPr>
        <w:t xml:space="preserve">(Goods Not </w:t>
      </w:r>
      <w:proofErr w:type="gramStart"/>
      <w:r w:rsidRPr="00EB4495">
        <w:rPr>
          <w:rFonts w:ascii="Arial" w:hAnsi="Arial" w:cs="Arial"/>
          <w:iCs/>
        </w:rPr>
        <w:t>For</w:t>
      </w:r>
      <w:proofErr w:type="gramEnd"/>
      <w:r w:rsidRPr="00EB4495">
        <w:rPr>
          <w:rFonts w:ascii="Arial" w:hAnsi="Arial" w:cs="Arial"/>
          <w:iCs/>
        </w:rPr>
        <w:t xml:space="preserve"> Resale) covers the procurement of all goods and services a retailer consumes (including media buying, mechanical handling equipment, printing &amp; paper).</w:t>
      </w:r>
    </w:p>
    <w:p w14:paraId="749EB2A8" w14:textId="77777777" w:rsidR="00EB4495" w:rsidRPr="00EB4495" w:rsidRDefault="00EB4495" w:rsidP="00B52814">
      <w:pPr>
        <w:jc w:val="left"/>
        <w:rPr>
          <w:rFonts w:ascii="Arial" w:hAnsi="Arial" w:cs="Arial"/>
          <w:b/>
          <w:iCs/>
        </w:rPr>
      </w:pPr>
    </w:p>
    <w:p w14:paraId="0738E001" w14:textId="77777777" w:rsidR="00EB4495" w:rsidRPr="00EB4495" w:rsidRDefault="00EB4495" w:rsidP="00B52814">
      <w:pPr>
        <w:tabs>
          <w:tab w:val="left" w:pos="357"/>
        </w:tabs>
        <w:ind w:right="-282"/>
        <w:jc w:val="left"/>
        <w:rPr>
          <w:rFonts w:ascii="Arial" w:hAnsi="Arial" w:cs="Arial"/>
        </w:rPr>
      </w:pPr>
      <w:r w:rsidRPr="00EB4495">
        <w:rPr>
          <w:rFonts w:ascii="Arial" w:hAnsi="Arial" w:cs="Arial"/>
          <w:b/>
        </w:rPr>
        <w:t>Iberia</w:t>
      </w:r>
      <w:r w:rsidRPr="00EB4495">
        <w:rPr>
          <w:rFonts w:ascii="Arial" w:hAnsi="Arial" w:cs="Arial"/>
        </w:rPr>
        <w:t xml:space="preserve"> consists of Brico Dépôt Spain and Brico Dépôt Portugal.</w:t>
      </w:r>
    </w:p>
    <w:p w14:paraId="2BF63B57" w14:textId="77777777" w:rsidR="00EB4495" w:rsidRPr="00EB4495" w:rsidRDefault="00EB4495" w:rsidP="00B52814">
      <w:pPr>
        <w:jc w:val="left"/>
        <w:rPr>
          <w:rFonts w:ascii="Arial" w:hAnsi="Arial" w:cs="Arial"/>
          <w:b/>
          <w:iCs/>
        </w:rPr>
      </w:pPr>
    </w:p>
    <w:p w14:paraId="204F3C31" w14:textId="77777777" w:rsidR="00EB4495" w:rsidRPr="00EB4495" w:rsidRDefault="00EB4495" w:rsidP="00B52814">
      <w:pPr>
        <w:jc w:val="left"/>
        <w:rPr>
          <w:rFonts w:ascii="Arial" w:hAnsi="Arial" w:cs="Arial"/>
          <w:iCs/>
        </w:rPr>
      </w:pPr>
      <w:r w:rsidRPr="00EB4495">
        <w:rPr>
          <w:rFonts w:ascii="Arial" w:hAnsi="Arial" w:cs="Arial"/>
          <w:b/>
          <w:iCs/>
        </w:rPr>
        <w:t>Other International</w:t>
      </w:r>
      <w:r w:rsidRPr="00EB4495">
        <w:rPr>
          <w:rFonts w:ascii="Arial" w:hAnsi="Arial" w:cs="Arial"/>
          <w:iCs/>
        </w:rPr>
        <w:t xml:space="preserve"> consists of Poland, Iberia, Romania, Russia, ‘Other’, and Turkey (Koçtaş JV). </w:t>
      </w:r>
      <w:r w:rsidRPr="00EB4495">
        <w:rPr>
          <w:rFonts w:ascii="Arial" w:hAnsi="Arial" w:cs="Arial"/>
          <w:bCs/>
          <w:iCs/>
        </w:rPr>
        <w:t>T</w:t>
      </w:r>
      <w:r w:rsidRPr="00EB4495">
        <w:rPr>
          <w:rFonts w:ascii="Arial" w:hAnsi="Arial" w:cs="Arial"/>
          <w:iCs/>
        </w:rPr>
        <w:t xml:space="preserve">he sale of Russia was completed in FY 20/21 (on 30 September 2020). ‘Other’ </w:t>
      </w:r>
      <w:r w:rsidRPr="00EB4495">
        <w:rPr>
          <w:rFonts w:ascii="Arial" w:hAnsi="Arial" w:cs="Arial"/>
          <w:bCs/>
          <w:iCs/>
        </w:rPr>
        <w:t>consists of the consolidated results of NeedHelp (acquired in November 2020), Screwfix International (launched online in France in April 2021), and results from franchise agreements.</w:t>
      </w:r>
    </w:p>
    <w:p w14:paraId="1AC4F780" w14:textId="77777777" w:rsidR="00EB4495" w:rsidRPr="00EB4495" w:rsidRDefault="00EB4495" w:rsidP="00B52814">
      <w:pPr>
        <w:jc w:val="left"/>
        <w:rPr>
          <w:rFonts w:ascii="Arial" w:hAnsi="Arial" w:cs="Arial"/>
          <w:iCs/>
        </w:rPr>
      </w:pPr>
    </w:p>
    <w:p w14:paraId="71E89F2C" w14:textId="77777777" w:rsidR="00EB4495" w:rsidRPr="00EB4495" w:rsidRDefault="00EB4495" w:rsidP="00B52814">
      <w:pPr>
        <w:jc w:val="left"/>
        <w:rPr>
          <w:rFonts w:ascii="Arial" w:hAnsi="Arial" w:cs="Arial"/>
          <w:bCs/>
          <w:iCs/>
        </w:rPr>
      </w:pPr>
      <w:r w:rsidRPr="00EB4495">
        <w:rPr>
          <w:rFonts w:ascii="Arial" w:hAnsi="Arial" w:cs="Arial"/>
          <w:b/>
          <w:iCs/>
        </w:rPr>
        <w:t xml:space="preserve">SKU </w:t>
      </w:r>
      <w:r w:rsidRPr="00EB4495">
        <w:rPr>
          <w:rFonts w:ascii="Arial" w:hAnsi="Arial" w:cs="Arial"/>
          <w:bCs/>
          <w:iCs/>
        </w:rPr>
        <w:t>(Stock Keeping Unit) is defined as the number of individual variants of products sold or remaining in stock. It is a distinct type of item for sale, such as a product and all attributes associated with the item type that distinguish it from others. These attributes could include, but are not limited to, manufacturer, description, material, size, colour, packaging and warranty terms.</w:t>
      </w:r>
    </w:p>
    <w:p w14:paraId="042F6156" w14:textId="77777777" w:rsidR="00EB4495" w:rsidRPr="00EB4495" w:rsidRDefault="00EB4495" w:rsidP="00B52814">
      <w:pPr>
        <w:jc w:val="left"/>
        <w:rPr>
          <w:rFonts w:ascii="Arial" w:hAnsi="Arial" w:cs="Arial"/>
          <w:b/>
          <w:iCs/>
        </w:rPr>
      </w:pPr>
    </w:p>
    <w:p w14:paraId="247C6C6B" w14:textId="22A7BB88" w:rsidR="00D05E54" w:rsidRDefault="00EB4495" w:rsidP="00B52814">
      <w:pPr>
        <w:jc w:val="left"/>
        <w:rPr>
          <w:rFonts w:ascii="Arial" w:hAnsi="Arial" w:cs="Arial"/>
        </w:rPr>
      </w:pPr>
      <w:r w:rsidRPr="00EB4495">
        <w:rPr>
          <w:rFonts w:ascii="Arial" w:hAnsi="Arial" w:cs="Arial"/>
          <w:b/>
          <w:iCs/>
        </w:rPr>
        <w:t>UK &amp; Ireland</w:t>
      </w:r>
      <w:r w:rsidRPr="00EB4495">
        <w:rPr>
          <w:rFonts w:ascii="Arial" w:hAnsi="Arial" w:cs="Arial"/>
          <w:iCs/>
        </w:rPr>
        <w:t xml:space="preserve"> consists of B&amp;Q in the UK &amp; Ireland and Screwfix </w:t>
      </w:r>
      <w:r w:rsidR="00337BFB">
        <w:rPr>
          <w:rFonts w:ascii="Arial" w:hAnsi="Arial" w:cs="Arial"/>
          <w:iCs/>
        </w:rPr>
        <w:t xml:space="preserve">in the </w:t>
      </w:r>
      <w:r w:rsidRPr="00EB4495">
        <w:rPr>
          <w:rFonts w:ascii="Arial" w:hAnsi="Arial" w:cs="Arial"/>
          <w:iCs/>
        </w:rPr>
        <w:t>UK &amp; Ireland.</w:t>
      </w:r>
      <w:r w:rsidR="00D05E54">
        <w:rPr>
          <w:rFonts w:ascii="Arial" w:hAnsi="Arial" w:cs="Arial"/>
        </w:rPr>
        <w:br w:type="page"/>
      </w:r>
    </w:p>
    <w:p w14:paraId="6CE23973" w14:textId="77777777" w:rsidR="00374358" w:rsidRDefault="00374358" w:rsidP="00374358">
      <w:pPr>
        <w:pBdr>
          <w:top w:val="single" w:sz="4" w:space="1" w:color="auto"/>
          <w:left w:val="single" w:sz="4" w:space="4" w:color="auto"/>
          <w:bottom w:val="single" w:sz="4" w:space="1" w:color="auto"/>
          <w:right w:val="single" w:sz="4" w:space="4" w:color="auto"/>
        </w:pBdr>
        <w:shd w:val="clear" w:color="auto" w:fill="0070C0"/>
        <w:rPr>
          <w:rFonts w:ascii="Arial" w:hAnsi="Arial" w:cs="Arial"/>
          <w:b/>
          <w:caps/>
          <w:color w:val="FFFFFF" w:themeColor="background1"/>
        </w:rPr>
      </w:pPr>
      <w:r>
        <w:rPr>
          <w:rFonts w:ascii="Arial" w:hAnsi="Arial" w:cs="Arial"/>
          <w:b/>
          <w:bCs/>
          <w:color w:val="FFFFFF" w:themeColor="background1"/>
        </w:rPr>
        <w:lastRenderedPageBreak/>
        <w:t xml:space="preserve">Section 7: </w:t>
      </w:r>
      <w:r>
        <w:rPr>
          <w:rFonts w:ascii="Arial" w:hAnsi="Arial" w:cs="Arial"/>
          <w:b/>
          <w:color w:val="FFFFFF" w:themeColor="background1"/>
        </w:rPr>
        <w:t>Forward-looking statements</w:t>
      </w:r>
    </w:p>
    <w:p w14:paraId="3DC2D362" w14:textId="77777777" w:rsidR="00374358" w:rsidRPr="00374358" w:rsidRDefault="00374358" w:rsidP="00374358">
      <w:pPr>
        <w:jc w:val="left"/>
        <w:rPr>
          <w:rFonts w:ascii="Arial" w:hAnsi="Arial" w:cs="Arial"/>
        </w:rPr>
      </w:pPr>
    </w:p>
    <w:p w14:paraId="763431F0" w14:textId="77777777" w:rsidR="00374358" w:rsidRPr="00374358" w:rsidRDefault="00374358" w:rsidP="00374358">
      <w:pPr>
        <w:pStyle w:val="mr"/>
        <w:spacing w:before="0" w:beforeAutospacing="0" w:after="0" w:afterAutospacing="0"/>
        <w:rPr>
          <w:rFonts w:ascii="Arial" w:hAnsi="Arial" w:cs="Arial"/>
          <w:sz w:val="22"/>
          <w:szCs w:val="22"/>
        </w:rPr>
      </w:pPr>
      <w:bookmarkStart w:id="99" w:name="_Hlk63784175"/>
      <w:r w:rsidRPr="00374358">
        <w:rPr>
          <w:rStyle w:val="ky"/>
          <w:rFonts w:ascii="Arial" w:hAnsi="Arial" w:cs="Arial"/>
          <w:sz w:val="22"/>
          <w:szCs w:val="22"/>
        </w:rPr>
        <w:t>You are not to construe the content of this announcement as investment, legal or tax advice and you should make your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w:t>
      </w:r>
    </w:p>
    <w:p w14:paraId="4B6CAE23" w14:textId="77777777" w:rsidR="00374358" w:rsidRPr="00374358" w:rsidRDefault="00374358" w:rsidP="00374358">
      <w:pPr>
        <w:pStyle w:val="mr"/>
        <w:spacing w:before="0" w:beforeAutospacing="0" w:after="0" w:afterAutospacing="0"/>
        <w:rPr>
          <w:rFonts w:ascii="Arial" w:hAnsi="Arial" w:cs="Arial"/>
          <w:sz w:val="22"/>
          <w:szCs w:val="22"/>
        </w:rPr>
      </w:pPr>
    </w:p>
    <w:p w14:paraId="23614890" w14:textId="77777777" w:rsidR="00374358" w:rsidRPr="00374358" w:rsidRDefault="00374358" w:rsidP="00374358">
      <w:pPr>
        <w:pStyle w:val="mr"/>
        <w:spacing w:before="0" w:beforeAutospacing="0" w:after="0" w:afterAutospacing="0"/>
        <w:rPr>
          <w:rFonts w:ascii="Arial" w:hAnsi="Arial" w:cs="Arial"/>
          <w:sz w:val="22"/>
          <w:szCs w:val="22"/>
        </w:rPr>
      </w:pPr>
      <w:r w:rsidRPr="00374358">
        <w:rPr>
          <w:rFonts w:ascii="Arial" w:hAnsi="Arial" w:cs="Arial"/>
          <w:sz w:val="22"/>
          <w:szCs w:val="22"/>
        </w:rPr>
        <w:t xml:space="preserve">This announcement has been prepared in relation to the financial results for the 12 months ended 31 January 2022. </w:t>
      </w:r>
      <w:r w:rsidRPr="00374358">
        <w:rPr>
          <w:rStyle w:val="ky"/>
          <w:rFonts w:ascii="Arial" w:hAnsi="Arial" w:cs="Arial"/>
          <w:sz w:val="22"/>
          <w:szCs w:val="22"/>
        </w:rPr>
        <w:t>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 (or, otherwise under any other law, regulation or exchange rules in any other applicable jurisdiction).</w:t>
      </w:r>
    </w:p>
    <w:p w14:paraId="6629799A" w14:textId="77777777" w:rsidR="00374358" w:rsidRPr="00374358" w:rsidRDefault="00374358" w:rsidP="00374358">
      <w:pPr>
        <w:pStyle w:val="mr"/>
        <w:spacing w:before="0" w:beforeAutospacing="0" w:after="0" w:afterAutospacing="0"/>
        <w:rPr>
          <w:rFonts w:ascii="Arial" w:hAnsi="Arial" w:cs="Arial"/>
          <w:sz w:val="22"/>
          <w:szCs w:val="22"/>
        </w:rPr>
      </w:pPr>
    </w:p>
    <w:p w14:paraId="602AF91C" w14:textId="77777777" w:rsidR="00374358" w:rsidRPr="00374358" w:rsidRDefault="00374358" w:rsidP="00374358">
      <w:pPr>
        <w:pStyle w:val="mr"/>
        <w:spacing w:before="0" w:beforeAutospacing="0" w:after="0" w:afterAutospacing="0"/>
        <w:rPr>
          <w:rFonts w:ascii="Arial" w:hAnsi="Arial" w:cs="Arial"/>
          <w:sz w:val="22"/>
          <w:szCs w:val="22"/>
        </w:rPr>
      </w:pPr>
      <w:r w:rsidRPr="00374358">
        <w:rPr>
          <w:rStyle w:val="ky"/>
          <w:rFonts w:ascii="Arial" w:hAnsi="Arial" w:cs="Arial"/>
          <w:sz w:val="22"/>
          <w:szCs w:val="22"/>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forecast, or "believe" (or the negatives thereof) or other variations thereon or comparable terminology. These forward-looking statements</w:t>
      </w:r>
      <w:r w:rsidRPr="00374358">
        <w:rPr>
          <w:rFonts w:ascii="Arial" w:eastAsia="Arial" w:hAnsi="Arial" w:cs="Arial"/>
          <w:sz w:val="22"/>
          <w:szCs w:val="22"/>
        </w:rPr>
        <w:t xml:space="preserve"> are based on currently available information and our current assumptions, expectations and projections about future events. These forward-looking statements</w:t>
      </w:r>
      <w:r w:rsidRPr="00374358">
        <w:rPr>
          <w:rStyle w:val="ky"/>
          <w:rFonts w:ascii="Arial" w:hAnsi="Arial" w:cs="Arial"/>
          <w:sz w:val="22"/>
          <w:szCs w:val="22"/>
        </w:rPr>
        <w:t xml:space="preserve"> include all matters that are not historical facts and include statements which look forward in time or statements regarding the Company's intentions, beliefs or current expectations and those of our Officers, Directors and employees concerning, amongst other things, the Company's results of operations, financial condition, changes in global or regional trade conditions (including a downturn in the retail or financial services industries), competitive influences, changes in tax rates, </w:t>
      </w:r>
      <w:r w:rsidRPr="00374358">
        <w:rPr>
          <w:rFonts w:ascii="Arial" w:hAnsi="Arial" w:cs="Arial"/>
          <w:sz w:val="22"/>
          <w:szCs w:val="22"/>
        </w:rPr>
        <w:t xml:space="preserve">exchange rates or interest rates, </w:t>
      </w:r>
      <w:r w:rsidRPr="00374358">
        <w:rPr>
          <w:rStyle w:val="ky"/>
          <w:rFonts w:ascii="Arial" w:hAnsi="Arial" w:cs="Arial"/>
          <w:sz w:val="22"/>
          <w:szCs w:val="22"/>
        </w:rPr>
        <w:t xml:space="preserve">changes to customer preferences, the state of the housing and home improvement markets, share repurchases and dividends, capital expenditure and capital allocation, liquidity, prospects, growth and strategies, litigation or other proceedings to which we are subject, acts of war or terrorism worldwide, work stoppages, slowdowns or strikes, public health crises, outbreaks of contagious disease </w:t>
      </w:r>
      <w:r w:rsidRPr="00374358">
        <w:rPr>
          <w:rFonts w:ascii="Arial" w:hAnsi="Arial" w:cs="Arial"/>
          <w:sz w:val="22"/>
          <w:szCs w:val="22"/>
        </w:rPr>
        <w:t>(including but not limited to the COVID pandemic)</w:t>
      </w:r>
      <w:r w:rsidRPr="00374358">
        <w:rPr>
          <w:rStyle w:val="ky"/>
          <w:rFonts w:ascii="Arial" w:hAnsi="Arial" w:cs="Arial"/>
          <w:sz w:val="22"/>
          <w:szCs w:val="22"/>
        </w:rPr>
        <w:t xml:space="preserve">, environmental disruption or political volatility. By their nature, forward-looking statements </w:t>
      </w:r>
      <w:r w:rsidRPr="00374358">
        <w:rPr>
          <w:rFonts w:ascii="Arial" w:eastAsia="Arial" w:hAnsi="Arial" w:cs="Arial"/>
          <w:sz w:val="22"/>
          <w:szCs w:val="22"/>
        </w:rPr>
        <w:t xml:space="preserve">are not guarantees of future performance and are subject to future events, risks and uncertainties – many of which are beyond our control, dependent on actions of third parties, or currently unknown to us – as well as potentially inaccurate assumptions </w:t>
      </w:r>
      <w:r w:rsidRPr="00374358">
        <w:rPr>
          <w:rStyle w:val="ky"/>
          <w:rFonts w:ascii="Arial" w:hAnsi="Arial" w:cs="Arial"/>
          <w:sz w:val="22"/>
          <w:szCs w:val="22"/>
        </w:rPr>
        <w:t>that could cause actual events or results or actual performance of the Group to differ materially from those reflected or contemplated in such forward-looking statements. For further information regarding risks to Kingfisher's business, please consult the risk management section of the Company's Annual Report (as published). No representation, warranty or other assurance is made as to the achievement or reasonableness of, and no reliance should be placed on, such forward-looking statements.</w:t>
      </w:r>
    </w:p>
    <w:p w14:paraId="6BA3A426" w14:textId="77777777" w:rsidR="00374358" w:rsidRPr="00374358" w:rsidRDefault="00374358" w:rsidP="00374358">
      <w:pPr>
        <w:pStyle w:val="mr"/>
        <w:spacing w:before="0" w:beforeAutospacing="0" w:after="0" w:afterAutospacing="0"/>
        <w:rPr>
          <w:rFonts w:ascii="Arial" w:hAnsi="Arial" w:cs="Arial"/>
          <w:sz w:val="22"/>
          <w:szCs w:val="22"/>
        </w:rPr>
      </w:pPr>
    </w:p>
    <w:p w14:paraId="7FDD451B" w14:textId="77777777" w:rsidR="00374358" w:rsidRPr="001E50BC" w:rsidRDefault="00374358" w:rsidP="00374358">
      <w:pPr>
        <w:pStyle w:val="mr"/>
        <w:spacing w:before="0" w:beforeAutospacing="0" w:after="0" w:afterAutospacing="0"/>
        <w:rPr>
          <w:rStyle w:val="ky"/>
        </w:rPr>
      </w:pPr>
      <w:r w:rsidRPr="00374358">
        <w:rPr>
          <w:rStyle w:val="ky"/>
          <w:rFonts w:ascii="Arial" w:hAnsi="Arial" w:cs="Arial"/>
          <w:sz w:val="22"/>
          <w:szCs w:val="22"/>
        </w:rPr>
        <w:t>The forward-looking statements contained in this announcement speak only as of the date of this announcement and the Company does not undertake any obligation to update or revise any forward-looking statement to reflect any new information, change in circumstances, or change in the Company's expectations to reflect events or circumstances after the date of this announcement or to reflect the occurrence of unanticipated events.</w:t>
      </w:r>
    </w:p>
    <w:bookmarkEnd w:id="99"/>
    <w:p w14:paraId="78EC7382" w14:textId="77777777" w:rsidR="00374358" w:rsidRPr="006957EC" w:rsidRDefault="00374358" w:rsidP="006957EC">
      <w:pPr>
        <w:pStyle w:val="mr"/>
        <w:spacing w:before="0" w:beforeAutospacing="0" w:after="0" w:afterAutospacing="0"/>
        <w:rPr>
          <w:rStyle w:val="ky"/>
        </w:rPr>
      </w:pPr>
    </w:p>
    <w:sectPr w:rsidR="00374358" w:rsidRPr="006957EC" w:rsidSect="00BC6731">
      <w:headerReference w:type="default" r:id="rId20"/>
      <w:footerReference w:type="default" r:id="rId21"/>
      <w:pgSz w:w="11906" w:h="16838"/>
      <w:pgMar w:top="720" w:right="851" w:bottom="720" w:left="851"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108D" w14:textId="77777777" w:rsidR="00DC7EEC" w:rsidRDefault="00DC7EEC" w:rsidP="00C52B32">
      <w:r>
        <w:separator/>
      </w:r>
    </w:p>
  </w:endnote>
  <w:endnote w:type="continuationSeparator" w:id="0">
    <w:p w14:paraId="62827A1B" w14:textId="77777777" w:rsidR="00DC7EEC" w:rsidRDefault="00DC7EEC" w:rsidP="00C52B32">
      <w:r>
        <w:continuationSeparator/>
      </w:r>
    </w:p>
  </w:endnote>
  <w:endnote w:type="continuationNotice" w:id="1">
    <w:p w14:paraId="24C4ED3D" w14:textId="77777777" w:rsidR="00DC7EEC" w:rsidRDefault="00DC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enir 35">
    <w:altName w:val="Calibri"/>
    <w:panose1 w:val="00000000000000000000"/>
    <w:charset w:val="00"/>
    <w:family w:val="swiss"/>
    <w:notTrueType/>
    <w:pitch w:val="default"/>
    <w:sig w:usb0="00000003" w:usb1="00000000" w:usb2="00000000" w:usb3="00000000" w:csb0="00000001" w:csb1="00000000"/>
  </w:font>
  <w:font w:name="Trade Gothic LT Std Light">
    <w:altName w:val="Calibri"/>
    <w:panose1 w:val="00000000000000000000"/>
    <w:charset w:val="00"/>
    <w:family w:val="modern"/>
    <w:notTrueType/>
    <w:pitch w:val="variable"/>
    <w:sig w:usb0="800000AF" w:usb1="4000204A"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GoodHome">
    <w:altName w:val="Calibri"/>
    <w:charset w:val="00"/>
    <w:family w:val="auto"/>
    <w:pitch w:val="variable"/>
    <w:sig w:usb0="000002C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42062"/>
      <w:docPartObj>
        <w:docPartGallery w:val="Page Numbers (Bottom of Page)"/>
        <w:docPartUnique/>
      </w:docPartObj>
    </w:sdtPr>
    <w:sdtEndPr>
      <w:rPr>
        <w:rFonts w:ascii="Arial" w:hAnsi="Arial" w:cs="Arial"/>
        <w:noProof/>
      </w:rPr>
    </w:sdtEndPr>
    <w:sdtContent>
      <w:p w14:paraId="707AA90C" w14:textId="178AD6E3" w:rsidR="00C52B32" w:rsidRPr="00F62A69" w:rsidRDefault="00C52B32">
        <w:pPr>
          <w:pStyle w:val="Footer"/>
          <w:jc w:val="right"/>
          <w:rPr>
            <w:rFonts w:ascii="Arial" w:hAnsi="Arial" w:cs="Arial"/>
          </w:rPr>
        </w:pPr>
        <w:r w:rsidRPr="00F62A69">
          <w:rPr>
            <w:rFonts w:ascii="Arial" w:hAnsi="Arial" w:cs="Arial"/>
          </w:rPr>
          <w:fldChar w:fldCharType="begin"/>
        </w:r>
        <w:r w:rsidRPr="00F62A69">
          <w:rPr>
            <w:rFonts w:ascii="Arial" w:hAnsi="Arial" w:cs="Arial"/>
          </w:rPr>
          <w:instrText xml:space="preserve"> PAGE   \* MERGEFORMAT </w:instrText>
        </w:r>
        <w:r w:rsidRPr="00F62A69">
          <w:rPr>
            <w:rFonts w:ascii="Arial" w:hAnsi="Arial" w:cs="Arial"/>
          </w:rPr>
          <w:fldChar w:fldCharType="separate"/>
        </w:r>
        <w:r w:rsidRPr="00F62A69">
          <w:rPr>
            <w:rFonts w:ascii="Arial" w:hAnsi="Arial" w:cs="Arial"/>
            <w:noProof/>
          </w:rPr>
          <w:t>2</w:t>
        </w:r>
        <w:r w:rsidRPr="00F62A6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E0F2" w14:textId="77777777" w:rsidR="00DC7EEC" w:rsidRDefault="00DC7EEC" w:rsidP="00C52B32">
      <w:r>
        <w:separator/>
      </w:r>
    </w:p>
  </w:footnote>
  <w:footnote w:type="continuationSeparator" w:id="0">
    <w:p w14:paraId="0F850BAA" w14:textId="77777777" w:rsidR="00DC7EEC" w:rsidRDefault="00DC7EEC" w:rsidP="00C52B32">
      <w:r>
        <w:continuationSeparator/>
      </w:r>
    </w:p>
  </w:footnote>
  <w:footnote w:type="continuationNotice" w:id="1">
    <w:p w14:paraId="40A6E66D" w14:textId="77777777" w:rsidR="00DC7EEC" w:rsidRDefault="00DC7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C5D7" w14:textId="7C9F35EC" w:rsidR="00C52B32" w:rsidRDefault="00C52B32">
    <w:pPr>
      <w:pStyle w:val="Header"/>
    </w:pPr>
    <w:r>
      <w:rPr>
        <w:noProof/>
      </w:rPr>
      <w:ptab w:relativeTo="margin" w:alignment="center" w:leader="none"/>
    </w:r>
    <w:r>
      <w:rPr>
        <w:noProof/>
      </w:rPr>
      <w:drawing>
        <wp:inline distT="0" distB="0" distL="0" distR="0" wp14:anchorId="430A0088" wp14:editId="71C3474E">
          <wp:extent cx="2066925" cy="627185"/>
          <wp:effectExtent l="0" t="0" r="0" b="1905"/>
          <wp:docPr id="4"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Logo, company name&#10;&#10;Description automatically generated"/>
                  <pic:cNvPicPr>
                    <a:picLocks noChangeAspect="1" noChangeArrowheads="1"/>
                  </pic:cNvPicPr>
                </pic:nvPicPr>
                <pic:blipFill>
                  <a:blip r:embed="rId1"/>
                  <a:srcRect/>
                  <a:stretch>
                    <a:fillRect/>
                  </a:stretch>
                </pic:blipFill>
                <pic:spPr bwMode="auto">
                  <a:xfrm>
                    <a:off x="0" y="0"/>
                    <a:ext cx="2066925" cy="6271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AA09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2416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1E1E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5A04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F45C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6" w15:restartNumberingAfterBreak="0">
    <w:nsid w:val="FFFFFF82"/>
    <w:multiLevelType w:val="singleLevel"/>
    <w:tmpl w:val="5BF2CB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ED5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AE77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F6A9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24DD9"/>
    <w:multiLevelType w:val="multilevel"/>
    <w:tmpl w:val="98CC36B8"/>
    <w:lvl w:ilvl="0">
      <w:start w:val="1"/>
      <w:numFmt w:val="bullet"/>
      <w:lvlText w:val=""/>
      <w:lvlJc w:val="left"/>
      <w:pPr>
        <w:tabs>
          <w:tab w:val="num" w:pos="2140"/>
        </w:tabs>
        <w:ind w:left="2140" w:hanging="360"/>
      </w:pPr>
      <w:rPr>
        <w:rFonts w:ascii="Symbol" w:hAnsi="Symbol" w:hint="default"/>
        <w:sz w:val="20"/>
      </w:rPr>
    </w:lvl>
    <w:lvl w:ilvl="1">
      <w:start w:val="1"/>
      <w:numFmt w:val="bullet"/>
      <w:lvlText w:val="o"/>
      <w:lvlJc w:val="left"/>
      <w:pPr>
        <w:tabs>
          <w:tab w:val="num" w:pos="2860"/>
        </w:tabs>
        <w:ind w:left="2860" w:hanging="360"/>
      </w:pPr>
      <w:rPr>
        <w:rFonts w:ascii="Courier New" w:hAnsi="Courier New" w:cs="Times New Roman" w:hint="default"/>
        <w:sz w:val="20"/>
      </w:rPr>
    </w:lvl>
    <w:lvl w:ilvl="2">
      <w:start w:val="1"/>
      <w:numFmt w:val="bullet"/>
      <w:lvlText w:val=""/>
      <w:lvlJc w:val="left"/>
      <w:pPr>
        <w:tabs>
          <w:tab w:val="num" w:pos="3580"/>
        </w:tabs>
        <w:ind w:left="3580" w:hanging="360"/>
      </w:pPr>
      <w:rPr>
        <w:rFonts w:ascii="Wingdings" w:hAnsi="Wingdings" w:hint="default"/>
        <w:sz w:val="20"/>
      </w:rPr>
    </w:lvl>
    <w:lvl w:ilvl="3">
      <w:start w:val="1"/>
      <w:numFmt w:val="bullet"/>
      <w:lvlText w:val=""/>
      <w:lvlJc w:val="left"/>
      <w:pPr>
        <w:tabs>
          <w:tab w:val="num" w:pos="4300"/>
        </w:tabs>
        <w:ind w:left="4300" w:hanging="360"/>
      </w:pPr>
      <w:rPr>
        <w:rFonts w:ascii="Wingdings" w:hAnsi="Wingdings" w:hint="default"/>
        <w:sz w:val="20"/>
      </w:rPr>
    </w:lvl>
    <w:lvl w:ilvl="4">
      <w:start w:val="1"/>
      <w:numFmt w:val="bullet"/>
      <w:lvlText w:val=""/>
      <w:lvlJc w:val="left"/>
      <w:pPr>
        <w:tabs>
          <w:tab w:val="num" w:pos="5020"/>
        </w:tabs>
        <w:ind w:left="5020" w:hanging="360"/>
      </w:pPr>
      <w:rPr>
        <w:rFonts w:ascii="Wingdings" w:hAnsi="Wingdings" w:hint="default"/>
        <w:sz w:val="20"/>
      </w:rPr>
    </w:lvl>
    <w:lvl w:ilvl="5">
      <w:start w:val="1"/>
      <w:numFmt w:val="bullet"/>
      <w:lvlText w:val=""/>
      <w:lvlJc w:val="left"/>
      <w:pPr>
        <w:tabs>
          <w:tab w:val="num" w:pos="5740"/>
        </w:tabs>
        <w:ind w:left="5740" w:hanging="360"/>
      </w:pPr>
      <w:rPr>
        <w:rFonts w:ascii="Wingdings" w:hAnsi="Wingdings" w:hint="default"/>
        <w:sz w:val="20"/>
      </w:rPr>
    </w:lvl>
    <w:lvl w:ilvl="6">
      <w:start w:val="1"/>
      <w:numFmt w:val="bullet"/>
      <w:lvlText w:val=""/>
      <w:lvlJc w:val="left"/>
      <w:pPr>
        <w:tabs>
          <w:tab w:val="num" w:pos="6460"/>
        </w:tabs>
        <w:ind w:left="6460" w:hanging="360"/>
      </w:pPr>
      <w:rPr>
        <w:rFonts w:ascii="Wingdings" w:hAnsi="Wingdings" w:hint="default"/>
        <w:sz w:val="20"/>
      </w:rPr>
    </w:lvl>
    <w:lvl w:ilvl="7">
      <w:start w:val="1"/>
      <w:numFmt w:val="bullet"/>
      <w:lvlText w:val=""/>
      <w:lvlJc w:val="left"/>
      <w:pPr>
        <w:tabs>
          <w:tab w:val="num" w:pos="7180"/>
        </w:tabs>
        <w:ind w:left="7180" w:hanging="360"/>
      </w:pPr>
      <w:rPr>
        <w:rFonts w:ascii="Wingdings" w:hAnsi="Wingdings" w:hint="default"/>
        <w:sz w:val="20"/>
      </w:rPr>
    </w:lvl>
    <w:lvl w:ilvl="8">
      <w:start w:val="1"/>
      <w:numFmt w:val="bullet"/>
      <w:lvlText w:val=""/>
      <w:lvlJc w:val="left"/>
      <w:pPr>
        <w:tabs>
          <w:tab w:val="num" w:pos="7900"/>
        </w:tabs>
        <w:ind w:left="7900" w:hanging="360"/>
      </w:pPr>
      <w:rPr>
        <w:rFonts w:ascii="Wingdings" w:hAnsi="Wingdings" w:hint="default"/>
        <w:sz w:val="20"/>
      </w:rPr>
    </w:lvl>
  </w:abstractNum>
  <w:abstractNum w:abstractNumId="11" w15:restartNumberingAfterBreak="0">
    <w:nsid w:val="01A3712F"/>
    <w:multiLevelType w:val="multilevel"/>
    <w:tmpl w:val="F1B8C63A"/>
    <w:lvl w:ilvl="0">
      <w:start w:val="1"/>
      <w:numFmt w:val="lowerLetter"/>
      <w:lvlText w:val="%1)"/>
      <w:lvlJc w:val="left"/>
      <w:pPr>
        <w:tabs>
          <w:tab w:val="num" w:pos="2140"/>
        </w:tabs>
        <w:ind w:left="2140" w:hanging="360"/>
      </w:pPr>
      <w:rPr>
        <w:rFonts w:hint="default"/>
        <w:sz w:val="20"/>
      </w:rPr>
    </w:lvl>
    <w:lvl w:ilvl="1">
      <w:start w:val="1"/>
      <w:numFmt w:val="bullet"/>
      <w:lvlText w:val="o"/>
      <w:lvlJc w:val="left"/>
      <w:pPr>
        <w:tabs>
          <w:tab w:val="num" w:pos="2860"/>
        </w:tabs>
        <w:ind w:left="2860" w:hanging="360"/>
      </w:pPr>
      <w:rPr>
        <w:rFonts w:ascii="Courier New" w:hAnsi="Courier New" w:cs="Times New Roman" w:hint="default"/>
        <w:sz w:val="20"/>
      </w:rPr>
    </w:lvl>
    <w:lvl w:ilvl="2">
      <w:start w:val="1"/>
      <w:numFmt w:val="bullet"/>
      <w:lvlText w:val=""/>
      <w:lvlJc w:val="left"/>
      <w:pPr>
        <w:tabs>
          <w:tab w:val="num" w:pos="3580"/>
        </w:tabs>
        <w:ind w:left="3580" w:hanging="360"/>
      </w:pPr>
      <w:rPr>
        <w:rFonts w:ascii="Wingdings" w:hAnsi="Wingdings" w:hint="default"/>
        <w:sz w:val="20"/>
      </w:rPr>
    </w:lvl>
    <w:lvl w:ilvl="3">
      <w:start w:val="1"/>
      <w:numFmt w:val="bullet"/>
      <w:lvlText w:val=""/>
      <w:lvlJc w:val="left"/>
      <w:pPr>
        <w:tabs>
          <w:tab w:val="num" w:pos="4300"/>
        </w:tabs>
        <w:ind w:left="4300" w:hanging="360"/>
      </w:pPr>
      <w:rPr>
        <w:rFonts w:ascii="Wingdings" w:hAnsi="Wingdings" w:hint="default"/>
        <w:sz w:val="20"/>
      </w:rPr>
    </w:lvl>
    <w:lvl w:ilvl="4">
      <w:start w:val="1"/>
      <w:numFmt w:val="bullet"/>
      <w:lvlText w:val=""/>
      <w:lvlJc w:val="left"/>
      <w:pPr>
        <w:tabs>
          <w:tab w:val="num" w:pos="5020"/>
        </w:tabs>
        <w:ind w:left="5020" w:hanging="360"/>
      </w:pPr>
      <w:rPr>
        <w:rFonts w:ascii="Wingdings" w:hAnsi="Wingdings" w:hint="default"/>
        <w:sz w:val="20"/>
      </w:rPr>
    </w:lvl>
    <w:lvl w:ilvl="5">
      <w:start w:val="1"/>
      <w:numFmt w:val="bullet"/>
      <w:lvlText w:val=""/>
      <w:lvlJc w:val="left"/>
      <w:pPr>
        <w:tabs>
          <w:tab w:val="num" w:pos="5740"/>
        </w:tabs>
        <w:ind w:left="5740" w:hanging="360"/>
      </w:pPr>
      <w:rPr>
        <w:rFonts w:ascii="Wingdings" w:hAnsi="Wingdings" w:hint="default"/>
        <w:sz w:val="20"/>
      </w:rPr>
    </w:lvl>
    <w:lvl w:ilvl="6">
      <w:start w:val="1"/>
      <w:numFmt w:val="bullet"/>
      <w:lvlText w:val=""/>
      <w:lvlJc w:val="left"/>
      <w:pPr>
        <w:tabs>
          <w:tab w:val="num" w:pos="6460"/>
        </w:tabs>
        <w:ind w:left="6460" w:hanging="360"/>
      </w:pPr>
      <w:rPr>
        <w:rFonts w:ascii="Wingdings" w:hAnsi="Wingdings" w:hint="default"/>
        <w:sz w:val="20"/>
      </w:rPr>
    </w:lvl>
    <w:lvl w:ilvl="7">
      <w:start w:val="1"/>
      <w:numFmt w:val="bullet"/>
      <w:lvlText w:val=""/>
      <w:lvlJc w:val="left"/>
      <w:pPr>
        <w:tabs>
          <w:tab w:val="num" w:pos="7180"/>
        </w:tabs>
        <w:ind w:left="7180" w:hanging="360"/>
      </w:pPr>
      <w:rPr>
        <w:rFonts w:ascii="Wingdings" w:hAnsi="Wingdings" w:hint="default"/>
        <w:sz w:val="20"/>
      </w:rPr>
    </w:lvl>
    <w:lvl w:ilvl="8">
      <w:start w:val="1"/>
      <w:numFmt w:val="bullet"/>
      <w:lvlText w:val=""/>
      <w:lvlJc w:val="left"/>
      <w:pPr>
        <w:tabs>
          <w:tab w:val="num" w:pos="7900"/>
        </w:tabs>
        <w:ind w:left="7900" w:hanging="360"/>
      </w:pPr>
      <w:rPr>
        <w:rFonts w:ascii="Wingdings" w:hAnsi="Wingdings" w:hint="default"/>
        <w:sz w:val="20"/>
      </w:rPr>
    </w:lvl>
  </w:abstractNum>
  <w:abstractNum w:abstractNumId="12" w15:restartNumberingAfterBreak="0">
    <w:nsid w:val="07C55329"/>
    <w:multiLevelType w:val="hybridMultilevel"/>
    <w:tmpl w:val="1DC69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F85346"/>
    <w:multiLevelType w:val="hybridMultilevel"/>
    <w:tmpl w:val="DF568016"/>
    <w:lvl w:ilvl="0" w:tplc="3D067B5C">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804CE"/>
    <w:multiLevelType w:val="hybridMultilevel"/>
    <w:tmpl w:val="F4E0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551B3"/>
    <w:multiLevelType w:val="hybridMultilevel"/>
    <w:tmpl w:val="20A0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B6B23"/>
    <w:multiLevelType w:val="hybridMultilevel"/>
    <w:tmpl w:val="ED3A8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C83342"/>
    <w:multiLevelType w:val="hybridMultilevel"/>
    <w:tmpl w:val="A6A463A4"/>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CF63AC"/>
    <w:multiLevelType w:val="hybridMultilevel"/>
    <w:tmpl w:val="7B04A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412189"/>
    <w:multiLevelType w:val="hybridMultilevel"/>
    <w:tmpl w:val="D63A06D2"/>
    <w:lvl w:ilvl="0" w:tplc="80580FF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B0CCD"/>
    <w:multiLevelType w:val="hybridMultilevel"/>
    <w:tmpl w:val="A344FADE"/>
    <w:lvl w:ilvl="0" w:tplc="81ECB42C">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F6498"/>
    <w:multiLevelType w:val="hybridMultilevel"/>
    <w:tmpl w:val="B9C2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2739BF"/>
    <w:multiLevelType w:val="hybridMultilevel"/>
    <w:tmpl w:val="090A24E4"/>
    <w:lvl w:ilvl="0" w:tplc="BFC6A1BC">
      <w:start w:val="1"/>
      <w:numFmt w:val="decimal"/>
      <w:lvlText w:val="%1)"/>
      <w:lvlJc w:val="left"/>
      <w:pPr>
        <w:ind w:left="720" w:hanging="360"/>
      </w:pPr>
      <w:rPr>
        <w:rFonts w:hint="default"/>
        <w:b w:val="0"/>
        <w:sz w:val="22"/>
        <w:szCs w:val="22"/>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60FF7441"/>
    <w:multiLevelType w:val="hybridMultilevel"/>
    <w:tmpl w:val="1940F58E"/>
    <w:lvl w:ilvl="0" w:tplc="08090001">
      <w:start w:val="1"/>
      <w:numFmt w:val="bullet"/>
      <w:lvlText w:val=""/>
      <w:lvlJc w:val="left"/>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0F0866"/>
    <w:multiLevelType w:val="hybridMultilevel"/>
    <w:tmpl w:val="A268D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746B20"/>
    <w:multiLevelType w:val="hybridMultilevel"/>
    <w:tmpl w:val="DD62ADB4"/>
    <w:lvl w:ilvl="0" w:tplc="08090001">
      <w:start w:val="1"/>
      <w:numFmt w:val="bullet"/>
      <w:lvlText w:val=""/>
      <w:lvlJc w:val="left"/>
      <w:pPr>
        <w:ind w:left="360" w:hanging="360"/>
      </w:pPr>
      <w:rPr>
        <w:rFonts w:ascii="Symbol" w:hAnsi="Symbol" w:hint="default"/>
      </w:rPr>
    </w:lvl>
    <w:lvl w:ilvl="1" w:tplc="93442854">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467FE5"/>
    <w:multiLevelType w:val="multilevel"/>
    <w:tmpl w:val="D60E5400"/>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C681D19"/>
    <w:multiLevelType w:val="multilevel"/>
    <w:tmpl w:val="F1B8C63A"/>
    <w:lvl w:ilvl="0">
      <w:start w:val="1"/>
      <w:numFmt w:val="lowerLetter"/>
      <w:lvlText w:val="%1)"/>
      <w:lvlJc w:val="left"/>
      <w:pPr>
        <w:tabs>
          <w:tab w:val="num" w:pos="2140"/>
        </w:tabs>
        <w:ind w:left="2140" w:hanging="360"/>
      </w:pPr>
      <w:rPr>
        <w:rFonts w:hint="default"/>
        <w:sz w:val="20"/>
      </w:rPr>
    </w:lvl>
    <w:lvl w:ilvl="1">
      <w:start w:val="1"/>
      <w:numFmt w:val="bullet"/>
      <w:lvlText w:val="o"/>
      <w:lvlJc w:val="left"/>
      <w:pPr>
        <w:tabs>
          <w:tab w:val="num" w:pos="2860"/>
        </w:tabs>
        <w:ind w:left="2860" w:hanging="360"/>
      </w:pPr>
      <w:rPr>
        <w:rFonts w:ascii="Courier New" w:hAnsi="Courier New" w:cs="Times New Roman" w:hint="default"/>
        <w:sz w:val="20"/>
      </w:rPr>
    </w:lvl>
    <w:lvl w:ilvl="2">
      <w:start w:val="1"/>
      <w:numFmt w:val="bullet"/>
      <w:lvlText w:val=""/>
      <w:lvlJc w:val="left"/>
      <w:pPr>
        <w:tabs>
          <w:tab w:val="num" w:pos="3580"/>
        </w:tabs>
        <w:ind w:left="3580" w:hanging="360"/>
      </w:pPr>
      <w:rPr>
        <w:rFonts w:ascii="Wingdings" w:hAnsi="Wingdings" w:hint="default"/>
        <w:sz w:val="20"/>
      </w:rPr>
    </w:lvl>
    <w:lvl w:ilvl="3">
      <w:start w:val="1"/>
      <w:numFmt w:val="bullet"/>
      <w:lvlText w:val=""/>
      <w:lvlJc w:val="left"/>
      <w:pPr>
        <w:tabs>
          <w:tab w:val="num" w:pos="4300"/>
        </w:tabs>
        <w:ind w:left="4300" w:hanging="360"/>
      </w:pPr>
      <w:rPr>
        <w:rFonts w:ascii="Wingdings" w:hAnsi="Wingdings" w:hint="default"/>
        <w:sz w:val="20"/>
      </w:rPr>
    </w:lvl>
    <w:lvl w:ilvl="4">
      <w:start w:val="1"/>
      <w:numFmt w:val="bullet"/>
      <w:lvlText w:val=""/>
      <w:lvlJc w:val="left"/>
      <w:pPr>
        <w:tabs>
          <w:tab w:val="num" w:pos="5020"/>
        </w:tabs>
        <w:ind w:left="5020" w:hanging="360"/>
      </w:pPr>
      <w:rPr>
        <w:rFonts w:ascii="Wingdings" w:hAnsi="Wingdings" w:hint="default"/>
        <w:sz w:val="20"/>
      </w:rPr>
    </w:lvl>
    <w:lvl w:ilvl="5">
      <w:start w:val="1"/>
      <w:numFmt w:val="bullet"/>
      <w:lvlText w:val=""/>
      <w:lvlJc w:val="left"/>
      <w:pPr>
        <w:tabs>
          <w:tab w:val="num" w:pos="5740"/>
        </w:tabs>
        <w:ind w:left="5740" w:hanging="360"/>
      </w:pPr>
      <w:rPr>
        <w:rFonts w:ascii="Wingdings" w:hAnsi="Wingdings" w:hint="default"/>
        <w:sz w:val="20"/>
      </w:rPr>
    </w:lvl>
    <w:lvl w:ilvl="6">
      <w:start w:val="1"/>
      <w:numFmt w:val="bullet"/>
      <w:lvlText w:val=""/>
      <w:lvlJc w:val="left"/>
      <w:pPr>
        <w:tabs>
          <w:tab w:val="num" w:pos="6460"/>
        </w:tabs>
        <w:ind w:left="6460" w:hanging="360"/>
      </w:pPr>
      <w:rPr>
        <w:rFonts w:ascii="Wingdings" w:hAnsi="Wingdings" w:hint="default"/>
        <w:sz w:val="20"/>
      </w:rPr>
    </w:lvl>
    <w:lvl w:ilvl="7">
      <w:start w:val="1"/>
      <w:numFmt w:val="bullet"/>
      <w:lvlText w:val=""/>
      <w:lvlJc w:val="left"/>
      <w:pPr>
        <w:tabs>
          <w:tab w:val="num" w:pos="7180"/>
        </w:tabs>
        <w:ind w:left="7180" w:hanging="360"/>
      </w:pPr>
      <w:rPr>
        <w:rFonts w:ascii="Wingdings" w:hAnsi="Wingdings" w:hint="default"/>
        <w:sz w:val="20"/>
      </w:rPr>
    </w:lvl>
    <w:lvl w:ilvl="8">
      <w:start w:val="1"/>
      <w:numFmt w:val="bullet"/>
      <w:lvlText w:val=""/>
      <w:lvlJc w:val="left"/>
      <w:pPr>
        <w:tabs>
          <w:tab w:val="num" w:pos="7900"/>
        </w:tabs>
        <w:ind w:left="7900" w:hanging="360"/>
      </w:pPr>
      <w:rPr>
        <w:rFonts w:ascii="Wingdings" w:hAnsi="Wingdings" w:hint="default"/>
        <w:sz w:val="20"/>
      </w:rPr>
    </w:lvl>
  </w:abstractNum>
  <w:abstractNum w:abstractNumId="29" w15:restartNumberingAfterBreak="0">
    <w:nsid w:val="6CD04699"/>
    <w:multiLevelType w:val="hybridMultilevel"/>
    <w:tmpl w:val="1B8C4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5"/>
  </w:num>
  <w:num w:numId="4">
    <w:abstractNumId w:val="17"/>
  </w:num>
  <w:num w:numId="5">
    <w:abstractNumId w:val="29"/>
  </w:num>
  <w:num w:numId="6">
    <w:abstractNumId w:val="14"/>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0"/>
  </w:num>
  <w:num w:numId="19">
    <w:abstractNumId w:val="18"/>
  </w:num>
  <w:num w:numId="20">
    <w:abstractNumId w:val="11"/>
  </w:num>
  <w:num w:numId="21">
    <w:abstractNumId w:val="28"/>
  </w:num>
  <w:num w:numId="22">
    <w:abstractNumId w:val="20"/>
  </w:num>
  <w:num w:numId="23">
    <w:abstractNumId w:val="27"/>
  </w:num>
  <w:num w:numId="24">
    <w:abstractNumId w:val="13"/>
  </w:num>
  <w:num w:numId="25">
    <w:abstractNumId w:val="12"/>
  </w:num>
  <w:num w:numId="26">
    <w:abstractNumId w:val="16"/>
  </w:num>
  <w:num w:numId="27">
    <w:abstractNumId w:val="22"/>
  </w:num>
  <w:num w:numId="28">
    <w:abstractNumId w:val="24"/>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32"/>
    <w:rsid w:val="00000E91"/>
    <w:rsid w:val="0000340F"/>
    <w:rsid w:val="00003FAD"/>
    <w:rsid w:val="00010DC1"/>
    <w:rsid w:val="00010DDB"/>
    <w:rsid w:val="0001206A"/>
    <w:rsid w:val="0001350C"/>
    <w:rsid w:val="00015E51"/>
    <w:rsid w:val="00016026"/>
    <w:rsid w:val="0002200F"/>
    <w:rsid w:val="0002352A"/>
    <w:rsid w:val="00025075"/>
    <w:rsid w:val="00025327"/>
    <w:rsid w:val="00025A48"/>
    <w:rsid w:val="00027059"/>
    <w:rsid w:val="0002714E"/>
    <w:rsid w:val="00031361"/>
    <w:rsid w:val="0003286E"/>
    <w:rsid w:val="0003608B"/>
    <w:rsid w:val="00037809"/>
    <w:rsid w:val="00041B80"/>
    <w:rsid w:val="000423A7"/>
    <w:rsid w:val="000426AD"/>
    <w:rsid w:val="00045E23"/>
    <w:rsid w:val="0004617F"/>
    <w:rsid w:val="00046786"/>
    <w:rsid w:val="0004781D"/>
    <w:rsid w:val="00047CAA"/>
    <w:rsid w:val="00050B09"/>
    <w:rsid w:val="00055764"/>
    <w:rsid w:val="00055E45"/>
    <w:rsid w:val="000562D9"/>
    <w:rsid w:val="0006231B"/>
    <w:rsid w:val="000624B5"/>
    <w:rsid w:val="0006651C"/>
    <w:rsid w:val="00066A73"/>
    <w:rsid w:val="00067F10"/>
    <w:rsid w:val="00070811"/>
    <w:rsid w:val="00071652"/>
    <w:rsid w:val="00075802"/>
    <w:rsid w:val="00076171"/>
    <w:rsid w:val="0007689A"/>
    <w:rsid w:val="00077186"/>
    <w:rsid w:val="0007779B"/>
    <w:rsid w:val="0008018E"/>
    <w:rsid w:val="0008159B"/>
    <w:rsid w:val="00082D92"/>
    <w:rsid w:val="000843B5"/>
    <w:rsid w:val="00084627"/>
    <w:rsid w:val="00084E9F"/>
    <w:rsid w:val="00085069"/>
    <w:rsid w:val="00085300"/>
    <w:rsid w:val="00085CD0"/>
    <w:rsid w:val="00085CE1"/>
    <w:rsid w:val="00090579"/>
    <w:rsid w:val="00091D29"/>
    <w:rsid w:val="000956CE"/>
    <w:rsid w:val="00097332"/>
    <w:rsid w:val="000977EB"/>
    <w:rsid w:val="00097F66"/>
    <w:rsid w:val="000A045D"/>
    <w:rsid w:val="000A11F8"/>
    <w:rsid w:val="000A1298"/>
    <w:rsid w:val="000A1E09"/>
    <w:rsid w:val="000A2203"/>
    <w:rsid w:val="000A2E3E"/>
    <w:rsid w:val="000A49DF"/>
    <w:rsid w:val="000A5394"/>
    <w:rsid w:val="000A64CD"/>
    <w:rsid w:val="000B11BF"/>
    <w:rsid w:val="000B3AAB"/>
    <w:rsid w:val="000B3B04"/>
    <w:rsid w:val="000B5BF6"/>
    <w:rsid w:val="000B6594"/>
    <w:rsid w:val="000B6DC0"/>
    <w:rsid w:val="000B770B"/>
    <w:rsid w:val="000B79B8"/>
    <w:rsid w:val="000C06B8"/>
    <w:rsid w:val="000C06BB"/>
    <w:rsid w:val="000C2D32"/>
    <w:rsid w:val="000C361C"/>
    <w:rsid w:val="000C44E0"/>
    <w:rsid w:val="000C61C5"/>
    <w:rsid w:val="000D33F3"/>
    <w:rsid w:val="000D45A6"/>
    <w:rsid w:val="000E09DB"/>
    <w:rsid w:val="000E1790"/>
    <w:rsid w:val="000E38E1"/>
    <w:rsid w:val="000E5507"/>
    <w:rsid w:val="000E5BD0"/>
    <w:rsid w:val="000E7996"/>
    <w:rsid w:val="000F2F06"/>
    <w:rsid w:val="000F38C2"/>
    <w:rsid w:val="000F482C"/>
    <w:rsid w:val="000F4882"/>
    <w:rsid w:val="000F4B85"/>
    <w:rsid w:val="000F5B5C"/>
    <w:rsid w:val="000F5EC6"/>
    <w:rsid w:val="000F6848"/>
    <w:rsid w:val="000F7064"/>
    <w:rsid w:val="000F7309"/>
    <w:rsid w:val="000F7CBE"/>
    <w:rsid w:val="000F7E31"/>
    <w:rsid w:val="001013BA"/>
    <w:rsid w:val="00101936"/>
    <w:rsid w:val="001019B8"/>
    <w:rsid w:val="00106351"/>
    <w:rsid w:val="00106927"/>
    <w:rsid w:val="0010698A"/>
    <w:rsid w:val="001074B8"/>
    <w:rsid w:val="00110338"/>
    <w:rsid w:val="001131A2"/>
    <w:rsid w:val="001147CB"/>
    <w:rsid w:val="001156BD"/>
    <w:rsid w:val="001159AE"/>
    <w:rsid w:val="00115EDD"/>
    <w:rsid w:val="001166D6"/>
    <w:rsid w:val="0012229C"/>
    <w:rsid w:val="001222DF"/>
    <w:rsid w:val="00123C85"/>
    <w:rsid w:val="001255A9"/>
    <w:rsid w:val="00125CE5"/>
    <w:rsid w:val="0012674A"/>
    <w:rsid w:val="00127626"/>
    <w:rsid w:val="00135901"/>
    <w:rsid w:val="0014114F"/>
    <w:rsid w:val="00141A3D"/>
    <w:rsid w:val="00145F2E"/>
    <w:rsid w:val="001468D4"/>
    <w:rsid w:val="00147CAE"/>
    <w:rsid w:val="001503CC"/>
    <w:rsid w:val="00150596"/>
    <w:rsid w:val="00151F96"/>
    <w:rsid w:val="00152FF7"/>
    <w:rsid w:val="001536BD"/>
    <w:rsid w:val="00154AA9"/>
    <w:rsid w:val="001573AC"/>
    <w:rsid w:val="00160F6C"/>
    <w:rsid w:val="00163482"/>
    <w:rsid w:val="00163843"/>
    <w:rsid w:val="00163F38"/>
    <w:rsid w:val="0016734B"/>
    <w:rsid w:val="00170F65"/>
    <w:rsid w:val="00171D8E"/>
    <w:rsid w:val="00172B11"/>
    <w:rsid w:val="00173DA3"/>
    <w:rsid w:val="00174379"/>
    <w:rsid w:val="0017705E"/>
    <w:rsid w:val="001817DD"/>
    <w:rsid w:val="00182678"/>
    <w:rsid w:val="00182E94"/>
    <w:rsid w:val="001835A4"/>
    <w:rsid w:val="00184623"/>
    <w:rsid w:val="001902B4"/>
    <w:rsid w:val="00192270"/>
    <w:rsid w:val="00192FA7"/>
    <w:rsid w:val="00193488"/>
    <w:rsid w:val="0019356E"/>
    <w:rsid w:val="00193C9F"/>
    <w:rsid w:val="00196C39"/>
    <w:rsid w:val="001977E1"/>
    <w:rsid w:val="00197B30"/>
    <w:rsid w:val="00197BFE"/>
    <w:rsid w:val="00197C6D"/>
    <w:rsid w:val="001A02B0"/>
    <w:rsid w:val="001A134E"/>
    <w:rsid w:val="001A1DF9"/>
    <w:rsid w:val="001A32DB"/>
    <w:rsid w:val="001A4E3F"/>
    <w:rsid w:val="001A5358"/>
    <w:rsid w:val="001A7BC9"/>
    <w:rsid w:val="001B2D96"/>
    <w:rsid w:val="001B3004"/>
    <w:rsid w:val="001B4788"/>
    <w:rsid w:val="001C00A7"/>
    <w:rsid w:val="001C448F"/>
    <w:rsid w:val="001C74AE"/>
    <w:rsid w:val="001D1EC9"/>
    <w:rsid w:val="001D203C"/>
    <w:rsid w:val="001D3FA6"/>
    <w:rsid w:val="001D4AE4"/>
    <w:rsid w:val="001D6C68"/>
    <w:rsid w:val="001E100F"/>
    <w:rsid w:val="001E16D5"/>
    <w:rsid w:val="001E1FAB"/>
    <w:rsid w:val="001E228C"/>
    <w:rsid w:val="001E236D"/>
    <w:rsid w:val="001E2894"/>
    <w:rsid w:val="001E2E8B"/>
    <w:rsid w:val="001E38B3"/>
    <w:rsid w:val="001E41AD"/>
    <w:rsid w:val="001E50BC"/>
    <w:rsid w:val="001E5502"/>
    <w:rsid w:val="001E5A0E"/>
    <w:rsid w:val="001E77FF"/>
    <w:rsid w:val="001F0228"/>
    <w:rsid w:val="001F151C"/>
    <w:rsid w:val="001F15B9"/>
    <w:rsid w:val="001F5F03"/>
    <w:rsid w:val="001F6C47"/>
    <w:rsid w:val="00201F04"/>
    <w:rsid w:val="00204BB8"/>
    <w:rsid w:val="00204E1E"/>
    <w:rsid w:val="00206CED"/>
    <w:rsid w:val="0020753C"/>
    <w:rsid w:val="002115E9"/>
    <w:rsid w:val="00211F1D"/>
    <w:rsid w:val="00213C1D"/>
    <w:rsid w:val="002142B5"/>
    <w:rsid w:val="00214EA7"/>
    <w:rsid w:val="00215A1A"/>
    <w:rsid w:val="00216596"/>
    <w:rsid w:val="002172F9"/>
    <w:rsid w:val="00220BF2"/>
    <w:rsid w:val="002210A8"/>
    <w:rsid w:val="00221BB9"/>
    <w:rsid w:val="002234DE"/>
    <w:rsid w:val="002241D7"/>
    <w:rsid w:val="00225208"/>
    <w:rsid w:val="00225483"/>
    <w:rsid w:val="002264CA"/>
    <w:rsid w:val="00226BB6"/>
    <w:rsid w:val="0023067C"/>
    <w:rsid w:val="00230B4C"/>
    <w:rsid w:val="0023191A"/>
    <w:rsid w:val="0023570A"/>
    <w:rsid w:val="00235B74"/>
    <w:rsid w:val="00240087"/>
    <w:rsid w:val="00242B24"/>
    <w:rsid w:val="00243678"/>
    <w:rsid w:val="00243A4A"/>
    <w:rsid w:val="00246185"/>
    <w:rsid w:val="00246C56"/>
    <w:rsid w:val="0024793F"/>
    <w:rsid w:val="00250FB3"/>
    <w:rsid w:val="00253749"/>
    <w:rsid w:val="00255958"/>
    <w:rsid w:val="00257867"/>
    <w:rsid w:val="00263ADF"/>
    <w:rsid w:val="0026492F"/>
    <w:rsid w:val="00265030"/>
    <w:rsid w:val="00265E72"/>
    <w:rsid w:val="002676BC"/>
    <w:rsid w:val="002712DB"/>
    <w:rsid w:val="002719CD"/>
    <w:rsid w:val="00272027"/>
    <w:rsid w:val="00272962"/>
    <w:rsid w:val="00272A7B"/>
    <w:rsid w:val="00273F16"/>
    <w:rsid w:val="0027444E"/>
    <w:rsid w:val="002754E5"/>
    <w:rsid w:val="00276435"/>
    <w:rsid w:val="00276F46"/>
    <w:rsid w:val="0028103B"/>
    <w:rsid w:val="00281AA5"/>
    <w:rsid w:val="00281BAE"/>
    <w:rsid w:val="00282DF3"/>
    <w:rsid w:val="00284FBC"/>
    <w:rsid w:val="00285440"/>
    <w:rsid w:val="0029067C"/>
    <w:rsid w:val="00291EFA"/>
    <w:rsid w:val="00293E14"/>
    <w:rsid w:val="002955DC"/>
    <w:rsid w:val="002A0654"/>
    <w:rsid w:val="002A1580"/>
    <w:rsid w:val="002A2EFF"/>
    <w:rsid w:val="002A5984"/>
    <w:rsid w:val="002A5F99"/>
    <w:rsid w:val="002A643E"/>
    <w:rsid w:val="002A6DDE"/>
    <w:rsid w:val="002A70EE"/>
    <w:rsid w:val="002A7414"/>
    <w:rsid w:val="002A7F69"/>
    <w:rsid w:val="002B0790"/>
    <w:rsid w:val="002B0908"/>
    <w:rsid w:val="002B38EB"/>
    <w:rsid w:val="002B4B03"/>
    <w:rsid w:val="002B5168"/>
    <w:rsid w:val="002C1949"/>
    <w:rsid w:val="002C2EEB"/>
    <w:rsid w:val="002C3EC4"/>
    <w:rsid w:val="002C455A"/>
    <w:rsid w:val="002C5003"/>
    <w:rsid w:val="002C6F37"/>
    <w:rsid w:val="002C77D4"/>
    <w:rsid w:val="002C7C7E"/>
    <w:rsid w:val="002D181F"/>
    <w:rsid w:val="002D22FA"/>
    <w:rsid w:val="002D2E29"/>
    <w:rsid w:val="002D3A8D"/>
    <w:rsid w:val="002D3CF9"/>
    <w:rsid w:val="002D436A"/>
    <w:rsid w:val="002D4AB3"/>
    <w:rsid w:val="002D5891"/>
    <w:rsid w:val="002D735D"/>
    <w:rsid w:val="002E0321"/>
    <w:rsid w:val="002E2DCB"/>
    <w:rsid w:val="002E4059"/>
    <w:rsid w:val="002E46AB"/>
    <w:rsid w:val="002E5B2C"/>
    <w:rsid w:val="002E5BCC"/>
    <w:rsid w:val="002E5DA2"/>
    <w:rsid w:val="002E6573"/>
    <w:rsid w:val="002E6A75"/>
    <w:rsid w:val="002E7ADD"/>
    <w:rsid w:val="002F264F"/>
    <w:rsid w:val="002F3B84"/>
    <w:rsid w:val="002F6349"/>
    <w:rsid w:val="002F668F"/>
    <w:rsid w:val="002F6CCF"/>
    <w:rsid w:val="00300232"/>
    <w:rsid w:val="00303E19"/>
    <w:rsid w:val="0030552A"/>
    <w:rsid w:val="003079FB"/>
    <w:rsid w:val="00311DCF"/>
    <w:rsid w:val="00312E51"/>
    <w:rsid w:val="003140CD"/>
    <w:rsid w:val="00314782"/>
    <w:rsid w:val="003149FB"/>
    <w:rsid w:val="00314E7D"/>
    <w:rsid w:val="003160FA"/>
    <w:rsid w:val="00316485"/>
    <w:rsid w:val="003174FF"/>
    <w:rsid w:val="003177A9"/>
    <w:rsid w:val="0032111C"/>
    <w:rsid w:val="00322EA5"/>
    <w:rsid w:val="00324D81"/>
    <w:rsid w:val="00324EC6"/>
    <w:rsid w:val="0032707D"/>
    <w:rsid w:val="00327233"/>
    <w:rsid w:val="00327BF4"/>
    <w:rsid w:val="003332E9"/>
    <w:rsid w:val="00334024"/>
    <w:rsid w:val="003344B0"/>
    <w:rsid w:val="00334D6D"/>
    <w:rsid w:val="00337BFB"/>
    <w:rsid w:val="0034140A"/>
    <w:rsid w:val="0034260C"/>
    <w:rsid w:val="00342FFA"/>
    <w:rsid w:val="0034383A"/>
    <w:rsid w:val="00345737"/>
    <w:rsid w:val="003458E0"/>
    <w:rsid w:val="00345992"/>
    <w:rsid w:val="0034763D"/>
    <w:rsid w:val="0035042E"/>
    <w:rsid w:val="00351421"/>
    <w:rsid w:val="00351BF2"/>
    <w:rsid w:val="003523C1"/>
    <w:rsid w:val="00354029"/>
    <w:rsid w:val="0035530D"/>
    <w:rsid w:val="00355921"/>
    <w:rsid w:val="00356259"/>
    <w:rsid w:val="003566B1"/>
    <w:rsid w:val="003573E7"/>
    <w:rsid w:val="00357AC5"/>
    <w:rsid w:val="00360663"/>
    <w:rsid w:val="00361113"/>
    <w:rsid w:val="003627CD"/>
    <w:rsid w:val="003638BC"/>
    <w:rsid w:val="00363C81"/>
    <w:rsid w:val="0036598C"/>
    <w:rsid w:val="00367AA7"/>
    <w:rsid w:val="00371F5A"/>
    <w:rsid w:val="00372A1F"/>
    <w:rsid w:val="003736FE"/>
    <w:rsid w:val="00374358"/>
    <w:rsid w:val="00375E83"/>
    <w:rsid w:val="003760B6"/>
    <w:rsid w:val="003769B0"/>
    <w:rsid w:val="003771A9"/>
    <w:rsid w:val="00380841"/>
    <w:rsid w:val="00381A87"/>
    <w:rsid w:val="00383115"/>
    <w:rsid w:val="00384555"/>
    <w:rsid w:val="00384D75"/>
    <w:rsid w:val="00385E28"/>
    <w:rsid w:val="00386043"/>
    <w:rsid w:val="003873FD"/>
    <w:rsid w:val="00394C32"/>
    <w:rsid w:val="00395127"/>
    <w:rsid w:val="00395E26"/>
    <w:rsid w:val="00396BE1"/>
    <w:rsid w:val="003A05C3"/>
    <w:rsid w:val="003A0F73"/>
    <w:rsid w:val="003A18F1"/>
    <w:rsid w:val="003A1D4B"/>
    <w:rsid w:val="003A41E2"/>
    <w:rsid w:val="003A4AB1"/>
    <w:rsid w:val="003A6F34"/>
    <w:rsid w:val="003B210F"/>
    <w:rsid w:val="003B7D84"/>
    <w:rsid w:val="003C0565"/>
    <w:rsid w:val="003C1C8E"/>
    <w:rsid w:val="003C1DD5"/>
    <w:rsid w:val="003C20C2"/>
    <w:rsid w:val="003C26F8"/>
    <w:rsid w:val="003C2DCE"/>
    <w:rsid w:val="003C350D"/>
    <w:rsid w:val="003C4BE1"/>
    <w:rsid w:val="003C6601"/>
    <w:rsid w:val="003D1429"/>
    <w:rsid w:val="003D1CB4"/>
    <w:rsid w:val="003D1FAA"/>
    <w:rsid w:val="003D2712"/>
    <w:rsid w:val="003D2B8A"/>
    <w:rsid w:val="003D4489"/>
    <w:rsid w:val="003D4AE2"/>
    <w:rsid w:val="003D54FC"/>
    <w:rsid w:val="003D5962"/>
    <w:rsid w:val="003D795C"/>
    <w:rsid w:val="003E10F7"/>
    <w:rsid w:val="003E17E0"/>
    <w:rsid w:val="003E45C9"/>
    <w:rsid w:val="003E6193"/>
    <w:rsid w:val="003E69C6"/>
    <w:rsid w:val="003E6ADF"/>
    <w:rsid w:val="003E7D4E"/>
    <w:rsid w:val="003F2154"/>
    <w:rsid w:val="003F3A8F"/>
    <w:rsid w:val="003F3E81"/>
    <w:rsid w:val="003F41A1"/>
    <w:rsid w:val="003F4B25"/>
    <w:rsid w:val="003F500D"/>
    <w:rsid w:val="003F6776"/>
    <w:rsid w:val="00400038"/>
    <w:rsid w:val="00400F1E"/>
    <w:rsid w:val="004040F8"/>
    <w:rsid w:val="00404C6E"/>
    <w:rsid w:val="00405F10"/>
    <w:rsid w:val="00406B7E"/>
    <w:rsid w:val="00407E68"/>
    <w:rsid w:val="0041172E"/>
    <w:rsid w:val="00412603"/>
    <w:rsid w:val="0041395B"/>
    <w:rsid w:val="00413EBF"/>
    <w:rsid w:val="00416998"/>
    <w:rsid w:val="004170FF"/>
    <w:rsid w:val="0041754B"/>
    <w:rsid w:val="004178DA"/>
    <w:rsid w:val="004228DE"/>
    <w:rsid w:val="004257A1"/>
    <w:rsid w:val="0042652F"/>
    <w:rsid w:val="0042682B"/>
    <w:rsid w:val="004272D4"/>
    <w:rsid w:val="00427F3B"/>
    <w:rsid w:val="00431AB4"/>
    <w:rsid w:val="00434DB5"/>
    <w:rsid w:val="004364F2"/>
    <w:rsid w:val="0044197C"/>
    <w:rsid w:val="004421D9"/>
    <w:rsid w:val="00442CBB"/>
    <w:rsid w:val="00443179"/>
    <w:rsid w:val="00444A5F"/>
    <w:rsid w:val="004459E7"/>
    <w:rsid w:val="004460B3"/>
    <w:rsid w:val="004476A3"/>
    <w:rsid w:val="004476E6"/>
    <w:rsid w:val="00447B5A"/>
    <w:rsid w:val="004525C8"/>
    <w:rsid w:val="00452C7C"/>
    <w:rsid w:val="00452E50"/>
    <w:rsid w:val="00454B9C"/>
    <w:rsid w:val="00456162"/>
    <w:rsid w:val="0045644D"/>
    <w:rsid w:val="004570D3"/>
    <w:rsid w:val="00461CB8"/>
    <w:rsid w:val="00462159"/>
    <w:rsid w:val="00462BB5"/>
    <w:rsid w:val="0046333C"/>
    <w:rsid w:val="004635B1"/>
    <w:rsid w:val="00471560"/>
    <w:rsid w:val="004737A1"/>
    <w:rsid w:val="0047435D"/>
    <w:rsid w:val="004808D4"/>
    <w:rsid w:val="00480D23"/>
    <w:rsid w:val="00483379"/>
    <w:rsid w:val="004839A6"/>
    <w:rsid w:val="00486184"/>
    <w:rsid w:val="0048620F"/>
    <w:rsid w:val="00486915"/>
    <w:rsid w:val="0048774D"/>
    <w:rsid w:val="004920CD"/>
    <w:rsid w:val="004922A8"/>
    <w:rsid w:val="00493E0A"/>
    <w:rsid w:val="00495035"/>
    <w:rsid w:val="00496DF6"/>
    <w:rsid w:val="00497191"/>
    <w:rsid w:val="00497D51"/>
    <w:rsid w:val="004A08D6"/>
    <w:rsid w:val="004A4269"/>
    <w:rsid w:val="004A5CB6"/>
    <w:rsid w:val="004A7FD2"/>
    <w:rsid w:val="004B10F9"/>
    <w:rsid w:val="004B162B"/>
    <w:rsid w:val="004B3CB2"/>
    <w:rsid w:val="004B59F8"/>
    <w:rsid w:val="004B5A0B"/>
    <w:rsid w:val="004C1B4D"/>
    <w:rsid w:val="004C302B"/>
    <w:rsid w:val="004C357A"/>
    <w:rsid w:val="004D124A"/>
    <w:rsid w:val="004D2534"/>
    <w:rsid w:val="004D3CAA"/>
    <w:rsid w:val="004D3CE2"/>
    <w:rsid w:val="004D3F84"/>
    <w:rsid w:val="004D6459"/>
    <w:rsid w:val="004E247C"/>
    <w:rsid w:val="004E2699"/>
    <w:rsid w:val="004E3B34"/>
    <w:rsid w:val="004E3E0F"/>
    <w:rsid w:val="004E4BCD"/>
    <w:rsid w:val="004E5454"/>
    <w:rsid w:val="004E617C"/>
    <w:rsid w:val="004F0C49"/>
    <w:rsid w:val="004F0D16"/>
    <w:rsid w:val="004F0EDA"/>
    <w:rsid w:val="004F1A77"/>
    <w:rsid w:val="004F1AE6"/>
    <w:rsid w:val="004F20F9"/>
    <w:rsid w:val="004F2FC9"/>
    <w:rsid w:val="004F4032"/>
    <w:rsid w:val="004F4F67"/>
    <w:rsid w:val="004F6CB8"/>
    <w:rsid w:val="004F7486"/>
    <w:rsid w:val="00500783"/>
    <w:rsid w:val="00502351"/>
    <w:rsid w:val="0050252A"/>
    <w:rsid w:val="0050454A"/>
    <w:rsid w:val="0050509B"/>
    <w:rsid w:val="005057BD"/>
    <w:rsid w:val="00505BE1"/>
    <w:rsid w:val="00505EF1"/>
    <w:rsid w:val="005069CE"/>
    <w:rsid w:val="0050720C"/>
    <w:rsid w:val="005111B2"/>
    <w:rsid w:val="00513E68"/>
    <w:rsid w:val="00517E6F"/>
    <w:rsid w:val="00520508"/>
    <w:rsid w:val="00521012"/>
    <w:rsid w:val="00524720"/>
    <w:rsid w:val="00524ACA"/>
    <w:rsid w:val="00525A29"/>
    <w:rsid w:val="00531775"/>
    <w:rsid w:val="005322E4"/>
    <w:rsid w:val="005326D4"/>
    <w:rsid w:val="005336E2"/>
    <w:rsid w:val="005343AE"/>
    <w:rsid w:val="00540186"/>
    <w:rsid w:val="005424B9"/>
    <w:rsid w:val="00544DA4"/>
    <w:rsid w:val="00545A8A"/>
    <w:rsid w:val="00547287"/>
    <w:rsid w:val="0054740E"/>
    <w:rsid w:val="00547A3B"/>
    <w:rsid w:val="005527E0"/>
    <w:rsid w:val="005533A4"/>
    <w:rsid w:val="00553494"/>
    <w:rsid w:val="00554CFF"/>
    <w:rsid w:val="00555A7B"/>
    <w:rsid w:val="0056009A"/>
    <w:rsid w:val="0056048C"/>
    <w:rsid w:val="00560491"/>
    <w:rsid w:val="00560521"/>
    <w:rsid w:val="00560E2C"/>
    <w:rsid w:val="00562B26"/>
    <w:rsid w:val="00563F4A"/>
    <w:rsid w:val="00564A8C"/>
    <w:rsid w:val="005653A4"/>
    <w:rsid w:val="0056544A"/>
    <w:rsid w:val="00565483"/>
    <w:rsid w:val="00571747"/>
    <w:rsid w:val="00572682"/>
    <w:rsid w:val="005726A1"/>
    <w:rsid w:val="0057325F"/>
    <w:rsid w:val="00573DB6"/>
    <w:rsid w:val="00574CBF"/>
    <w:rsid w:val="00575EAD"/>
    <w:rsid w:val="00580109"/>
    <w:rsid w:val="005819CB"/>
    <w:rsid w:val="005819DC"/>
    <w:rsid w:val="00582D45"/>
    <w:rsid w:val="00583530"/>
    <w:rsid w:val="005852D2"/>
    <w:rsid w:val="005860AC"/>
    <w:rsid w:val="00587D7E"/>
    <w:rsid w:val="00590411"/>
    <w:rsid w:val="00590787"/>
    <w:rsid w:val="0059491A"/>
    <w:rsid w:val="00595D37"/>
    <w:rsid w:val="005960F9"/>
    <w:rsid w:val="00596F4B"/>
    <w:rsid w:val="005A0112"/>
    <w:rsid w:val="005A06EB"/>
    <w:rsid w:val="005A1F5D"/>
    <w:rsid w:val="005A3132"/>
    <w:rsid w:val="005A3E33"/>
    <w:rsid w:val="005A7E5B"/>
    <w:rsid w:val="005B05EE"/>
    <w:rsid w:val="005B1E52"/>
    <w:rsid w:val="005B1EAC"/>
    <w:rsid w:val="005B23BB"/>
    <w:rsid w:val="005B23E6"/>
    <w:rsid w:val="005B2A6A"/>
    <w:rsid w:val="005B5DE3"/>
    <w:rsid w:val="005B6E19"/>
    <w:rsid w:val="005C1E27"/>
    <w:rsid w:val="005C4397"/>
    <w:rsid w:val="005C4648"/>
    <w:rsid w:val="005C6BBD"/>
    <w:rsid w:val="005C6FD7"/>
    <w:rsid w:val="005C7761"/>
    <w:rsid w:val="005D1BC9"/>
    <w:rsid w:val="005D1D0E"/>
    <w:rsid w:val="005D2DE5"/>
    <w:rsid w:val="005D44E4"/>
    <w:rsid w:val="005D7630"/>
    <w:rsid w:val="005E1C41"/>
    <w:rsid w:val="005E2CA8"/>
    <w:rsid w:val="005E364C"/>
    <w:rsid w:val="005E3655"/>
    <w:rsid w:val="005E3D23"/>
    <w:rsid w:val="005E4AB4"/>
    <w:rsid w:val="005F1353"/>
    <w:rsid w:val="005F21B1"/>
    <w:rsid w:val="005F348C"/>
    <w:rsid w:val="005F3584"/>
    <w:rsid w:val="005F5265"/>
    <w:rsid w:val="005F5CDF"/>
    <w:rsid w:val="005F5D26"/>
    <w:rsid w:val="005F63B9"/>
    <w:rsid w:val="005F642E"/>
    <w:rsid w:val="00600699"/>
    <w:rsid w:val="00600B1A"/>
    <w:rsid w:val="00601459"/>
    <w:rsid w:val="00604C87"/>
    <w:rsid w:val="00604E6C"/>
    <w:rsid w:val="0060589E"/>
    <w:rsid w:val="00610E15"/>
    <w:rsid w:val="00612592"/>
    <w:rsid w:val="00613EA2"/>
    <w:rsid w:val="00614F12"/>
    <w:rsid w:val="006151C4"/>
    <w:rsid w:val="006222A7"/>
    <w:rsid w:val="00622659"/>
    <w:rsid w:val="006245D5"/>
    <w:rsid w:val="006261A0"/>
    <w:rsid w:val="00627FE2"/>
    <w:rsid w:val="006321D5"/>
    <w:rsid w:val="00634BA1"/>
    <w:rsid w:val="00635E14"/>
    <w:rsid w:val="00636094"/>
    <w:rsid w:val="006411EB"/>
    <w:rsid w:val="00641878"/>
    <w:rsid w:val="00641E8F"/>
    <w:rsid w:val="00642C6F"/>
    <w:rsid w:val="00643B5D"/>
    <w:rsid w:val="00643D87"/>
    <w:rsid w:val="00646BF6"/>
    <w:rsid w:val="0064743E"/>
    <w:rsid w:val="00650011"/>
    <w:rsid w:val="006514B7"/>
    <w:rsid w:val="00654724"/>
    <w:rsid w:val="00655539"/>
    <w:rsid w:val="006556C1"/>
    <w:rsid w:val="00656EFF"/>
    <w:rsid w:val="00661D69"/>
    <w:rsid w:val="00662C95"/>
    <w:rsid w:val="0066394A"/>
    <w:rsid w:val="00663FA9"/>
    <w:rsid w:val="0066576D"/>
    <w:rsid w:val="00670208"/>
    <w:rsid w:val="006717EC"/>
    <w:rsid w:val="00671814"/>
    <w:rsid w:val="006724A0"/>
    <w:rsid w:val="00672A94"/>
    <w:rsid w:val="00672CCF"/>
    <w:rsid w:val="00673FDF"/>
    <w:rsid w:val="006752BE"/>
    <w:rsid w:val="006757E2"/>
    <w:rsid w:val="0067586F"/>
    <w:rsid w:val="00676659"/>
    <w:rsid w:val="00676B4D"/>
    <w:rsid w:val="0067785B"/>
    <w:rsid w:val="00681A5F"/>
    <w:rsid w:val="00683F29"/>
    <w:rsid w:val="00687B68"/>
    <w:rsid w:val="00687EB7"/>
    <w:rsid w:val="00690C4A"/>
    <w:rsid w:val="00690FB1"/>
    <w:rsid w:val="00693C50"/>
    <w:rsid w:val="006957EC"/>
    <w:rsid w:val="006963BE"/>
    <w:rsid w:val="006970AD"/>
    <w:rsid w:val="006A496A"/>
    <w:rsid w:val="006A53A0"/>
    <w:rsid w:val="006A54ED"/>
    <w:rsid w:val="006A558D"/>
    <w:rsid w:val="006A65E2"/>
    <w:rsid w:val="006A7426"/>
    <w:rsid w:val="006B0166"/>
    <w:rsid w:val="006B2DA4"/>
    <w:rsid w:val="006B3937"/>
    <w:rsid w:val="006B52B4"/>
    <w:rsid w:val="006B7649"/>
    <w:rsid w:val="006C0FF7"/>
    <w:rsid w:val="006C2C2A"/>
    <w:rsid w:val="006C7732"/>
    <w:rsid w:val="006D1811"/>
    <w:rsid w:val="006D310B"/>
    <w:rsid w:val="006D51EA"/>
    <w:rsid w:val="006D54AD"/>
    <w:rsid w:val="006D5AE1"/>
    <w:rsid w:val="006D67FF"/>
    <w:rsid w:val="006E1648"/>
    <w:rsid w:val="006E5FF1"/>
    <w:rsid w:val="006E67BF"/>
    <w:rsid w:val="006F23A9"/>
    <w:rsid w:val="006F37EC"/>
    <w:rsid w:val="006F3B35"/>
    <w:rsid w:val="006F409A"/>
    <w:rsid w:val="007016D7"/>
    <w:rsid w:val="00703613"/>
    <w:rsid w:val="00704F5E"/>
    <w:rsid w:val="00706602"/>
    <w:rsid w:val="007105E7"/>
    <w:rsid w:val="007108E5"/>
    <w:rsid w:val="00713F48"/>
    <w:rsid w:val="0071462A"/>
    <w:rsid w:val="00716819"/>
    <w:rsid w:val="007177D2"/>
    <w:rsid w:val="0072018F"/>
    <w:rsid w:val="00720684"/>
    <w:rsid w:val="00720EDB"/>
    <w:rsid w:val="00721C3E"/>
    <w:rsid w:val="00722913"/>
    <w:rsid w:val="00723CBB"/>
    <w:rsid w:val="00723CC2"/>
    <w:rsid w:val="0072421D"/>
    <w:rsid w:val="00725168"/>
    <w:rsid w:val="00726D3A"/>
    <w:rsid w:val="00731406"/>
    <w:rsid w:val="00731448"/>
    <w:rsid w:val="007342A5"/>
    <w:rsid w:val="00740AA8"/>
    <w:rsid w:val="0074114B"/>
    <w:rsid w:val="00741AB3"/>
    <w:rsid w:val="00743791"/>
    <w:rsid w:val="007439EE"/>
    <w:rsid w:val="00744E33"/>
    <w:rsid w:val="00747DE2"/>
    <w:rsid w:val="00750517"/>
    <w:rsid w:val="00750DC4"/>
    <w:rsid w:val="00751262"/>
    <w:rsid w:val="00751B6A"/>
    <w:rsid w:val="00754CDA"/>
    <w:rsid w:val="007550E2"/>
    <w:rsid w:val="00760411"/>
    <w:rsid w:val="00760541"/>
    <w:rsid w:val="00760C70"/>
    <w:rsid w:val="007644FD"/>
    <w:rsid w:val="007645E5"/>
    <w:rsid w:val="007651C7"/>
    <w:rsid w:val="007658E4"/>
    <w:rsid w:val="00770BDF"/>
    <w:rsid w:val="00771507"/>
    <w:rsid w:val="007725E9"/>
    <w:rsid w:val="007779CB"/>
    <w:rsid w:val="007806E9"/>
    <w:rsid w:val="00782D4B"/>
    <w:rsid w:val="00783171"/>
    <w:rsid w:val="00784B6A"/>
    <w:rsid w:val="00785764"/>
    <w:rsid w:val="00786D14"/>
    <w:rsid w:val="0079004F"/>
    <w:rsid w:val="00791397"/>
    <w:rsid w:val="0079168A"/>
    <w:rsid w:val="00794B67"/>
    <w:rsid w:val="007A093F"/>
    <w:rsid w:val="007A348C"/>
    <w:rsid w:val="007A4978"/>
    <w:rsid w:val="007A5599"/>
    <w:rsid w:val="007A5EA4"/>
    <w:rsid w:val="007B0789"/>
    <w:rsid w:val="007B1177"/>
    <w:rsid w:val="007B174A"/>
    <w:rsid w:val="007B476F"/>
    <w:rsid w:val="007B5833"/>
    <w:rsid w:val="007B6FC0"/>
    <w:rsid w:val="007B7FC3"/>
    <w:rsid w:val="007C0847"/>
    <w:rsid w:val="007C5D50"/>
    <w:rsid w:val="007C61C4"/>
    <w:rsid w:val="007C685B"/>
    <w:rsid w:val="007C6FBC"/>
    <w:rsid w:val="007C78BC"/>
    <w:rsid w:val="007D0A62"/>
    <w:rsid w:val="007D1EB1"/>
    <w:rsid w:val="007D23DD"/>
    <w:rsid w:val="007D6F54"/>
    <w:rsid w:val="007D716B"/>
    <w:rsid w:val="007D7BEC"/>
    <w:rsid w:val="007E194E"/>
    <w:rsid w:val="007E6A21"/>
    <w:rsid w:val="007E6D20"/>
    <w:rsid w:val="007F0A8B"/>
    <w:rsid w:val="007F1CA7"/>
    <w:rsid w:val="007F2E5C"/>
    <w:rsid w:val="007F3A88"/>
    <w:rsid w:val="007F4683"/>
    <w:rsid w:val="007F4957"/>
    <w:rsid w:val="007F4F7B"/>
    <w:rsid w:val="007F6085"/>
    <w:rsid w:val="007F6AEC"/>
    <w:rsid w:val="007F721F"/>
    <w:rsid w:val="00800572"/>
    <w:rsid w:val="00802E87"/>
    <w:rsid w:val="00804101"/>
    <w:rsid w:val="00804355"/>
    <w:rsid w:val="00807E5D"/>
    <w:rsid w:val="00810855"/>
    <w:rsid w:val="00810AE4"/>
    <w:rsid w:val="00811371"/>
    <w:rsid w:val="00812DD3"/>
    <w:rsid w:val="00813072"/>
    <w:rsid w:val="00816747"/>
    <w:rsid w:val="00816895"/>
    <w:rsid w:val="008173CB"/>
    <w:rsid w:val="00821002"/>
    <w:rsid w:val="0082105E"/>
    <w:rsid w:val="008214BD"/>
    <w:rsid w:val="008220C3"/>
    <w:rsid w:val="0082252F"/>
    <w:rsid w:val="00823388"/>
    <w:rsid w:val="00823A40"/>
    <w:rsid w:val="00826579"/>
    <w:rsid w:val="00826C21"/>
    <w:rsid w:val="00827515"/>
    <w:rsid w:val="00830F0E"/>
    <w:rsid w:val="00830F77"/>
    <w:rsid w:val="008321CC"/>
    <w:rsid w:val="00832F14"/>
    <w:rsid w:val="00840866"/>
    <w:rsid w:val="00841B52"/>
    <w:rsid w:val="008424A1"/>
    <w:rsid w:val="00842A10"/>
    <w:rsid w:val="008443BF"/>
    <w:rsid w:val="008526C0"/>
    <w:rsid w:val="00852D2C"/>
    <w:rsid w:val="008535E3"/>
    <w:rsid w:val="00853E85"/>
    <w:rsid w:val="00854C00"/>
    <w:rsid w:val="00862801"/>
    <w:rsid w:val="00863217"/>
    <w:rsid w:val="008647BC"/>
    <w:rsid w:val="00865B3C"/>
    <w:rsid w:val="00867585"/>
    <w:rsid w:val="00867F5A"/>
    <w:rsid w:val="00870072"/>
    <w:rsid w:val="008702B9"/>
    <w:rsid w:val="00870CA7"/>
    <w:rsid w:val="008718F6"/>
    <w:rsid w:val="00872E5B"/>
    <w:rsid w:val="00872EF4"/>
    <w:rsid w:val="008733A4"/>
    <w:rsid w:val="00873431"/>
    <w:rsid w:val="008757D5"/>
    <w:rsid w:val="008806B6"/>
    <w:rsid w:val="008867B9"/>
    <w:rsid w:val="008873C7"/>
    <w:rsid w:val="00890BDE"/>
    <w:rsid w:val="00890EED"/>
    <w:rsid w:val="008924DB"/>
    <w:rsid w:val="0089275D"/>
    <w:rsid w:val="008933AD"/>
    <w:rsid w:val="008934DD"/>
    <w:rsid w:val="00893830"/>
    <w:rsid w:val="00893FBB"/>
    <w:rsid w:val="00894F3F"/>
    <w:rsid w:val="0089703C"/>
    <w:rsid w:val="0089749B"/>
    <w:rsid w:val="008A1AF9"/>
    <w:rsid w:val="008A2F92"/>
    <w:rsid w:val="008A31BA"/>
    <w:rsid w:val="008B1D8F"/>
    <w:rsid w:val="008B2B82"/>
    <w:rsid w:val="008B3614"/>
    <w:rsid w:val="008B5720"/>
    <w:rsid w:val="008B738F"/>
    <w:rsid w:val="008C05AC"/>
    <w:rsid w:val="008C1362"/>
    <w:rsid w:val="008C1B89"/>
    <w:rsid w:val="008C1E90"/>
    <w:rsid w:val="008C254E"/>
    <w:rsid w:val="008C2A11"/>
    <w:rsid w:val="008C3FA0"/>
    <w:rsid w:val="008C44CF"/>
    <w:rsid w:val="008C50E3"/>
    <w:rsid w:val="008C6F2C"/>
    <w:rsid w:val="008D01A6"/>
    <w:rsid w:val="008D4305"/>
    <w:rsid w:val="008D63A1"/>
    <w:rsid w:val="008D7096"/>
    <w:rsid w:val="008D7736"/>
    <w:rsid w:val="008E0CD2"/>
    <w:rsid w:val="008E1C0B"/>
    <w:rsid w:val="008E2975"/>
    <w:rsid w:val="008E3920"/>
    <w:rsid w:val="008E5930"/>
    <w:rsid w:val="008E7F51"/>
    <w:rsid w:val="008F0B7D"/>
    <w:rsid w:val="008F2068"/>
    <w:rsid w:val="008F2BF5"/>
    <w:rsid w:val="008F6F0E"/>
    <w:rsid w:val="008F7F52"/>
    <w:rsid w:val="00901D51"/>
    <w:rsid w:val="00902364"/>
    <w:rsid w:val="00903469"/>
    <w:rsid w:val="0090392B"/>
    <w:rsid w:val="0090446C"/>
    <w:rsid w:val="00904ED7"/>
    <w:rsid w:val="00905651"/>
    <w:rsid w:val="00905A31"/>
    <w:rsid w:val="009064CC"/>
    <w:rsid w:val="00906B66"/>
    <w:rsid w:val="00907923"/>
    <w:rsid w:val="009101D7"/>
    <w:rsid w:val="0091389D"/>
    <w:rsid w:val="009154FE"/>
    <w:rsid w:val="0091644C"/>
    <w:rsid w:val="00916F04"/>
    <w:rsid w:val="00917C1A"/>
    <w:rsid w:val="00917E0A"/>
    <w:rsid w:val="00921D4F"/>
    <w:rsid w:val="0092285E"/>
    <w:rsid w:val="009231DA"/>
    <w:rsid w:val="00925009"/>
    <w:rsid w:val="00926FDE"/>
    <w:rsid w:val="009271F4"/>
    <w:rsid w:val="009273E0"/>
    <w:rsid w:val="0093059C"/>
    <w:rsid w:val="00932541"/>
    <w:rsid w:val="009330BC"/>
    <w:rsid w:val="0093320A"/>
    <w:rsid w:val="00934B65"/>
    <w:rsid w:val="0093509F"/>
    <w:rsid w:val="00935EF9"/>
    <w:rsid w:val="00936507"/>
    <w:rsid w:val="00936CD2"/>
    <w:rsid w:val="0093773C"/>
    <w:rsid w:val="00937F72"/>
    <w:rsid w:val="00941B77"/>
    <w:rsid w:val="00945B49"/>
    <w:rsid w:val="00945BA8"/>
    <w:rsid w:val="00945EC8"/>
    <w:rsid w:val="00951BC9"/>
    <w:rsid w:val="00952484"/>
    <w:rsid w:val="00952DFE"/>
    <w:rsid w:val="009548E1"/>
    <w:rsid w:val="009640FA"/>
    <w:rsid w:val="009649DD"/>
    <w:rsid w:val="00964DA1"/>
    <w:rsid w:val="00964DD2"/>
    <w:rsid w:val="009662BB"/>
    <w:rsid w:val="009675FF"/>
    <w:rsid w:val="00967DFF"/>
    <w:rsid w:val="00970038"/>
    <w:rsid w:val="00970C46"/>
    <w:rsid w:val="00971E2D"/>
    <w:rsid w:val="00972F14"/>
    <w:rsid w:val="0097604F"/>
    <w:rsid w:val="0097617F"/>
    <w:rsid w:val="009766C9"/>
    <w:rsid w:val="009772E0"/>
    <w:rsid w:val="00977320"/>
    <w:rsid w:val="00980969"/>
    <w:rsid w:val="009832DA"/>
    <w:rsid w:val="00983A26"/>
    <w:rsid w:val="00984724"/>
    <w:rsid w:val="00985231"/>
    <w:rsid w:val="00986B6D"/>
    <w:rsid w:val="00986CF7"/>
    <w:rsid w:val="00987932"/>
    <w:rsid w:val="009901F0"/>
    <w:rsid w:val="00991B11"/>
    <w:rsid w:val="00991C91"/>
    <w:rsid w:val="00992C66"/>
    <w:rsid w:val="00992CC1"/>
    <w:rsid w:val="00992E54"/>
    <w:rsid w:val="009935FE"/>
    <w:rsid w:val="00994537"/>
    <w:rsid w:val="009978B5"/>
    <w:rsid w:val="009A4250"/>
    <w:rsid w:val="009A4E8F"/>
    <w:rsid w:val="009A51AE"/>
    <w:rsid w:val="009B2179"/>
    <w:rsid w:val="009B3237"/>
    <w:rsid w:val="009B5815"/>
    <w:rsid w:val="009B5876"/>
    <w:rsid w:val="009B5BB5"/>
    <w:rsid w:val="009B63E0"/>
    <w:rsid w:val="009C13EA"/>
    <w:rsid w:val="009C2229"/>
    <w:rsid w:val="009C4279"/>
    <w:rsid w:val="009C69BB"/>
    <w:rsid w:val="009C704A"/>
    <w:rsid w:val="009C79F5"/>
    <w:rsid w:val="009D0208"/>
    <w:rsid w:val="009D0B05"/>
    <w:rsid w:val="009D1F54"/>
    <w:rsid w:val="009D3D11"/>
    <w:rsid w:val="009D3F0B"/>
    <w:rsid w:val="009D4A62"/>
    <w:rsid w:val="009D4D6D"/>
    <w:rsid w:val="009D6910"/>
    <w:rsid w:val="009D724B"/>
    <w:rsid w:val="009E1D33"/>
    <w:rsid w:val="009E3700"/>
    <w:rsid w:val="009E3F8F"/>
    <w:rsid w:val="009E5FFC"/>
    <w:rsid w:val="009E686A"/>
    <w:rsid w:val="009F04F9"/>
    <w:rsid w:val="009F0585"/>
    <w:rsid w:val="009F55E6"/>
    <w:rsid w:val="009F5C4A"/>
    <w:rsid w:val="009F5F23"/>
    <w:rsid w:val="009F6480"/>
    <w:rsid w:val="00A04D81"/>
    <w:rsid w:val="00A07B5A"/>
    <w:rsid w:val="00A07D61"/>
    <w:rsid w:val="00A07FC0"/>
    <w:rsid w:val="00A12383"/>
    <w:rsid w:val="00A14F00"/>
    <w:rsid w:val="00A16BA3"/>
    <w:rsid w:val="00A21CBA"/>
    <w:rsid w:val="00A2307C"/>
    <w:rsid w:val="00A233B1"/>
    <w:rsid w:val="00A32A47"/>
    <w:rsid w:val="00A331D1"/>
    <w:rsid w:val="00A345B2"/>
    <w:rsid w:val="00A34704"/>
    <w:rsid w:val="00A35D52"/>
    <w:rsid w:val="00A37791"/>
    <w:rsid w:val="00A4029C"/>
    <w:rsid w:val="00A4049D"/>
    <w:rsid w:val="00A42744"/>
    <w:rsid w:val="00A42C80"/>
    <w:rsid w:val="00A43886"/>
    <w:rsid w:val="00A439CB"/>
    <w:rsid w:val="00A43E4C"/>
    <w:rsid w:val="00A440C0"/>
    <w:rsid w:val="00A45832"/>
    <w:rsid w:val="00A45CAA"/>
    <w:rsid w:val="00A4667C"/>
    <w:rsid w:val="00A532A6"/>
    <w:rsid w:val="00A54D5F"/>
    <w:rsid w:val="00A5583E"/>
    <w:rsid w:val="00A56DD7"/>
    <w:rsid w:val="00A617C7"/>
    <w:rsid w:val="00A625E9"/>
    <w:rsid w:val="00A660E2"/>
    <w:rsid w:val="00A66AB0"/>
    <w:rsid w:val="00A66D1F"/>
    <w:rsid w:val="00A67306"/>
    <w:rsid w:val="00A7096E"/>
    <w:rsid w:val="00A75031"/>
    <w:rsid w:val="00A75490"/>
    <w:rsid w:val="00A7617A"/>
    <w:rsid w:val="00A76262"/>
    <w:rsid w:val="00A77BDA"/>
    <w:rsid w:val="00A8153F"/>
    <w:rsid w:val="00A817F0"/>
    <w:rsid w:val="00A81A4F"/>
    <w:rsid w:val="00A83F72"/>
    <w:rsid w:val="00A845B0"/>
    <w:rsid w:val="00A87A70"/>
    <w:rsid w:val="00A87C55"/>
    <w:rsid w:val="00A92399"/>
    <w:rsid w:val="00A930FF"/>
    <w:rsid w:val="00A93643"/>
    <w:rsid w:val="00A93BC7"/>
    <w:rsid w:val="00A95048"/>
    <w:rsid w:val="00A97671"/>
    <w:rsid w:val="00A9783D"/>
    <w:rsid w:val="00A97BE3"/>
    <w:rsid w:val="00AA070D"/>
    <w:rsid w:val="00AA180F"/>
    <w:rsid w:val="00AA1AAA"/>
    <w:rsid w:val="00AA3A72"/>
    <w:rsid w:val="00AA409C"/>
    <w:rsid w:val="00AA549C"/>
    <w:rsid w:val="00AA5FD2"/>
    <w:rsid w:val="00AA6501"/>
    <w:rsid w:val="00AA7706"/>
    <w:rsid w:val="00AB2909"/>
    <w:rsid w:val="00AB34F3"/>
    <w:rsid w:val="00AB51F7"/>
    <w:rsid w:val="00AB7BCC"/>
    <w:rsid w:val="00AC05F3"/>
    <w:rsid w:val="00AC0921"/>
    <w:rsid w:val="00AC0DA0"/>
    <w:rsid w:val="00AC1679"/>
    <w:rsid w:val="00AC268E"/>
    <w:rsid w:val="00AC353E"/>
    <w:rsid w:val="00AC5565"/>
    <w:rsid w:val="00AC76EC"/>
    <w:rsid w:val="00AD11AB"/>
    <w:rsid w:val="00AD4C46"/>
    <w:rsid w:val="00AD5C53"/>
    <w:rsid w:val="00AD6F6A"/>
    <w:rsid w:val="00AD7F9C"/>
    <w:rsid w:val="00AE0181"/>
    <w:rsid w:val="00AE08B9"/>
    <w:rsid w:val="00AE0CA5"/>
    <w:rsid w:val="00AE1110"/>
    <w:rsid w:val="00AE26E7"/>
    <w:rsid w:val="00AE3E92"/>
    <w:rsid w:val="00AE421F"/>
    <w:rsid w:val="00AE691B"/>
    <w:rsid w:val="00AE78B9"/>
    <w:rsid w:val="00AF04F9"/>
    <w:rsid w:val="00AF2B6D"/>
    <w:rsid w:val="00AF4503"/>
    <w:rsid w:val="00AF4839"/>
    <w:rsid w:val="00AF659E"/>
    <w:rsid w:val="00AF6BD6"/>
    <w:rsid w:val="00B0331A"/>
    <w:rsid w:val="00B0386B"/>
    <w:rsid w:val="00B041B8"/>
    <w:rsid w:val="00B0492A"/>
    <w:rsid w:val="00B04E08"/>
    <w:rsid w:val="00B058E3"/>
    <w:rsid w:val="00B07DC6"/>
    <w:rsid w:val="00B10707"/>
    <w:rsid w:val="00B11CBD"/>
    <w:rsid w:val="00B120F5"/>
    <w:rsid w:val="00B14D8E"/>
    <w:rsid w:val="00B1555E"/>
    <w:rsid w:val="00B15E4C"/>
    <w:rsid w:val="00B16283"/>
    <w:rsid w:val="00B16E67"/>
    <w:rsid w:val="00B21FF9"/>
    <w:rsid w:val="00B2233A"/>
    <w:rsid w:val="00B22F21"/>
    <w:rsid w:val="00B247EF"/>
    <w:rsid w:val="00B24A46"/>
    <w:rsid w:val="00B25659"/>
    <w:rsid w:val="00B25D74"/>
    <w:rsid w:val="00B273A9"/>
    <w:rsid w:val="00B274BD"/>
    <w:rsid w:val="00B2769E"/>
    <w:rsid w:val="00B30AAF"/>
    <w:rsid w:val="00B31068"/>
    <w:rsid w:val="00B33268"/>
    <w:rsid w:val="00B346AC"/>
    <w:rsid w:val="00B41801"/>
    <w:rsid w:val="00B41FC4"/>
    <w:rsid w:val="00B42290"/>
    <w:rsid w:val="00B42EC7"/>
    <w:rsid w:val="00B4397E"/>
    <w:rsid w:val="00B44175"/>
    <w:rsid w:val="00B46BF8"/>
    <w:rsid w:val="00B46E84"/>
    <w:rsid w:val="00B502B0"/>
    <w:rsid w:val="00B52814"/>
    <w:rsid w:val="00B534DB"/>
    <w:rsid w:val="00B579D6"/>
    <w:rsid w:val="00B64CD5"/>
    <w:rsid w:val="00B70990"/>
    <w:rsid w:val="00B71853"/>
    <w:rsid w:val="00B71B8F"/>
    <w:rsid w:val="00B73FCC"/>
    <w:rsid w:val="00B74539"/>
    <w:rsid w:val="00B755F1"/>
    <w:rsid w:val="00B75DBA"/>
    <w:rsid w:val="00B763F0"/>
    <w:rsid w:val="00B77106"/>
    <w:rsid w:val="00B774A3"/>
    <w:rsid w:val="00B80767"/>
    <w:rsid w:val="00B81578"/>
    <w:rsid w:val="00B81CFE"/>
    <w:rsid w:val="00B85C5F"/>
    <w:rsid w:val="00B876B8"/>
    <w:rsid w:val="00B915D0"/>
    <w:rsid w:val="00B92CC6"/>
    <w:rsid w:val="00B964B6"/>
    <w:rsid w:val="00B968D7"/>
    <w:rsid w:val="00B970CA"/>
    <w:rsid w:val="00B97CD8"/>
    <w:rsid w:val="00B97FAB"/>
    <w:rsid w:val="00BA3CE0"/>
    <w:rsid w:val="00BA50A3"/>
    <w:rsid w:val="00BA74F7"/>
    <w:rsid w:val="00BA75A6"/>
    <w:rsid w:val="00BA7CAF"/>
    <w:rsid w:val="00BB00FD"/>
    <w:rsid w:val="00BB0807"/>
    <w:rsid w:val="00BB0B3E"/>
    <w:rsid w:val="00BB1604"/>
    <w:rsid w:val="00BB2611"/>
    <w:rsid w:val="00BB3B7D"/>
    <w:rsid w:val="00BB46E5"/>
    <w:rsid w:val="00BB6B35"/>
    <w:rsid w:val="00BB7389"/>
    <w:rsid w:val="00BB7459"/>
    <w:rsid w:val="00BB7A66"/>
    <w:rsid w:val="00BC01C2"/>
    <w:rsid w:val="00BC06E5"/>
    <w:rsid w:val="00BC11FB"/>
    <w:rsid w:val="00BC3669"/>
    <w:rsid w:val="00BC436B"/>
    <w:rsid w:val="00BC494A"/>
    <w:rsid w:val="00BC5405"/>
    <w:rsid w:val="00BC6731"/>
    <w:rsid w:val="00BD028A"/>
    <w:rsid w:val="00BD0329"/>
    <w:rsid w:val="00BD1218"/>
    <w:rsid w:val="00BD18E8"/>
    <w:rsid w:val="00BD3C20"/>
    <w:rsid w:val="00BD40F9"/>
    <w:rsid w:val="00BD4A25"/>
    <w:rsid w:val="00BD4C1D"/>
    <w:rsid w:val="00BD65AD"/>
    <w:rsid w:val="00BD7308"/>
    <w:rsid w:val="00BD7E90"/>
    <w:rsid w:val="00BE13DD"/>
    <w:rsid w:val="00BE2E93"/>
    <w:rsid w:val="00BE50D0"/>
    <w:rsid w:val="00BE5734"/>
    <w:rsid w:val="00BE587A"/>
    <w:rsid w:val="00BE6A40"/>
    <w:rsid w:val="00BE72DA"/>
    <w:rsid w:val="00BF0063"/>
    <w:rsid w:val="00BF0756"/>
    <w:rsid w:val="00BF0B81"/>
    <w:rsid w:val="00BF1895"/>
    <w:rsid w:val="00BF3FCB"/>
    <w:rsid w:val="00BF7C59"/>
    <w:rsid w:val="00C007C7"/>
    <w:rsid w:val="00C03796"/>
    <w:rsid w:val="00C03F6C"/>
    <w:rsid w:val="00C06937"/>
    <w:rsid w:val="00C10336"/>
    <w:rsid w:val="00C10FB3"/>
    <w:rsid w:val="00C1136C"/>
    <w:rsid w:val="00C1178A"/>
    <w:rsid w:val="00C117F2"/>
    <w:rsid w:val="00C13256"/>
    <w:rsid w:val="00C14C63"/>
    <w:rsid w:val="00C15702"/>
    <w:rsid w:val="00C16A46"/>
    <w:rsid w:val="00C170D1"/>
    <w:rsid w:val="00C207A7"/>
    <w:rsid w:val="00C23226"/>
    <w:rsid w:val="00C2354C"/>
    <w:rsid w:val="00C2503A"/>
    <w:rsid w:val="00C318FC"/>
    <w:rsid w:val="00C3290B"/>
    <w:rsid w:val="00C347D7"/>
    <w:rsid w:val="00C34EDF"/>
    <w:rsid w:val="00C365CF"/>
    <w:rsid w:val="00C37AB6"/>
    <w:rsid w:val="00C40DA5"/>
    <w:rsid w:val="00C41CF9"/>
    <w:rsid w:val="00C42735"/>
    <w:rsid w:val="00C4359B"/>
    <w:rsid w:val="00C47CB8"/>
    <w:rsid w:val="00C51912"/>
    <w:rsid w:val="00C52B32"/>
    <w:rsid w:val="00C53115"/>
    <w:rsid w:val="00C534BB"/>
    <w:rsid w:val="00C534C8"/>
    <w:rsid w:val="00C54E45"/>
    <w:rsid w:val="00C551CB"/>
    <w:rsid w:val="00C55301"/>
    <w:rsid w:val="00C557D7"/>
    <w:rsid w:val="00C5643A"/>
    <w:rsid w:val="00C6058E"/>
    <w:rsid w:val="00C615AC"/>
    <w:rsid w:val="00C6276C"/>
    <w:rsid w:val="00C629BA"/>
    <w:rsid w:val="00C64059"/>
    <w:rsid w:val="00C6425C"/>
    <w:rsid w:val="00C65665"/>
    <w:rsid w:val="00C663D8"/>
    <w:rsid w:val="00C66D3E"/>
    <w:rsid w:val="00C67D0C"/>
    <w:rsid w:val="00C70D6F"/>
    <w:rsid w:val="00C70F2B"/>
    <w:rsid w:val="00C7104D"/>
    <w:rsid w:val="00C7120A"/>
    <w:rsid w:val="00C7202B"/>
    <w:rsid w:val="00C725ED"/>
    <w:rsid w:val="00C72F0B"/>
    <w:rsid w:val="00C7440C"/>
    <w:rsid w:val="00C74C0F"/>
    <w:rsid w:val="00C764C1"/>
    <w:rsid w:val="00C76702"/>
    <w:rsid w:val="00C77B95"/>
    <w:rsid w:val="00C77BC9"/>
    <w:rsid w:val="00C81EA7"/>
    <w:rsid w:val="00C82BA3"/>
    <w:rsid w:val="00C840C8"/>
    <w:rsid w:val="00C8451F"/>
    <w:rsid w:val="00C84D88"/>
    <w:rsid w:val="00C8560D"/>
    <w:rsid w:val="00C85BCD"/>
    <w:rsid w:val="00C863A5"/>
    <w:rsid w:val="00C878A5"/>
    <w:rsid w:val="00C9650B"/>
    <w:rsid w:val="00C97F0A"/>
    <w:rsid w:val="00CA00F3"/>
    <w:rsid w:val="00CA1CCB"/>
    <w:rsid w:val="00CA2F1B"/>
    <w:rsid w:val="00CA31B6"/>
    <w:rsid w:val="00CA3F40"/>
    <w:rsid w:val="00CA41C3"/>
    <w:rsid w:val="00CA5384"/>
    <w:rsid w:val="00CB37ED"/>
    <w:rsid w:val="00CB3A4D"/>
    <w:rsid w:val="00CB3B59"/>
    <w:rsid w:val="00CB4A4D"/>
    <w:rsid w:val="00CB5F53"/>
    <w:rsid w:val="00CB67D7"/>
    <w:rsid w:val="00CB6ADC"/>
    <w:rsid w:val="00CC067E"/>
    <w:rsid w:val="00CC14E0"/>
    <w:rsid w:val="00CC1C66"/>
    <w:rsid w:val="00CC36DE"/>
    <w:rsid w:val="00CC4019"/>
    <w:rsid w:val="00CC5084"/>
    <w:rsid w:val="00CC5817"/>
    <w:rsid w:val="00CC7320"/>
    <w:rsid w:val="00CC79C5"/>
    <w:rsid w:val="00CC7A77"/>
    <w:rsid w:val="00CD124D"/>
    <w:rsid w:val="00CD2045"/>
    <w:rsid w:val="00CD5005"/>
    <w:rsid w:val="00CD73BB"/>
    <w:rsid w:val="00CD7519"/>
    <w:rsid w:val="00CD7D0E"/>
    <w:rsid w:val="00CE0787"/>
    <w:rsid w:val="00CE15C3"/>
    <w:rsid w:val="00CE27D1"/>
    <w:rsid w:val="00CE2DE6"/>
    <w:rsid w:val="00CE31A3"/>
    <w:rsid w:val="00CE4384"/>
    <w:rsid w:val="00CE4D2F"/>
    <w:rsid w:val="00CE4E39"/>
    <w:rsid w:val="00CE6BB6"/>
    <w:rsid w:val="00CF004F"/>
    <w:rsid w:val="00CF0166"/>
    <w:rsid w:val="00CF3A9F"/>
    <w:rsid w:val="00CF50FB"/>
    <w:rsid w:val="00CF5EB7"/>
    <w:rsid w:val="00D018C4"/>
    <w:rsid w:val="00D01CDB"/>
    <w:rsid w:val="00D02872"/>
    <w:rsid w:val="00D03075"/>
    <w:rsid w:val="00D038C2"/>
    <w:rsid w:val="00D03FE2"/>
    <w:rsid w:val="00D052DC"/>
    <w:rsid w:val="00D056D3"/>
    <w:rsid w:val="00D05781"/>
    <w:rsid w:val="00D05E54"/>
    <w:rsid w:val="00D07D15"/>
    <w:rsid w:val="00D122F6"/>
    <w:rsid w:val="00D125F8"/>
    <w:rsid w:val="00D138D1"/>
    <w:rsid w:val="00D139FB"/>
    <w:rsid w:val="00D141A3"/>
    <w:rsid w:val="00D15A75"/>
    <w:rsid w:val="00D16208"/>
    <w:rsid w:val="00D1778A"/>
    <w:rsid w:val="00D20A90"/>
    <w:rsid w:val="00D22F33"/>
    <w:rsid w:val="00D25176"/>
    <w:rsid w:val="00D275F3"/>
    <w:rsid w:val="00D2797E"/>
    <w:rsid w:val="00D35F74"/>
    <w:rsid w:val="00D40B66"/>
    <w:rsid w:val="00D420A6"/>
    <w:rsid w:val="00D43D87"/>
    <w:rsid w:val="00D44E21"/>
    <w:rsid w:val="00D44FD1"/>
    <w:rsid w:val="00D511AE"/>
    <w:rsid w:val="00D51700"/>
    <w:rsid w:val="00D533AF"/>
    <w:rsid w:val="00D534B7"/>
    <w:rsid w:val="00D53A1F"/>
    <w:rsid w:val="00D5441A"/>
    <w:rsid w:val="00D56B10"/>
    <w:rsid w:val="00D6073A"/>
    <w:rsid w:val="00D622CD"/>
    <w:rsid w:val="00D6345B"/>
    <w:rsid w:val="00D6437A"/>
    <w:rsid w:val="00D64AF7"/>
    <w:rsid w:val="00D64F89"/>
    <w:rsid w:val="00D66435"/>
    <w:rsid w:val="00D667B1"/>
    <w:rsid w:val="00D67BA5"/>
    <w:rsid w:val="00D67FDE"/>
    <w:rsid w:val="00D70F98"/>
    <w:rsid w:val="00D724B9"/>
    <w:rsid w:val="00D744D7"/>
    <w:rsid w:val="00D75702"/>
    <w:rsid w:val="00D76C48"/>
    <w:rsid w:val="00D80BE9"/>
    <w:rsid w:val="00D81D79"/>
    <w:rsid w:val="00D83253"/>
    <w:rsid w:val="00D83FDC"/>
    <w:rsid w:val="00D840F9"/>
    <w:rsid w:val="00D842EA"/>
    <w:rsid w:val="00D85C6B"/>
    <w:rsid w:val="00D86233"/>
    <w:rsid w:val="00D86C12"/>
    <w:rsid w:val="00D87E98"/>
    <w:rsid w:val="00D914D6"/>
    <w:rsid w:val="00D91679"/>
    <w:rsid w:val="00D92EE3"/>
    <w:rsid w:val="00D939A0"/>
    <w:rsid w:val="00D9476B"/>
    <w:rsid w:val="00D96527"/>
    <w:rsid w:val="00D96E54"/>
    <w:rsid w:val="00DA07E1"/>
    <w:rsid w:val="00DA0BAA"/>
    <w:rsid w:val="00DA17B9"/>
    <w:rsid w:val="00DA20EC"/>
    <w:rsid w:val="00DA5439"/>
    <w:rsid w:val="00DA5477"/>
    <w:rsid w:val="00DA6518"/>
    <w:rsid w:val="00DA6B62"/>
    <w:rsid w:val="00DA6DBF"/>
    <w:rsid w:val="00DA7FC1"/>
    <w:rsid w:val="00DB2187"/>
    <w:rsid w:val="00DB3D15"/>
    <w:rsid w:val="00DB446E"/>
    <w:rsid w:val="00DB4540"/>
    <w:rsid w:val="00DB76D3"/>
    <w:rsid w:val="00DB7800"/>
    <w:rsid w:val="00DC0E41"/>
    <w:rsid w:val="00DC27BF"/>
    <w:rsid w:val="00DC7C56"/>
    <w:rsid w:val="00DC7EEC"/>
    <w:rsid w:val="00DD12C9"/>
    <w:rsid w:val="00DD44E4"/>
    <w:rsid w:val="00DD5F75"/>
    <w:rsid w:val="00DD6D0E"/>
    <w:rsid w:val="00DD7E86"/>
    <w:rsid w:val="00DE01B6"/>
    <w:rsid w:val="00DE0B44"/>
    <w:rsid w:val="00DE0F31"/>
    <w:rsid w:val="00DE1067"/>
    <w:rsid w:val="00DE6876"/>
    <w:rsid w:val="00DF1310"/>
    <w:rsid w:val="00DF74BC"/>
    <w:rsid w:val="00E00710"/>
    <w:rsid w:val="00E0099C"/>
    <w:rsid w:val="00E037E5"/>
    <w:rsid w:val="00E037F9"/>
    <w:rsid w:val="00E04A25"/>
    <w:rsid w:val="00E07C48"/>
    <w:rsid w:val="00E10826"/>
    <w:rsid w:val="00E1086A"/>
    <w:rsid w:val="00E11DBC"/>
    <w:rsid w:val="00E12795"/>
    <w:rsid w:val="00E12D3D"/>
    <w:rsid w:val="00E13A53"/>
    <w:rsid w:val="00E13A67"/>
    <w:rsid w:val="00E16A91"/>
    <w:rsid w:val="00E179A1"/>
    <w:rsid w:val="00E20E08"/>
    <w:rsid w:val="00E21F59"/>
    <w:rsid w:val="00E2319B"/>
    <w:rsid w:val="00E24B71"/>
    <w:rsid w:val="00E256C0"/>
    <w:rsid w:val="00E26347"/>
    <w:rsid w:val="00E26F10"/>
    <w:rsid w:val="00E27F19"/>
    <w:rsid w:val="00E31A88"/>
    <w:rsid w:val="00E33EA5"/>
    <w:rsid w:val="00E370F7"/>
    <w:rsid w:val="00E40291"/>
    <w:rsid w:val="00E44DEE"/>
    <w:rsid w:val="00E4589B"/>
    <w:rsid w:val="00E46EC3"/>
    <w:rsid w:val="00E47297"/>
    <w:rsid w:val="00E51EDB"/>
    <w:rsid w:val="00E52580"/>
    <w:rsid w:val="00E5306B"/>
    <w:rsid w:val="00E545C1"/>
    <w:rsid w:val="00E6098B"/>
    <w:rsid w:val="00E60B67"/>
    <w:rsid w:val="00E647C8"/>
    <w:rsid w:val="00E65057"/>
    <w:rsid w:val="00E669BD"/>
    <w:rsid w:val="00E66AE7"/>
    <w:rsid w:val="00E67357"/>
    <w:rsid w:val="00E67472"/>
    <w:rsid w:val="00E70F05"/>
    <w:rsid w:val="00E7228C"/>
    <w:rsid w:val="00E73B55"/>
    <w:rsid w:val="00E74126"/>
    <w:rsid w:val="00E75435"/>
    <w:rsid w:val="00E759FA"/>
    <w:rsid w:val="00E7755B"/>
    <w:rsid w:val="00E77C41"/>
    <w:rsid w:val="00E806A0"/>
    <w:rsid w:val="00E81B23"/>
    <w:rsid w:val="00E81E1B"/>
    <w:rsid w:val="00E83D04"/>
    <w:rsid w:val="00E848AC"/>
    <w:rsid w:val="00E907D6"/>
    <w:rsid w:val="00E90981"/>
    <w:rsid w:val="00E90B9E"/>
    <w:rsid w:val="00E9286C"/>
    <w:rsid w:val="00E928BA"/>
    <w:rsid w:val="00E92900"/>
    <w:rsid w:val="00E9545C"/>
    <w:rsid w:val="00EA0671"/>
    <w:rsid w:val="00EA22E8"/>
    <w:rsid w:val="00EA390D"/>
    <w:rsid w:val="00EA5946"/>
    <w:rsid w:val="00EA6354"/>
    <w:rsid w:val="00EA6443"/>
    <w:rsid w:val="00EB1DEE"/>
    <w:rsid w:val="00EB33C4"/>
    <w:rsid w:val="00EB4495"/>
    <w:rsid w:val="00EB449B"/>
    <w:rsid w:val="00EB70B6"/>
    <w:rsid w:val="00EB7BEA"/>
    <w:rsid w:val="00EC0104"/>
    <w:rsid w:val="00EC037C"/>
    <w:rsid w:val="00EC0C96"/>
    <w:rsid w:val="00EC1DA2"/>
    <w:rsid w:val="00EC53EE"/>
    <w:rsid w:val="00EC5CF6"/>
    <w:rsid w:val="00ED16A1"/>
    <w:rsid w:val="00ED3D1F"/>
    <w:rsid w:val="00ED7B9C"/>
    <w:rsid w:val="00EE053B"/>
    <w:rsid w:val="00EE15CE"/>
    <w:rsid w:val="00EE263E"/>
    <w:rsid w:val="00EE3E49"/>
    <w:rsid w:val="00EE4494"/>
    <w:rsid w:val="00EE47A1"/>
    <w:rsid w:val="00EE4C62"/>
    <w:rsid w:val="00EE6BDE"/>
    <w:rsid w:val="00EF0216"/>
    <w:rsid w:val="00EF1117"/>
    <w:rsid w:val="00EF1839"/>
    <w:rsid w:val="00EF21C6"/>
    <w:rsid w:val="00EF3FFA"/>
    <w:rsid w:val="00EF44F8"/>
    <w:rsid w:val="00EF48A6"/>
    <w:rsid w:val="00EF5E88"/>
    <w:rsid w:val="00EF66D0"/>
    <w:rsid w:val="00EF6AB6"/>
    <w:rsid w:val="00F11415"/>
    <w:rsid w:val="00F11BEB"/>
    <w:rsid w:val="00F12081"/>
    <w:rsid w:val="00F121D5"/>
    <w:rsid w:val="00F14345"/>
    <w:rsid w:val="00F1523A"/>
    <w:rsid w:val="00F15F7F"/>
    <w:rsid w:val="00F20AC4"/>
    <w:rsid w:val="00F20B72"/>
    <w:rsid w:val="00F22BFF"/>
    <w:rsid w:val="00F23083"/>
    <w:rsid w:val="00F2372D"/>
    <w:rsid w:val="00F260E5"/>
    <w:rsid w:val="00F2637C"/>
    <w:rsid w:val="00F27575"/>
    <w:rsid w:val="00F2776F"/>
    <w:rsid w:val="00F27ABB"/>
    <w:rsid w:val="00F27E56"/>
    <w:rsid w:val="00F31264"/>
    <w:rsid w:val="00F31291"/>
    <w:rsid w:val="00F31EA3"/>
    <w:rsid w:val="00F32F32"/>
    <w:rsid w:val="00F33878"/>
    <w:rsid w:val="00F33927"/>
    <w:rsid w:val="00F33A20"/>
    <w:rsid w:val="00F36CF3"/>
    <w:rsid w:val="00F37C05"/>
    <w:rsid w:val="00F4072A"/>
    <w:rsid w:val="00F40756"/>
    <w:rsid w:val="00F416CC"/>
    <w:rsid w:val="00F416FA"/>
    <w:rsid w:val="00F419E2"/>
    <w:rsid w:val="00F42D7D"/>
    <w:rsid w:val="00F43108"/>
    <w:rsid w:val="00F43182"/>
    <w:rsid w:val="00F44AF3"/>
    <w:rsid w:val="00F47B38"/>
    <w:rsid w:val="00F51089"/>
    <w:rsid w:val="00F51914"/>
    <w:rsid w:val="00F53D32"/>
    <w:rsid w:val="00F540AC"/>
    <w:rsid w:val="00F54134"/>
    <w:rsid w:val="00F54928"/>
    <w:rsid w:val="00F5643A"/>
    <w:rsid w:val="00F5644B"/>
    <w:rsid w:val="00F5780E"/>
    <w:rsid w:val="00F57C61"/>
    <w:rsid w:val="00F606C7"/>
    <w:rsid w:val="00F62751"/>
    <w:rsid w:val="00F6288F"/>
    <w:rsid w:val="00F62A69"/>
    <w:rsid w:val="00F62D0C"/>
    <w:rsid w:val="00F64F86"/>
    <w:rsid w:val="00F662E5"/>
    <w:rsid w:val="00F6748E"/>
    <w:rsid w:val="00F710D1"/>
    <w:rsid w:val="00F72811"/>
    <w:rsid w:val="00F72DA4"/>
    <w:rsid w:val="00F744E4"/>
    <w:rsid w:val="00F7528E"/>
    <w:rsid w:val="00F7645E"/>
    <w:rsid w:val="00F76A4E"/>
    <w:rsid w:val="00F77C75"/>
    <w:rsid w:val="00F80FE8"/>
    <w:rsid w:val="00F81033"/>
    <w:rsid w:val="00F8131E"/>
    <w:rsid w:val="00F854C7"/>
    <w:rsid w:val="00F8570A"/>
    <w:rsid w:val="00F92C52"/>
    <w:rsid w:val="00F97F6D"/>
    <w:rsid w:val="00FA0C8D"/>
    <w:rsid w:val="00FA15AA"/>
    <w:rsid w:val="00FA31AB"/>
    <w:rsid w:val="00FA3689"/>
    <w:rsid w:val="00FA4714"/>
    <w:rsid w:val="00FA55D5"/>
    <w:rsid w:val="00FA6BF3"/>
    <w:rsid w:val="00FB01E0"/>
    <w:rsid w:val="00FB0576"/>
    <w:rsid w:val="00FB4BDB"/>
    <w:rsid w:val="00FB72E5"/>
    <w:rsid w:val="00FC125D"/>
    <w:rsid w:val="00FC1DE1"/>
    <w:rsid w:val="00FC47EF"/>
    <w:rsid w:val="00FC4849"/>
    <w:rsid w:val="00FD04D7"/>
    <w:rsid w:val="00FD159F"/>
    <w:rsid w:val="00FD1E04"/>
    <w:rsid w:val="00FD4B36"/>
    <w:rsid w:val="00FD4CA4"/>
    <w:rsid w:val="00FD76E6"/>
    <w:rsid w:val="00FE108E"/>
    <w:rsid w:val="00FE2523"/>
    <w:rsid w:val="00FE2930"/>
    <w:rsid w:val="00FE444D"/>
    <w:rsid w:val="00FE5BFA"/>
    <w:rsid w:val="00FE6AA9"/>
    <w:rsid w:val="00FF2036"/>
    <w:rsid w:val="00FF3193"/>
    <w:rsid w:val="00FF338C"/>
    <w:rsid w:val="00FF3FFB"/>
    <w:rsid w:val="00FF69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EF99"/>
  <w15:chartTrackingRefBased/>
  <w15:docId w15:val="{FF60DF9D-2106-400C-9934-87E817BD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32"/>
    <w:pPr>
      <w:spacing w:after="0" w:line="240" w:lineRule="auto"/>
      <w:jc w:val="both"/>
    </w:pPr>
    <w:rPr>
      <w:rFonts w:ascii="ZapfCalligr BT" w:eastAsia="Batang" w:hAnsi="ZapfCalligr BT" w:cs="ZapfCalligr BT"/>
      <w:lang w:eastAsia="en-GB"/>
    </w:rPr>
  </w:style>
  <w:style w:type="paragraph" w:styleId="Heading1">
    <w:name w:val="heading 1"/>
    <w:basedOn w:val="Normal"/>
    <w:next w:val="Normal"/>
    <w:link w:val="Heading1Char"/>
    <w:uiPriority w:val="99"/>
    <w:qFormat/>
    <w:rsid w:val="00084627"/>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084627"/>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084627"/>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084627"/>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084627"/>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084627"/>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084627"/>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084627"/>
    <w:pPr>
      <w:keepNext/>
      <w:outlineLvl w:val="7"/>
    </w:pPr>
    <w:rPr>
      <w:sz w:val="26"/>
      <w:szCs w:val="26"/>
      <w:u w:val="single"/>
      <w:lang w:eastAsia="en-US"/>
    </w:rPr>
  </w:style>
  <w:style w:type="paragraph" w:styleId="Heading9">
    <w:name w:val="heading 9"/>
    <w:basedOn w:val="Normal"/>
    <w:next w:val="Normal"/>
    <w:link w:val="Heading9Char"/>
    <w:uiPriority w:val="99"/>
    <w:qFormat/>
    <w:rsid w:val="00084627"/>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B32"/>
    <w:pPr>
      <w:spacing w:after="0" w:line="240" w:lineRule="auto"/>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52B32"/>
    <w:rPr>
      <w:rFonts w:cs="Times New Roman"/>
      <w:color w:val="0000FF"/>
      <w:u w:val="single"/>
    </w:rPr>
  </w:style>
  <w:style w:type="paragraph" w:styleId="ListParagraph">
    <w:name w:val="List Paragraph"/>
    <w:aliases w:val="Bulleted List Paragraph,Lettre d'introduction,Bullet List,FooterText,List Paragraph1"/>
    <w:basedOn w:val="Normal"/>
    <w:link w:val="ListParagraphChar"/>
    <w:uiPriority w:val="34"/>
    <w:qFormat/>
    <w:rsid w:val="00C52B32"/>
    <w:pPr>
      <w:ind w:left="720"/>
    </w:pPr>
  </w:style>
  <w:style w:type="character" w:customStyle="1" w:styleId="ListParagraphChar">
    <w:name w:val="List Paragraph Char"/>
    <w:aliases w:val="Bulleted List Paragraph Char,Lettre d'introduction Char,Bullet List Char,FooterText Char,List Paragraph1 Char"/>
    <w:link w:val="ListParagraph"/>
    <w:uiPriority w:val="34"/>
    <w:locked/>
    <w:rsid w:val="00C52B32"/>
    <w:rPr>
      <w:rFonts w:ascii="ZapfCalligr BT" w:eastAsia="Batang" w:hAnsi="ZapfCalligr BT" w:cs="ZapfCalligr BT"/>
      <w:lang w:eastAsia="en-GB"/>
    </w:rPr>
  </w:style>
  <w:style w:type="paragraph" w:styleId="Header">
    <w:name w:val="header"/>
    <w:basedOn w:val="Normal"/>
    <w:link w:val="HeaderChar"/>
    <w:uiPriority w:val="99"/>
    <w:unhideWhenUsed/>
    <w:rsid w:val="00C52B32"/>
    <w:pPr>
      <w:tabs>
        <w:tab w:val="center" w:pos="4513"/>
        <w:tab w:val="right" w:pos="9026"/>
      </w:tabs>
    </w:pPr>
  </w:style>
  <w:style w:type="character" w:customStyle="1" w:styleId="HeaderChar">
    <w:name w:val="Header Char"/>
    <w:basedOn w:val="DefaultParagraphFont"/>
    <w:link w:val="Header"/>
    <w:uiPriority w:val="99"/>
    <w:rsid w:val="00C52B32"/>
    <w:rPr>
      <w:rFonts w:ascii="ZapfCalligr BT" w:eastAsia="Batang" w:hAnsi="ZapfCalligr BT" w:cs="ZapfCalligr BT"/>
      <w:lang w:eastAsia="en-GB"/>
    </w:rPr>
  </w:style>
  <w:style w:type="paragraph" w:styleId="Footer">
    <w:name w:val="footer"/>
    <w:basedOn w:val="Normal"/>
    <w:link w:val="FooterChar"/>
    <w:uiPriority w:val="99"/>
    <w:unhideWhenUsed/>
    <w:rsid w:val="00C52B32"/>
    <w:pPr>
      <w:tabs>
        <w:tab w:val="center" w:pos="4513"/>
        <w:tab w:val="right" w:pos="9026"/>
      </w:tabs>
    </w:pPr>
  </w:style>
  <w:style w:type="character" w:customStyle="1" w:styleId="FooterChar">
    <w:name w:val="Footer Char"/>
    <w:basedOn w:val="DefaultParagraphFont"/>
    <w:link w:val="Footer"/>
    <w:uiPriority w:val="99"/>
    <w:rsid w:val="00C52B32"/>
    <w:rPr>
      <w:rFonts w:ascii="ZapfCalligr BT" w:eastAsia="Batang" w:hAnsi="ZapfCalligr BT" w:cs="ZapfCalligr BT"/>
      <w:lang w:eastAsia="en-GB"/>
    </w:rPr>
  </w:style>
  <w:style w:type="character" w:styleId="CommentReference">
    <w:name w:val="annotation reference"/>
    <w:basedOn w:val="DefaultParagraphFont"/>
    <w:uiPriority w:val="99"/>
    <w:semiHidden/>
    <w:unhideWhenUsed/>
    <w:rsid w:val="00A2307C"/>
    <w:rPr>
      <w:sz w:val="16"/>
      <w:szCs w:val="16"/>
    </w:rPr>
  </w:style>
  <w:style w:type="paragraph" w:styleId="CommentText">
    <w:name w:val="annotation text"/>
    <w:basedOn w:val="Normal"/>
    <w:link w:val="CommentTextChar"/>
    <w:uiPriority w:val="99"/>
    <w:unhideWhenUsed/>
    <w:rsid w:val="00A2307C"/>
    <w:rPr>
      <w:sz w:val="20"/>
      <w:szCs w:val="20"/>
    </w:rPr>
  </w:style>
  <w:style w:type="character" w:customStyle="1" w:styleId="CommentTextChar">
    <w:name w:val="Comment Text Char"/>
    <w:basedOn w:val="DefaultParagraphFont"/>
    <w:link w:val="CommentText"/>
    <w:uiPriority w:val="99"/>
    <w:rsid w:val="00A2307C"/>
    <w:rPr>
      <w:rFonts w:ascii="ZapfCalligr BT" w:eastAsia="Batang" w:hAnsi="ZapfCalligr BT" w:cs="ZapfCalligr BT"/>
      <w:sz w:val="20"/>
      <w:szCs w:val="20"/>
      <w:lang w:eastAsia="en-GB"/>
    </w:rPr>
  </w:style>
  <w:style w:type="paragraph" w:styleId="CommentSubject">
    <w:name w:val="annotation subject"/>
    <w:basedOn w:val="CommentText"/>
    <w:next w:val="CommentText"/>
    <w:link w:val="CommentSubjectChar"/>
    <w:uiPriority w:val="99"/>
    <w:semiHidden/>
    <w:unhideWhenUsed/>
    <w:rsid w:val="00A2307C"/>
    <w:rPr>
      <w:b/>
      <w:bCs/>
    </w:rPr>
  </w:style>
  <w:style w:type="character" w:customStyle="1" w:styleId="CommentSubjectChar">
    <w:name w:val="Comment Subject Char"/>
    <w:basedOn w:val="CommentTextChar"/>
    <w:link w:val="CommentSubject"/>
    <w:uiPriority w:val="99"/>
    <w:semiHidden/>
    <w:rsid w:val="00A2307C"/>
    <w:rPr>
      <w:rFonts w:ascii="ZapfCalligr BT" w:eastAsia="Batang" w:hAnsi="ZapfCalligr BT" w:cs="ZapfCalligr BT"/>
      <w:b/>
      <w:bCs/>
      <w:sz w:val="20"/>
      <w:szCs w:val="20"/>
      <w:lang w:eastAsia="en-GB"/>
    </w:rPr>
  </w:style>
  <w:style w:type="paragraph" w:styleId="Revision">
    <w:name w:val="Revision"/>
    <w:hidden/>
    <w:uiPriority w:val="99"/>
    <w:semiHidden/>
    <w:rsid w:val="007F4683"/>
    <w:pPr>
      <w:spacing w:after="0" w:line="240" w:lineRule="auto"/>
    </w:pPr>
    <w:rPr>
      <w:rFonts w:ascii="ZapfCalligr BT" w:eastAsia="Batang" w:hAnsi="ZapfCalligr BT" w:cs="ZapfCalligr BT"/>
      <w:lang w:eastAsia="en-GB"/>
    </w:rPr>
  </w:style>
  <w:style w:type="character" w:customStyle="1" w:styleId="Heading1Char">
    <w:name w:val="Heading 1 Char"/>
    <w:basedOn w:val="DefaultParagraphFont"/>
    <w:link w:val="Heading1"/>
    <w:uiPriority w:val="99"/>
    <w:rsid w:val="00084627"/>
    <w:rPr>
      <w:rFonts w:ascii="Arial" w:eastAsia="Batang" w:hAnsi="Arial" w:cs="Arial"/>
      <w:b/>
      <w:bCs/>
      <w:color w:val="FFCC00"/>
      <w:sz w:val="28"/>
      <w:szCs w:val="28"/>
      <w:shd w:val="clear" w:color="auto" w:fill="3366FF"/>
    </w:rPr>
  </w:style>
  <w:style w:type="character" w:customStyle="1" w:styleId="Heading2Char">
    <w:name w:val="Heading 2 Char"/>
    <w:basedOn w:val="DefaultParagraphFont"/>
    <w:link w:val="Heading2"/>
    <w:uiPriority w:val="99"/>
    <w:rsid w:val="00084627"/>
    <w:rPr>
      <w:rFonts w:ascii="Arial" w:eastAsia="Batang" w:hAnsi="Arial" w:cs="Arial"/>
      <w:b/>
      <w:bCs/>
      <w:sz w:val="24"/>
      <w:szCs w:val="24"/>
      <w:shd w:val="clear" w:color="auto" w:fill="99CCFF"/>
    </w:rPr>
  </w:style>
  <w:style w:type="character" w:customStyle="1" w:styleId="Heading3Char">
    <w:name w:val="Heading 3 Char"/>
    <w:basedOn w:val="DefaultParagraphFont"/>
    <w:link w:val="Heading3"/>
    <w:uiPriority w:val="99"/>
    <w:rsid w:val="00084627"/>
    <w:rPr>
      <w:rFonts w:ascii="ZapfCalligr BT" w:eastAsia="Batang" w:hAnsi="ZapfCalligr BT" w:cs="ZapfCalligr BT"/>
      <w:b/>
      <w:bCs/>
      <w:sz w:val="28"/>
      <w:szCs w:val="28"/>
      <w:u w:val="single"/>
    </w:rPr>
  </w:style>
  <w:style w:type="character" w:customStyle="1" w:styleId="Heading4Char">
    <w:name w:val="Heading 4 Char"/>
    <w:basedOn w:val="DefaultParagraphFont"/>
    <w:link w:val="Heading4"/>
    <w:uiPriority w:val="99"/>
    <w:rsid w:val="00084627"/>
    <w:rPr>
      <w:rFonts w:ascii="ZapfCalligr BT" w:eastAsia="Batang" w:hAnsi="ZapfCalligr BT" w:cs="ZapfCalligr BT"/>
      <w:b/>
      <w:bCs/>
      <w:sz w:val="26"/>
      <w:szCs w:val="26"/>
      <w:u w:val="single"/>
    </w:rPr>
  </w:style>
  <w:style w:type="character" w:customStyle="1" w:styleId="Heading5Char">
    <w:name w:val="Heading 5 Char"/>
    <w:basedOn w:val="DefaultParagraphFont"/>
    <w:link w:val="Heading5"/>
    <w:uiPriority w:val="99"/>
    <w:rsid w:val="00084627"/>
    <w:rPr>
      <w:rFonts w:ascii="ZapfCalligr BT" w:eastAsia="Batang" w:hAnsi="ZapfCalligr BT" w:cs="ZapfCalligr BT"/>
      <w:b/>
      <w:bCs/>
      <w:sz w:val="28"/>
      <w:szCs w:val="28"/>
      <w:u w:val="single"/>
    </w:rPr>
  </w:style>
  <w:style w:type="character" w:customStyle="1" w:styleId="Heading6Char">
    <w:name w:val="Heading 6 Char"/>
    <w:basedOn w:val="DefaultParagraphFont"/>
    <w:link w:val="Heading6"/>
    <w:uiPriority w:val="99"/>
    <w:rsid w:val="00084627"/>
    <w:rPr>
      <w:rFonts w:ascii="Arial" w:eastAsia="Batang" w:hAnsi="Arial" w:cs="Arial"/>
      <w:b/>
      <w:bCs/>
      <w:lang w:eastAsia="en-GB"/>
    </w:rPr>
  </w:style>
  <w:style w:type="character" w:customStyle="1" w:styleId="Heading7Char">
    <w:name w:val="Heading 7 Char"/>
    <w:basedOn w:val="DefaultParagraphFont"/>
    <w:link w:val="Heading7"/>
    <w:uiPriority w:val="99"/>
    <w:rsid w:val="00084627"/>
    <w:rPr>
      <w:rFonts w:ascii="Times New Roman" w:eastAsia="Batang" w:hAnsi="Times New Roman" w:cs="Times New Roman"/>
      <w:sz w:val="24"/>
      <w:szCs w:val="24"/>
      <w:lang w:eastAsia="en-GB"/>
    </w:rPr>
  </w:style>
  <w:style w:type="character" w:customStyle="1" w:styleId="Heading8Char">
    <w:name w:val="Heading 8 Char"/>
    <w:basedOn w:val="DefaultParagraphFont"/>
    <w:link w:val="Heading8"/>
    <w:uiPriority w:val="99"/>
    <w:rsid w:val="00084627"/>
    <w:rPr>
      <w:rFonts w:ascii="ZapfCalligr BT" w:eastAsia="Batang" w:hAnsi="ZapfCalligr BT" w:cs="ZapfCalligr BT"/>
      <w:sz w:val="26"/>
      <w:szCs w:val="26"/>
      <w:u w:val="single"/>
    </w:rPr>
  </w:style>
  <w:style w:type="character" w:customStyle="1" w:styleId="Heading9Char">
    <w:name w:val="Heading 9 Char"/>
    <w:basedOn w:val="DefaultParagraphFont"/>
    <w:link w:val="Heading9"/>
    <w:uiPriority w:val="99"/>
    <w:rsid w:val="00084627"/>
    <w:rPr>
      <w:rFonts w:ascii="ZapfCalligr BT" w:eastAsia="Batang" w:hAnsi="ZapfCalligr BT" w:cs="ZapfCalligr BT"/>
      <w:b/>
      <w:bCs/>
      <w:sz w:val="28"/>
      <w:szCs w:val="28"/>
    </w:rPr>
  </w:style>
  <w:style w:type="character" w:styleId="UnresolvedMention">
    <w:name w:val="Unresolved Mention"/>
    <w:basedOn w:val="DefaultParagraphFont"/>
    <w:uiPriority w:val="99"/>
    <w:semiHidden/>
    <w:unhideWhenUsed/>
    <w:rsid w:val="00084627"/>
    <w:rPr>
      <w:color w:val="605E5C"/>
      <w:shd w:val="clear" w:color="auto" w:fill="E1DFDD"/>
    </w:rPr>
  </w:style>
  <w:style w:type="character" w:styleId="PageNumber">
    <w:name w:val="page number"/>
    <w:basedOn w:val="DefaultParagraphFont"/>
    <w:uiPriority w:val="99"/>
    <w:rsid w:val="00084627"/>
    <w:rPr>
      <w:rFonts w:cs="Times New Roman"/>
    </w:rPr>
  </w:style>
  <w:style w:type="paragraph" w:styleId="BalloonText">
    <w:name w:val="Balloon Text"/>
    <w:basedOn w:val="Normal"/>
    <w:link w:val="BalloonTextChar"/>
    <w:uiPriority w:val="99"/>
    <w:semiHidden/>
    <w:rsid w:val="00084627"/>
    <w:rPr>
      <w:rFonts w:ascii="Tahoma" w:hAnsi="Tahoma" w:cs="Tahoma"/>
      <w:sz w:val="16"/>
      <w:szCs w:val="16"/>
    </w:rPr>
  </w:style>
  <w:style w:type="character" w:customStyle="1" w:styleId="BalloonTextChar">
    <w:name w:val="Balloon Text Char"/>
    <w:basedOn w:val="DefaultParagraphFont"/>
    <w:link w:val="BalloonText"/>
    <w:uiPriority w:val="99"/>
    <w:semiHidden/>
    <w:rsid w:val="00084627"/>
    <w:rPr>
      <w:rFonts w:ascii="Tahoma" w:eastAsia="Batang" w:hAnsi="Tahoma" w:cs="Tahoma"/>
      <w:sz w:val="16"/>
      <w:szCs w:val="16"/>
      <w:lang w:eastAsia="en-GB"/>
    </w:rPr>
  </w:style>
  <w:style w:type="paragraph" w:styleId="BodyText">
    <w:name w:val="Body Text"/>
    <w:basedOn w:val="Normal"/>
    <w:link w:val="BodyTextChar"/>
    <w:uiPriority w:val="99"/>
    <w:rsid w:val="00084627"/>
    <w:rPr>
      <w:sz w:val="28"/>
      <w:szCs w:val="28"/>
      <w:lang w:eastAsia="en-US"/>
    </w:rPr>
  </w:style>
  <w:style w:type="character" w:customStyle="1" w:styleId="BodyTextChar">
    <w:name w:val="Body Text Char"/>
    <w:basedOn w:val="DefaultParagraphFont"/>
    <w:link w:val="BodyText"/>
    <w:uiPriority w:val="99"/>
    <w:rsid w:val="00084627"/>
    <w:rPr>
      <w:rFonts w:ascii="ZapfCalligr BT" w:eastAsia="Batang" w:hAnsi="ZapfCalligr BT" w:cs="ZapfCalligr BT"/>
      <w:sz w:val="28"/>
      <w:szCs w:val="28"/>
    </w:rPr>
  </w:style>
  <w:style w:type="paragraph" w:styleId="BodyTextIndent2">
    <w:name w:val="Body Text Indent 2"/>
    <w:basedOn w:val="Normal"/>
    <w:link w:val="BodyTextIndent2Char"/>
    <w:uiPriority w:val="99"/>
    <w:rsid w:val="00084627"/>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rsid w:val="00084627"/>
    <w:rPr>
      <w:rFonts w:ascii="Arial" w:eastAsia="Batang" w:hAnsi="Arial" w:cs="Arial"/>
      <w:sz w:val="24"/>
      <w:szCs w:val="24"/>
      <w:lang w:eastAsia="en-GB"/>
    </w:rPr>
  </w:style>
  <w:style w:type="paragraph" w:styleId="BodyText2">
    <w:name w:val="Body Text 2"/>
    <w:basedOn w:val="Normal"/>
    <w:link w:val="BodyText2Char"/>
    <w:uiPriority w:val="99"/>
    <w:rsid w:val="00084627"/>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rsid w:val="00084627"/>
    <w:rPr>
      <w:rFonts w:ascii="Arial" w:eastAsia="Batang" w:hAnsi="Arial" w:cs="Arial"/>
      <w:sz w:val="24"/>
      <w:szCs w:val="24"/>
      <w:lang w:eastAsia="en-GB"/>
    </w:rPr>
  </w:style>
  <w:style w:type="paragraph" w:styleId="BodyText3">
    <w:name w:val="Body Text 3"/>
    <w:basedOn w:val="Normal"/>
    <w:link w:val="BodyText3Char"/>
    <w:uiPriority w:val="99"/>
    <w:rsid w:val="00084627"/>
    <w:pPr>
      <w:spacing w:after="120"/>
    </w:pPr>
    <w:rPr>
      <w:rFonts w:ascii="Arial" w:hAnsi="Arial" w:cs="Arial"/>
      <w:sz w:val="16"/>
      <w:szCs w:val="16"/>
    </w:rPr>
  </w:style>
  <w:style w:type="character" w:customStyle="1" w:styleId="BodyText3Char">
    <w:name w:val="Body Text 3 Char"/>
    <w:basedOn w:val="DefaultParagraphFont"/>
    <w:link w:val="BodyText3"/>
    <w:uiPriority w:val="99"/>
    <w:rsid w:val="00084627"/>
    <w:rPr>
      <w:rFonts w:ascii="Arial" w:eastAsia="Batang" w:hAnsi="Arial" w:cs="Arial"/>
      <w:sz w:val="16"/>
      <w:szCs w:val="16"/>
      <w:lang w:eastAsia="en-GB"/>
    </w:rPr>
  </w:style>
  <w:style w:type="character" w:styleId="FollowedHyperlink">
    <w:name w:val="FollowedHyperlink"/>
    <w:basedOn w:val="DefaultParagraphFont"/>
    <w:uiPriority w:val="99"/>
    <w:rsid w:val="00084627"/>
    <w:rPr>
      <w:rFonts w:cs="Times New Roman"/>
      <w:color w:val="800080"/>
      <w:u w:val="single"/>
    </w:rPr>
  </w:style>
  <w:style w:type="paragraph" w:styleId="BodyTextIndent">
    <w:name w:val="Body Text Indent"/>
    <w:basedOn w:val="Normal"/>
    <w:link w:val="BodyTextIndentChar"/>
    <w:uiPriority w:val="99"/>
    <w:rsid w:val="00084627"/>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rsid w:val="00084627"/>
    <w:rPr>
      <w:rFonts w:ascii="ZapfCalligr BT" w:eastAsia="Batang" w:hAnsi="ZapfCalligr BT" w:cs="ZapfCalligr BT"/>
      <w:sz w:val="24"/>
      <w:szCs w:val="24"/>
    </w:rPr>
  </w:style>
  <w:style w:type="paragraph" w:styleId="BodyTextIndent3">
    <w:name w:val="Body Text Indent 3"/>
    <w:basedOn w:val="Normal"/>
    <w:link w:val="BodyTextIndent3Char"/>
    <w:uiPriority w:val="99"/>
    <w:rsid w:val="00084627"/>
    <w:pPr>
      <w:ind w:left="180" w:hanging="180"/>
    </w:pPr>
    <w:rPr>
      <w:sz w:val="26"/>
      <w:szCs w:val="26"/>
      <w:lang w:eastAsia="en-US"/>
    </w:rPr>
  </w:style>
  <w:style w:type="character" w:customStyle="1" w:styleId="BodyTextIndent3Char">
    <w:name w:val="Body Text Indent 3 Char"/>
    <w:basedOn w:val="DefaultParagraphFont"/>
    <w:link w:val="BodyTextIndent3"/>
    <w:uiPriority w:val="99"/>
    <w:rsid w:val="00084627"/>
    <w:rPr>
      <w:rFonts w:ascii="ZapfCalligr BT" w:eastAsia="Batang" w:hAnsi="ZapfCalligr BT" w:cs="ZapfCalligr BT"/>
      <w:sz w:val="26"/>
      <w:szCs w:val="26"/>
    </w:rPr>
  </w:style>
  <w:style w:type="paragraph" w:styleId="NoSpacing">
    <w:name w:val="No Spacing"/>
    <w:uiPriority w:val="99"/>
    <w:qFormat/>
    <w:rsid w:val="00084627"/>
    <w:pPr>
      <w:spacing w:after="0" w:line="240" w:lineRule="auto"/>
    </w:pPr>
    <w:rPr>
      <w:rFonts w:ascii="Calibri" w:eastAsia="Batang" w:hAnsi="Calibri" w:cs="Calibri"/>
    </w:rPr>
  </w:style>
  <w:style w:type="paragraph" w:styleId="PlainText">
    <w:name w:val="Plain Text"/>
    <w:basedOn w:val="Normal"/>
    <w:link w:val="PlainTextChar"/>
    <w:uiPriority w:val="99"/>
    <w:rsid w:val="00084627"/>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084627"/>
    <w:rPr>
      <w:rFonts w:ascii="Courier New" w:eastAsia="Batang" w:hAnsi="Courier New" w:cs="Courier New"/>
      <w:sz w:val="20"/>
      <w:szCs w:val="20"/>
      <w:lang w:eastAsia="en-GB"/>
    </w:rPr>
  </w:style>
  <w:style w:type="character" w:customStyle="1" w:styleId="n66611listyle">
    <w:name w:val="n66611 listyle"/>
    <w:basedOn w:val="DefaultParagraphFont"/>
    <w:uiPriority w:val="99"/>
    <w:rsid w:val="00084627"/>
    <w:rPr>
      <w:rFonts w:cs="Times New Roman"/>
    </w:rPr>
  </w:style>
  <w:style w:type="paragraph" w:styleId="NormalWeb">
    <w:name w:val="Normal (Web)"/>
    <w:basedOn w:val="Normal"/>
    <w:uiPriority w:val="99"/>
    <w:rsid w:val="00084627"/>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084627"/>
    <w:pPr>
      <w:autoSpaceDE w:val="0"/>
      <w:autoSpaceDN w:val="0"/>
      <w:adjustRightInd w:val="0"/>
      <w:spacing w:after="0" w:line="240" w:lineRule="auto"/>
    </w:pPr>
    <w:rPr>
      <w:rFonts w:ascii="Avenir 35" w:eastAsia="Batang" w:hAnsi="Avenir 35" w:cs="Avenir 35"/>
      <w:color w:val="000000"/>
      <w:sz w:val="24"/>
      <w:szCs w:val="24"/>
      <w:lang w:eastAsia="en-GB"/>
    </w:rPr>
  </w:style>
  <w:style w:type="character" w:customStyle="1" w:styleId="EmailStyle52">
    <w:name w:val="EmailStyle52"/>
    <w:basedOn w:val="DefaultParagraphFont"/>
    <w:uiPriority w:val="99"/>
    <w:semiHidden/>
    <w:rsid w:val="00084627"/>
    <w:rPr>
      <w:rFonts w:ascii="Arial" w:hAnsi="Arial" w:cs="Arial"/>
      <w:color w:val="auto"/>
      <w:sz w:val="20"/>
      <w:szCs w:val="20"/>
    </w:rPr>
  </w:style>
  <w:style w:type="paragraph" w:customStyle="1" w:styleId="smalltext">
    <w:name w:val="smalltext"/>
    <w:basedOn w:val="Normal"/>
    <w:uiPriority w:val="99"/>
    <w:rsid w:val="00084627"/>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084627"/>
    <w:rPr>
      <w:rFonts w:cs="Times New Roman"/>
      <w:i/>
      <w:iCs/>
    </w:rPr>
  </w:style>
  <w:style w:type="character" w:styleId="SubtleEmphasis">
    <w:name w:val="Subtle Emphasis"/>
    <w:basedOn w:val="DefaultParagraphFont"/>
    <w:uiPriority w:val="19"/>
    <w:qFormat/>
    <w:rsid w:val="00084627"/>
    <w:rPr>
      <w:i/>
      <w:iCs/>
      <w:color w:val="808080" w:themeColor="text1" w:themeTint="7F"/>
    </w:rPr>
  </w:style>
  <w:style w:type="character" w:customStyle="1" w:styleId="gerrans">
    <w:name w:val="gerrans"/>
    <w:basedOn w:val="DefaultParagraphFont"/>
    <w:semiHidden/>
    <w:rsid w:val="00084627"/>
    <w:rPr>
      <w:rFonts w:ascii="Arial" w:hAnsi="Arial" w:cs="Arial"/>
      <w:color w:val="auto"/>
      <w:sz w:val="20"/>
      <w:szCs w:val="20"/>
    </w:rPr>
  </w:style>
  <w:style w:type="table" w:styleId="LightShading">
    <w:name w:val="Light Shading"/>
    <w:basedOn w:val="TableNormal"/>
    <w:uiPriority w:val="60"/>
    <w:rsid w:val="00084627"/>
    <w:pPr>
      <w:spacing w:after="0" w:line="240" w:lineRule="auto"/>
    </w:pPr>
    <w:rPr>
      <w:rFonts w:ascii="Times New Roman" w:eastAsia="Batang" w:hAnsi="Times New Roman" w:cs="Times New Roman"/>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84627"/>
    <w:pPr>
      <w:spacing w:after="0" w:line="240" w:lineRule="auto"/>
    </w:pPr>
    <w:rPr>
      <w:rFonts w:ascii="Times New Roman" w:eastAsia="Batang" w:hAnsi="Times New Roman" w:cs="Times New Roman"/>
      <w:color w:val="2F5496" w:themeColor="accent1" w:themeShade="BF"/>
      <w:lang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
    <w:name w:val="Light List"/>
    <w:basedOn w:val="TableNormal"/>
    <w:uiPriority w:val="61"/>
    <w:rsid w:val="00084627"/>
    <w:pPr>
      <w:spacing w:after="0" w:line="240" w:lineRule="auto"/>
    </w:pPr>
    <w:rPr>
      <w:rFonts w:ascii="Times New Roman" w:eastAsia="Batang" w:hAnsi="Times New Roman" w:cs="Times New Roman"/>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084627"/>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084627"/>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084627"/>
    <w:pPr>
      <w:spacing w:before="40" w:after="40" w:line="160" w:lineRule="exact"/>
      <w:ind w:right="57"/>
      <w:jc w:val="right"/>
    </w:pPr>
    <w:rPr>
      <w:sz w:val="14"/>
    </w:rPr>
  </w:style>
  <w:style w:type="paragraph" w:customStyle="1" w:styleId="TableFigures">
    <w:name w:val="TableFigures"/>
    <w:basedOn w:val="Tabletext"/>
    <w:rsid w:val="00084627"/>
    <w:pPr>
      <w:ind w:right="57"/>
      <w:jc w:val="right"/>
    </w:pPr>
  </w:style>
  <w:style w:type="paragraph" w:customStyle="1" w:styleId="TableFiguresBold">
    <w:name w:val="TableFigures Bold"/>
    <w:basedOn w:val="TableFigures"/>
    <w:rsid w:val="00084627"/>
    <w:rPr>
      <w:rFonts w:ascii="Trade Gothic LT Std Bold" w:hAnsi="Trade Gothic LT Std Bold"/>
      <w:bCs/>
    </w:rPr>
  </w:style>
  <w:style w:type="paragraph" w:customStyle="1" w:styleId="Footnotes">
    <w:name w:val="Footnotes"/>
    <w:basedOn w:val="Normal"/>
    <w:rsid w:val="00084627"/>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084627"/>
    <w:pPr>
      <w:jc w:val="left"/>
    </w:pPr>
  </w:style>
  <w:style w:type="paragraph" w:customStyle="1" w:styleId="TableFiguresBrackets">
    <w:name w:val="TableFigures Brackets"/>
    <w:basedOn w:val="TableFigures"/>
    <w:rsid w:val="00084627"/>
    <w:pPr>
      <w:ind w:right="17"/>
    </w:pPr>
  </w:style>
  <w:style w:type="paragraph" w:customStyle="1" w:styleId="Bullets">
    <w:name w:val="Bullets"/>
    <w:basedOn w:val="Normal"/>
    <w:rsid w:val="00084627"/>
    <w:pPr>
      <w:numPr>
        <w:numId w:val="6"/>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rsid w:val="00084627"/>
    <w:pPr>
      <w:numPr>
        <w:numId w:val="7"/>
      </w:numPr>
      <w:spacing w:after="80" w:line="210" w:lineRule="exact"/>
      <w:jc w:val="left"/>
    </w:pPr>
    <w:rPr>
      <w:rFonts w:ascii="Trade Gothic LT Std Light" w:eastAsiaTheme="minorHAnsi" w:hAnsi="Trade Gothic LT Std Light" w:cs="Times New Roman"/>
      <w:spacing w:val="-4"/>
      <w:sz w:val="18"/>
      <w:szCs w:val="18"/>
    </w:rPr>
  </w:style>
  <w:style w:type="paragraph" w:customStyle="1" w:styleId="Heading1NoSpace">
    <w:name w:val="Heading 1 NoSpace"/>
    <w:basedOn w:val="Heading1"/>
    <w:rsid w:val="00084627"/>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084627"/>
    <w:rPr>
      <w:rFonts w:ascii="Trade Gothic LT Std Bold" w:hAnsi="Trade Gothic LT Std Bold"/>
    </w:rPr>
  </w:style>
  <w:style w:type="paragraph" w:styleId="Bibliography">
    <w:name w:val="Bibliography"/>
    <w:basedOn w:val="Normal"/>
    <w:next w:val="Normal"/>
    <w:uiPriority w:val="37"/>
    <w:semiHidden/>
    <w:unhideWhenUsed/>
    <w:rsid w:val="00084627"/>
  </w:style>
  <w:style w:type="paragraph" w:styleId="BlockText">
    <w:name w:val="Block Text"/>
    <w:basedOn w:val="Normal"/>
    <w:uiPriority w:val="99"/>
    <w:semiHidden/>
    <w:unhideWhenUsed/>
    <w:rsid w:val="0008462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084627"/>
    <w:pPr>
      <w:ind w:firstLine="360"/>
    </w:pPr>
    <w:rPr>
      <w:sz w:val="22"/>
      <w:szCs w:val="22"/>
      <w:lang w:eastAsia="en-GB"/>
    </w:rPr>
  </w:style>
  <w:style w:type="character" w:customStyle="1" w:styleId="BodyTextFirstIndentChar">
    <w:name w:val="Body Text First Indent Char"/>
    <w:basedOn w:val="BodyTextChar"/>
    <w:link w:val="BodyTextFirstIndent"/>
    <w:uiPriority w:val="99"/>
    <w:semiHidden/>
    <w:rsid w:val="00084627"/>
    <w:rPr>
      <w:rFonts w:ascii="ZapfCalligr BT" w:eastAsia="Batang" w:hAnsi="ZapfCalligr BT" w:cs="ZapfCalligr BT"/>
      <w:sz w:val="28"/>
      <w:szCs w:val="28"/>
      <w:lang w:eastAsia="en-GB"/>
    </w:rPr>
  </w:style>
  <w:style w:type="paragraph" w:styleId="BodyTextFirstIndent2">
    <w:name w:val="Body Text First Indent 2"/>
    <w:basedOn w:val="BodyTextIndent"/>
    <w:link w:val="BodyTextFirstIndent2Char"/>
    <w:uiPriority w:val="99"/>
    <w:semiHidden/>
    <w:unhideWhenUsed/>
    <w:rsid w:val="00084627"/>
    <w:pPr>
      <w:tabs>
        <w:tab w:val="clear" w:pos="567"/>
        <w:tab w:val="clear" w:pos="4537"/>
        <w:tab w:val="clear" w:pos="5245"/>
        <w:tab w:val="clear" w:pos="6804"/>
      </w:tabs>
      <w:ind w:left="360" w:firstLine="360"/>
    </w:pPr>
    <w:rPr>
      <w:sz w:val="22"/>
      <w:szCs w:val="22"/>
      <w:lang w:eastAsia="en-GB"/>
    </w:rPr>
  </w:style>
  <w:style w:type="character" w:customStyle="1" w:styleId="BodyTextFirstIndent2Char">
    <w:name w:val="Body Text First Indent 2 Char"/>
    <w:basedOn w:val="BodyTextIndentChar"/>
    <w:link w:val="BodyTextFirstIndent2"/>
    <w:uiPriority w:val="99"/>
    <w:semiHidden/>
    <w:rsid w:val="00084627"/>
    <w:rPr>
      <w:rFonts w:ascii="ZapfCalligr BT" w:eastAsia="Batang" w:hAnsi="ZapfCalligr BT" w:cs="ZapfCalligr BT"/>
      <w:sz w:val="24"/>
      <w:szCs w:val="24"/>
      <w:lang w:eastAsia="en-GB"/>
    </w:rPr>
  </w:style>
  <w:style w:type="paragraph" w:styleId="Caption">
    <w:name w:val="caption"/>
    <w:basedOn w:val="Normal"/>
    <w:next w:val="Normal"/>
    <w:uiPriority w:val="35"/>
    <w:semiHidden/>
    <w:unhideWhenUsed/>
    <w:qFormat/>
    <w:rsid w:val="00084627"/>
    <w:pPr>
      <w:spacing w:after="200"/>
    </w:pPr>
    <w:rPr>
      <w:i/>
      <w:iCs/>
      <w:color w:val="44546A" w:themeColor="text2"/>
      <w:sz w:val="18"/>
      <w:szCs w:val="18"/>
    </w:rPr>
  </w:style>
  <w:style w:type="paragraph" w:styleId="Closing">
    <w:name w:val="Closing"/>
    <w:basedOn w:val="Normal"/>
    <w:link w:val="ClosingChar"/>
    <w:uiPriority w:val="99"/>
    <w:semiHidden/>
    <w:unhideWhenUsed/>
    <w:rsid w:val="00084627"/>
    <w:pPr>
      <w:ind w:left="4252"/>
    </w:pPr>
  </w:style>
  <w:style w:type="character" w:customStyle="1" w:styleId="ClosingChar">
    <w:name w:val="Closing Char"/>
    <w:basedOn w:val="DefaultParagraphFont"/>
    <w:link w:val="Closing"/>
    <w:uiPriority w:val="99"/>
    <w:semiHidden/>
    <w:rsid w:val="00084627"/>
    <w:rPr>
      <w:rFonts w:ascii="ZapfCalligr BT" w:eastAsia="Batang" w:hAnsi="ZapfCalligr BT" w:cs="ZapfCalligr BT"/>
      <w:lang w:eastAsia="en-GB"/>
    </w:rPr>
  </w:style>
  <w:style w:type="paragraph" w:styleId="Date">
    <w:name w:val="Date"/>
    <w:basedOn w:val="Normal"/>
    <w:next w:val="Normal"/>
    <w:link w:val="DateChar"/>
    <w:uiPriority w:val="99"/>
    <w:semiHidden/>
    <w:unhideWhenUsed/>
    <w:rsid w:val="00084627"/>
  </w:style>
  <w:style w:type="character" w:customStyle="1" w:styleId="DateChar">
    <w:name w:val="Date Char"/>
    <w:basedOn w:val="DefaultParagraphFont"/>
    <w:link w:val="Date"/>
    <w:uiPriority w:val="99"/>
    <w:semiHidden/>
    <w:rsid w:val="00084627"/>
    <w:rPr>
      <w:rFonts w:ascii="ZapfCalligr BT" w:eastAsia="Batang" w:hAnsi="ZapfCalligr BT" w:cs="ZapfCalligr BT"/>
      <w:lang w:eastAsia="en-GB"/>
    </w:rPr>
  </w:style>
  <w:style w:type="paragraph" w:styleId="DocumentMap">
    <w:name w:val="Document Map"/>
    <w:basedOn w:val="Normal"/>
    <w:link w:val="DocumentMapChar"/>
    <w:uiPriority w:val="99"/>
    <w:semiHidden/>
    <w:unhideWhenUsed/>
    <w:rsid w:val="0008462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4627"/>
    <w:rPr>
      <w:rFonts w:ascii="Segoe UI" w:eastAsia="Batang" w:hAnsi="Segoe UI" w:cs="Segoe UI"/>
      <w:sz w:val="16"/>
      <w:szCs w:val="16"/>
      <w:lang w:eastAsia="en-GB"/>
    </w:rPr>
  </w:style>
  <w:style w:type="paragraph" w:styleId="E-mailSignature">
    <w:name w:val="E-mail Signature"/>
    <w:basedOn w:val="Normal"/>
    <w:link w:val="E-mailSignatureChar"/>
    <w:uiPriority w:val="99"/>
    <w:semiHidden/>
    <w:unhideWhenUsed/>
    <w:rsid w:val="00084627"/>
  </w:style>
  <w:style w:type="character" w:customStyle="1" w:styleId="E-mailSignatureChar">
    <w:name w:val="E-mail Signature Char"/>
    <w:basedOn w:val="DefaultParagraphFont"/>
    <w:link w:val="E-mailSignature"/>
    <w:uiPriority w:val="99"/>
    <w:semiHidden/>
    <w:rsid w:val="00084627"/>
    <w:rPr>
      <w:rFonts w:ascii="ZapfCalligr BT" w:eastAsia="Batang" w:hAnsi="ZapfCalligr BT" w:cs="ZapfCalligr BT"/>
      <w:lang w:eastAsia="en-GB"/>
    </w:rPr>
  </w:style>
  <w:style w:type="paragraph" w:styleId="EndnoteText">
    <w:name w:val="endnote text"/>
    <w:basedOn w:val="Normal"/>
    <w:link w:val="EndnoteTextChar"/>
    <w:uiPriority w:val="99"/>
    <w:semiHidden/>
    <w:unhideWhenUsed/>
    <w:rsid w:val="00084627"/>
    <w:rPr>
      <w:sz w:val="20"/>
      <w:szCs w:val="20"/>
    </w:rPr>
  </w:style>
  <w:style w:type="character" w:customStyle="1" w:styleId="EndnoteTextChar">
    <w:name w:val="Endnote Text Char"/>
    <w:basedOn w:val="DefaultParagraphFont"/>
    <w:link w:val="EndnoteText"/>
    <w:uiPriority w:val="99"/>
    <w:semiHidden/>
    <w:rsid w:val="00084627"/>
    <w:rPr>
      <w:rFonts w:ascii="ZapfCalligr BT" w:eastAsia="Batang" w:hAnsi="ZapfCalligr BT" w:cs="ZapfCalligr BT"/>
      <w:sz w:val="20"/>
      <w:szCs w:val="20"/>
      <w:lang w:eastAsia="en-GB"/>
    </w:rPr>
  </w:style>
  <w:style w:type="paragraph" w:styleId="EnvelopeAddress">
    <w:name w:val="envelope address"/>
    <w:basedOn w:val="Normal"/>
    <w:uiPriority w:val="99"/>
    <w:semiHidden/>
    <w:unhideWhenUsed/>
    <w:rsid w:val="000846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462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4627"/>
    <w:rPr>
      <w:sz w:val="20"/>
      <w:szCs w:val="20"/>
    </w:rPr>
  </w:style>
  <w:style w:type="character" w:customStyle="1" w:styleId="FootnoteTextChar">
    <w:name w:val="Footnote Text Char"/>
    <w:basedOn w:val="DefaultParagraphFont"/>
    <w:link w:val="FootnoteText"/>
    <w:uiPriority w:val="99"/>
    <w:semiHidden/>
    <w:rsid w:val="00084627"/>
    <w:rPr>
      <w:rFonts w:ascii="ZapfCalligr BT" w:eastAsia="Batang" w:hAnsi="ZapfCalligr BT" w:cs="ZapfCalligr BT"/>
      <w:sz w:val="20"/>
      <w:szCs w:val="20"/>
      <w:lang w:eastAsia="en-GB"/>
    </w:rPr>
  </w:style>
  <w:style w:type="paragraph" w:styleId="HTMLAddress">
    <w:name w:val="HTML Address"/>
    <w:basedOn w:val="Normal"/>
    <w:link w:val="HTMLAddressChar"/>
    <w:uiPriority w:val="99"/>
    <w:semiHidden/>
    <w:unhideWhenUsed/>
    <w:rsid w:val="00084627"/>
    <w:rPr>
      <w:i/>
      <w:iCs/>
    </w:rPr>
  </w:style>
  <w:style w:type="character" w:customStyle="1" w:styleId="HTMLAddressChar">
    <w:name w:val="HTML Address Char"/>
    <w:basedOn w:val="DefaultParagraphFont"/>
    <w:link w:val="HTMLAddress"/>
    <w:uiPriority w:val="99"/>
    <w:semiHidden/>
    <w:rsid w:val="00084627"/>
    <w:rPr>
      <w:rFonts w:ascii="ZapfCalligr BT" w:eastAsia="Batang" w:hAnsi="ZapfCalligr BT" w:cs="ZapfCalligr BT"/>
      <w:i/>
      <w:iCs/>
      <w:lang w:eastAsia="en-GB"/>
    </w:rPr>
  </w:style>
  <w:style w:type="paragraph" w:styleId="HTMLPreformatted">
    <w:name w:val="HTML Preformatted"/>
    <w:basedOn w:val="Normal"/>
    <w:link w:val="HTMLPreformattedChar"/>
    <w:uiPriority w:val="99"/>
    <w:semiHidden/>
    <w:unhideWhenUsed/>
    <w:rsid w:val="0008462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4627"/>
    <w:rPr>
      <w:rFonts w:ascii="Consolas" w:eastAsia="Batang" w:hAnsi="Consolas" w:cs="Consolas"/>
      <w:sz w:val="20"/>
      <w:szCs w:val="20"/>
      <w:lang w:eastAsia="en-GB"/>
    </w:rPr>
  </w:style>
  <w:style w:type="paragraph" w:styleId="Index1">
    <w:name w:val="index 1"/>
    <w:basedOn w:val="Normal"/>
    <w:next w:val="Normal"/>
    <w:autoRedefine/>
    <w:uiPriority w:val="99"/>
    <w:semiHidden/>
    <w:unhideWhenUsed/>
    <w:rsid w:val="00084627"/>
    <w:pPr>
      <w:ind w:left="220" w:hanging="220"/>
    </w:pPr>
  </w:style>
  <w:style w:type="paragraph" w:styleId="Index2">
    <w:name w:val="index 2"/>
    <w:basedOn w:val="Normal"/>
    <w:next w:val="Normal"/>
    <w:autoRedefine/>
    <w:uiPriority w:val="99"/>
    <w:semiHidden/>
    <w:unhideWhenUsed/>
    <w:rsid w:val="00084627"/>
    <w:pPr>
      <w:ind w:left="440" w:hanging="220"/>
    </w:pPr>
  </w:style>
  <w:style w:type="paragraph" w:styleId="Index3">
    <w:name w:val="index 3"/>
    <w:basedOn w:val="Normal"/>
    <w:next w:val="Normal"/>
    <w:autoRedefine/>
    <w:uiPriority w:val="99"/>
    <w:semiHidden/>
    <w:unhideWhenUsed/>
    <w:rsid w:val="00084627"/>
    <w:pPr>
      <w:ind w:left="660" w:hanging="220"/>
    </w:pPr>
  </w:style>
  <w:style w:type="paragraph" w:styleId="Index4">
    <w:name w:val="index 4"/>
    <w:basedOn w:val="Normal"/>
    <w:next w:val="Normal"/>
    <w:autoRedefine/>
    <w:uiPriority w:val="99"/>
    <w:semiHidden/>
    <w:unhideWhenUsed/>
    <w:rsid w:val="00084627"/>
    <w:pPr>
      <w:ind w:left="880" w:hanging="220"/>
    </w:pPr>
  </w:style>
  <w:style w:type="paragraph" w:styleId="Index5">
    <w:name w:val="index 5"/>
    <w:basedOn w:val="Normal"/>
    <w:next w:val="Normal"/>
    <w:autoRedefine/>
    <w:uiPriority w:val="99"/>
    <w:semiHidden/>
    <w:unhideWhenUsed/>
    <w:rsid w:val="00084627"/>
    <w:pPr>
      <w:ind w:left="1100" w:hanging="220"/>
    </w:pPr>
  </w:style>
  <w:style w:type="paragraph" w:styleId="Index6">
    <w:name w:val="index 6"/>
    <w:basedOn w:val="Normal"/>
    <w:next w:val="Normal"/>
    <w:autoRedefine/>
    <w:uiPriority w:val="99"/>
    <w:semiHidden/>
    <w:unhideWhenUsed/>
    <w:rsid w:val="00084627"/>
    <w:pPr>
      <w:ind w:left="1320" w:hanging="220"/>
    </w:pPr>
  </w:style>
  <w:style w:type="paragraph" w:styleId="Index7">
    <w:name w:val="index 7"/>
    <w:basedOn w:val="Normal"/>
    <w:next w:val="Normal"/>
    <w:autoRedefine/>
    <w:uiPriority w:val="99"/>
    <w:semiHidden/>
    <w:unhideWhenUsed/>
    <w:rsid w:val="00084627"/>
    <w:pPr>
      <w:ind w:left="1540" w:hanging="220"/>
    </w:pPr>
  </w:style>
  <w:style w:type="paragraph" w:styleId="Index8">
    <w:name w:val="index 8"/>
    <w:basedOn w:val="Normal"/>
    <w:next w:val="Normal"/>
    <w:autoRedefine/>
    <w:uiPriority w:val="99"/>
    <w:semiHidden/>
    <w:unhideWhenUsed/>
    <w:rsid w:val="00084627"/>
    <w:pPr>
      <w:ind w:left="1760" w:hanging="220"/>
    </w:pPr>
  </w:style>
  <w:style w:type="paragraph" w:styleId="Index9">
    <w:name w:val="index 9"/>
    <w:basedOn w:val="Normal"/>
    <w:next w:val="Normal"/>
    <w:autoRedefine/>
    <w:uiPriority w:val="99"/>
    <w:semiHidden/>
    <w:unhideWhenUsed/>
    <w:rsid w:val="00084627"/>
    <w:pPr>
      <w:ind w:left="1980" w:hanging="220"/>
    </w:pPr>
  </w:style>
  <w:style w:type="paragraph" w:styleId="IndexHeading">
    <w:name w:val="index heading"/>
    <w:basedOn w:val="Normal"/>
    <w:next w:val="Index1"/>
    <w:uiPriority w:val="99"/>
    <w:semiHidden/>
    <w:unhideWhenUsed/>
    <w:rsid w:val="000846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46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4627"/>
    <w:rPr>
      <w:rFonts w:ascii="ZapfCalligr BT" w:eastAsia="Batang" w:hAnsi="ZapfCalligr BT" w:cs="ZapfCalligr BT"/>
      <w:i/>
      <w:iCs/>
      <w:color w:val="4472C4" w:themeColor="accent1"/>
      <w:lang w:eastAsia="en-GB"/>
    </w:rPr>
  </w:style>
  <w:style w:type="paragraph" w:styleId="List">
    <w:name w:val="List"/>
    <w:basedOn w:val="Normal"/>
    <w:uiPriority w:val="99"/>
    <w:semiHidden/>
    <w:unhideWhenUsed/>
    <w:rsid w:val="00084627"/>
    <w:pPr>
      <w:ind w:left="283" w:hanging="283"/>
      <w:contextualSpacing/>
    </w:pPr>
  </w:style>
  <w:style w:type="paragraph" w:styleId="List2">
    <w:name w:val="List 2"/>
    <w:basedOn w:val="Normal"/>
    <w:uiPriority w:val="99"/>
    <w:semiHidden/>
    <w:unhideWhenUsed/>
    <w:rsid w:val="00084627"/>
    <w:pPr>
      <w:ind w:left="566" w:hanging="283"/>
      <w:contextualSpacing/>
    </w:pPr>
  </w:style>
  <w:style w:type="paragraph" w:styleId="List3">
    <w:name w:val="List 3"/>
    <w:basedOn w:val="Normal"/>
    <w:uiPriority w:val="99"/>
    <w:semiHidden/>
    <w:unhideWhenUsed/>
    <w:rsid w:val="00084627"/>
    <w:pPr>
      <w:ind w:left="849" w:hanging="283"/>
      <w:contextualSpacing/>
    </w:pPr>
  </w:style>
  <w:style w:type="paragraph" w:styleId="List4">
    <w:name w:val="List 4"/>
    <w:basedOn w:val="Normal"/>
    <w:uiPriority w:val="99"/>
    <w:semiHidden/>
    <w:unhideWhenUsed/>
    <w:rsid w:val="00084627"/>
    <w:pPr>
      <w:ind w:left="1132" w:hanging="283"/>
      <w:contextualSpacing/>
    </w:pPr>
  </w:style>
  <w:style w:type="paragraph" w:styleId="List5">
    <w:name w:val="List 5"/>
    <w:basedOn w:val="Normal"/>
    <w:uiPriority w:val="99"/>
    <w:semiHidden/>
    <w:unhideWhenUsed/>
    <w:rsid w:val="00084627"/>
    <w:pPr>
      <w:ind w:left="1415" w:hanging="283"/>
      <w:contextualSpacing/>
    </w:pPr>
  </w:style>
  <w:style w:type="paragraph" w:styleId="ListBullet">
    <w:name w:val="List Bullet"/>
    <w:basedOn w:val="Normal"/>
    <w:uiPriority w:val="99"/>
    <w:semiHidden/>
    <w:unhideWhenUsed/>
    <w:rsid w:val="00084627"/>
    <w:pPr>
      <w:numPr>
        <w:numId w:val="8"/>
      </w:numPr>
      <w:contextualSpacing/>
    </w:pPr>
  </w:style>
  <w:style w:type="paragraph" w:styleId="ListBullet2">
    <w:name w:val="List Bullet 2"/>
    <w:basedOn w:val="Normal"/>
    <w:uiPriority w:val="99"/>
    <w:semiHidden/>
    <w:unhideWhenUsed/>
    <w:rsid w:val="00084627"/>
    <w:pPr>
      <w:numPr>
        <w:numId w:val="9"/>
      </w:numPr>
      <w:contextualSpacing/>
    </w:pPr>
  </w:style>
  <w:style w:type="paragraph" w:styleId="ListBullet3">
    <w:name w:val="List Bullet 3"/>
    <w:basedOn w:val="Normal"/>
    <w:uiPriority w:val="99"/>
    <w:semiHidden/>
    <w:unhideWhenUsed/>
    <w:rsid w:val="00084627"/>
    <w:pPr>
      <w:numPr>
        <w:numId w:val="10"/>
      </w:numPr>
      <w:contextualSpacing/>
    </w:pPr>
  </w:style>
  <w:style w:type="paragraph" w:styleId="ListBullet5">
    <w:name w:val="List Bullet 5"/>
    <w:basedOn w:val="Normal"/>
    <w:uiPriority w:val="99"/>
    <w:semiHidden/>
    <w:unhideWhenUsed/>
    <w:rsid w:val="00084627"/>
    <w:pPr>
      <w:numPr>
        <w:numId w:val="11"/>
      </w:numPr>
      <w:contextualSpacing/>
    </w:pPr>
  </w:style>
  <w:style w:type="paragraph" w:styleId="ListContinue">
    <w:name w:val="List Continue"/>
    <w:basedOn w:val="Normal"/>
    <w:uiPriority w:val="99"/>
    <w:semiHidden/>
    <w:unhideWhenUsed/>
    <w:rsid w:val="00084627"/>
    <w:pPr>
      <w:spacing w:after="120"/>
      <w:ind w:left="283"/>
      <w:contextualSpacing/>
    </w:pPr>
  </w:style>
  <w:style w:type="paragraph" w:styleId="ListContinue2">
    <w:name w:val="List Continue 2"/>
    <w:basedOn w:val="Normal"/>
    <w:uiPriority w:val="99"/>
    <w:semiHidden/>
    <w:unhideWhenUsed/>
    <w:rsid w:val="00084627"/>
    <w:pPr>
      <w:spacing w:after="120"/>
      <w:ind w:left="566"/>
      <w:contextualSpacing/>
    </w:pPr>
  </w:style>
  <w:style w:type="paragraph" w:styleId="ListContinue3">
    <w:name w:val="List Continue 3"/>
    <w:basedOn w:val="Normal"/>
    <w:uiPriority w:val="99"/>
    <w:semiHidden/>
    <w:unhideWhenUsed/>
    <w:rsid w:val="00084627"/>
    <w:pPr>
      <w:spacing w:after="120"/>
      <w:ind w:left="849"/>
      <w:contextualSpacing/>
    </w:pPr>
  </w:style>
  <w:style w:type="paragraph" w:styleId="ListContinue4">
    <w:name w:val="List Continue 4"/>
    <w:basedOn w:val="Normal"/>
    <w:uiPriority w:val="99"/>
    <w:semiHidden/>
    <w:unhideWhenUsed/>
    <w:rsid w:val="00084627"/>
    <w:pPr>
      <w:spacing w:after="120"/>
      <w:ind w:left="1132"/>
      <w:contextualSpacing/>
    </w:pPr>
  </w:style>
  <w:style w:type="paragraph" w:styleId="ListContinue5">
    <w:name w:val="List Continue 5"/>
    <w:basedOn w:val="Normal"/>
    <w:uiPriority w:val="99"/>
    <w:semiHidden/>
    <w:unhideWhenUsed/>
    <w:rsid w:val="00084627"/>
    <w:pPr>
      <w:spacing w:after="120"/>
      <w:ind w:left="1415"/>
      <w:contextualSpacing/>
    </w:pPr>
  </w:style>
  <w:style w:type="paragraph" w:styleId="ListNumber">
    <w:name w:val="List Number"/>
    <w:basedOn w:val="Normal"/>
    <w:uiPriority w:val="99"/>
    <w:semiHidden/>
    <w:unhideWhenUsed/>
    <w:rsid w:val="00084627"/>
    <w:pPr>
      <w:numPr>
        <w:numId w:val="12"/>
      </w:numPr>
      <w:contextualSpacing/>
    </w:pPr>
  </w:style>
  <w:style w:type="paragraph" w:styleId="ListNumber2">
    <w:name w:val="List Number 2"/>
    <w:basedOn w:val="Normal"/>
    <w:uiPriority w:val="99"/>
    <w:semiHidden/>
    <w:unhideWhenUsed/>
    <w:rsid w:val="00084627"/>
    <w:pPr>
      <w:numPr>
        <w:numId w:val="13"/>
      </w:numPr>
      <w:contextualSpacing/>
    </w:pPr>
  </w:style>
  <w:style w:type="paragraph" w:styleId="ListNumber3">
    <w:name w:val="List Number 3"/>
    <w:basedOn w:val="Normal"/>
    <w:uiPriority w:val="99"/>
    <w:semiHidden/>
    <w:unhideWhenUsed/>
    <w:rsid w:val="00084627"/>
    <w:pPr>
      <w:numPr>
        <w:numId w:val="14"/>
      </w:numPr>
      <w:contextualSpacing/>
    </w:pPr>
  </w:style>
  <w:style w:type="paragraph" w:styleId="ListNumber4">
    <w:name w:val="List Number 4"/>
    <w:basedOn w:val="Normal"/>
    <w:uiPriority w:val="99"/>
    <w:semiHidden/>
    <w:unhideWhenUsed/>
    <w:rsid w:val="00084627"/>
    <w:pPr>
      <w:numPr>
        <w:numId w:val="15"/>
      </w:numPr>
      <w:contextualSpacing/>
    </w:pPr>
  </w:style>
  <w:style w:type="paragraph" w:styleId="ListNumber5">
    <w:name w:val="List Number 5"/>
    <w:basedOn w:val="Normal"/>
    <w:uiPriority w:val="99"/>
    <w:semiHidden/>
    <w:unhideWhenUsed/>
    <w:rsid w:val="00084627"/>
    <w:pPr>
      <w:numPr>
        <w:numId w:val="16"/>
      </w:numPr>
      <w:contextualSpacing/>
    </w:pPr>
  </w:style>
  <w:style w:type="paragraph" w:styleId="MacroText">
    <w:name w:val="macro"/>
    <w:link w:val="MacroTextChar"/>
    <w:uiPriority w:val="99"/>
    <w:semiHidden/>
    <w:unhideWhenUsed/>
    <w:rsid w:val="0008462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Batang" w:hAnsi="Consolas" w:cs="Consolas"/>
      <w:sz w:val="20"/>
      <w:szCs w:val="20"/>
      <w:lang w:eastAsia="en-GB"/>
    </w:rPr>
  </w:style>
  <w:style w:type="character" w:customStyle="1" w:styleId="MacroTextChar">
    <w:name w:val="Macro Text Char"/>
    <w:basedOn w:val="DefaultParagraphFont"/>
    <w:link w:val="MacroText"/>
    <w:uiPriority w:val="99"/>
    <w:semiHidden/>
    <w:rsid w:val="00084627"/>
    <w:rPr>
      <w:rFonts w:ascii="Consolas" w:eastAsia="Batang" w:hAnsi="Consolas" w:cs="Consolas"/>
      <w:sz w:val="20"/>
      <w:szCs w:val="20"/>
      <w:lang w:eastAsia="en-GB"/>
    </w:rPr>
  </w:style>
  <w:style w:type="paragraph" w:styleId="MessageHeader">
    <w:name w:val="Message Header"/>
    <w:basedOn w:val="Normal"/>
    <w:link w:val="MessageHeaderChar"/>
    <w:uiPriority w:val="99"/>
    <w:semiHidden/>
    <w:unhideWhenUsed/>
    <w:rsid w:val="000846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4627"/>
    <w:rPr>
      <w:rFonts w:asciiTheme="majorHAnsi" w:eastAsiaTheme="majorEastAsia" w:hAnsiTheme="majorHAnsi" w:cstheme="majorBidi"/>
      <w:sz w:val="24"/>
      <w:szCs w:val="24"/>
      <w:shd w:val="pct20" w:color="auto" w:fill="auto"/>
      <w:lang w:eastAsia="en-GB"/>
    </w:rPr>
  </w:style>
  <w:style w:type="paragraph" w:styleId="NormalIndent">
    <w:name w:val="Normal Indent"/>
    <w:basedOn w:val="Normal"/>
    <w:uiPriority w:val="99"/>
    <w:semiHidden/>
    <w:unhideWhenUsed/>
    <w:rsid w:val="00084627"/>
    <w:pPr>
      <w:ind w:left="720"/>
    </w:pPr>
  </w:style>
  <w:style w:type="paragraph" w:styleId="NoteHeading">
    <w:name w:val="Note Heading"/>
    <w:basedOn w:val="Normal"/>
    <w:next w:val="Normal"/>
    <w:link w:val="NoteHeadingChar"/>
    <w:uiPriority w:val="99"/>
    <w:semiHidden/>
    <w:unhideWhenUsed/>
    <w:rsid w:val="00084627"/>
  </w:style>
  <w:style w:type="character" w:customStyle="1" w:styleId="NoteHeadingChar">
    <w:name w:val="Note Heading Char"/>
    <w:basedOn w:val="DefaultParagraphFont"/>
    <w:link w:val="NoteHeading"/>
    <w:uiPriority w:val="99"/>
    <w:semiHidden/>
    <w:rsid w:val="00084627"/>
    <w:rPr>
      <w:rFonts w:ascii="ZapfCalligr BT" w:eastAsia="Batang" w:hAnsi="ZapfCalligr BT" w:cs="ZapfCalligr BT"/>
      <w:lang w:eastAsia="en-GB"/>
    </w:rPr>
  </w:style>
  <w:style w:type="paragraph" w:styleId="Quote">
    <w:name w:val="Quote"/>
    <w:basedOn w:val="Normal"/>
    <w:next w:val="Normal"/>
    <w:link w:val="QuoteChar"/>
    <w:uiPriority w:val="29"/>
    <w:qFormat/>
    <w:rsid w:val="000846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4627"/>
    <w:rPr>
      <w:rFonts w:ascii="ZapfCalligr BT" w:eastAsia="Batang" w:hAnsi="ZapfCalligr BT" w:cs="ZapfCalligr BT"/>
      <w:i/>
      <w:iCs/>
      <w:color w:val="404040" w:themeColor="text1" w:themeTint="BF"/>
      <w:lang w:eastAsia="en-GB"/>
    </w:rPr>
  </w:style>
  <w:style w:type="paragraph" w:styleId="Salutation">
    <w:name w:val="Salutation"/>
    <w:basedOn w:val="Normal"/>
    <w:next w:val="Normal"/>
    <w:link w:val="SalutationChar"/>
    <w:uiPriority w:val="99"/>
    <w:semiHidden/>
    <w:unhideWhenUsed/>
    <w:rsid w:val="00084627"/>
  </w:style>
  <w:style w:type="character" w:customStyle="1" w:styleId="SalutationChar">
    <w:name w:val="Salutation Char"/>
    <w:basedOn w:val="DefaultParagraphFont"/>
    <w:link w:val="Salutation"/>
    <w:uiPriority w:val="99"/>
    <w:semiHidden/>
    <w:rsid w:val="00084627"/>
    <w:rPr>
      <w:rFonts w:ascii="ZapfCalligr BT" w:eastAsia="Batang" w:hAnsi="ZapfCalligr BT" w:cs="ZapfCalligr BT"/>
      <w:lang w:eastAsia="en-GB"/>
    </w:rPr>
  </w:style>
  <w:style w:type="paragraph" w:styleId="Signature">
    <w:name w:val="Signature"/>
    <w:basedOn w:val="Normal"/>
    <w:link w:val="SignatureChar"/>
    <w:uiPriority w:val="99"/>
    <w:semiHidden/>
    <w:unhideWhenUsed/>
    <w:rsid w:val="00084627"/>
    <w:pPr>
      <w:ind w:left="4252"/>
    </w:pPr>
  </w:style>
  <w:style w:type="character" w:customStyle="1" w:styleId="SignatureChar">
    <w:name w:val="Signature Char"/>
    <w:basedOn w:val="DefaultParagraphFont"/>
    <w:link w:val="Signature"/>
    <w:uiPriority w:val="99"/>
    <w:semiHidden/>
    <w:rsid w:val="00084627"/>
    <w:rPr>
      <w:rFonts w:ascii="ZapfCalligr BT" w:eastAsia="Batang" w:hAnsi="ZapfCalligr BT" w:cs="ZapfCalligr BT"/>
      <w:lang w:eastAsia="en-GB"/>
    </w:rPr>
  </w:style>
  <w:style w:type="paragraph" w:styleId="Subtitle">
    <w:name w:val="Subtitle"/>
    <w:basedOn w:val="Normal"/>
    <w:next w:val="Normal"/>
    <w:link w:val="SubtitleChar"/>
    <w:uiPriority w:val="11"/>
    <w:qFormat/>
    <w:rsid w:val="000846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84627"/>
    <w:rPr>
      <w:rFonts w:eastAsiaTheme="minorEastAsia"/>
      <w:color w:val="5A5A5A" w:themeColor="text1" w:themeTint="A5"/>
      <w:spacing w:val="15"/>
      <w:lang w:eastAsia="en-GB"/>
    </w:rPr>
  </w:style>
  <w:style w:type="paragraph" w:styleId="TableofAuthorities">
    <w:name w:val="table of authorities"/>
    <w:basedOn w:val="Normal"/>
    <w:next w:val="Normal"/>
    <w:uiPriority w:val="99"/>
    <w:semiHidden/>
    <w:unhideWhenUsed/>
    <w:rsid w:val="00084627"/>
    <w:pPr>
      <w:ind w:left="220" w:hanging="220"/>
    </w:pPr>
  </w:style>
  <w:style w:type="paragraph" w:styleId="TableofFigures">
    <w:name w:val="table of figures"/>
    <w:basedOn w:val="Normal"/>
    <w:next w:val="Normal"/>
    <w:uiPriority w:val="99"/>
    <w:semiHidden/>
    <w:unhideWhenUsed/>
    <w:rsid w:val="00084627"/>
  </w:style>
  <w:style w:type="paragraph" w:styleId="Title">
    <w:name w:val="Title"/>
    <w:basedOn w:val="Normal"/>
    <w:next w:val="Normal"/>
    <w:link w:val="TitleChar"/>
    <w:uiPriority w:val="10"/>
    <w:qFormat/>
    <w:rsid w:val="000846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627"/>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08462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84627"/>
    <w:pPr>
      <w:spacing w:after="100"/>
    </w:pPr>
  </w:style>
  <w:style w:type="paragraph" w:styleId="TOC2">
    <w:name w:val="toc 2"/>
    <w:basedOn w:val="Normal"/>
    <w:next w:val="Normal"/>
    <w:autoRedefine/>
    <w:uiPriority w:val="39"/>
    <w:semiHidden/>
    <w:unhideWhenUsed/>
    <w:rsid w:val="00084627"/>
    <w:pPr>
      <w:spacing w:after="100"/>
      <w:ind w:left="220"/>
    </w:pPr>
  </w:style>
  <w:style w:type="paragraph" w:styleId="TOC3">
    <w:name w:val="toc 3"/>
    <w:basedOn w:val="Normal"/>
    <w:next w:val="Normal"/>
    <w:autoRedefine/>
    <w:uiPriority w:val="39"/>
    <w:semiHidden/>
    <w:unhideWhenUsed/>
    <w:rsid w:val="00084627"/>
    <w:pPr>
      <w:spacing w:after="100"/>
      <w:ind w:left="440"/>
    </w:pPr>
  </w:style>
  <w:style w:type="paragraph" w:styleId="TOC4">
    <w:name w:val="toc 4"/>
    <w:basedOn w:val="Normal"/>
    <w:next w:val="Normal"/>
    <w:autoRedefine/>
    <w:uiPriority w:val="39"/>
    <w:semiHidden/>
    <w:unhideWhenUsed/>
    <w:rsid w:val="00084627"/>
    <w:pPr>
      <w:spacing w:after="100"/>
      <w:ind w:left="660"/>
    </w:pPr>
  </w:style>
  <w:style w:type="paragraph" w:styleId="TOC5">
    <w:name w:val="toc 5"/>
    <w:basedOn w:val="Normal"/>
    <w:next w:val="Normal"/>
    <w:autoRedefine/>
    <w:uiPriority w:val="39"/>
    <w:semiHidden/>
    <w:unhideWhenUsed/>
    <w:rsid w:val="00084627"/>
    <w:pPr>
      <w:spacing w:after="100"/>
      <w:ind w:left="880"/>
    </w:pPr>
  </w:style>
  <w:style w:type="paragraph" w:styleId="TOC6">
    <w:name w:val="toc 6"/>
    <w:basedOn w:val="Normal"/>
    <w:next w:val="Normal"/>
    <w:autoRedefine/>
    <w:uiPriority w:val="39"/>
    <w:semiHidden/>
    <w:unhideWhenUsed/>
    <w:rsid w:val="00084627"/>
    <w:pPr>
      <w:spacing w:after="100"/>
      <w:ind w:left="1100"/>
    </w:pPr>
  </w:style>
  <w:style w:type="paragraph" w:styleId="TOC7">
    <w:name w:val="toc 7"/>
    <w:basedOn w:val="Normal"/>
    <w:next w:val="Normal"/>
    <w:autoRedefine/>
    <w:uiPriority w:val="39"/>
    <w:semiHidden/>
    <w:unhideWhenUsed/>
    <w:rsid w:val="00084627"/>
    <w:pPr>
      <w:spacing w:after="100"/>
      <w:ind w:left="1320"/>
    </w:pPr>
  </w:style>
  <w:style w:type="paragraph" w:styleId="TOC8">
    <w:name w:val="toc 8"/>
    <w:basedOn w:val="Normal"/>
    <w:next w:val="Normal"/>
    <w:autoRedefine/>
    <w:uiPriority w:val="39"/>
    <w:semiHidden/>
    <w:unhideWhenUsed/>
    <w:rsid w:val="00084627"/>
    <w:pPr>
      <w:spacing w:after="100"/>
      <w:ind w:left="1540"/>
    </w:pPr>
  </w:style>
  <w:style w:type="paragraph" w:styleId="TOC9">
    <w:name w:val="toc 9"/>
    <w:basedOn w:val="Normal"/>
    <w:next w:val="Normal"/>
    <w:autoRedefine/>
    <w:uiPriority w:val="39"/>
    <w:semiHidden/>
    <w:unhideWhenUsed/>
    <w:rsid w:val="00084627"/>
    <w:pPr>
      <w:spacing w:after="100"/>
      <w:ind w:left="1760"/>
    </w:pPr>
  </w:style>
  <w:style w:type="paragraph" w:styleId="TOCHeading">
    <w:name w:val="TOC Heading"/>
    <w:basedOn w:val="Heading1"/>
    <w:next w:val="Normal"/>
    <w:uiPriority w:val="39"/>
    <w:semiHidden/>
    <w:unhideWhenUsed/>
    <w:qFormat/>
    <w:rsid w:val="00084627"/>
    <w:pPr>
      <w:keepLines/>
      <w:shd w:val="clear" w:color="auto" w:fill="auto"/>
      <w:spacing w:before="240"/>
      <w:outlineLvl w:val="9"/>
    </w:pPr>
    <w:rPr>
      <w:rFonts w:asciiTheme="majorHAnsi" w:eastAsiaTheme="majorEastAsia" w:hAnsiTheme="majorHAnsi" w:cstheme="majorBidi"/>
      <w:b w:val="0"/>
      <w:bCs w:val="0"/>
      <w:color w:val="2F5496" w:themeColor="accent1" w:themeShade="BF"/>
      <w:sz w:val="32"/>
      <w:szCs w:val="32"/>
      <w:lang w:eastAsia="en-GB"/>
    </w:rPr>
  </w:style>
  <w:style w:type="table" w:customStyle="1" w:styleId="TableGrid1">
    <w:name w:val="Table Grid1"/>
    <w:basedOn w:val="TableNormal"/>
    <w:next w:val="TableGrid"/>
    <w:uiPriority w:val="39"/>
    <w:rsid w:val="00084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rsid w:val="00084627"/>
    <w:pPr>
      <w:spacing w:before="100" w:beforeAutospacing="1" w:after="100" w:afterAutospacing="1"/>
      <w:jc w:val="left"/>
    </w:pPr>
    <w:rPr>
      <w:rFonts w:ascii="Times New Roman" w:eastAsia="Times New Roman" w:hAnsi="Times New Roman" w:cs="Times New Roman"/>
      <w:sz w:val="24"/>
      <w:szCs w:val="24"/>
    </w:rPr>
  </w:style>
  <w:style w:type="paragraph" w:customStyle="1" w:styleId="mr">
    <w:name w:val="mr"/>
    <w:basedOn w:val="Normal"/>
    <w:rsid w:val="00084627"/>
    <w:pPr>
      <w:spacing w:before="100" w:beforeAutospacing="1" w:after="100" w:afterAutospacing="1"/>
      <w:jc w:val="left"/>
    </w:pPr>
    <w:rPr>
      <w:rFonts w:ascii="Times New Roman" w:eastAsia="Times New Roman" w:hAnsi="Times New Roman" w:cs="Times New Roman"/>
      <w:sz w:val="24"/>
      <w:szCs w:val="24"/>
    </w:rPr>
  </w:style>
  <w:style w:type="character" w:customStyle="1" w:styleId="ky">
    <w:name w:val="ky"/>
    <w:basedOn w:val="DefaultParagraphFont"/>
    <w:rsid w:val="00084627"/>
  </w:style>
  <w:style w:type="paragraph" w:customStyle="1" w:styleId="GenericStylesListsBulletedList1">
    <w:name w:val="Generic Styles Lists Bulleted List 1"/>
    <w:basedOn w:val="Normal"/>
    <w:rsid w:val="00084627"/>
    <w:pPr>
      <w:spacing w:after="57"/>
      <w:jc w:val="left"/>
    </w:pPr>
    <w:rPr>
      <w:rFonts w:ascii="GoodHome" w:eastAsiaTheme="majorEastAsia" w:hAnsi="GoodHome" w:cstheme="majorBidi"/>
      <w:sz w:val="16"/>
      <w:szCs w:val="24"/>
      <w:lang w:val="en-US" w:eastAsia="ja-JP"/>
    </w:rPr>
  </w:style>
  <w:style w:type="paragraph" w:customStyle="1" w:styleId="GenericStylesBodytext">
    <w:name w:val="Generic Styles Bodytext"/>
    <w:basedOn w:val="Normal"/>
    <w:rsid w:val="00084627"/>
    <w:pPr>
      <w:spacing w:after="186"/>
      <w:jc w:val="left"/>
    </w:pPr>
    <w:rPr>
      <w:rFonts w:ascii="GoodHome" w:eastAsiaTheme="majorEastAsia" w:hAnsi="GoodHome" w:cstheme="majorBidi"/>
      <w:sz w:val="16"/>
      <w:szCs w:val="24"/>
      <w:lang w:val="en-US" w:eastAsia="ja-JP"/>
    </w:rPr>
  </w:style>
  <w:style w:type="character" w:customStyle="1" w:styleId="IDNocharacterstyle">
    <w:name w:val="ID No character style"/>
    <w:rsid w:val="00084627"/>
  </w:style>
  <w:style w:type="character" w:styleId="Mention">
    <w:name w:val="Mention"/>
    <w:basedOn w:val="DefaultParagraphFont"/>
    <w:uiPriority w:val="99"/>
    <w:unhideWhenUsed/>
    <w:rsid w:val="000846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055">
      <w:bodyDiv w:val="1"/>
      <w:marLeft w:val="0"/>
      <w:marRight w:val="0"/>
      <w:marTop w:val="0"/>
      <w:marBottom w:val="0"/>
      <w:divBdr>
        <w:top w:val="none" w:sz="0" w:space="0" w:color="auto"/>
        <w:left w:val="none" w:sz="0" w:space="0" w:color="auto"/>
        <w:bottom w:val="none" w:sz="0" w:space="0" w:color="auto"/>
        <w:right w:val="none" w:sz="0" w:space="0" w:color="auto"/>
      </w:divBdr>
    </w:div>
    <w:div w:id="246616582">
      <w:bodyDiv w:val="1"/>
      <w:marLeft w:val="0"/>
      <w:marRight w:val="0"/>
      <w:marTop w:val="0"/>
      <w:marBottom w:val="0"/>
      <w:divBdr>
        <w:top w:val="none" w:sz="0" w:space="0" w:color="auto"/>
        <w:left w:val="none" w:sz="0" w:space="0" w:color="auto"/>
        <w:bottom w:val="none" w:sz="0" w:space="0" w:color="auto"/>
        <w:right w:val="none" w:sz="0" w:space="0" w:color="auto"/>
      </w:divBdr>
    </w:div>
    <w:div w:id="247808714">
      <w:bodyDiv w:val="1"/>
      <w:marLeft w:val="0"/>
      <w:marRight w:val="0"/>
      <w:marTop w:val="0"/>
      <w:marBottom w:val="0"/>
      <w:divBdr>
        <w:top w:val="none" w:sz="0" w:space="0" w:color="auto"/>
        <w:left w:val="none" w:sz="0" w:space="0" w:color="auto"/>
        <w:bottom w:val="none" w:sz="0" w:space="0" w:color="auto"/>
        <w:right w:val="none" w:sz="0" w:space="0" w:color="auto"/>
      </w:divBdr>
    </w:div>
    <w:div w:id="308748148">
      <w:bodyDiv w:val="1"/>
      <w:marLeft w:val="0"/>
      <w:marRight w:val="0"/>
      <w:marTop w:val="0"/>
      <w:marBottom w:val="0"/>
      <w:divBdr>
        <w:top w:val="none" w:sz="0" w:space="0" w:color="auto"/>
        <w:left w:val="none" w:sz="0" w:space="0" w:color="auto"/>
        <w:bottom w:val="none" w:sz="0" w:space="0" w:color="auto"/>
        <w:right w:val="none" w:sz="0" w:space="0" w:color="auto"/>
      </w:divBdr>
    </w:div>
    <w:div w:id="375203304">
      <w:bodyDiv w:val="1"/>
      <w:marLeft w:val="0"/>
      <w:marRight w:val="0"/>
      <w:marTop w:val="0"/>
      <w:marBottom w:val="0"/>
      <w:divBdr>
        <w:top w:val="none" w:sz="0" w:space="0" w:color="auto"/>
        <w:left w:val="none" w:sz="0" w:space="0" w:color="auto"/>
        <w:bottom w:val="none" w:sz="0" w:space="0" w:color="auto"/>
        <w:right w:val="none" w:sz="0" w:space="0" w:color="auto"/>
      </w:divBdr>
    </w:div>
    <w:div w:id="377094509">
      <w:bodyDiv w:val="1"/>
      <w:marLeft w:val="0"/>
      <w:marRight w:val="0"/>
      <w:marTop w:val="0"/>
      <w:marBottom w:val="0"/>
      <w:divBdr>
        <w:top w:val="none" w:sz="0" w:space="0" w:color="auto"/>
        <w:left w:val="none" w:sz="0" w:space="0" w:color="auto"/>
        <w:bottom w:val="none" w:sz="0" w:space="0" w:color="auto"/>
        <w:right w:val="none" w:sz="0" w:space="0" w:color="auto"/>
      </w:divBdr>
    </w:div>
    <w:div w:id="404187565">
      <w:bodyDiv w:val="1"/>
      <w:marLeft w:val="0"/>
      <w:marRight w:val="0"/>
      <w:marTop w:val="0"/>
      <w:marBottom w:val="0"/>
      <w:divBdr>
        <w:top w:val="none" w:sz="0" w:space="0" w:color="auto"/>
        <w:left w:val="none" w:sz="0" w:space="0" w:color="auto"/>
        <w:bottom w:val="none" w:sz="0" w:space="0" w:color="auto"/>
        <w:right w:val="none" w:sz="0" w:space="0" w:color="auto"/>
      </w:divBdr>
    </w:div>
    <w:div w:id="459885511">
      <w:bodyDiv w:val="1"/>
      <w:marLeft w:val="0"/>
      <w:marRight w:val="0"/>
      <w:marTop w:val="0"/>
      <w:marBottom w:val="0"/>
      <w:divBdr>
        <w:top w:val="none" w:sz="0" w:space="0" w:color="auto"/>
        <w:left w:val="none" w:sz="0" w:space="0" w:color="auto"/>
        <w:bottom w:val="none" w:sz="0" w:space="0" w:color="auto"/>
        <w:right w:val="none" w:sz="0" w:space="0" w:color="auto"/>
      </w:divBdr>
    </w:div>
    <w:div w:id="548103690">
      <w:bodyDiv w:val="1"/>
      <w:marLeft w:val="0"/>
      <w:marRight w:val="0"/>
      <w:marTop w:val="0"/>
      <w:marBottom w:val="0"/>
      <w:divBdr>
        <w:top w:val="none" w:sz="0" w:space="0" w:color="auto"/>
        <w:left w:val="none" w:sz="0" w:space="0" w:color="auto"/>
        <w:bottom w:val="none" w:sz="0" w:space="0" w:color="auto"/>
        <w:right w:val="none" w:sz="0" w:space="0" w:color="auto"/>
      </w:divBdr>
    </w:div>
    <w:div w:id="674770856">
      <w:bodyDiv w:val="1"/>
      <w:marLeft w:val="0"/>
      <w:marRight w:val="0"/>
      <w:marTop w:val="0"/>
      <w:marBottom w:val="0"/>
      <w:divBdr>
        <w:top w:val="none" w:sz="0" w:space="0" w:color="auto"/>
        <w:left w:val="none" w:sz="0" w:space="0" w:color="auto"/>
        <w:bottom w:val="none" w:sz="0" w:space="0" w:color="auto"/>
        <w:right w:val="none" w:sz="0" w:space="0" w:color="auto"/>
      </w:divBdr>
    </w:div>
    <w:div w:id="685133517">
      <w:bodyDiv w:val="1"/>
      <w:marLeft w:val="0"/>
      <w:marRight w:val="0"/>
      <w:marTop w:val="0"/>
      <w:marBottom w:val="0"/>
      <w:divBdr>
        <w:top w:val="none" w:sz="0" w:space="0" w:color="auto"/>
        <w:left w:val="none" w:sz="0" w:space="0" w:color="auto"/>
        <w:bottom w:val="none" w:sz="0" w:space="0" w:color="auto"/>
        <w:right w:val="none" w:sz="0" w:space="0" w:color="auto"/>
      </w:divBdr>
    </w:div>
    <w:div w:id="738868236">
      <w:bodyDiv w:val="1"/>
      <w:marLeft w:val="0"/>
      <w:marRight w:val="0"/>
      <w:marTop w:val="0"/>
      <w:marBottom w:val="0"/>
      <w:divBdr>
        <w:top w:val="none" w:sz="0" w:space="0" w:color="auto"/>
        <w:left w:val="none" w:sz="0" w:space="0" w:color="auto"/>
        <w:bottom w:val="none" w:sz="0" w:space="0" w:color="auto"/>
        <w:right w:val="none" w:sz="0" w:space="0" w:color="auto"/>
      </w:divBdr>
    </w:div>
    <w:div w:id="751315851">
      <w:bodyDiv w:val="1"/>
      <w:marLeft w:val="0"/>
      <w:marRight w:val="0"/>
      <w:marTop w:val="0"/>
      <w:marBottom w:val="0"/>
      <w:divBdr>
        <w:top w:val="none" w:sz="0" w:space="0" w:color="auto"/>
        <w:left w:val="none" w:sz="0" w:space="0" w:color="auto"/>
        <w:bottom w:val="none" w:sz="0" w:space="0" w:color="auto"/>
        <w:right w:val="none" w:sz="0" w:space="0" w:color="auto"/>
      </w:divBdr>
    </w:div>
    <w:div w:id="799417554">
      <w:bodyDiv w:val="1"/>
      <w:marLeft w:val="0"/>
      <w:marRight w:val="0"/>
      <w:marTop w:val="0"/>
      <w:marBottom w:val="0"/>
      <w:divBdr>
        <w:top w:val="none" w:sz="0" w:space="0" w:color="auto"/>
        <w:left w:val="none" w:sz="0" w:space="0" w:color="auto"/>
        <w:bottom w:val="none" w:sz="0" w:space="0" w:color="auto"/>
        <w:right w:val="none" w:sz="0" w:space="0" w:color="auto"/>
      </w:divBdr>
    </w:div>
    <w:div w:id="820774924">
      <w:bodyDiv w:val="1"/>
      <w:marLeft w:val="0"/>
      <w:marRight w:val="0"/>
      <w:marTop w:val="0"/>
      <w:marBottom w:val="0"/>
      <w:divBdr>
        <w:top w:val="none" w:sz="0" w:space="0" w:color="auto"/>
        <w:left w:val="none" w:sz="0" w:space="0" w:color="auto"/>
        <w:bottom w:val="none" w:sz="0" w:space="0" w:color="auto"/>
        <w:right w:val="none" w:sz="0" w:space="0" w:color="auto"/>
      </w:divBdr>
    </w:div>
    <w:div w:id="1455365647">
      <w:bodyDiv w:val="1"/>
      <w:marLeft w:val="0"/>
      <w:marRight w:val="0"/>
      <w:marTop w:val="0"/>
      <w:marBottom w:val="0"/>
      <w:divBdr>
        <w:top w:val="none" w:sz="0" w:space="0" w:color="auto"/>
        <w:left w:val="none" w:sz="0" w:space="0" w:color="auto"/>
        <w:bottom w:val="none" w:sz="0" w:space="0" w:color="auto"/>
        <w:right w:val="none" w:sz="0" w:space="0" w:color="auto"/>
      </w:divBdr>
    </w:div>
    <w:div w:id="1629505534">
      <w:bodyDiv w:val="1"/>
      <w:marLeft w:val="0"/>
      <w:marRight w:val="0"/>
      <w:marTop w:val="0"/>
      <w:marBottom w:val="0"/>
      <w:divBdr>
        <w:top w:val="none" w:sz="0" w:space="0" w:color="auto"/>
        <w:left w:val="none" w:sz="0" w:space="0" w:color="auto"/>
        <w:bottom w:val="none" w:sz="0" w:space="0" w:color="auto"/>
        <w:right w:val="none" w:sz="0" w:space="0" w:color="auto"/>
      </w:divBdr>
    </w:div>
    <w:div w:id="1710105835">
      <w:bodyDiv w:val="1"/>
      <w:marLeft w:val="0"/>
      <w:marRight w:val="0"/>
      <w:marTop w:val="0"/>
      <w:marBottom w:val="0"/>
      <w:divBdr>
        <w:top w:val="none" w:sz="0" w:space="0" w:color="auto"/>
        <w:left w:val="none" w:sz="0" w:space="0" w:color="auto"/>
        <w:bottom w:val="none" w:sz="0" w:space="0" w:color="auto"/>
        <w:right w:val="none" w:sz="0" w:space="0" w:color="auto"/>
      </w:divBdr>
    </w:div>
    <w:div w:id="1711103323">
      <w:bodyDiv w:val="1"/>
      <w:marLeft w:val="0"/>
      <w:marRight w:val="0"/>
      <w:marTop w:val="0"/>
      <w:marBottom w:val="0"/>
      <w:divBdr>
        <w:top w:val="none" w:sz="0" w:space="0" w:color="auto"/>
        <w:left w:val="none" w:sz="0" w:space="0" w:color="auto"/>
        <w:bottom w:val="none" w:sz="0" w:space="0" w:color="auto"/>
        <w:right w:val="none" w:sz="0" w:space="0" w:color="auto"/>
      </w:divBdr>
    </w:div>
    <w:div w:id="1732117745">
      <w:bodyDiv w:val="1"/>
      <w:marLeft w:val="0"/>
      <w:marRight w:val="0"/>
      <w:marTop w:val="0"/>
      <w:marBottom w:val="0"/>
      <w:divBdr>
        <w:top w:val="none" w:sz="0" w:space="0" w:color="auto"/>
        <w:left w:val="none" w:sz="0" w:space="0" w:color="auto"/>
        <w:bottom w:val="none" w:sz="0" w:space="0" w:color="auto"/>
        <w:right w:val="none" w:sz="0" w:space="0" w:color="auto"/>
      </w:divBdr>
    </w:div>
    <w:div w:id="1819112293">
      <w:bodyDiv w:val="1"/>
      <w:marLeft w:val="0"/>
      <w:marRight w:val="0"/>
      <w:marTop w:val="0"/>
      <w:marBottom w:val="0"/>
      <w:divBdr>
        <w:top w:val="none" w:sz="0" w:space="0" w:color="auto"/>
        <w:left w:val="none" w:sz="0" w:space="0" w:color="auto"/>
        <w:bottom w:val="none" w:sz="0" w:space="0" w:color="auto"/>
        <w:right w:val="none" w:sz="0" w:space="0" w:color="auto"/>
      </w:divBdr>
    </w:div>
    <w:div w:id="1959871800">
      <w:bodyDiv w:val="1"/>
      <w:marLeft w:val="0"/>
      <w:marRight w:val="0"/>
      <w:marTop w:val="0"/>
      <w:marBottom w:val="0"/>
      <w:divBdr>
        <w:top w:val="none" w:sz="0" w:space="0" w:color="auto"/>
        <w:left w:val="none" w:sz="0" w:space="0" w:color="auto"/>
        <w:bottom w:val="none" w:sz="0" w:space="0" w:color="auto"/>
        <w:right w:val="none" w:sz="0" w:space="0" w:color="auto"/>
      </w:divBdr>
    </w:div>
    <w:div w:id="20108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enquiries@kingfisher.com" TargetMode="External"/><Relationship Id="rId13" Type="http://schemas.openxmlformats.org/officeDocument/2006/relationships/hyperlink" Target="http://www.otcmarkets.com/stock/KGFHY/quote" TargetMode="External"/><Relationship Id="rId18" Type="http://schemas.openxmlformats.org/officeDocument/2006/relationships/hyperlink" Target="http://www.kingfisher.com/index.asp?pageid=7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vestorenquiries@kingfisher.com" TargetMode="External"/><Relationship Id="rId17" Type="http://schemas.openxmlformats.org/officeDocument/2006/relationships/hyperlink" Target="http://www.kingfisher.com" TargetMode="External"/><Relationship Id="rId2" Type="http://schemas.openxmlformats.org/officeDocument/2006/relationships/numbering" Target="numbering.xml"/><Relationship Id="rId16" Type="http://schemas.openxmlformats.org/officeDocument/2006/relationships/hyperlink" Target="https://racetozero.unfccc.int/breakthrough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hyperlink" Target="https://www.alfuttaim.com/" TargetMode="External"/><Relationship Id="rId23" Type="http://schemas.openxmlformats.org/officeDocument/2006/relationships/theme" Target="theme/theme1.xml"/><Relationship Id="rId10" Type="http://schemas.openxmlformats.org/officeDocument/2006/relationships/hyperlink" Target="mailto:Kfteam@teneo.com" TargetMode="External"/><Relationship Id="rId19" Type="http://schemas.openxmlformats.org/officeDocument/2006/relationships/hyperlink" Target="http://webstat.banque-france.fr/en/browse.do?node=5384326" TargetMode="External"/><Relationship Id="rId4" Type="http://schemas.openxmlformats.org/officeDocument/2006/relationships/settings" Target="settings.xml"/><Relationship Id="rId9" Type="http://schemas.openxmlformats.org/officeDocument/2006/relationships/hyperlink" Target="mailto:corpcomms@kingfisher.com" TargetMode="External"/><Relationship Id="rId14" Type="http://schemas.openxmlformats.org/officeDocument/2006/relationships/hyperlink" Target="http://www.kingfish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5FF5-4AA9-4DEA-9988-31FE5EE4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3069</TotalTime>
  <Pages>43</Pages>
  <Words>22672</Words>
  <Characters>129231</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Molinska, Karolina</dc:creator>
  <cp:keywords/>
  <dc:description/>
  <cp:lastModifiedBy>Nazir, Maj</cp:lastModifiedBy>
  <cp:revision>180</cp:revision>
  <cp:lastPrinted>2022-02-21T10:00:00Z</cp:lastPrinted>
  <dcterms:created xsi:type="dcterms:W3CDTF">2022-03-07T21:26:00Z</dcterms:created>
  <dcterms:modified xsi:type="dcterms:W3CDTF">2022-03-21T16:19:00Z</dcterms:modified>
</cp:coreProperties>
</file>