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8ECD" w14:textId="00AE0063" w:rsidR="00C52B32" w:rsidRPr="00EB4495" w:rsidRDefault="007454CC" w:rsidP="00C52B32">
      <w:pPr>
        <w:jc w:val="center"/>
        <w:rPr>
          <w:rFonts w:ascii="Arial" w:hAnsi="Arial" w:cs="Arial"/>
          <w:b/>
          <w:color w:val="0070C0"/>
          <w:sz w:val="24"/>
          <w:szCs w:val="20"/>
        </w:rPr>
      </w:pPr>
      <w:r>
        <w:rPr>
          <w:rFonts w:ascii="Arial" w:hAnsi="Arial" w:cs="Arial"/>
          <w:b/>
          <w:color w:val="0070C0"/>
          <w:sz w:val="24"/>
          <w:szCs w:val="20"/>
        </w:rPr>
        <w:t xml:space="preserve">Final </w:t>
      </w:r>
      <w:r w:rsidR="00C52B32" w:rsidRPr="00EB4495">
        <w:rPr>
          <w:rFonts w:ascii="Arial" w:hAnsi="Arial" w:cs="Arial"/>
          <w:b/>
          <w:color w:val="0070C0"/>
          <w:sz w:val="24"/>
          <w:szCs w:val="20"/>
        </w:rPr>
        <w:t xml:space="preserve">results for the </w:t>
      </w:r>
      <w:r w:rsidR="00853F54">
        <w:rPr>
          <w:rFonts w:ascii="Arial" w:hAnsi="Arial" w:cs="Arial"/>
          <w:b/>
          <w:color w:val="0070C0"/>
          <w:sz w:val="24"/>
          <w:szCs w:val="20"/>
        </w:rPr>
        <w:t xml:space="preserve">year </w:t>
      </w:r>
      <w:r w:rsidR="00C52B32" w:rsidRPr="00EB4495">
        <w:rPr>
          <w:rFonts w:ascii="Arial" w:hAnsi="Arial" w:cs="Arial"/>
          <w:b/>
          <w:color w:val="0070C0"/>
          <w:sz w:val="24"/>
          <w:szCs w:val="20"/>
        </w:rPr>
        <w:t xml:space="preserve">ended 31 </w:t>
      </w:r>
      <w:r w:rsidR="00853F54">
        <w:rPr>
          <w:rFonts w:ascii="Arial" w:hAnsi="Arial" w:cs="Arial"/>
          <w:b/>
          <w:color w:val="0070C0"/>
          <w:sz w:val="24"/>
          <w:szCs w:val="20"/>
        </w:rPr>
        <w:t xml:space="preserve">January </w:t>
      </w:r>
      <w:r w:rsidR="00C52B32" w:rsidRPr="00EB4495">
        <w:rPr>
          <w:rFonts w:ascii="Arial" w:hAnsi="Arial" w:cs="Arial"/>
          <w:b/>
          <w:color w:val="0070C0"/>
          <w:sz w:val="24"/>
          <w:szCs w:val="20"/>
        </w:rPr>
        <w:t>202</w:t>
      </w:r>
      <w:r w:rsidR="00853F54">
        <w:rPr>
          <w:rFonts w:ascii="Arial" w:hAnsi="Arial" w:cs="Arial"/>
          <w:b/>
          <w:color w:val="0070C0"/>
          <w:sz w:val="24"/>
          <w:szCs w:val="20"/>
        </w:rPr>
        <w:t>3</w:t>
      </w:r>
    </w:p>
    <w:p w14:paraId="112B3E6B" w14:textId="77777777" w:rsidR="00C52B32" w:rsidRPr="00EB4495" w:rsidRDefault="00C52B32" w:rsidP="00C52B32">
      <w:pPr>
        <w:jc w:val="center"/>
        <w:rPr>
          <w:rFonts w:ascii="Arial" w:hAnsi="Arial" w:cs="Arial"/>
          <w:b/>
          <w:color w:val="0070C0"/>
          <w:sz w:val="24"/>
          <w:szCs w:val="20"/>
        </w:rPr>
      </w:pPr>
      <w:r w:rsidRPr="00EB4495">
        <w:rPr>
          <w:rFonts w:ascii="Arial" w:hAnsi="Arial" w:cs="Arial"/>
          <w:b/>
          <w:color w:val="0070C0"/>
          <w:sz w:val="24"/>
          <w:szCs w:val="20"/>
        </w:rPr>
        <w:t xml:space="preserve"> </w:t>
      </w:r>
    </w:p>
    <w:tbl>
      <w:tblPr>
        <w:tblStyle w:val="TableGrid"/>
        <w:tblW w:w="10086" w:type="dxa"/>
        <w:tblLayout w:type="fixed"/>
        <w:tblLook w:val="04A0" w:firstRow="1" w:lastRow="0" w:firstColumn="1" w:lastColumn="0" w:noHBand="0" w:noVBand="1"/>
      </w:tblPr>
      <w:tblGrid>
        <w:gridCol w:w="10086"/>
      </w:tblGrid>
      <w:tr w:rsidR="00C52B32" w:rsidRPr="00EB4495" w14:paraId="49A4A651" w14:textId="77777777" w:rsidTr="00810FD1">
        <w:tc>
          <w:tcPr>
            <w:tcW w:w="10086" w:type="dxa"/>
          </w:tcPr>
          <w:tbl>
            <w:tblPr>
              <w:tblStyle w:val="TableGrid"/>
              <w:tblW w:w="10006" w:type="dxa"/>
              <w:tblLayout w:type="fixed"/>
              <w:tblLook w:val="04A0" w:firstRow="1" w:lastRow="0" w:firstColumn="1" w:lastColumn="0" w:noHBand="0" w:noVBand="1"/>
            </w:tblPr>
            <w:tblGrid>
              <w:gridCol w:w="3458"/>
              <w:gridCol w:w="1327"/>
              <w:gridCol w:w="1327"/>
              <w:gridCol w:w="1298"/>
              <w:gridCol w:w="1298"/>
              <w:gridCol w:w="1298"/>
            </w:tblGrid>
            <w:tr w:rsidR="00C52B32" w:rsidRPr="00EB4495" w14:paraId="0AFB704A" w14:textId="77777777" w:rsidTr="007D6F54">
              <w:trPr>
                <w:trHeight w:val="539"/>
              </w:trPr>
              <w:tc>
                <w:tcPr>
                  <w:tcW w:w="3458" w:type="dxa"/>
                  <w:tcBorders>
                    <w:top w:val="nil"/>
                    <w:left w:val="nil"/>
                    <w:bottom w:val="nil"/>
                    <w:right w:val="nil"/>
                  </w:tcBorders>
                  <w:vAlign w:val="center"/>
                </w:tcPr>
                <w:p w14:paraId="43065095" w14:textId="77777777" w:rsidR="00C52B32" w:rsidRPr="00EB4495" w:rsidRDefault="00C52B32" w:rsidP="006F23A9">
                  <w:pPr>
                    <w:jc w:val="left"/>
                    <w:rPr>
                      <w:rFonts w:ascii="Arial" w:hAnsi="Arial" w:cs="Arial"/>
                      <w:sz w:val="22"/>
                      <w:szCs w:val="22"/>
                    </w:rPr>
                  </w:pPr>
                  <w:bookmarkStart w:id="0" w:name="_Hlk80965152"/>
                  <w:bookmarkStart w:id="1" w:name="_Hlk524465105"/>
                  <w:r w:rsidRPr="00EB4495">
                    <w:rPr>
                      <w:rFonts w:ascii="Arial" w:hAnsi="Arial" w:cs="Arial"/>
                      <w:b/>
                      <w:bCs/>
                      <w:sz w:val="22"/>
                      <w:szCs w:val="22"/>
                    </w:rPr>
                    <w:t>Financial summary</w:t>
                  </w:r>
                </w:p>
              </w:tc>
              <w:tc>
                <w:tcPr>
                  <w:tcW w:w="1327" w:type="dxa"/>
                  <w:tcBorders>
                    <w:top w:val="nil"/>
                    <w:left w:val="nil"/>
                    <w:bottom w:val="nil"/>
                    <w:right w:val="nil"/>
                  </w:tcBorders>
                  <w:vAlign w:val="center"/>
                </w:tcPr>
                <w:p w14:paraId="644E496E" w14:textId="77777777" w:rsidR="00C52B32" w:rsidRPr="00EB4495" w:rsidRDefault="00C52B32" w:rsidP="003D54FC">
                  <w:pPr>
                    <w:jc w:val="right"/>
                    <w:rPr>
                      <w:rFonts w:ascii="Arial" w:hAnsi="Arial" w:cs="Arial"/>
                      <w:sz w:val="22"/>
                      <w:szCs w:val="22"/>
                    </w:rPr>
                  </w:pPr>
                </w:p>
              </w:tc>
              <w:tc>
                <w:tcPr>
                  <w:tcW w:w="1327" w:type="dxa"/>
                  <w:tcBorders>
                    <w:top w:val="nil"/>
                    <w:left w:val="nil"/>
                    <w:bottom w:val="nil"/>
                    <w:right w:val="nil"/>
                  </w:tcBorders>
                  <w:vAlign w:val="center"/>
                </w:tcPr>
                <w:p w14:paraId="2A63F0FB" w14:textId="77777777" w:rsidR="00C52B32" w:rsidRPr="00EB4495" w:rsidRDefault="00C52B32" w:rsidP="003D54FC">
                  <w:pPr>
                    <w:jc w:val="right"/>
                    <w:rPr>
                      <w:rFonts w:ascii="Arial" w:hAnsi="Arial" w:cs="Arial"/>
                      <w:sz w:val="22"/>
                      <w:szCs w:val="22"/>
                    </w:rPr>
                  </w:pPr>
                </w:p>
              </w:tc>
              <w:tc>
                <w:tcPr>
                  <w:tcW w:w="1298" w:type="dxa"/>
                  <w:tcBorders>
                    <w:top w:val="nil"/>
                    <w:left w:val="nil"/>
                    <w:bottom w:val="single" w:sz="4" w:space="0" w:color="auto"/>
                    <w:right w:val="nil"/>
                  </w:tcBorders>
                  <w:vAlign w:val="center"/>
                </w:tcPr>
                <w:p w14:paraId="572095DD" w14:textId="77777777" w:rsidR="00C52B32" w:rsidRPr="00EB4495" w:rsidRDefault="00C52B32" w:rsidP="003D54FC">
                  <w:pPr>
                    <w:jc w:val="right"/>
                    <w:rPr>
                      <w:rFonts w:ascii="Arial" w:hAnsi="Arial" w:cs="Arial"/>
                      <w:sz w:val="22"/>
                      <w:szCs w:val="22"/>
                    </w:rPr>
                  </w:pPr>
                  <w:r w:rsidRPr="00EB4495">
                    <w:rPr>
                      <w:rFonts w:ascii="Arial" w:hAnsi="Arial" w:cs="Arial"/>
                      <w:b/>
                      <w:bCs/>
                      <w:sz w:val="22"/>
                      <w:szCs w:val="22"/>
                    </w:rPr>
                    <w:t>% Total Change</w:t>
                  </w:r>
                </w:p>
              </w:tc>
              <w:tc>
                <w:tcPr>
                  <w:tcW w:w="1298" w:type="dxa"/>
                  <w:tcBorders>
                    <w:top w:val="nil"/>
                    <w:left w:val="nil"/>
                    <w:bottom w:val="single" w:sz="4" w:space="0" w:color="auto"/>
                    <w:right w:val="nil"/>
                  </w:tcBorders>
                  <w:vAlign w:val="center"/>
                </w:tcPr>
                <w:p w14:paraId="18222078" w14:textId="77777777" w:rsidR="00C52B32" w:rsidRPr="00EB4495" w:rsidRDefault="00C52B32" w:rsidP="003D54FC">
                  <w:pPr>
                    <w:jc w:val="right"/>
                    <w:rPr>
                      <w:rFonts w:ascii="Arial" w:hAnsi="Arial" w:cs="Arial"/>
                      <w:sz w:val="22"/>
                      <w:szCs w:val="22"/>
                    </w:rPr>
                  </w:pPr>
                  <w:r w:rsidRPr="00EB4495">
                    <w:rPr>
                      <w:rFonts w:ascii="Arial" w:hAnsi="Arial" w:cs="Arial"/>
                      <w:b/>
                      <w:bCs/>
                      <w:sz w:val="22"/>
                      <w:szCs w:val="22"/>
                    </w:rPr>
                    <w:t>% Total Change</w:t>
                  </w:r>
                </w:p>
              </w:tc>
              <w:tc>
                <w:tcPr>
                  <w:tcW w:w="1298" w:type="dxa"/>
                  <w:tcBorders>
                    <w:top w:val="nil"/>
                    <w:left w:val="nil"/>
                    <w:bottom w:val="single" w:sz="4" w:space="0" w:color="auto"/>
                    <w:right w:val="nil"/>
                  </w:tcBorders>
                  <w:vAlign w:val="center"/>
                </w:tcPr>
                <w:p w14:paraId="7044659F" w14:textId="77777777" w:rsidR="00C52B32" w:rsidRPr="00EB4495" w:rsidRDefault="00C52B32" w:rsidP="003D54FC">
                  <w:pPr>
                    <w:jc w:val="right"/>
                    <w:rPr>
                      <w:rFonts w:ascii="Arial" w:hAnsi="Arial" w:cs="Arial"/>
                      <w:sz w:val="22"/>
                      <w:szCs w:val="22"/>
                    </w:rPr>
                  </w:pPr>
                  <w:r w:rsidRPr="00EB4495">
                    <w:rPr>
                      <w:rFonts w:ascii="Arial" w:hAnsi="Arial" w:cs="Arial"/>
                      <w:b/>
                      <w:bCs/>
                      <w:sz w:val="22"/>
                      <w:szCs w:val="22"/>
                    </w:rPr>
                    <w:t>% LFL* Change</w:t>
                  </w:r>
                </w:p>
              </w:tc>
            </w:tr>
            <w:tr w:rsidR="00C52B32" w:rsidRPr="00EB4495" w14:paraId="048A4ECA" w14:textId="77777777" w:rsidTr="007D6F54">
              <w:trPr>
                <w:trHeight w:val="539"/>
              </w:trPr>
              <w:tc>
                <w:tcPr>
                  <w:tcW w:w="3458" w:type="dxa"/>
                  <w:tcBorders>
                    <w:top w:val="nil"/>
                    <w:left w:val="nil"/>
                    <w:bottom w:val="single" w:sz="4" w:space="0" w:color="auto"/>
                    <w:right w:val="nil"/>
                  </w:tcBorders>
                  <w:vAlign w:val="center"/>
                </w:tcPr>
                <w:p w14:paraId="6B0F6D2B" w14:textId="77777777" w:rsidR="00C52B32" w:rsidRPr="00EB4495" w:rsidRDefault="00C52B32" w:rsidP="006F23A9">
                  <w:pPr>
                    <w:jc w:val="left"/>
                    <w:rPr>
                      <w:rFonts w:ascii="Arial" w:hAnsi="Arial" w:cs="Arial"/>
                      <w:sz w:val="22"/>
                      <w:szCs w:val="22"/>
                    </w:rPr>
                  </w:pPr>
                </w:p>
              </w:tc>
              <w:tc>
                <w:tcPr>
                  <w:tcW w:w="1327" w:type="dxa"/>
                  <w:tcBorders>
                    <w:top w:val="nil"/>
                    <w:left w:val="nil"/>
                    <w:bottom w:val="single" w:sz="4" w:space="0" w:color="auto"/>
                    <w:right w:val="nil"/>
                  </w:tcBorders>
                  <w:vAlign w:val="center"/>
                </w:tcPr>
                <w:p w14:paraId="49DC03DB" w14:textId="1A5E6601" w:rsidR="00C52B32" w:rsidRPr="00EB4495" w:rsidRDefault="00C52B32" w:rsidP="003D54FC">
                  <w:pPr>
                    <w:jc w:val="right"/>
                    <w:rPr>
                      <w:rFonts w:ascii="Arial" w:hAnsi="Arial" w:cs="Arial"/>
                      <w:b/>
                      <w:bCs/>
                      <w:sz w:val="22"/>
                      <w:szCs w:val="22"/>
                    </w:rPr>
                  </w:pPr>
                  <w:r w:rsidRPr="00EB4495">
                    <w:rPr>
                      <w:rFonts w:ascii="Arial" w:hAnsi="Arial" w:cs="Arial"/>
                      <w:b/>
                      <w:bCs/>
                      <w:sz w:val="22"/>
                      <w:szCs w:val="22"/>
                    </w:rPr>
                    <w:t>202</w:t>
                  </w:r>
                  <w:r w:rsidR="00F05489">
                    <w:rPr>
                      <w:rFonts w:ascii="Arial" w:hAnsi="Arial" w:cs="Arial"/>
                      <w:b/>
                      <w:bCs/>
                      <w:sz w:val="22"/>
                      <w:szCs w:val="22"/>
                    </w:rPr>
                    <w:t>2</w:t>
                  </w:r>
                  <w:r w:rsidRPr="00EB4495">
                    <w:rPr>
                      <w:rFonts w:ascii="Arial" w:hAnsi="Arial" w:cs="Arial"/>
                      <w:b/>
                      <w:bCs/>
                      <w:sz w:val="22"/>
                      <w:szCs w:val="22"/>
                    </w:rPr>
                    <w:t>/2</w:t>
                  </w:r>
                  <w:r w:rsidR="00F05489">
                    <w:rPr>
                      <w:rFonts w:ascii="Arial" w:hAnsi="Arial" w:cs="Arial"/>
                      <w:b/>
                      <w:bCs/>
                      <w:sz w:val="22"/>
                      <w:szCs w:val="22"/>
                    </w:rPr>
                    <w:t>3</w:t>
                  </w:r>
                </w:p>
              </w:tc>
              <w:tc>
                <w:tcPr>
                  <w:tcW w:w="1327" w:type="dxa"/>
                  <w:tcBorders>
                    <w:top w:val="nil"/>
                    <w:left w:val="nil"/>
                    <w:bottom w:val="single" w:sz="4" w:space="0" w:color="auto"/>
                    <w:right w:val="nil"/>
                  </w:tcBorders>
                  <w:vAlign w:val="center"/>
                </w:tcPr>
                <w:p w14:paraId="188CBE81" w14:textId="11DC675B" w:rsidR="00C52B32" w:rsidRPr="00EB4495" w:rsidRDefault="00C52B32" w:rsidP="003D54FC">
                  <w:pPr>
                    <w:jc w:val="right"/>
                    <w:rPr>
                      <w:rFonts w:ascii="Arial" w:hAnsi="Arial" w:cs="Arial"/>
                      <w:b/>
                      <w:bCs/>
                      <w:sz w:val="22"/>
                      <w:szCs w:val="22"/>
                    </w:rPr>
                  </w:pPr>
                  <w:r w:rsidRPr="00EB4495">
                    <w:rPr>
                      <w:rFonts w:ascii="Arial" w:hAnsi="Arial" w:cs="Arial"/>
                      <w:b/>
                      <w:bCs/>
                      <w:sz w:val="22"/>
                      <w:szCs w:val="22"/>
                    </w:rPr>
                    <w:t>202</w:t>
                  </w:r>
                  <w:r w:rsidR="00F05489">
                    <w:rPr>
                      <w:rFonts w:ascii="Arial" w:hAnsi="Arial" w:cs="Arial"/>
                      <w:b/>
                      <w:bCs/>
                      <w:sz w:val="22"/>
                      <w:szCs w:val="22"/>
                    </w:rPr>
                    <w:t>1</w:t>
                  </w:r>
                  <w:r w:rsidRPr="00EB4495">
                    <w:rPr>
                      <w:rFonts w:ascii="Arial" w:hAnsi="Arial" w:cs="Arial"/>
                      <w:b/>
                      <w:bCs/>
                      <w:sz w:val="22"/>
                      <w:szCs w:val="22"/>
                    </w:rPr>
                    <w:t>/2</w:t>
                  </w:r>
                  <w:r w:rsidR="00F05489">
                    <w:rPr>
                      <w:rFonts w:ascii="Arial" w:hAnsi="Arial" w:cs="Arial"/>
                      <w:b/>
                      <w:bCs/>
                      <w:sz w:val="22"/>
                      <w:szCs w:val="22"/>
                    </w:rPr>
                    <w:t>2</w:t>
                  </w:r>
                </w:p>
              </w:tc>
              <w:tc>
                <w:tcPr>
                  <w:tcW w:w="1298" w:type="dxa"/>
                  <w:tcBorders>
                    <w:top w:val="single" w:sz="4" w:space="0" w:color="auto"/>
                    <w:left w:val="nil"/>
                    <w:bottom w:val="single" w:sz="4" w:space="0" w:color="auto"/>
                    <w:right w:val="nil"/>
                  </w:tcBorders>
                  <w:vAlign w:val="center"/>
                </w:tcPr>
                <w:p w14:paraId="6A751B73" w14:textId="77777777" w:rsidR="00C52B32" w:rsidRPr="00EB4495" w:rsidRDefault="00C52B32" w:rsidP="003D54FC">
                  <w:pPr>
                    <w:jc w:val="right"/>
                    <w:rPr>
                      <w:rFonts w:ascii="Arial" w:hAnsi="Arial" w:cs="Arial"/>
                      <w:b/>
                      <w:bCs/>
                      <w:sz w:val="22"/>
                      <w:szCs w:val="22"/>
                    </w:rPr>
                  </w:pPr>
                  <w:r w:rsidRPr="00EB4495">
                    <w:rPr>
                      <w:rFonts w:ascii="Arial" w:hAnsi="Arial" w:cs="Arial"/>
                      <w:b/>
                      <w:bCs/>
                      <w:sz w:val="22"/>
                      <w:szCs w:val="22"/>
                    </w:rPr>
                    <w:t>Reported</w:t>
                  </w:r>
                </w:p>
              </w:tc>
              <w:tc>
                <w:tcPr>
                  <w:tcW w:w="1298" w:type="dxa"/>
                  <w:tcBorders>
                    <w:top w:val="single" w:sz="4" w:space="0" w:color="auto"/>
                    <w:left w:val="nil"/>
                    <w:bottom w:val="single" w:sz="4" w:space="0" w:color="auto"/>
                    <w:right w:val="nil"/>
                  </w:tcBorders>
                  <w:vAlign w:val="center"/>
                </w:tcPr>
                <w:p w14:paraId="29AAFAA6" w14:textId="77777777" w:rsidR="00C52B32" w:rsidRPr="00EB4495" w:rsidRDefault="00C52B32" w:rsidP="003D54FC">
                  <w:pPr>
                    <w:jc w:val="right"/>
                    <w:rPr>
                      <w:rFonts w:ascii="Arial" w:hAnsi="Arial" w:cs="Arial"/>
                      <w:b/>
                      <w:bCs/>
                      <w:sz w:val="22"/>
                      <w:szCs w:val="22"/>
                    </w:rPr>
                  </w:pPr>
                  <w:r w:rsidRPr="00EB4495">
                    <w:rPr>
                      <w:rFonts w:ascii="Arial" w:hAnsi="Arial" w:cs="Arial"/>
                      <w:b/>
                      <w:bCs/>
                      <w:sz w:val="22"/>
                      <w:szCs w:val="22"/>
                    </w:rPr>
                    <w:t>Constant currency*</w:t>
                  </w:r>
                </w:p>
              </w:tc>
              <w:tc>
                <w:tcPr>
                  <w:tcW w:w="1298" w:type="dxa"/>
                  <w:tcBorders>
                    <w:top w:val="single" w:sz="4" w:space="0" w:color="auto"/>
                    <w:left w:val="nil"/>
                    <w:bottom w:val="single" w:sz="4" w:space="0" w:color="auto"/>
                    <w:right w:val="nil"/>
                  </w:tcBorders>
                  <w:vAlign w:val="center"/>
                </w:tcPr>
                <w:p w14:paraId="1F5E6D0D" w14:textId="77777777" w:rsidR="00C52B32" w:rsidRPr="00EB4495" w:rsidRDefault="00C52B32" w:rsidP="003D54FC">
                  <w:pPr>
                    <w:jc w:val="right"/>
                    <w:rPr>
                      <w:rFonts w:ascii="Arial" w:hAnsi="Arial" w:cs="Arial"/>
                      <w:b/>
                      <w:bCs/>
                      <w:sz w:val="22"/>
                      <w:szCs w:val="22"/>
                    </w:rPr>
                  </w:pPr>
                  <w:r w:rsidRPr="00EB4495">
                    <w:rPr>
                      <w:rFonts w:ascii="Arial" w:hAnsi="Arial" w:cs="Arial"/>
                      <w:b/>
                      <w:bCs/>
                      <w:sz w:val="22"/>
                      <w:szCs w:val="22"/>
                    </w:rPr>
                    <w:t>Constant currency</w:t>
                  </w:r>
                </w:p>
              </w:tc>
            </w:tr>
            <w:tr w:rsidR="005E7BFC" w:rsidRPr="00EB4495" w14:paraId="24049999" w14:textId="77777777" w:rsidTr="00315B91">
              <w:trPr>
                <w:trHeight w:val="269"/>
              </w:trPr>
              <w:tc>
                <w:tcPr>
                  <w:tcW w:w="3458" w:type="dxa"/>
                  <w:tcBorders>
                    <w:top w:val="single" w:sz="4" w:space="0" w:color="auto"/>
                    <w:left w:val="nil"/>
                    <w:bottom w:val="nil"/>
                    <w:right w:val="nil"/>
                  </w:tcBorders>
                  <w:vAlign w:val="center"/>
                </w:tcPr>
                <w:p w14:paraId="48FD3E4D" w14:textId="609E7440" w:rsidR="005E7BFC" w:rsidRPr="00F21976" w:rsidRDefault="005E7BFC" w:rsidP="005E7BFC">
                  <w:pPr>
                    <w:jc w:val="left"/>
                    <w:rPr>
                      <w:rFonts w:ascii="Arial" w:hAnsi="Arial" w:cs="Arial"/>
                      <w:sz w:val="22"/>
                      <w:szCs w:val="22"/>
                    </w:rPr>
                  </w:pPr>
                  <w:r w:rsidRPr="00F21976">
                    <w:rPr>
                      <w:rFonts w:ascii="Arial" w:hAnsi="Arial" w:cs="Arial"/>
                      <w:sz w:val="22"/>
                      <w:szCs w:val="22"/>
                    </w:rPr>
                    <w:t>Sales</w:t>
                  </w:r>
                </w:p>
              </w:tc>
              <w:tc>
                <w:tcPr>
                  <w:tcW w:w="1327" w:type="dxa"/>
                  <w:tcBorders>
                    <w:top w:val="single" w:sz="4" w:space="0" w:color="auto"/>
                    <w:left w:val="nil"/>
                    <w:bottom w:val="nil"/>
                    <w:right w:val="nil"/>
                  </w:tcBorders>
                  <w:vAlign w:val="center"/>
                </w:tcPr>
                <w:p w14:paraId="364BDC2D" w14:textId="43F0A038" w:rsidR="005E7BFC" w:rsidRPr="009878ED" w:rsidRDefault="005E7BFC" w:rsidP="005E7BFC">
                  <w:pPr>
                    <w:jc w:val="right"/>
                    <w:rPr>
                      <w:rFonts w:ascii="Arial" w:hAnsi="Arial" w:cs="Arial"/>
                      <w:sz w:val="22"/>
                      <w:szCs w:val="22"/>
                    </w:rPr>
                  </w:pPr>
                  <w:r w:rsidRPr="00EB4495">
                    <w:rPr>
                      <w:rFonts w:ascii="Arial" w:hAnsi="Arial" w:cs="Arial"/>
                      <w:sz w:val="22"/>
                      <w:szCs w:val="22"/>
                    </w:rPr>
                    <w:t>£</w:t>
                  </w:r>
                  <w:r w:rsidR="003428B0">
                    <w:rPr>
                      <w:rFonts w:ascii="Arial" w:hAnsi="Arial" w:cs="Arial"/>
                      <w:sz w:val="22"/>
                      <w:szCs w:val="22"/>
                    </w:rPr>
                    <w:t>13,059</w:t>
                  </w:r>
                  <w:r w:rsidRPr="00EB4495">
                    <w:rPr>
                      <w:rFonts w:ascii="Arial" w:hAnsi="Arial" w:cs="Arial"/>
                      <w:sz w:val="22"/>
                      <w:szCs w:val="22"/>
                    </w:rPr>
                    <w:t>m</w:t>
                  </w:r>
                </w:p>
              </w:tc>
              <w:tc>
                <w:tcPr>
                  <w:tcW w:w="1327" w:type="dxa"/>
                  <w:tcBorders>
                    <w:top w:val="single" w:sz="4" w:space="0" w:color="auto"/>
                    <w:left w:val="nil"/>
                    <w:bottom w:val="nil"/>
                    <w:right w:val="nil"/>
                  </w:tcBorders>
                  <w:shd w:val="clear" w:color="auto" w:fill="auto"/>
                  <w:vAlign w:val="center"/>
                </w:tcPr>
                <w:p w14:paraId="174A79C6" w14:textId="5A3C5D8F" w:rsidR="005E7BFC" w:rsidRPr="009878ED" w:rsidRDefault="005E7BFC" w:rsidP="005E7BFC">
                  <w:pPr>
                    <w:jc w:val="right"/>
                    <w:rPr>
                      <w:rFonts w:ascii="Arial" w:hAnsi="Arial" w:cs="Arial"/>
                      <w:sz w:val="22"/>
                      <w:szCs w:val="22"/>
                    </w:rPr>
                  </w:pPr>
                  <w:r w:rsidRPr="00EB4495">
                    <w:rPr>
                      <w:rFonts w:ascii="Arial" w:hAnsi="Arial" w:cs="Arial"/>
                      <w:sz w:val="22"/>
                      <w:szCs w:val="22"/>
                    </w:rPr>
                    <w:t>£13,183m</w:t>
                  </w:r>
                </w:p>
              </w:tc>
              <w:tc>
                <w:tcPr>
                  <w:tcW w:w="1298" w:type="dxa"/>
                  <w:tcBorders>
                    <w:top w:val="single" w:sz="4" w:space="0" w:color="auto"/>
                    <w:left w:val="nil"/>
                    <w:bottom w:val="nil"/>
                    <w:right w:val="nil"/>
                  </w:tcBorders>
                  <w:vAlign w:val="center"/>
                </w:tcPr>
                <w:p w14:paraId="1F2E6917" w14:textId="64828475" w:rsidR="005E7BFC" w:rsidRPr="009878ED" w:rsidRDefault="005E7BFC" w:rsidP="005E7BFC">
                  <w:pPr>
                    <w:jc w:val="right"/>
                    <w:rPr>
                      <w:rFonts w:ascii="Arial" w:hAnsi="Arial" w:cs="Arial"/>
                      <w:sz w:val="22"/>
                      <w:szCs w:val="22"/>
                    </w:rPr>
                  </w:pPr>
                  <w:r w:rsidRPr="009878ED">
                    <w:rPr>
                      <w:rFonts w:ascii="Arial" w:hAnsi="Arial" w:cs="Arial"/>
                      <w:sz w:val="22"/>
                      <w:szCs w:val="22"/>
                    </w:rPr>
                    <w:t>(</w:t>
                  </w:r>
                  <w:r w:rsidR="00A57132">
                    <w:rPr>
                      <w:rFonts w:ascii="Arial" w:hAnsi="Arial" w:cs="Arial"/>
                      <w:sz w:val="22"/>
                      <w:szCs w:val="22"/>
                    </w:rPr>
                    <w:t>0.9</w:t>
                  </w:r>
                  <w:r w:rsidRPr="009878ED">
                    <w:rPr>
                      <w:rFonts w:ascii="Arial" w:hAnsi="Arial" w:cs="Arial"/>
                      <w:sz w:val="22"/>
                      <w:szCs w:val="22"/>
                    </w:rPr>
                    <w:t>)%</w:t>
                  </w:r>
                </w:p>
              </w:tc>
              <w:tc>
                <w:tcPr>
                  <w:tcW w:w="1298" w:type="dxa"/>
                  <w:tcBorders>
                    <w:top w:val="single" w:sz="4" w:space="0" w:color="auto"/>
                    <w:left w:val="nil"/>
                    <w:bottom w:val="nil"/>
                    <w:right w:val="nil"/>
                  </w:tcBorders>
                  <w:vAlign w:val="center"/>
                </w:tcPr>
                <w:p w14:paraId="528247C2" w14:textId="6A60C0C2" w:rsidR="005E7BFC" w:rsidRPr="009878ED" w:rsidRDefault="005E7BFC" w:rsidP="005E7BFC">
                  <w:pPr>
                    <w:jc w:val="right"/>
                    <w:rPr>
                      <w:rFonts w:ascii="Arial" w:hAnsi="Arial" w:cs="Arial"/>
                      <w:sz w:val="22"/>
                      <w:szCs w:val="22"/>
                    </w:rPr>
                  </w:pPr>
                  <w:r w:rsidRPr="009878ED">
                    <w:rPr>
                      <w:rFonts w:ascii="Arial" w:hAnsi="Arial" w:cs="Arial"/>
                      <w:sz w:val="22"/>
                      <w:szCs w:val="22"/>
                    </w:rPr>
                    <w:t>(</w:t>
                  </w:r>
                  <w:r w:rsidR="00B70C93">
                    <w:rPr>
                      <w:rFonts w:ascii="Arial" w:hAnsi="Arial" w:cs="Arial"/>
                      <w:sz w:val="22"/>
                      <w:szCs w:val="22"/>
                    </w:rPr>
                    <w:t>0.7</w:t>
                  </w:r>
                  <w:r w:rsidRPr="009878ED">
                    <w:rPr>
                      <w:rFonts w:ascii="Arial" w:hAnsi="Arial" w:cs="Arial"/>
                      <w:sz w:val="22"/>
                      <w:szCs w:val="22"/>
                    </w:rPr>
                    <w:t>)%</w:t>
                  </w:r>
                </w:p>
              </w:tc>
              <w:tc>
                <w:tcPr>
                  <w:tcW w:w="1298" w:type="dxa"/>
                  <w:tcBorders>
                    <w:top w:val="single" w:sz="4" w:space="0" w:color="auto"/>
                    <w:left w:val="nil"/>
                    <w:bottom w:val="nil"/>
                    <w:right w:val="nil"/>
                  </w:tcBorders>
                  <w:vAlign w:val="center"/>
                </w:tcPr>
                <w:p w14:paraId="6B07C45A" w14:textId="64F03BB3" w:rsidR="005E7BFC" w:rsidRPr="009878ED" w:rsidRDefault="005E7BFC" w:rsidP="005E7BFC">
                  <w:pPr>
                    <w:jc w:val="right"/>
                    <w:rPr>
                      <w:rFonts w:ascii="Arial" w:hAnsi="Arial" w:cs="Arial"/>
                      <w:sz w:val="22"/>
                      <w:szCs w:val="22"/>
                    </w:rPr>
                  </w:pPr>
                  <w:r w:rsidRPr="009878ED">
                    <w:rPr>
                      <w:rFonts w:ascii="Arial" w:hAnsi="Arial" w:cs="Arial"/>
                      <w:sz w:val="22"/>
                      <w:szCs w:val="22"/>
                    </w:rPr>
                    <w:t>(</w:t>
                  </w:r>
                  <w:r w:rsidR="00B70C93">
                    <w:rPr>
                      <w:rFonts w:ascii="Arial" w:hAnsi="Arial" w:cs="Arial"/>
                      <w:sz w:val="22"/>
                      <w:szCs w:val="22"/>
                    </w:rPr>
                    <w:t>2.1</w:t>
                  </w:r>
                  <w:r w:rsidRPr="009878ED">
                    <w:rPr>
                      <w:rFonts w:ascii="Arial" w:hAnsi="Arial" w:cs="Arial"/>
                      <w:sz w:val="22"/>
                      <w:szCs w:val="22"/>
                    </w:rPr>
                    <w:t>)%</w:t>
                  </w:r>
                </w:p>
              </w:tc>
            </w:tr>
            <w:tr w:rsidR="005E7BFC" w:rsidRPr="00EB4495" w14:paraId="59E1770F" w14:textId="77777777" w:rsidTr="00315B91">
              <w:trPr>
                <w:trHeight w:val="269"/>
              </w:trPr>
              <w:tc>
                <w:tcPr>
                  <w:tcW w:w="3458" w:type="dxa"/>
                  <w:tcBorders>
                    <w:top w:val="nil"/>
                    <w:left w:val="nil"/>
                    <w:bottom w:val="nil"/>
                    <w:right w:val="nil"/>
                  </w:tcBorders>
                  <w:vAlign w:val="center"/>
                </w:tcPr>
                <w:p w14:paraId="5F854172" w14:textId="77777777" w:rsidR="005E7BFC" w:rsidRPr="00F21976" w:rsidRDefault="005E7BFC" w:rsidP="005E7BFC">
                  <w:pPr>
                    <w:jc w:val="left"/>
                    <w:rPr>
                      <w:rFonts w:ascii="Arial" w:hAnsi="Arial" w:cs="Arial"/>
                      <w:sz w:val="22"/>
                      <w:szCs w:val="22"/>
                    </w:rPr>
                  </w:pPr>
                  <w:r w:rsidRPr="00F21976">
                    <w:rPr>
                      <w:rFonts w:ascii="Arial" w:hAnsi="Arial" w:cs="Arial"/>
                      <w:sz w:val="22"/>
                      <w:szCs w:val="22"/>
                    </w:rPr>
                    <w:t>Gross profit</w:t>
                  </w:r>
                </w:p>
              </w:tc>
              <w:tc>
                <w:tcPr>
                  <w:tcW w:w="1327" w:type="dxa"/>
                  <w:tcBorders>
                    <w:top w:val="nil"/>
                    <w:left w:val="nil"/>
                    <w:bottom w:val="nil"/>
                    <w:right w:val="nil"/>
                  </w:tcBorders>
                  <w:vAlign w:val="center"/>
                </w:tcPr>
                <w:p w14:paraId="162C9B77" w14:textId="5FD23E11" w:rsidR="005E7BFC" w:rsidRPr="009878ED" w:rsidRDefault="005E7BFC" w:rsidP="005E7BFC">
                  <w:pPr>
                    <w:jc w:val="right"/>
                    <w:rPr>
                      <w:rFonts w:ascii="Arial" w:hAnsi="Arial" w:cs="Arial"/>
                      <w:sz w:val="22"/>
                      <w:szCs w:val="22"/>
                    </w:rPr>
                  </w:pPr>
                  <w:r w:rsidRPr="00EB4495">
                    <w:rPr>
                      <w:rFonts w:ascii="Arial" w:hAnsi="Arial" w:cs="Arial"/>
                      <w:sz w:val="22"/>
                      <w:szCs w:val="22"/>
                    </w:rPr>
                    <w:t>£</w:t>
                  </w:r>
                  <w:r w:rsidR="002221C2">
                    <w:rPr>
                      <w:rFonts w:ascii="Arial" w:hAnsi="Arial" w:cs="Arial"/>
                      <w:sz w:val="22"/>
                      <w:szCs w:val="22"/>
                    </w:rPr>
                    <w:t>4,795</w:t>
                  </w:r>
                  <w:r w:rsidRPr="00EB4495">
                    <w:rPr>
                      <w:rFonts w:ascii="Arial" w:hAnsi="Arial" w:cs="Arial"/>
                      <w:sz w:val="22"/>
                      <w:szCs w:val="22"/>
                    </w:rPr>
                    <w:t>m</w:t>
                  </w:r>
                </w:p>
              </w:tc>
              <w:tc>
                <w:tcPr>
                  <w:tcW w:w="1327" w:type="dxa"/>
                  <w:tcBorders>
                    <w:top w:val="nil"/>
                    <w:left w:val="nil"/>
                    <w:bottom w:val="nil"/>
                    <w:right w:val="nil"/>
                  </w:tcBorders>
                  <w:shd w:val="clear" w:color="auto" w:fill="auto"/>
                  <w:vAlign w:val="center"/>
                </w:tcPr>
                <w:p w14:paraId="4854F108" w14:textId="1344AF12" w:rsidR="005E7BFC" w:rsidRPr="009878ED" w:rsidRDefault="005E7BFC" w:rsidP="005E7BFC">
                  <w:pPr>
                    <w:jc w:val="right"/>
                    <w:rPr>
                      <w:rFonts w:ascii="Arial" w:hAnsi="Arial" w:cs="Arial"/>
                      <w:sz w:val="22"/>
                      <w:szCs w:val="22"/>
                    </w:rPr>
                  </w:pPr>
                  <w:r w:rsidRPr="00EB4495">
                    <w:rPr>
                      <w:rFonts w:ascii="Arial" w:hAnsi="Arial" w:cs="Arial"/>
                      <w:sz w:val="22"/>
                      <w:szCs w:val="22"/>
                    </w:rPr>
                    <w:t>£4,935m</w:t>
                  </w:r>
                </w:p>
              </w:tc>
              <w:tc>
                <w:tcPr>
                  <w:tcW w:w="1298" w:type="dxa"/>
                  <w:tcBorders>
                    <w:top w:val="nil"/>
                    <w:left w:val="nil"/>
                    <w:bottom w:val="nil"/>
                    <w:right w:val="nil"/>
                  </w:tcBorders>
                  <w:vAlign w:val="center"/>
                </w:tcPr>
                <w:p w14:paraId="7DAFA0B6" w14:textId="08D3EF47" w:rsidR="005E7BFC" w:rsidRPr="009878ED" w:rsidRDefault="005E7BFC" w:rsidP="005E7BFC">
                  <w:pPr>
                    <w:jc w:val="right"/>
                    <w:rPr>
                      <w:rFonts w:ascii="Arial" w:hAnsi="Arial" w:cs="Arial"/>
                      <w:sz w:val="22"/>
                      <w:szCs w:val="22"/>
                    </w:rPr>
                  </w:pPr>
                  <w:r w:rsidRPr="009878ED">
                    <w:rPr>
                      <w:rFonts w:ascii="Arial" w:hAnsi="Arial" w:cs="Arial"/>
                      <w:sz w:val="22"/>
                      <w:szCs w:val="22"/>
                    </w:rPr>
                    <w:t>(</w:t>
                  </w:r>
                  <w:r w:rsidR="003B4694">
                    <w:rPr>
                      <w:rFonts w:ascii="Arial" w:hAnsi="Arial" w:cs="Arial"/>
                      <w:sz w:val="22"/>
                      <w:szCs w:val="22"/>
                    </w:rPr>
                    <w:t>2.8</w:t>
                  </w:r>
                  <w:r w:rsidRPr="009878ED">
                    <w:rPr>
                      <w:rFonts w:ascii="Arial" w:hAnsi="Arial" w:cs="Arial"/>
                      <w:sz w:val="22"/>
                      <w:szCs w:val="22"/>
                    </w:rPr>
                    <w:t>)%</w:t>
                  </w:r>
                </w:p>
              </w:tc>
              <w:tc>
                <w:tcPr>
                  <w:tcW w:w="1298" w:type="dxa"/>
                  <w:tcBorders>
                    <w:top w:val="nil"/>
                    <w:left w:val="nil"/>
                    <w:bottom w:val="nil"/>
                    <w:right w:val="nil"/>
                  </w:tcBorders>
                  <w:vAlign w:val="center"/>
                </w:tcPr>
                <w:p w14:paraId="55B55A08" w14:textId="44151C90" w:rsidR="005E7BFC" w:rsidRPr="009878ED" w:rsidRDefault="005E7BFC" w:rsidP="005E7BFC">
                  <w:pPr>
                    <w:jc w:val="right"/>
                    <w:rPr>
                      <w:rFonts w:ascii="Arial" w:hAnsi="Arial" w:cs="Arial"/>
                      <w:sz w:val="22"/>
                      <w:szCs w:val="22"/>
                    </w:rPr>
                  </w:pPr>
                  <w:r w:rsidRPr="009878ED">
                    <w:rPr>
                      <w:rFonts w:ascii="Arial" w:hAnsi="Arial" w:cs="Arial"/>
                      <w:sz w:val="22"/>
                      <w:szCs w:val="22"/>
                    </w:rPr>
                    <w:t>(</w:t>
                  </w:r>
                  <w:r w:rsidR="002E5613">
                    <w:rPr>
                      <w:rFonts w:ascii="Arial" w:hAnsi="Arial" w:cs="Arial"/>
                      <w:sz w:val="22"/>
                      <w:szCs w:val="22"/>
                    </w:rPr>
                    <w:t>2.6</w:t>
                  </w:r>
                  <w:r w:rsidRPr="009878ED">
                    <w:rPr>
                      <w:rFonts w:ascii="Arial" w:hAnsi="Arial" w:cs="Arial"/>
                      <w:sz w:val="22"/>
                      <w:szCs w:val="22"/>
                    </w:rPr>
                    <w:t>)%</w:t>
                  </w:r>
                </w:p>
              </w:tc>
              <w:tc>
                <w:tcPr>
                  <w:tcW w:w="1298" w:type="dxa"/>
                  <w:tcBorders>
                    <w:top w:val="nil"/>
                    <w:left w:val="nil"/>
                    <w:bottom w:val="nil"/>
                    <w:right w:val="nil"/>
                  </w:tcBorders>
                  <w:vAlign w:val="center"/>
                </w:tcPr>
                <w:p w14:paraId="294BBEBF" w14:textId="77777777" w:rsidR="005E7BFC" w:rsidRPr="009878ED" w:rsidRDefault="005E7BFC" w:rsidP="005E7BFC">
                  <w:pPr>
                    <w:jc w:val="right"/>
                    <w:rPr>
                      <w:rFonts w:ascii="Arial" w:hAnsi="Arial" w:cs="Arial"/>
                      <w:sz w:val="22"/>
                      <w:szCs w:val="22"/>
                    </w:rPr>
                  </w:pPr>
                </w:p>
              </w:tc>
            </w:tr>
            <w:tr w:rsidR="005E7BFC" w:rsidRPr="00EB4495" w14:paraId="32989CA4" w14:textId="77777777" w:rsidTr="00315B91">
              <w:trPr>
                <w:trHeight w:val="269"/>
              </w:trPr>
              <w:tc>
                <w:tcPr>
                  <w:tcW w:w="3458" w:type="dxa"/>
                  <w:tcBorders>
                    <w:top w:val="nil"/>
                    <w:left w:val="nil"/>
                    <w:bottom w:val="nil"/>
                    <w:right w:val="nil"/>
                  </w:tcBorders>
                  <w:vAlign w:val="center"/>
                </w:tcPr>
                <w:p w14:paraId="39A153D7" w14:textId="77777777" w:rsidR="005E7BFC" w:rsidRPr="00F21976" w:rsidRDefault="005E7BFC" w:rsidP="005E7BFC">
                  <w:pPr>
                    <w:jc w:val="left"/>
                    <w:rPr>
                      <w:rFonts w:ascii="Arial" w:hAnsi="Arial" w:cs="Arial"/>
                      <w:sz w:val="22"/>
                      <w:szCs w:val="22"/>
                    </w:rPr>
                  </w:pPr>
                  <w:r w:rsidRPr="00F21976">
                    <w:rPr>
                      <w:rFonts w:ascii="Arial" w:hAnsi="Arial" w:cs="Arial"/>
                      <w:sz w:val="22"/>
                      <w:szCs w:val="22"/>
                    </w:rPr>
                    <w:t>Gross margin %*</w:t>
                  </w:r>
                </w:p>
              </w:tc>
              <w:tc>
                <w:tcPr>
                  <w:tcW w:w="1327" w:type="dxa"/>
                  <w:tcBorders>
                    <w:top w:val="nil"/>
                    <w:left w:val="nil"/>
                    <w:bottom w:val="nil"/>
                    <w:right w:val="nil"/>
                  </w:tcBorders>
                  <w:vAlign w:val="center"/>
                </w:tcPr>
                <w:p w14:paraId="7D1A2D54" w14:textId="607072B9" w:rsidR="005E7BFC" w:rsidRPr="009878ED" w:rsidRDefault="0080204E" w:rsidP="005E7BFC">
                  <w:pPr>
                    <w:jc w:val="right"/>
                    <w:rPr>
                      <w:rFonts w:ascii="Arial" w:hAnsi="Arial" w:cs="Arial"/>
                      <w:sz w:val="22"/>
                      <w:szCs w:val="22"/>
                    </w:rPr>
                  </w:pPr>
                  <w:r>
                    <w:rPr>
                      <w:rFonts w:ascii="Arial" w:hAnsi="Arial" w:cs="Arial"/>
                      <w:sz w:val="22"/>
                      <w:szCs w:val="22"/>
                    </w:rPr>
                    <w:t>36.7</w:t>
                  </w:r>
                  <w:r w:rsidR="005E7BFC" w:rsidRPr="00EB4495">
                    <w:rPr>
                      <w:rFonts w:ascii="Arial" w:hAnsi="Arial" w:cs="Arial"/>
                      <w:sz w:val="22"/>
                      <w:szCs w:val="22"/>
                    </w:rPr>
                    <w:t>%</w:t>
                  </w:r>
                </w:p>
              </w:tc>
              <w:tc>
                <w:tcPr>
                  <w:tcW w:w="1327" w:type="dxa"/>
                  <w:tcBorders>
                    <w:top w:val="nil"/>
                    <w:left w:val="nil"/>
                    <w:bottom w:val="nil"/>
                    <w:right w:val="nil"/>
                  </w:tcBorders>
                  <w:shd w:val="clear" w:color="auto" w:fill="auto"/>
                  <w:vAlign w:val="center"/>
                </w:tcPr>
                <w:p w14:paraId="7049E1A1" w14:textId="430D8E8A" w:rsidR="005E7BFC" w:rsidRPr="009878ED" w:rsidRDefault="005E7BFC" w:rsidP="005E7BFC">
                  <w:pPr>
                    <w:jc w:val="right"/>
                    <w:rPr>
                      <w:rFonts w:ascii="Arial" w:hAnsi="Arial" w:cs="Arial"/>
                      <w:sz w:val="22"/>
                      <w:szCs w:val="22"/>
                    </w:rPr>
                  </w:pPr>
                  <w:r w:rsidRPr="00EB4495">
                    <w:rPr>
                      <w:rFonts w:ascii="Arial" w:hAnsi="Arial" w:cs="Arial"/>
                      <w:sz w:val="22"/>
                      <w:szCs w:val="22"/>
                    </w:rPr>
                    <w:t>37.4%</w:t>
                  </w:r>
                </w:p>
              </w:tc>
              <w:tc>
                <w:tcPr>
                  <w:tcW w:w="1298" w:type="dxa"/>
                  <w:tcBorders>
                    <w:top w:val="nil"/>
                    <w:left w:val="nil"/>
                    <w:bottom w:val="nil"/>
                    <w:right w:val="nil"/>
                  </w:tcBorders>
                  <w:vAlign w:val="center"/>
                </w:tcPr>
                <w:p w14:paraId="5D61CFE7" w14:textId="21BBA066" w:rsidR="005E7BFC" w:rsidRPr="009878ED" w:rsidRDefault="005E7BFC" w:rsidP="005E7BFC">
                  <w:pPr>
                    <w:jc w:val="right"/>
                    <w:rPr>
                      <w:rFonts w:ascii="Arial" w:hAnsi="Arial" w:cs="Arial"/>
                      <w:sz w:val="22"/>
                      <w:szCs w:val="22"/>
                    </w:rPr>
                  </w:pPr>
                  <w:r w:rsidRPr="009878ED">
                    <w:rPr>
                      <w:rFonts w:ascii="Arial" w:hAnsi="Arial" w:cs="Arial"/>
                      <w:sz w:val="22"/>
                      <w:szCs w:val="22"/>
                    </w:rPr>
                    <w:t>(</w:t>
                  </w:r>
                  <w:r w:rsidR="00613360">
                    <w:rPr>
                      <w:rFonts w:ascii="Arial" w:hAnsi="Arial" w:cs="Arial"/>
                      <w:sz w:val="22"/>
                      <w:szCs w:val="22"/>
                    </w:rPr>
                    <w:t>70</w:t>
                  </w:r>
                  <w:r w:rsidRPr="009878ED">
                    <w:rPr>
                      <w:rFonts w:ascii="Arial" w:hAnsi="Arial" w:cs="Arial"/>
                      <w:sz w:val="22"/>
                      <w:szCs w:val="22"/>
                    </w:rPr>
                    <w:t>)bps</w:t>
                  </w:r>
                </w:p>
              </w:tc>
              <w:tc>
                <w:tcPr>
                  <w:tcW w:w="1298" w:type="dxa"/>
                  <w:tcBorders>
                    <w:top w:val="nil"/>
                    <w:left w:val="nil"/>
                    <w:bottom w:val="nil"/>
                    <w:right w:val="nil"/>
                  </w:tcBorders>
                  <w:vAlign w:val="center"/>
                </w:tcPr>
                <w:p w14:paraId="0C71B8D9" w14:textId="565253EE" w:rsidR="005E7BFC" w:rsidRPr="009878ED" w:rsidRDefault="005E7BFC" w:rsidP="005E7BFC">
                  <w:pPr>
                    <w:jc w:val="right"/>
                    <w:rPr>
                      <w:rFonts w:ascii="Arial" w:hAnsi="Arial" w:cs="Arial"/>
                      <w:sz w:val="22"/>
                      <w:szCs w:val="22"/>
                    </w:rPr>
                  </w:pPr>
                  <w:r w:rsidRPr="009878ED">
                    <w:rPr>
                      <w:rFonts w:ascii="Arial" w:hAnsi="Arial" w:cs="Arial"/>
                      <w:sz w:val="22"/>
                      <w:szCs w:val="22"/>
                    </w:rPr>
                    <w:t>(</w:t>
                  </w:r>
                  <w:r w:rsidR="00613360">
                    <w:rPr>
                      <w:rFonts w:ascii="Arial" w:hAnsi="Arial" w:cs="Arial"/>
                      <w:sz w:val="22"/>
                      <w:szCs w:val="22"/>
                    </w:rPr>
                    <w:t>70</w:t>
                  </w:r>
                  <w:r w:rsidRPr="009878ED">
                    <w:rPr>
                      <w:rFonts w:ascii="Arial" w:hAnsi="Arial" w:cs="Arial"/>
                      <w:sz w:val="22"/>
                      <w:szCs w:val="22"/>
                    </w:rPr>
                    <w:t>)bps</w:t>
                  </w:r>
                </w:p>
              </w:tc>
              <w:tc>
                <w:tcPr>
                  <w:tcW w:w="1298" w:type="dxa"/>
                  <w:tcBorders>
                    <w:top w:val="nil"/>
                    <w:left w:val="nil"/>
                    <w:bottom w:val="nil"/>
                    <w:right w:val="nil"/>
                  </w:tcBorders>
                  <w:vAlign w:val="center"/>
                </w:tcPr>
                <w:p w14:paraId="01CD0DD7" w14:textId="77777777" w:rsidR="005E7BFC" w:rsidRPr="009878ED" w:rsidRDefault="005E7BFC" w:rsidP="005E7BFC">
                  <w:pPr>
                    <w:jc w:val="right"/>
                    <w:rPr>
                      <w:rFonts w:ascii="Arial" w:hAnsi="Arial" w:cs="Arial"/>
                      <w:sz w:val="22"/>
                      <w:szCs w:val="22"/>
                    </w:rPr>
                  </w:pPr>
                </w:p>
              </w:tc>
            </w:tr>
            <w:tr w:rsidR="005E7BFC" w:rsidRPr="00EB4495" w14:paraId="00E44B36" w14:textId="77777777" w:rsidTr="00315B91">
              <w:trPr>
                <w:trHeight w:val="269"/>
              </w:trPr>
              <w:tc>
                <w:tcPr>
                  <w:tcW w:w="3458" w:type="dxa"/>
                  <w:tcBorders>
                    <w:top w:val="nil"/>
                    <w:left w:val="nil"/>
                    <w:bottom w:val="nil"/>
                    <w:right w:val="nil"/>
                  </w:tcBorders>
                  <w:vAlign w:val="center"/>
                </w:tcPr>
                <w:p w14:paraId="23BE0784" w14:textId="77777777" w:rsidR="005E7BFC" w:rsidRPr="00F21976" w:rsidRDefault="005E7BFC" w:rsidP="005E7BFC">
                  <w:pPr>
                    <w:jc w:val="left"/>
                    <w:rPr>
                      <w:rFonts w:ascii="Arial" w:hAnsi="Arial" w:cs="Arial"/>
                      <w:sz w:val="22"/>
                      <w:szCs w:val="22"/>
                    </w:rPr>
                  </w:pPr>
                  <w:r w:rsidRPr="00F21976">
                    <w:rPr>
                      <w:rFonts w:ascii="Arial" w:hAnsi="Arial" w:cs="Arial"/>
                      <w:sz w:val="22"/>
                      <w:szCs w:val="22"/>
                    </w:rPr>
                    <w:t>Operating profit</w:t>
                  </w:r>
                </w:p>
              </w:tc>
              <w:tc>
                <w:tcPr>
                  <w:tcW w:w="1327" w:type="dxa"/>
                  <w:tcBorders>
                    <w:top w:val="nil"/>
                    <w:left w:val="nil"/>
                    <w:bottom w:val="nil"/>
                    <w:right w:val="nil"/>
                  </w:tcBorders>
                  <w:vAlign w:val="center"/>
                </w:tcPr>
                <w:p w14:paraId="4C330574" w14:textId="3A046130" w:rsidR="005E7BFC" w:rsidRPr="009878ED" w:rsidRDefault="005E7BFC" w:rsidP="005E7BFC">
                  <w:pPr>
                    <w:jc w:val="right"/>
                    <w:rPr>
                      <w:rFonts w:ascii="Arial" w:hAnsi="Arial" w:cs="Arial"/>
                      <w:sz w:val="22"/>
                      <w:szCs w:val="22"/>
                    </w:rPr>
                  </w:pPr>
                  <w:r w:rsidRPr="00EB4495">
                    <w:rPr>
                      <w:rFonts w:ascii="Arial" w:hAnsi="Arial" w:cs="Arial"/>
                      <w:sz w:val="22"/>
                      <w:szCs w:val="22"/>
                    </w:rPr>
                    <w:t>£</w:t>
                  </w:r>
                  <w:r w:rsidR="004A479B">
                    <w:rPr>
                      <w:rFonts w:ascii="Arial" w:hAnsi="Arial" w:cs="Arial"/>
                      <w:sz w:val="22"/>
                      <w:szCs w:val="22"/>
                    </w:rPr>
                    <w:t>723</w:t>
                  </w:r>
                  <w:r w:rsidR="004A479B" w:rsidRPr="00EB4495">
                    <w:rPr>
                      <w:rFonts w:ascii="Arial" w:hAnsi="Arial" w:cs="Arial"/>
                      <w:sz w:val="22"/>
                      <w:szCs w:val="22"/>
                    </w:rPr>
                    <w:t>m</w:t>
                  </w:r>
                </w:p>
              </w:tc>
              <w:tc>
                <w:tcPr>
                  <w:tcW w:w="1327" w:type="dxa"/>
                  <w:tcBorders>
                    <w:top w:val="nil"/>
                    <w:left w:val="nil"/>
                    <w:bottom w:val="nil"/>
                    <w:right w:val="nil"/>
                  </w:tcBorders>
                  <w:shd w:val="clear" w:color="auto" w:fill="auto"/>
                  <w:vAlign w:val="center"/>
                </w:tcPr>
                <w:p w14:paraId="5C651D50" w14:textId="52BC5BDC" w:rsidR="005E7BFC" w:rsidRPr="009878ED" w:rsidRDefault="005E7BFC" w:rsidP="005E7BFC">
                  <w:pPr>
                    <w:jc w:val="right"/>
                    <w:rPr>
                      <w:rFonts w:ascii="Arial" w:hAnsi="Arial" w:cs="Arial"/>
                      <w:sz w:val="22"/>
                      <w:szCs w:val="22"/>
                    </w:rPr>
                  </w:pPr>
                  <w:r w:rsidRPr="00EB4495">
                    <w:rPr>
                      <w:rFonts w:ascii="Arial" w:hAnsi="Arial" w:cs="Arial"/>
                      <w:sz w:val="22"/>
                      <w:szCs w:val="22"/>
                    </w:rPr>
                    <w:t>£1,144m</w:t>
                  </w:r>
                </w:p>
              </w:tc>
              <w:tc>
                <w:tcPr>
                  <w:tcW w:w="1298" w:type="dxa"/>
                  <w:tcBorders>
                    <w:top w:val="nil"/>
                    <w:left w:val="nil"/>
                    <w:bottom w:val="nil"/>
                    <w:right w:val="nil"/>
                  </w:tcBorders>
                  <w:vAlign w:val="center"/>
                </w:tcPr>
                <w:p w14:paraId="2E226EAA" w14:textId="11766FD5" w:rsidR="005E7BFC" w:rsidRPr="009878ED" w:rsidRDefault="005E7BFC" w:rsidP="005E7BFC">
                  <w:pPr>
                    <w:jc w:val="right"/>
                    <w:rPr>
                      <w:rFonts w:ascii="Arial" w:hAnsi="Arial" w:cs="Arial"/>
                      <w:sz w:val="22"/>
                      <w:szCs w:val="22"/>
                    </w:rPr>
                  </w:pPr>
                  <w:r w:rsidRPr="009878ED">
                    <w:rPr>
                      <w:rFonts w:ascii="Arial" w:hAnsi="Arial" w:cs="Arial"/>
                      <w:sz w:val="22"/>
                      <w:szCs w:val="22"/>
                    </w:rPr>
                    <w:t>(</w:t>
                  </w:r>
                  <w:r w:rsidR="00041941">
                    <w:rPr>
                      <w:rFonts w:ascii="Arial" w:hAnsi="Arial" w:cs="Arial"/>
                      <w:sz w:val="22"/>
                      <w:szCs w:val="22"/>
                    </w:rPr>
                    <w:t>3</w:t>
                  </w:r>
                  <w:r w:rsidR="00F441FC">
                    <w:rPr>
                      <w:rFonts w:ascii="Arial" w:hAnsi="Arial" w:cs="Arial"/>
                      <w:sz w:val="22"/>
                      <w:szCs w:val="22"/>
                    </w:rPr>
                    <w:t>6</w:t>
                  </w:r>
                  <w:r w:rsidR="00041941">
                    <w:rPr>
                      <w:rFonts w:ascii="Arial" w:hAnsi="Arial" w:cs="Arial"/>
                      <w:sz w:val="22"/>
                      <w:szCs w:val="22"/>
                    </w:rPr>
                    <w:t>.</w:t>
                  </w:r>
                  <w:r w:rsidR="00F441FC">
                    <w:rPr>
                      <w:rFonts w:ascii="Arial" w:hAnsi="Arial" w:cs="Arial"/>
                      <w:sz w:val="22"/>
                      <w:szCs w:val="22"/>
                    </w:rPr>
                    <w:t>7</w:t>
                  </w:r>
                  <w:r w:rsidRPr="009878ED">
                    <w:rPr>
                      <w:rFonts w:ascii="Arial" w:hAnsi="Arial" w:cs="Arial"/>
                      <w:sz w:val="22"/>
                      <w:szCs w:val="22"/>
                    </w:rPr>
                    <w:t>)%</w:t>
                  </w:r>
                </w:p>
              </w:tc>
              <w:tc>
                <w:tcPr>
                  <w:tcW w:w="1298" w:type="dxa"/>
                  <w:tcBorders>
                    <w:top w:val="nil"/>
                    <w:left w:val="nil"/>
                    <w:bottom w:val="nil"/>
                    <w:right w:val="nil"/>
                  </w:tcBorders>
                  <w:vAlign w:val="center"/>
                </w:tcPr>
                <w:p w14:paraId="79FC391C" w14:textId="77777777" w:rsidR="005E7BFC" w:rsidRPr="009878ED" w:rsidRDefault="005E7BFC" w:rsidP="005E7BFC">
                  <w:pPr>
                    <w:jc w:val="right"/>
                    <w:rPr>
                      <w:rFonts w:ascii="Arial" w:hAnsi="Arial" w:cs="Arial"/>
                      <w:sz w:val="22"/>
                      <w:szCs w:val="22"/>
                    </w:rPr>
                  </w:pPr>
                </w:p>
              </w:tc>
              <w:tc>
                <w:tcPr>
                  <w:tcW w:w="1298" w:type="dxa"/>
                  <w:tcBorders>
                    <w:top w:val="nil"/>
                    <w:left w:val="nil"/>
                    <w:bottom w:val="nil"/>
                    <w:right w:val="nil"/>
                  </w:tcBorders>
                  <w:vAlign w:val="center"/>
                </w:tcPr>
                <w:p w14:paraId="5C27E0B4" w14:textId="77777777" w:rsidR="005E7BFC" w:rsidRPr="009878ED" w:rsidRDefault="005E7BFC" w:rsidP="005E7BFC">
                  <w:pPr>
                    <w:jc w:val="right"/>
                    <w:rPr>
                      <w:rFonts w:ascii="Arial" w:hAnsi="Arial" w:cs="Arial"/>
                      <w:sz w:val="22"/>
                      <w:szCs w:val="22"/>
                    </w:rPr>
                  </w:pPr>
                </w:p>
              </w:tc>
            </w:tr>
            <w:tr w:rsidR="005E7BFC" w:rsidRPr="00EB4495" w14:paraId="32B08C2D" w14:textId="77777777" w:rsidTr="00315B91">
              <w:trPr>
                <w:trHeight w:val="269"/>
              </w:trPr>
              <w:tc>
                <w:tcPr>
                  <w:tcW w:w="3458" w:type="dxa"/>
                  <w:tcBorders>
                    <w:top w:val="nil"/>
                    <w:left w:val="nil"/>
                    <w:bottom w:val="nil"/>
                    <w:right w:val="nil"/>
                  </w:tcBorders>
                  <w:vAlign w:val="center"/>
                </w:tcPr>
                <w:p w14:paraId="512606B8" w14:textId="77777777" w:rsidR="005E7BFC" w:rsidRPr="00F21976" w:rsidRDefault="005E7BFC" w:rsidP="005E7BFC">
                  <w:pPr>
                    <w:jc w:val="left"/>
                    <w:rPr>
                      <w:rFonts w:ascii="Arial" w:hAnsi="Arial" w:cs="Arial"/>
                      <w:sz w:val="22"/>
                      <w:szCs w:val="22"/>
                    </w:rPr>
                  </w:pPr>
                  <w:r w:rsidRPr="00F21976">
                    <w:rPr>
                      <w:rFonts w:ascii="Arial" w:hAnsi="Arial" w:cs="Arial"/>
                      <w:sz w:val="22"/>
                      <w:szCs w:val="22"/>
                    </w:rPr>
                    <w:t>Statutory pre-tax profit</w:t>
                  </w:r>
                </w:p>
              </w:tc>
              <w:tc>
                <w:tcPr>
                  <w:tcW w:w="1327" w:type="dxa"/>
                  <w:tcBorders>
                    <w:top w:val="nil"/>
                    <w:left w:val="nil"/>
                    <w:bottom w:val="nil"/>
                    <w:right w:val="nil"/>
                  </w:tcBorders>
                  <w:vAlign w:val="center"/>
                </w:tcPr>
                <w:p w14:paraId="3ADCB236" w14:textId="1BB7F728" w:rsidR="005E7BFC" w:rsidRPr="009878ED" w:rsidRDefault="005E7BFC" w:rsidP="005E7BFC">
                  <w:pPr>
                    <w:jc w:val="right"/>
                    <w:rPr>
                      <w:rFonts w:ascii="Arial" w:hAnsi="Arial" w:cs="Arial"/>
                      <w:sz w:val="22"/>
                      <w:szCs w:val="22"/>
                    </w:rPr>
                  </w:pPr>
                  <w:r w:rsidRPr="0056048C">
                    <w:rPr>
                      <w:rFonts w:ascii="Arial" w:hAnsi="Arial" w:cs="Arial"/>
                      <w:sz w:val="22"/>
                      <w:szCs w:val="22"/>
                    </w:rPr>
                    <w:t>£</w:t>
                  </w:r>
                  <w:r w:rsidR="00BC6A10">
                    <w:rPr>
                      <w:rFonts w:ascii="Arial" w:hAnsi="Arial" w:cs="Arial"/>
                      <w:sz w:val="22"/>
                      <w:szCs w:val="22"/>
                    </w:rPr>
                    <w:t>611</w:t>
                  </w:r>
                  <w:r w:rsidR="00BC6A10" w:rsidRPr="0056048C">
                    <w:rPr>
                      <w:rFonts w:ascii="Arial" w:hAnsi="Arial" w:cs="Arial"/>
                      <w:sz w:val="22"/>
                      <w:szCs w:val="22"/>
                    </w:rPr>
                    <w:t>m</w:t>
                  </w:r>
                </w:p>
              </w:tc>
              <w:tc>
                <w:tcPr>
                  <w:tcW w:w="1327" w:type="dxa"/>
                  <w:tcBorders>
                    <w:top w:val="nil"/>
                    <w:left w:val="nil"/>
                    <w:bottom w:val="nil"/>
                    <w:right w:val="nil"/>
                  </w:tcBorders>
                  <w:shd w:val="clear" w:color="auto" w:fill="auto"/>
                  <w:vAlign w:val="center"/>
                </w:tcPr>
                <w:p w14:paraId="3FADA01A" w14:textId="72B90AF9" w:rsidR="005E7BFC" w:rsidRPr="009878ED" w:rsidRDefault="005E7BFC" w:rsidP="005E7BFC">
                  <w:pPr>
                    <w:jc w:val="right"/>
                    <w:rPr>
                      <w:rFonts w:ascii="Arial" w:hAnsi="Arial" w:cs="Arial"/>
                      <w:sz w:val="22"/>
                      <w:szCs w:val="22"/>
                    </w:rPr>
                  </w:pPr>
                  <w:r w:rsidRPr="0056048C">
                    <w:rPr>
                      <w:rFonts w:ascii="Arial" w:hAnsi="Arial" w:cs="Arial"/>
                      <w:sz w:val="22"/>
                      <w:szCs w:val="22"/>
                    </w:rPr>
                    <w:t>£1,007m</w:t>
                  </w:r>
                </w:p>
              </w:tc>
              <w:tc>
                <w:tcPr>
                  <w:tcW w:w="1298" w:type="dxa"/>
                  <w:tcBorders>
                    <w:top w:val="nil"/>
                    <w:left w:val="nil"/>
                    <w:bottom w:val="nil"/>
                    <w:right w:val="nil"/>
                  </w:tcBorders>
                  <w:vAlign w:val="center"/>
                </w:tcPr>
                <w:p w14:paraId="02E3E129" w14:textId="7B917911" w:rsidR="005E7BFC" w:rsidRPr="009878ED" w:rsidRDefault="005E7BFC" w:rsidP="005E7BFC">
                  <w:pPr>
                    <w:jc w:val="right"/>
                    <w:rPr>
                      <w:rFonts w:ascii="Arial" w:hAnsi="Arial" w:cs="Arial"/>
                      <w:sz w:val="22"/>
                      <w:szCs w:val="22"/>
                    </w:rPr>
                  </w:pPr>
                  <w:r w:rsidRPr="009878ED">
                    <w:rPr>
                      <w:rFonts w:ascii="Arial" w:hAnsi="Arial" w:cs="Arial"/>
                      <w:sz w:val="22"/>
                      <w:szCs w:val="22"/>
                    </w:rPr>
                    <w:t>(</w:t>
                  </w:r>
                  <w:r w:rsidR="00C67322">
                    <w:rPr>
                      <w:rFonts w:ascii="Arial" w:hAnsi="Arial" w:cs="Arial"/>
                      <w:sz w:val="22"/>
                      <w:szCs w:val="22"/>
                    </w:rPr>
                    <w:t>39.3</w:t>
                  </w:r>
                  <w:r w:rsidRPr="009878ED">
                    <w:rPr>
                      <w:rFonts w:ascii="Arial" w:hAnsi="Arial" w:cs="Arial"/>
                      <w:sz w:val="22"/>
                      <w:szCs w:val="22"/>
                    </w:rPr>
                    <w:t>)%</w:t>
                  </w:r>
                </w:p>
              </w:tc>
              <w:tc>
                <w:tcPr>
                  <w:tcW w:w="1298" w:type="dxa"/>
                  <w:tcBorders>
                    <w:top w:val="nil"/>
                    <w:left w:val="nil"/>
                    <w:bottom w:val="nil"/>
                    <w:right w:val="nil"/>
                  </w:tcBorders>
                  <w:vAlign w:val="center"/>
                </w:tcPr>
                <w:p w14:paraId="7B41A1F4" w14:textId="77777777" w:rsidR="005E7BFC" w:rsidRPr="009878ED" w:rsidRDefault="005E7BFC" w:rsidP="005E7BFC">
                  <w:pPr>
                    <w:jc w:val="right"/>
                    <w:rPr>
                      <w:rFonts w:ascii="Arial" w:hAnsi="Arial" w:cs="Arial"/>
                      <w:sz w:val="22"/>
                      <w:szCs w:val="22"/>
                    </w:rPr>
                  </w:pPr>
                </w:p>
              </w:tc>
              <w:tc>
                <w:tcPr>
                  <w:tcW w:w="1298" w:type="dxa"/>
                  <w:tcBorders>
                    <w:top w:val="nil"/>
                    <w:left w:val="nil"/>
                    <w:bottom w:val="nil"/>
                    <w:right w:val="nil"/>
                  </w:tcBorders>
                  <w:vAlign w:val="center"/>
                </w:tcPr>
                <w:p w14:paraId="1FEF1976" w14:textId="77777777" w:rsidR="005E7BFC" w:rsidRPr="009878ED" w:rsidRDefault="005E7BFC" w:rsidP="005E7BFC">
                  <w:pPr>
                    <w:jc w:val="right"/>
                    <w:rPr>
                      <w:rFonts w:ascii="Arial" w:hAnsi="Arial" w:cs="Arial"/>
                      <w:sz w:val="22"/>
                      <w:szCs w:val="22"/>
                    </w:rPr>
                  </w:pPr>
                </w:p>
              </w:tc>
            </w:tr>
            <w:tr w:rsidR="005E7BFC" w:rsidRPr="00EB4495" w14:paraId="44DC88BA" w14:textId="77777777" w:rsidTr="00315B91">
              <w:trPr>
                <w:trHeight w:val="269"/>
              </w:trPr>
              <w:tc>
                <w:tcPr>
                  <w:tcW w:w="3458" w:type="dxa"/>
                  <w:tcBorders>
                    <w:top w:val="nil"/>
                    <w:left w:val="nil"/>
                    <w:bottom w:val="nil"/>
                    <w:right w:val="nil"/>
                  </w:tcBorders>
                  <w:shd w:val="clear" w:color="auto" w:fill="auto"/>
                  <w:vAlign w:val="center"/>
                </w:tcPr>
                <w:p w14:paraId="39FE58B0" w14:textId="77777777" w:rsidR="005E7BFC" w:rsidRPr="00F21976" w:rsidRDefault="005E7BFC" w:rsidP="005E7BFC">
                  <w:pPr>
                    <w:jc w:val="left"/>
                    <w:rPr>
                      <w:rFonts w:ascii="Arial" w:hAnsi="Arial" w:cs="Arial"/>
                      <w:sz w:val="22"/>
                      <w:szCs w:val="22"/>
                    </w:rPr>
                  </w:pPr>
                  <w:r w:rsidRPr="00F21976">
                    <w:rPr>
                      <w:rFonts w:ascii="Arial" w:hAnsi="Arial" w:cs="Arial"/>
                      <w:sz w:val="22"/>
                      <w:szCs w:val="22"/>
                    </w:rPr>
                    <w:t>Statutory post-tax profit</w:t>
                  </w:r>
                </w:p>
              </w:tc>
              <w:tc>
                <w:tcPr>
                  <w:tcW w:w="1327" w:type="dxa"/>
                  <w:tcBorders>
                    <w:top w:val="nil"/>
                    <w:left w:val="nil"/>
                    <w:bottom w:val="nil"/>
                    <w:right w:val="nil"/>
                  </w:tcBorders>
                  <w:vAlign w:val="center"/>
                </w:tcPr>
                <w:p w14:paraId="6D9D3692" w14:textId="714435EA" w:rsidR="005E7BFC" w:rsidRPr="009878ED" w:rsidRDefault="005E7BFC" w:rsidP="005E7BFC">
                  <w:pPr>
                    <w:jc w:val="right"/>
                    <w:rPr>
                      <w:rFonts w:ascii="Arial" w:hAnsi="Arial" w:cs="Arial"/>
                      <w:sz w:val="22"/>
                      <w:szCs w:val="22"/>
                    </w:rPr>
                  </w:pPr>
                  <w:r w:rsidRPr="00804101">
                    <w:rPr>
                      <w:rFonts w:ascii="Arial" w:hAnsi="Arial" w:cs="Arial"/>
                      <w:sz w:val="22"/>
                      <w:szCs w:val="22"/>
                    </w:rPr>
                    <w:t>£</w:t>
                  </w:r>
                  <w:r w:rsidR="00030EE6">
                    <w:rPr>
                      <w:rFonts w:ascii="Arial" w:hAnsi="Arial" w:cs="Arial"/>
                      <w:sz w:val="22"/>
                      <w:szCs w:val="22"/>
                    </w:rPr>
                    <w:t>471</w:t>
                  </w:r>
                  <w:r w:rsidR="00030EE6" w:rsidRPr="00804101">
                    <w:rPr>
                      <w:rFonts w:ascii="Arial" w:hAnsi="Arial" w:cs="Arial"/>
                      <w:sz w:val="22"/>
                      <w:szCs w:val="22"/>
                    </w:rPr>
                    <w:t>m</w:t>
                  </w:r>
                </w:p>
              </w:tc>
              <w:tc>
                <w:tcPr>
                  <w:tcW w:w="1327" w:type="dxa"/>
                  <w:tcBorders>
                    <w:top w:val="nil"/>
                    <w:left w:val="nil"/>
                    <w:bottom w:val="nil"/>
                    <w:right w:val="nil"/>
                  </w:tcBorders>
                  <w:shd w:val="clear" w:color="auto" w:fill="auto"/>
                  <w:vAlign w:val="center"/>
                </w:tcPr>
                <w:p w14:paraId="434368B0" w14:textId="748FC981" w:rsidR="005E7BFC" w:rsidRPr="009878ED" w:rsidRDefault="005E7BFC" w:rsidP="005E7BFC">
                  <w:pPr>
                    <w:jc w:val="right"/>
                    <w:rPr>
                      <w:rFonts w:ascii="Arial" w:hAnsi="Arial" w:cs="Arial"/>
                      <w:sz w:val="22"/>
                      <w:szCs w:val="22"/>
                    </w:rPr>
                  </w:pPr>
                  <w:r w:rsidRPr="00804101">
                    <w:rPr>
                      <w:rFonts w:ascii="Arial" w:hAnsi="Arial" w:cs="Arial"/>
                      <w:sz w:val="22"/>
                      <w:szCs w:val="22"/>
                    </w:rPr>
                    <w:t>£843m</w:t>
                  </w:r>
                </w:p>
              </w:tc>
              <w:tc>
                <w:tcPr>
                  <w:tcW w:w="1298" w:type="dxa"/>
                  <w:tcBorders>
                    <w:top w:val="nil"/>
                    <w:left w:val="nil"/>
                    <w:bottom w:val="nil"/>
                    <w:right w:val="nil"/>
                  </w:tcBorders>
                  <w:vAlign w:val="center"/>
                </w:tcPr>
                <w:p w14:paraId="0C140647" w14:textId="60D53D27" w:rsidR="005E7BFC" w:rsidRPr="009878ED" w:rsidRDefault="005E7BFC" w:rsidP="005E7BFC">
                  <w:pPr>
                    <w:jc w:val="right"/>
                    <w:rPr>
                      <w:rFonts w:ascii="Arial" w:hAnsi="Arial" w:cs="Arial"/>
                      <w:sz w:val="22"/>
                      <w:szCs w:val="22"/>
                    </w:rPr>
                  </w:pPr>
                  <w:r w:rsidRPr="009878ED">
                    <w:rPr>
                      <w:rFonts w:ascii="Arial" w:hAnsi="Arial" w:cs="Arial"/>
                      <w:sz w:val="22"/>
                      <w:szCs w:val="22"/>
                    </w:rPr>
                    <w:t>(</w:t>
                  </w:r>
                  <w:r w:rsidR="00D623A8">
                    <w:rPr>
                      <w:rFonts w:ascii="Arial" w:hAnsi="Arial" w:cs="Arial"/>
                      <w:sz w:val="22"/>
                      <w:szCs w:val="22"/>
                    </w:rPr>
                    <w:t>44.1</w:t>
                  </w:r>
                  <w:r w:rsidRPr="009878ED">
                    <w:rPr>
                      <w:rFonts w:ascii="Arial" w:hAnsi="Arial" w:cs="Arial"/>
                      <w:sz w:val="22"/>
                      <w:szCs w:val="22"/>
                    </w:rPr>
                    <w:t>)%</w:t>
                  </w:r>
                </w:p>
              </w:tc>
              <w:tc>
                <w:tcPr>
                  <w:tcW w:w="1298" w:type="dxa"/>
                  <w:tcBorders>
                    <w:top w:val="nil"/>
                    <w:left w:val="nil"/>
                    <w:bottom w:val="nil"/>
                    <w:right w:val="nil"/>
                  </w:tcBorders>
                  <w:vAlign w:val="center"/>
                </w:tcPr>
                <w:p w14:paraId="77417934" w14:textId="77777777" w:rsidR="005E7BFC" w:rsidRPr="009878ED" w:rsidRDefault="005E7BFC" w:rsidP="005E7BFC">
                  <w:pPr>
                    <w:jc w:val="right"/>
                    <w:rPr>
                      <w:rFonts w:ascii="Arial" w:hAnsi="Arial" w:cs="Arial"/>
                      <w:sz w:val="22"/>
                      <w:szCs w:val="22"/>
                    </w:rPr>
                  </w:pPr>
                </w:p>
              </w:tc>
              <w:tc>
                <w:tcPr>
                  <w:tcW w:w="1298" w:type="dxa"/>
                  <w:tcBorders>
                    <w:top w:val="nil"/>
                    <w:left w:val="nil"/>
                    <w:bottom w:val="nil"/>
                    <w:right w:val="nil"/>
                  </w:tcBorders>
                  <w:vAlign w:val="center"/>
                </w:tcPr>
                <w:p w14:paraId="25D3AE90" w14:textId="77777777" w:rsidR="005E7BFC" w:rsidRPr="009878ED" w:rsidRDefault="005E7BFC" w:rsidP="005E7BFC">
                  <w:pPr>
                    <w:jc w:val="right"/>
                    <w:rPr>
                      <w:rFonts w:ascii="Arial" w:hAnsi="Arial" w:cs="Arial"/>
                      <w:sz w:val="22"/>
                      <w:szCs w:val="22"/>
                    </w:rPr>
                  </w:pPr>
                </w:p>
              </w:tc>
            </w:tr>
            <w:tr w:rsidR="005E7BFC" w:rsidRPr="00EB4495" w14:paraId="070EDDA5" w14:textId="77777777" w:rsidTr="00315B91">
              <w:trPr>
                <w:trHeight w:val="269"/>
              </w:trPr>
              <w:tc>
                <w:tcPr>
                  <w:tcW w:w="3458" w:type="dxa"/>
                  <w:tcBorders>
                    <w:top w:val="nil"/>
                    <w:left w:val="nil"/>
                    <w:bottom w:val="nil"/>
                    <w:right w:val="nil"/>
                  </w:tcBorders>
                  <w:shd w:val="clear" w:color="auto" w:fill="auto"/>
                  <w:vAlign w:val="center"/>
                </w:tcPr>
                <w:p w14:paraId="5B762D2C" w14:textId="77777777" w:rsidR="005E7BFC" w:rsidRPr="009A4250" w:rsidRDefault="005E7BFC" w:rsidP="005E7BFC">
                  <w:pPr>
                    <w:jc w:val="left"/>
                    <w:rPr>
                      <w:rFonts w:ascii="Arial" w:hAnsi="Arial" w:cs="Arial"/>
                      <w:sz w:val="22"/>
                      <w:szCs w:val="22"/>
                    </w:rPr>
                  </w:pPr>
                  <w:r w:rsidRPr="009A4250">
                    <w:rPr>
                      <w:rFonts w:ascii="Arial" w:hAnsi="Arial" w:cs="Arial"/>
                      <w:sz w:val="22"/>
                      <w:szCs w:val="22"/>
                    </w:rPr>
                    <w:t>Statutory basic EPS</w:t>
                  </w:r>
                </w:p>
              </w:tc>
              <w:tc>
                <w:tcPr>
                  <w:tcW w:w="1327" w:type="dxa"/>
                  <w:tcBorders>
                    <w:top w:val="nil"/>
                    <w:left w:val="nil"/>
                    <w:bottom w:val="nil"/>
                    <w:right w:val="nil"/>
                  </w:tcBorders>
                  <w:vAlign w:val="center"/>
                </w:tcPr>
                <w:p w14:paraId="5FAFD683" w14:textId="6F97F7C7" w:rsidR="005E7BFC" w:rsidRPr="009878ED" w:rsidRDefault="00A4634E" w:rsidP="005E7BFC">
                  <w:pPr>
                    <w:jc w:val="right"/>
                    <w:rPr>
                      <w:rFonts w:ascii="Arial" w:hAnsi="Arial" w:cs="Arial"/>
                      <w:sz w:val="22"/>
                      <w:szCs w:val="22"/>
                    </w:rPr>
                  </w:pPr>
                  <w:r>
                    <w:rPr>
                      <w:rFonts w:ascii="Arial" w:hAnsi="Arial" w:cs="Arial"/>
                      <w:sz w:val="22"/>
                      <w:szCs w:val="22"/>
                    </w:rPr>
                    <w:t>23.8</w:t>
                  </w:r>
                  <w:r w:rsidR="005E7BFC" w:rsidRPr="009A4250">
                    <w:rPr>
                      <w:rFonts w:ascii="Arial" w:hAnsi="Arial" w:cs="Arial"/>
                      <w:sz w:val="22"/>
                      <w:szCs w:val="22"/>
                    </w:rPr>
                    <w:t>p</w:t>
                  </w:r>
                </w:p>
              </w:tc>
              <w:tc>
                <w:tcPr>
                  <w:tcW w:w="1327" w:type="dxa"/>
                  <w:tcBorders>
                    <w:top w:val="nil"/>
                    <w:left w:val="nil"/>
                    <w:bottom w:val="nil"/>
                    <w:right w:val="nil"/>
                  </w:tcBorders>
                  <w:shd w:val="clear" w:color="auto" w:fill="auto"/>
                  <w:vAlign w:val="center"/>
                </w:tcPr>
                <w:p w14:paraId="77C53E25" w14:textId="6F33A0CF" w:rsidR="005E7BFC" w:rsidRPr="009878ED" w:rsidRDefault="005E7BFC" w:rsidP="005E7BFC">
                  <w:pPr>
                    <w:jc w:val="right"/>
                    <w:rPr>
                      <w:rFonts w:ascii="Arial" w:hAnsi="Arial" w:cs="Arial"/>
                      <w:sz w:val="22"/>
                      <w:szCs w:val="22"/>
                    </w:rPr>
                  </w:pPr>
                  <w:r w:rsidRPr="009A4250">
                    <w:rPr>
                      <w:rFonts w:ascii="Arial" w:hAnsi="Arial" w:cs="Arial"/>
                      <w:sz w:val="22"/>
                      <w:szCs w:val="22"/>
                    </w:rPr>
                    <w:t>40.3p</w:t>
                  </w:r>
                </w:p>
              </w:tc>
              <w:tc>
                <w:tcPr>
                  <w:tcW w:w="1298" w:type="dxa"/>
                  <w:tcBorders>
                    <w:top w:val="nil"/>
                    <w:left w:val="nil"/>
                    <w:bottom w:val="nil"/>
                    <w:right w:val="nil"/>
                  </w:tcBorders>
                  <w:vAlign w:val="center"/>
                </w:tcPr>
                <w:p w14:paraId="64EE1A7C" w14:textId="34097BBD" w:rsidR="005E7BFC" w:rsidRPr="009878ED" w:rsidRDefault="005E7BFC" w:rsidP="005E7BFC">
                  <w:pPr>
                    <w:jc w:val="right"/>
                    <w:rPr>
                      <w:rFonts w:ascii="Arial" w:hAnsi="Arial" w:cs="Arial"/>
                      <w:sz w:val="22"/>
                      <w:szCs w:val="22"/>
                    </w:rPr>
                  </w:pPr>
                  <w:r w:rsidRPr="009878ED">
                    <w:rPr>
                      <w:rFonts w:ascii="Arial" w:hAnsi="Arial" w:cs="Arial"/>
                      <w:sz w:val="22"/>
                      <w:szCs w:val="22"/>
                    </w:rPr>
                    <w:t>(</w:t>
                  </w:r>
                  <w:r w:rsidR="00F035D3">
                    <w:rPr>
                      <w:rFonts w:ascii="Arial" w:hAnsi="Arial" w:cs="Arial"/>
                      <w:sz w:val="22"/>
                      <w:szCs w:val="22"/>
                    </w:rPr>
                    <w:t>40.9</w:t>
                  </w:r>
                  <w:r w:rsidRPr="009878ED">
                    <w:rPr>
                      <w:rFonts w:ascii="Arial" w:hAnsi="Arial" w:cs="Arial"/>
                      <w:sz w:val="22"/>
                      <w:szCs w:val="22"/>
                    </w:rPr>
                    <w:t>)%</w:t>
                  </w:r>
                </w:p>
              </w:tc>
              <w:tc>
                <w:tcPr>
                  <w:tcW w:w="1298" w:type="dxa"/>
                  <w:tcBorders>
                    <w:top w:val="nil"/>
                    <w:left w:val="nil"/>
                    <w:bottom w:val="nil"/>
                    <w:right w:val="nil"/>
                  </w:tcBorders>
                  <w:vAlign w:val="center"/>
                </w:tcPr>
                <w:p w14:paraId="1D7AE96E" w14:textId="77777777" w:rsidR="005E7BFC" w:rsidRPr="009878ED" w:rsidRDefault="005E7BFC" w:rsidP="005E7BFC">
                  <w:pPr>
                    <w:jc w:val="right"/>
                    <w:rPr>
                      <w:rFonts w:ascii="Arial" w:hAnsi="Arial" w:cs="Arial"/>
                      <w:sz w:val="22"/>
                      <w:szCs w:val="22"/>
                    </w:rPr>
                  </w:pPr>
                </w:p>
              </w:tc>
              <w:tc>
                <w:tcPr>
                  <w:tcW w:w="1298" w:type="dxa"/>
                  <w:tcBorders>
                    <w:top w:val="nil"/>
                    <w:left w:val="nil"/>
                    <w:bottom w:val="nil"/>
                    <w:right w:val="nil"/>
                  </w:tcBorders>
                  <w:vAlign w:val="center"/>
                </w:tcPr>
                <w:p w14:paraId="0F59E766" w14:textId="77777777" w:rsidR="005E7BFC" w:rsidRPr="009878ED" w:rsidRDefault="005E7BFC" w:rsidP="005E7BFC">
                  <w:pPr>
                    <w:jc w:val="right"/>
                    <w:rPr>
                      <w:rFonts w:ascii="Arial" w:hAnsi="Arial" w:cs="Arial"/>
                      <w:sz w:val="22"/>
                      <w:szCs w:val="22"/>
                    </w:rPr>
                  </w:pPr>
                </w:p>
              </w:tc>
            </w:tr>
            <w:tr w:rsidR="005E7BFC" w:rsidRPr="00EB4495" w14:paraId="5F8CB974" w14:textId="77777777" w:rsidTr="00C624E8">
              <w:trPr>
                <w:trHeight w:val="269"/>
              </w:trPr>
              <w:tc>
                <w:tcPr>
                  <w:tcW w:w="3458" w:type="dxa"/>
                  <w:tcBorders>
                    <w:top w:val="nil"/>
                    <w:left w:val="nil"/>
                    <w:bottom w:val="nil"/>
                    <w:right w:val="nil"/>
                  </w:tcBorders>
                  <w:shd w:val="clear" w:color="auto" w:fill="auto"/>
                  <w:tcMar>
                    <w:right w:w="57" w:type="dxa"/>
                  </w:tcMar>
                  <w:vAlign w:val="center"/>
                </w:tcPr>
                <w:p w14:paraId="6059AF26" w14:textId="66BAA729" w:rsidR="005E7BFC" w:rsidRPr="009A4250" w:rsidRDefault="005E7BFC" w:rsidP="005E7BFC">
                  <w:pPr>
                    <w:jc w:val="left"/>
                    <w:rPr>
                      <w:rFonts w:ascii="Arial" w:hAnsi="Arial" w:cs="Arial"/>
                      <w:sz w:val="22"/>
                      <w:szCs w:val="22"/>
                    </w:rPr>
                  </w:pPr>
                  <w:r w:rsidRPr="009A4250">
                    <w:rPr>
                      <w:rFonts w:ascii="Arial" w:hAnsi="Arial" w:cs="Arial"/>
                      <w:sz w:val="22"/>
                      <w:szCs w:val="22"/>
                    </w:rPr>
                    <w:t>Net decrease in cash</w:t>
                  </w:r>
                  <w:r w:rsidRPr="009A4250">
                    <w:rPr>
                      <w:rFonts w:ascii="Arial" w:hAnsi="Arial" w:cs="Arial"/>
                      <w:sz w:val="22"/>
                      <w:szCs w:val="22"/>
                      <w:vertAlign w:val="superscript"/>
                    </w:rPr>
                    <w:t>±</w:t>
                  </w:r>
                </w:p>
              </w:tc>
              <w:tc>
                <w:tcPr>
                  <w:tcW w:w="1327" w:type="dxa"/>
                  <w:tcBorders>
                    <w:top w:val="nil"/>
                    <w:left w:val="nil"/>
                    <w:bottom w:val="nil"/>
                    <w:right w:val="nil"/>
                  </w:tcBorders>
                  <w:vAlign w:val="center"/>
                </w:tcPr>
                <w:p w14:paraId="6BA12516" w14:textId="0F0E5C6A" w:rsidR="005E7BFC" w:rsidRPr="009878ED" w:rsidRDefault="005E7BFC" w:rsidP="005E7BFC">
                  <w:pPr>
                    <w:jc w:val="right"/>
                    <w:rPr>
                      <w:rFonts w:ascii="Arial" w:hAnsi="Arial" w:cs="Arial"/>
                      <w:sz w:val="22"/>
                      <w:szCs w:val="22"/>
                    </w:rPr>
                  </w:pPr>
                  <w:r w:rsidRPr="00337BFB">
                    <w:rPr>
                      <w:rFonts w:ascii="Arial" w:hAnsi="Arial" w:cs="Arial"/>
                      <w:sz w:val="22"/>
                      <w:szCs w:val="22"/>
                    </w:rPr>
                    <w:t>£(</w:t>
                  </w:r>
                  <w:r w:rsidR="00292F07">
                    <w:rPr>
                      <w:rFonts w:ascii="Arial" w:hAnsi="Arial" w:cs="Arial"/>
                      <w:sz w:val="22"/>
                      <w:szCs w:val="22"/>
                    </w:rPr>
                    <w:t>555</w:t>
                  </w:r>
                  <w:r w:rsidRPr="00337BFB">
                    <w:rPr>
                      <w:rFonts w:ascii="Arial" w:hAnsi="Arial" w:cs="Arial"/>
                      <w:sz w:val="22"/>
                      <w:szCs w:val="22"/>
                    </w:rPr>
                    <w:t>)m</w:t>
                  </w:r>
                </w:p>
              </w:tc>
              <w:tc>
                <w:tcPr>
                  <w:tcW w:w="1327" w:type="dxa"/>
                  <w:tcBorders>
                    <w:top w:val="nil"/>
                    <w:left w:val="nil"/>
                    <w:bottom w:val="nil"/>
                    <w:right w:val="nil"/>
                  </w:tcBorders>
                  <w:shd w:val="clear" w:color="auto" w:fill="auto"/>
                  <w:vAlign w:val="center"/>
                </w:tcPr>
                <w:p w14:paraId="2018A67E" w14:textId="1D3B6785" w:rsidR="005E7BFC" w:rsidRPr="009878ED" w:rsidRDefault="005E7BFC" w:rsidP="005E7BFC">
                  <w:pPr>
                    <w:jc w:val="right"/>
                    <w:rPr>
                      <w:rFonts w:ascii="Arial" w:hAnsi="Arial" w:cs="Arial"/>
                      <w:sz w:val="22"/>
                      <w:szCs w:val="22"/>
                    </w:rPr>
                  </w:pPr>
                  <w:r w:rsidRPr="00337BFB">
                    <w:rPr>
                      <w:rFonts w:ascii="Arial" w:hAnsi="Arial" w:cs="Arial"/>
                      <w:sz w:val="22"/>
                      <w:szCs w:val="22"/>
                    </w:rPr>
                    <w:t>£(23</w:t>
                  </w:r>
                  <w:r>
                    <w:rPr>
                      <w:rFonts w:ascii="Arial" w:hAnsi="Arial" w:cs="Arial"/>
                      <w:sz w:val="22"/>
                      <w:szCs w:val="22"/>
                    </w:rPr>
                    <w:t>7</w:t>
                  </w:r>
                  <w:r w:rsidRPr="00337BFB">
                    <w:rPr>
                      <w:rFonts w:ascii="Arial" w:hAnsi="Arial" w:cs="Arial"/>
                      <w:sz w:val="22"/>
                      <w:szCs w:val="22"/>
                    </w:rPr>
                    <w:t>)m</w:t>
                  </w:r>
                </w:p>
              </w:tc>
              <w:tc>
                <w:tcPr>
                  <w:tcW w:w="1298" w:type="dxa"/>
                  <w:tcBorders>
                    <w:top w:val="nil"/>
                    <w:left w:val="nil"/>
                    <w:bottom w:val="nil"/>
                    <w:right w:val="nil"/>
                  </w:tcBorders>
                  <w:vAlign w:val="center"/>
                </w:tcPr>
                <w:p w14:paraId="6CB80005" w14:textId="32F3E814" w:rsidR="005E7BFC" w:rsidRPr="009878ED" w:rsidRDefault="005E7BFC" w:rsidP="005E7BFC">
                  <w:pPr>
                    <w:jc w:val="right"/>
                    <w:rPr>
                      <w:rFonts w:ascii="Arial" w:hAnsi="Arial" w:cs="Arial"/>
                      <w:sz w:val="22"/>
                      <w:szCs w:val="22"/>
                    </w:rPr>
                  </w:pPr>
                  <w:r w:rsidRPr="009878ED">
                    <w:rPr>
                      <w:rFonts w:ascii="Arial" w:hAnsi="Arial" w:cs="Arial"/>
                      <w:sz w:val="22"/>
                      <w:szCs w:val="22"/>
                    </w:rPr>
                    <w:t>n/a</w:t>
                  </w:r>
                </w:p>
              </w:tc>
              <w:tc>
                <w:tcPr>
                  <w:tcW w:w="1298" w:type="dxa"/>
                  <w:tcBorders>
                    <w:top w:val="nil"/>
                    <w:left w:val="nil"/>
                    <w:bottom w:val="nil"/>
                    <w:right w:val="nil"/>
                  </w:tcBorders>
                  <w:vAlign w:val="center"/>
                </w:tcPr>
                <w:p w14:paraId="69E5AE42" w14:textId="77777777" w:rsidR="005E7BFC" w:rsidRPr="009878ED" w:rsidRDefault="005E7BFC" w:rsidP="005E7BFC">
                  <w:pPr>
                    <w:jc w:val="right"/>
                    <w:rPr>
                      <w:rFonts w:ascii="Arial" w:hAnsi="Arial" w:cs="Arial"/>
                      <w:sz w:val="22"/>
                      <w:szCs w:val="22"/>
                    </w:rPr>
                  </w:pPr>
                </w:p>
              </w:tc>
              <w:tc>
                <w:tcPr>
                  <w:tcW w:w="1298" w:type="dxa"/>
                  <w:tcBorders>
                    <w:top w:val="nil"/>
                    <w:left w:val="nil"/>
                    <w:bottom w:val="nil"/>
                    <w:right w:val="nil"/>
                  </w:tcBorders>
                  <w:vAlign w:val="center"/>
                </w:tcPr>
                <w:p w14:paraId="2B5B104A" w14:textId="77777777" w:rsidR="005E7BFC" w:rsidRPr="009878ED" w:rsidRDefault="005E7BFC" w:rsidP="005E7BFC">
                  <w:pPr>
                    <w:jc w:val="right"/>
                    <w:rPr>
                      <w:rFonts w:ascii="Arial" w:hAnsi="Arial" w:cs="Arial"/>
                      <w:sz w:val="22"/>
                      <w:szCs w:val="22"/>
                    </w:rPr>
                  </w:pPr>
                </w:p>
              </w:tc>
            </w:tr>
            <w:tr w:rsidR="005E7BFC" w:rsidRPr="00EB4495" w14:paraId="091161D3" w14:textId="77777777" w:rsidTr="00315B91">
              <w:trPr>
                <w:trHeight w:val="269"/>
              </w:trPr>
              <w:tc>
                <w:tcPr>
                  <w:tcW w:w="3458" w:type="dxa"/>
                  <w:tcBorders>
                    <w:top w:val="nil"/>
                    <w:left w:val="nil"/>
                    <w:bottom w:val="nil"/>
                    <w:right w:val="nil"/>
                  </w:tcBorders>
                  <w:shd w:val="clear" w:color="auto" w:fill="auto"/>
                  <w:vAlign w:val="center"/>
                </w:tcPr>
                <w:p w14:paraId="34B3776D" w14:textId="7777C3F2" w:rsidR="005E7BFC" w:rsidRPr="009A4250" w:rsidRDefault="005E7BFC" w:rsidP="005E7BFC">
                  <w:pPr>
                    <w:jc w:val="left"/>
                    <w:rPr>
                      <w:rFonts w:ascii="Arial" w:hAnsi="Arial" w:cs="Arial"/>
                      <w:sz w:val="22"/>
                      <w:szCs w:val="22"/>
                    </w:rPr>
                  </w:pPr>
                  <w:r>
                    <w:rPr>
                      <w:rFonts w:ascii="Arial" w:hAnsi="Arial" w:cs="Arial"/>
                      <w:sz w:val="22"/>
                      <w:szCs w:val="22"/>
                    </w:rPr>
                    <w:t>Total</w:t>
                  </w:r>
                  <w:r w:rsidRPr="009A4250">
                    <w:rPr>
                      <w:rFonts w:ascii="Arial" w:hAnsi="Arial" w:cs="Arial"/>
                      <w:sz w:val="22"/>
                      <w:szCs w:val="22"/>
                    </w:rPr>
                    <w:t xml:space="preserve"> dividen</w:t>
                  </w:r>
                  <w:r>
                    <w:rPr>
                      <w:rFonts w:ascii="Arial" w:hAnsi="Arial" w:cs="Arial"/>
                      <w:sz w:val="22"/>
                      <w:szCs w:val="22"/>
                    </w:rPr>
                    <w:t>d</w:t>
                  </w:r>
                  <w:r w:rsidRPr="009A4250">
                    <w:rPr>
                      <w:rFonts w:ascii="Arial" w:hAnsi="Arial" w:cs="Arial"/>
                      <w:sz w:val="22"/>
                      <w:szCs w:val="22"/>
                      <w:vertAlign w:val="superscript"/>
                    </w:rPr>
                    <w:t>(1)</w:t>
                  </w:r>
                </w:p>
              </w:tc>
              <w:tc>
                <w:tcPr>
                  <w:tcW w:w="1327" w:type="dxa"/>
                  <w:tcBorders>
                    <w:top w:val="nil"/>
                    <w:left w:val="nil"/>
                    <w:bottom w:val="nil"/>
                    <w:right w:val="nil"/>
                  </w:tcBorders>
                  <w:vAlign w:val="center"/>
                </w:tcPr>
                <w:p w14:paraId="63F953BB" w14:textId="48A5211C" w:rsidR="005E7BFC" w:rsidRPr="009878ED" w:rsidRDefault="005E7BFC" w:rsidP="005E7BFC">
                  <w:pPr>
                    <w:jc w:val="right"/>
                    <w:rPr>
                      <w:rFonts w:ascii="Arial" w:hAnsi="Arial" w:cs="Arial"/>
                      <w:sz w:val="22"/>
                      <w:szCs w:val="22"/>
                    </w:rPr>
                  </w:pPr>
                  <w:r w:rsidRPr="009A4250">
                    <w:rPr>
                      <w:rFonts w:ascii="Arial" w:hAnsi="Arial" w:cs="Arial"/>
                      <w:sz w:val="22"/>
                      <w:szCs w:val="22"/>
                    </w:rPr>
                    <w:t>12.40p</w:t>
                  </w:r>
                </w:p>
              </w:tc>
              <w:tc>
                <w:tcPr>
                  <w:tcW w:w="1327" w:type="dxa"/>
                  <w:tcBorders>
                    <w:top w:val="nil"/>
                    <w:left w:val="nil"/>
                    <w:bottom w:val="nil"/>
                    <w:right w:val="nil"/>
                  </w:tcBorders>
                  <w:shd w:val="clear" w:color="auto" w:fill="auto"/>
                  <w:vAlign w:val="center"/>
                </w:tcPr>
                <w:p w14:paraId="6F0E238B" w14:textId="01F4154E" w:rsidR="005E7BFC" w:rsidRPr="009878ED" w:rsidRDefault="005E7BFC" w:rsidP="005E7BFC">
                  <w:pPr>
                    <w:jc w:val="right"/>
                    <w:rPr>
                      <w:rFonts w:ascii="Arial" w:hAnsi="Arial" w:cs="Arial"/>
                      <w:sz w:val="22"/>
                      <w:szCs w:val="22"/>
                    </w:rPr>
                  </w:pPr>
                  <w:r w:rsidRPr="009A4250">
                    <w:rPr>
                      <w:rFonts w:ascii="Arial" w:hAnsi="Arial" w:cs="Arial"/>
                      <w:sz w:val="22"/>
                      <w:szCs w:val="22"/>
                    </w:rPr>
                    <w:t>12.40p</w:t>
                  </w:r>
                </w:p>
              </w:tc>
              <w:tc>
                <w:tcPr>
                  <w:tcW w:w="1298" w:type="dxa"/>
                  <w:tcBorders>
                    <w:top w:val="nil"/>
                    <w:left w:val="nil"/>
                    <w:bottom w:val="nil"/>
                    <w:right w:val="nil"/>
                  </w:tcBorders>
                  <w:vAlign w:val="center"/>
                </w:tcPr>
                <w:p w14:paraId="0C7679F2" w14:textId="3A5E19F4" w:rsidR="005E7BFC" w:rsidRPr="009878ED" w:rsidRDefault="005E7BFC" w:rsidP="005E7BFC">
                  <w:pPr>
                    <w:jc w:val="right"/>
                    <w:rPr>
                      <w:rFonts w:ascii="Arial" w:hAnsi="Arial" w:cs="Arial"/>
                      <w:sz w:val="22"/>
                      <w:szCs w:val="22"/>
                    </w:rPr>
                  </w:pPr>
                  <w:r w:rsidRPr="009878ED">
                    <w:rPr>
                      <w:rFonts w:ascii="Arial" w:hAnsi="Arial" w:cs="Arial"/>
                      <w:sz w:val="22"/>
                      <w:szCs w:val="22"/>
                    </w:rPr>
                    <w:t>-</w:t>
                  </w:r>
                </w:p>
              </w:tc>
              <w:tc>
                <w:tcPr>
                  <w:tcW w:w="1298" w:type="dxa"/>
                  <w:tcBorders>
                    <w:top w:val="nil"/>
                    <w:left w:val="nil"/>
                    <w:bottom w:val="nil"/>
                    <w:right w:val="nil"/>
                  </w:tcBorders>
                  <w:vAlign w:val="center"/>
                </w:tcPr>
                <w:p w14:paraId="3830E280" w14:textId="77777777" w:rsidR="005E7BFC" w:rsidRPr="009878ED" w:rsidRDefault="005E7BFC" w:rsidP="005E7BFC">
                  <w:pPr>
                    <w:jc w:val="right"/>
                    <w:rPr>
                      <w:rFonts w:ascii="Arial" w:hAnsi="Arial" w:cs="Arial"/>
                      <w:sz w:val="22"/>
                      <w:szCs w:val="22"/>
                    </w:rPr>
                  </w:pPr>
                </w:p>
              </w:tc>
              <w:tc>
                <w:tcPr>
                  <w:tcW w:w="1298" w:type="dxa"/>
                  <w:tcBorders>
                    <w:top w:val="nil"/>
                    <w:left w:val="nil"/>
                    <w:bottom w:val="nil"/>
                    <w:right w:val="nil"/>
                  </w:tcBorders>
                  <w:vAlign w:val="center"/>
                </w:tcPr>
                <w:p w14:paraId="466E1B12" w14:textId="77777777" w:rsidR="005E7BFC" w:rsidRPr="009878ED" w:rsidRDefault="005E7BFC" w:rsidP="005E7BFC">
                  <w:pPr>
                    <w:jc w:val="right"/>
                    <w:rPr>
                      <w:rFonts w:ascii="Arial" w:hAnsi="Arial" w:cs="Arial"/>
                      <w:sz w:val="22"/>
                      <w:szCs w:val="22"/>
                    </w:rPr>
                  </w:pPr>
                </w:p>
              </w:tc>
            </w:tr>
            <w:tr w:rsidR="005E7BFC" w:rsidRPr="00EB4495" w14:paraId="6AF76A10" w14:textId="77777777" w:rsidTr="00315B91">
              <w:trPr>
                <w:trHeight w:val="269"/>
              </w:trPr>
              <w:tc>
                <w:tcPr>
                  <w:tcW w:w="3458" w:type="dxa"/>
                  <w:tcBorders>
                    <w:top w:val="nil"/>
                    <w:left w:val="nil"/>
                    <w:bottom w:val="nil"/>
                    <w:right w:val="nil"/>
                  </w:tcBorders>
                  <w:shd w:val="clear" w:color="auto" w:fill="auto"/>
                  <w:vAlign w:val="center"/>
                </w:tcPr>
                <w:p w14:paraId="7AE29EC9" w14:textId="77777777" w:rsidR="005E7BFC" w:rsidRPr="00EB4495" w:rsidRDefault="005E7BFC" w:rsidP="005E7BFC">
                  <w:pPr>
                    <w:jc w:val="left"/>
                    <w:rPr>
                      <w:rFonts w:ascii="Arial" w:hAnsi="Arial" w:cs="Arial"/>
                      <w:sz w:val="22"/>
                      <w:szCs w:val="22"/>
                    </w:rPr>
                  </w:pPr>
                </w:p>
              </w:tc>
              <w:tc>
                <w:tcPr>
                  <w:tcW w:w="1327" w:type="dxa"/>
                  <w:tcBorders>
                    <w:top w:val="nil"/>
                    <w:left w:val="nil"/>
                    <w:bottom w:val="nil"/>
                    <w:right w:val="nil"/>
                  </w:tcBorders>
                  <w:vAlign w:val="center"/>
                </w:tcPr>
                <w:p w14:paraId="62F27BA1" w14:textId="77777777" w:rsidR="005E7BFC" w:rsidRPr="009878ED" w:rsidRDefault="005E7BFC" w:rsidP="005E7BFC">
                  <w:pPr>
                    <w:jc w:val="right"/>
                    <w:rPr>
                      <w:rFonts w:ascii="Arial" w:hAnsi="Arial" w:cs="Arial"/>
                      <w:sz w:val="22"/>
                      <w:szCs w:val="22"/>
                    </w:rPr>
                  </w:pPr>
                </w:p>
              </w:tc>
              <w:tc>
                <w:tcPr>
                  <w:tcW w:w="1327" w:type="dxa"/>
                  <w:tcBorders>
                    <w:top w:val="nil"/>
                    <w:left w:val="nil"/>
                    <w:bottom w:val="nil"/>
                    <w:right w:val="nil"/>
                  </w:tcBorders>
                  <w:vAlign w:val="center"/>
                </w:tcPr>
                <w:p w14:paraId="0B7DBE03" w14:textId="77777777" w:rsidR="005E7BFC" w:rsidRPr="009878ED" w:rsidRDefault="005E7BFC" w:rsidP="005E7BFC">
                  <w:pPr>
                    <w:jc w:val="right"/>
                    <w:rPr>
                      <w:rFonts w:ascii="Arial" w:hAnsi="Arial" w:cs="Arial"/>
                      <w:sz w:val="22"/>
                      <w:szCs w:val="22"/>
                    </w:rPr>
                  </w:pPr>
                </w:p>
              </w:tc>
              <w:tc>
                <w:tcPr>
                  <w:tcW w:w="1298" w:type="dxa"/>
                  <w:tcBorders>
                    <w:top w:val="nil"/>
                    <w:left w:val="nil"/>
                    <w:bottom w:val="nil"/>
                    <w:right w:val="nil"/>
                  </w:tcBorders>
                  <w:vAlign w:val="center"/>
                </w:tcPr>
                <w:p w14:paraId="71EF297E" w14:textId="77777777" w:rsidR="005E7BFC" w:rsidRPr="009878ED" w:rsidRDefault="005E7BFC" w:rsidP="005E7BFC">
                  <w:pPr>
                    <w:jc w:val="right"/>
                    <w:rPr>
                      <w:rFonts w:ascii="Arial" w:hAnsi="Arial" w:cs="Arial"/>
                      <w:sz w:val="22"/>
                      <w:szCs w:val="22"/>
                    </w:rPr>
                  </w:pPr>
                </w:p>
              </w:tc>
              <w:tc>
                <w:tcPr>
                  <w:tcW w:w="1298" w:type="dxa"/>
                  <w:tcBorders>
                    <w:top w:val="nil"/>
                    <w:left w:val="nil"/>
                    <w:bottom w:val="nil"/>
                    <w:right w:val="nil"/>
                  </w:tcBorders>
                  <w:vAlign w:val="center"/>
                </w:tcPr>
                <w:p w14:paraId="7F17ADA5" w14:textId="77777777" w:rsidR="005E7BFC" w:rsidRPr="009878ED" w:rsidRDefault="005E7BFC" w:rsidP="005E7BFC">
                  <w:pPr>
                    <w:jc w:val="right"/>
                    <w:rPr>
                      <w:rFonts w:ascii="Arial" w:hAnsi="Arial" w:cs="Arial"/>
                      <w:sz w:val="22"/>
                      <w:szCs w:val="22"/>
                    </w:rPr>
                  </w:pPr>
                </w:p>
              </w:tc>
              <w:tc>
                <w:tcPr>
                  <w:tcW w:w="1298" w:type="dxa"/>
                  <w:tcBorders>
                    <w:top w:val="nil"/>
                    <w:left w:val="nil"/>
                    <w:bottom w:val="nil"/>
                    <w:right w:val="nil"/>
                  </w:tcBorders>
                  <w:vAlign w:val="center"/>
                </w:tcPr>
                <w:p w14:paraId="4A6DA247" w14:textId="77777777" w:rsidR="005E7BFC" w:rsidRPr="009878ED" w:rsidRDefault="005E7BFC" w:rsidP="005E7BFC">
                  <w:pPr>
                    <w:jc w:val="right"/>
                    <w:rPr>
                      <w:rFonts w:ascii="Arial" w:hAnsi="Arial" w:cs="Arial"/>
                      <w:sz w:val="22"/>
                      <w:szCs w:val="22"/>
                    </w:rPr>
                  </w:pPr>
                </w:p>
              </w:tc>
            </w:tr>
            <w:tr w:rsidR="005E7BFC" w:rsidRPr="00EB4495" w14:paraId="5EEE272F" w14:textId="77777777" w:rsidTr="00315B91">
              <w:trPr>
                <w:trHeight w:val="269"/>
              </w:trPr>
              <w:tc>
                <w:tcPr>
                  <w:tcW w:w="3458" w:type="dxa"/>
                  <w:tcBorders>
                    <w:top w:val="nil"/>
                    <w:left w:val="nil"/>
                    <w:bottom w:val="nil"/>
                    <w:right w:val="nil"/>
                  </w:tcBorders>
                  <w:shd w:val="clear" w:color="auto" w:fill="auto"/>
                  <w:vAlign w:val="center"/>
                </w:tcPr>
                <w:p w14:paraId="30ACD3B6" w14:textId="77777777" w:rsidR="005E7BFC" w:rsidRPr="00EB4495" w:rsidRDefault="005E7BFC" w:rsidP="005E7BFC">
                  <w:pPr>
                    <w:jc w:val="left"/>
                    <w:rPr>
                      <w:rFonts w:ascii="Arial" w:hAnsi="Arial" w:cs="Arial"/>
                      <w:sz w:val="22"/>
                      <w:szCs w:val="22"/>
                    </w:rPr>
                  </w:pPr>
                  <w:r w:rsidRPr="00EB4495">
                    <w:rPr>
                      <w:rFonts w:ascii="Arial" w:hAnsi="Arial" w:cs="Arial"/>
                      <w:b/>
                      <w:bCs/>
                      <w:sz w:val="22"/>
                      <w:szCs w:val="22"/>
                      <w:u w:val="single"/>
                    </w:rPr>
                    <w:t>Adjusted metrics</w:t>
                  </w:r>
                </w:p>
              </w:tc>
              <w:tc>
                <w:tcPr>
                  <w:tcW w:w="1327" w:type="dxa"/>
                  <w:tcBorders>
                    <w:top w:val="nil"/>
                    <w:left w:val="nil"/>
                    <w:bottom w:val="nil"/>
                    <w:right w:val="nil"/>
                  </w:tcBorders>
                  <w:vAlign w:val="center"/>
                </w:tcPr>
                <w:p w14:paraId="7142B62B" w14:textId="77777777" w:rsidR="005E7BFC" w:rsidRPr="009878ED" w:rsidRDefault="005E7BFC" w:rsidP="005E7BFC">
                  <w:pPr>
                    <w:jc w:val="right"/>
                    <w:rPr>
                      <w:rFonts w:ascii="Arial" w:hAnsi="Arial" w:cs="Arial"/>
                      <w:sz w:val="22"/>
                      <w:szCs w:val="22"/>
                    </w:rPr>
                  </w:pPr>
                </w:p>
              </w:tc>
              <w:tc>
                <w:tcPr>
                  <w:tcW w:w="1327" w:type="dxa"/>
                  <w:tcBorders>
                    <w:top w:val="nil"/>
                    <w:left w:val="nil"/>
                    <w:bottom w:val="nil"/>
                    <w:right w:val="nil"/>
                  </w:tcBorders>
                  <w:vAlign w:val="center"/>
                </w:tcPr>
                <w:p w14:paraId="275393A6" w14:textId="77777777" w:rsidR="005E7BFC" w:rsidRPr="009878ED" w:rsidRDefault="005E7BFC" w:rsidP="005E7BFC">
                  <w:pPr>
                    <w:jc w:val="right"/>
                    <w:rPr>
                      <w:rFonts w:ascii="Arial" w:hAnsi="Arial" w:cs="Arial"/>
                      <w:sz w:val="22"/>
                      <w:szCs w:val="22"/>
                    </w:rPr>
                  </w:pPr>
                </w:p>
              </w:tc>
              <w:tc>
                <w:tcPr>
                  <w:tcW w:w="1298" w:type="dxa"/>
                  <w:tcBorders>
                    <w:top w:val="nil"/>
                    <w:left w:val="nil"/>
                    <w:bottom w:val="nil"/>
                    <w:right w:val="nil"/>
                  </w:tcBorders>
                  <w:vAlign w:val="center"/>
                </w:tcPr>
                <w:p w14:paraId="4C53FCE1" w14:textId="77777777" w:rsidR="005E7BFC" w:rsidRPr="009878ED" w:rsidRDefault="005E7BFC" w:rsidP="005E7BFC">
                  <w:pPr>
                    <w:jc w:val="right"/>
                    <w:rPr>
                      <w:rFonts w:ascii="Arial" w:hAnsi="Arial" w:cs="Arial"/>
                      <w:sz w:val="22"/>
                      <w:szCs w:val="22"/>
                    </w:rPr>
                  </w:pPr>
                </w:p>
              </w:tc>
              <w:tc>
                <w:tcPr>
                  <w:tcW w:w="1298" w:type="dxa"/>
                  <w:tcBorders>
                    <w:top w:val="nil"/>
                    <w:left w:val="nil"/>
                    <w:bottom w:val="nil"/>
                    <w:right w:val="nil"/>
                  </w:tcBorders>
                  <w:vAlign w:val="center"/>
                </w:tcPr>
                <w:p w14:paraId="4D1918B5" w14:textId="77777777" w:rsidR="005E7BFC" w:rsidRPr="009878ED" w:rsidRDefault="005E7BFC" w:rsidP="005E7BFC">
                  <w:pPr>
                    <w:jc w:val="right"/>
                    <w:rPr>
                      <w:rFonts w:ascii="Arial" w:hAnsi="Arial" w:cs="Arial"/>
                      <w:sz w:val="22"/>
                      <w:szCs w:val="22"/>
                    </w:rPr>
                  </w:pPr>
                </w:p>
              </w:tc>
              <w:tc>
                <w:tcPr>
                  <w:tcW w:w="1298" w:type="dxa"/>
                  <w:tcBorders>
                    <w:top w:val="nil"/>
                    <w:left w:val="nil"/>
                    <w:bottom w:val="nil"/>
                    <w:right w:val="nil"/>
                  </w:tcBorders>
                  <w:vAlign w:val="center"/>
                </w:tcPr>
                <w:p w14:paraId="56D5B0D8" w14:textId="77777777" w:rsidR="005E7BFC" w:rsidRPr="009878ED" w:rsidRDefault="005E7BFC" w:rsidP="005E7BFC">
                  <w:pPr>
                    <w:jc w:val="right"/>
                    <w:rPr>
                      <w:rFonts w:ascii="Arial" w:hAnsi="Arial" w:cs="Arial"/>
                      <w:sz w:val="22"/>
                      <w:szCs w:val="22"/>
                    </w:rPr>
                  </w:pPr>
                </w:p>
              </w:tc>
            </w:tr>
            <w:tr w:rsidR="005E7BFC" w:rsidRPr="00EB4495" w14:paraId="744D3D8E" w14:textId="77777777" w:rsidTr="00315B91">
              <w:trPr>
                <w:trHeight w:val="269"/>
              </w:trPr>
              <w:tc>
                <w:tcPr>
                  <w:tcW w:w="3458" w:type="dxa"/>
                  <w:tcBorders>
                    <w:top w:val="nil"/>
                    <w:left w:val="nil"/>
                    <w:bottom w:val="nil"/>
                    <w:right w:val="nil"/>
                  </w:tcBorders>
                  <w:shd w:val="clear" w:color="auto" w:fill="auto"/>
                  <w:vAlign w:val="center"/>
                </w:tcPr>
                <w:p w14:paraId="7162124F" w14:textId="77777777" w:rsidR="005E7BFC" w:rsidRPr="00F21976" w:rsidRDefault="005E7BFC" w:rsidP="005E7BFC">
                  <w:pPr>
                    <w:jc w:val="left"/>
                    <w:rPr>
                      <w:rFonts w:ascii="Arial" w:hAnsi="Arial" w:cs="Arial"/>
                      <w:sz w:val="22"/>
                      <w:szCs w:val="22"/>
                    </w:rPr>
                  </w:pPr>
                  <w:r w:rsidRPr="00F21976">
                    <w:rPr>
                      <w:rFonts w:ascii="Arial" w:hAnsi="Arial" w:cs="Arial"/>
                      <w:sz w:val="22"/>
                      <w:szCs w:val="22"/>
                    </w:rPr>
                    <w:t>Retail profit*</w:t>
                  </w:r>
                </w:p>
              </w:tc>
              <w:tc>
                <w:tcPr>
                  <w:tcW w:w="1327" w:type="dxa"/>
                  <w:tcBorders>
                    <w:top w:val="nil"/>
                    <w:left w:val="nil"/>
                    <w:bottom w:val="nil"/>
                    <w:right w:val="nil"/>
                  </w:tcBorders>
                  <w:vAlign w:val="center"/>
                </w:tcPr>
                <w:p w14:paraId="5A65518A" w14:textId="39B4DA29" w:rsidR="005E7BFC" w:rsidRPr="009878ED" w:rsidRDefault="005E7BFC" w:rsidP="005E7BFC">
                  <w:pPr>
                    <w:jc w:val="right"/>
                    <w:rPr>
                      <w:rFonts w:ascii="Arial" w:hAnsi="Arial" w:cs="Arial"/>
                      <w:sz w:val="22"/>
                      <w:szCs w:val="22"/>
                    </w:rPr>
                  </w:pPr>
                  <w:r w:rsidRPr="00EB4495">
                    <w:rPr>
                      <w:rFonts w:ascii="Arial" w:hAnsi="Arial" w:cs="Arial"/>
                      <w:sz w:val="22"/>
                      <w:szCs w:val="22"/>
                    </w:rPr>
                    <w:t>£</w:t>
                  </w:r>
                  <w:r w:rsidR="0099044D">
                    <w:rPr>
                      <w:rFonts w:ascii="Arial" w:hAnsi="Arial" w:cs="Arial"/>
                      <w:sz w:val="22"/>
                      <w:szCs w:val="22"/>
                    </w:rPr>
                    <w:t>923</w:t>
                  </w:r>
                  <w:r w:rsidRPr="00EB4495">
                    <w:rPr>
                      <w:rFonts w:ascii="Arial" w:hAnsi="Arial" w:cs="Arial"/>
                      <w:sz w:val="22"/>
                      <w:szCs w:val="22"/>
                    </w:rPr>
                    <w:t>m</w:t>
                  </w:r>
                </w:p>
              </w:tc>
              <w:tc>
                <w:tcPr>
                  <w:tcW w:w="1327" w:type="dxa"/>
                  <w:tcBorders>
                    <w:top w:val="nil"/>
                    <w:left w:val="nil"/>
                    <w:bottom w:val="nil"/>
                    <w:right w:val="nil"/>
                  </w:tcBorders>
                  <w:vAlign w:val="center"/>
                </w:tcPr>
                <w:p w14:paraId="7BF60A40" w14:textId="766FAD4C" w:rsidR="005E7BFC" w:rsidRPr="009878ED" w:rsidRDefault="005E7BFC" w:rsidP="005E7BFC">
                  <w:pPr>
                    <w:jc w:val="right"/>
                    <w:rPr>
                      <w:rFonts w:ascii="Arial" w:hAnsi="Arial" w:cs="Arial"/>
                      <w:sz w:val="22"/>
                      <w:szCs w:val="22"/>
                    </w:rPr>
                  </w:pPr>
                  <w:r w:rsidRPr="00EB4495">
                    <w:rPr>
                      <w:rFonts w:ascii="Arial" w:hAnsi="Arial" w:cs="Arial"/>
                      <w:sz w:val="22"/>
                      <w:szCs w:val="22"/>
                    </w:rPr>
                    <w:t>£1,148m</w:t>
                  </w:r>
                </w:p>
              </w:tc>
              <w:tc>
                <w:tcPr>
                  <w:tcW w:w="1298" w:type="dxa"/>
                  <w:tcBorders>
                    <w:top w:val="nil"/>
                    <w:left w:val="nil"/>
                    <w:bottom w:val="nil"/>
                    <w:right w:val="nil"/>
                  </w:tcBorders>
                  <w:vAlign w:val="center"/>
                </w:tcPr>
                <w:p w14:paraId="28F42167" w14:textId="6ADCD19B" w:rsidR="005E7BFC" w:rsidRPr="009878ED" w:rsidRDefault="005E7BFC" w:rsidP="005E7BFC">
                  <w:pPr>
                    <w:jc w:val="right"/>
                    <w:rPr>
                      <w:rFonts w:ascii="Arial" w:hAnsi="Arial" w:cs="Arial"/>
                      <w:sz w:val="22"/>
                      <w:szCs w:val="22"/>
                    </w:rPr>
                  </w:pPr>
                  <w:r w:rsidRPr="009878ED">
                    <w:rPr>
                      <w:rFonts w:ascii="Arial" w:hAnsi="Arial" w:cs="Arial"/>
                      <w:sz w:val="22"/>
                      <w:szCs w:val="22"/>
                    </w:rPr>
                    <w:t>(</w:t>
                  </w:r>
                  <w:r w:rsidR="00D25DEC">
                    <w:rPr>
                      <w:rFonts w:ascii="Arial" w:hAnsi="Arial" w:cs="Arial"/>
                      <w:sz w:val="22"/>
                      <w:szCs w:val="22"/>
                    </w:rPr>
                    <w:t>19.</w:t>
                  </w:r>
                  <w:r w:rsidR="00094645">
                    <w:rPr>
                      <w:rFonts w:ascii="Arial" w:hAnsi="Arial" w:cs="Arial"/>
                      <w:sz w:val="22"/>
                      <w:szCs w:val="22"/>
                    </w:rPr>
                    <w:t>7</w:t>
                  </w:r>
                  <w:r w:rsidRPr="009878ED">
                    <w:rPr>
                      <w:rFonts w:ascii="Arial" w:hAnsi="Arial" w:cs="Arial"/>
                      <w:sz w:val="22"/>
                      <w:szCs w:val="22"/>
                    </w:rPr>
                    <w:t>)%</w:t>
                  </w:r>
                </w:p>
              </w:tc>
              <w:tc>
                <w:tcPr>
                  <w:tcW w:w="1298" w:type="dxa"/>
                  <w:tcBorders>
                    <w:top w:val="nil"/>
                    <w:left w:val="nil"/>
                    <w:bottom w:val="nil"/>
                    <w:right w:val="nil"/>
                  </w:tcBorders>
                  <w:vAlign w:val="center"/>
                </w:tcPr>
                <w:p w14:paraId="38B2327A" w14:textId="50582AA6" w:rsidR="005E7BFC" w:rsidRPr="009878ED" w:rsidRDefault="005E7BFC" w:rsidP="005E7BFC">
                  <w:pPr>
                    <w:jc w:val="right"/>
                    <w:rPr>
                      <w:rFonts w:ascii="Arial" w:hAnsi="Arial" w:cs="Arial"/>
                      <w:sz w:val="22"/>
                      <w:szCs w:val="22"/>
                    </w:rPr>
                  </w:pPr>
                  <w:r w:rsidRPr="009878ED">
                    <w:rPr>
                      <w:rFonts w:ascii="Arial" w:hAnsi="Arial" w:cs="Arial"/>
                      <w:sz w:val="22"/>
                      <w:szCs w:val="22"/>
                    </w:rPr>
                    <w:t>(</w:t>
                  </w:r>
                  <w:r w:rsidR="00E258F6">
                    <w:rPr>
                      <w:rFonts w:ascii="Arial" w:hAnsi="Arial" w:cs="Arial"/>
                      <w:sz w:val="22"/>
                      <w:szCs w:val="22"/>
                    </w:rPr>
                    <w:t>19.2</w:t>
                  </w:r>
                  <w:r w:rsidRPr="009878ED">
                    <w:rPr>
                      <w:rFonts w:ascii="Arial" w:hAnsi="Arial" w:cs="Arial"/>
                      <w:sz w:val="22"/>
                      <w:szCs w:val="22"/>
                    </w:rPr>
                    <w:t>)%</w:t>
                  </w:r>
                </w:p>
              </w:tc>
              <w:tc>
                <w:tcPr>
                  <w:tcW w:w="1298" w:type="dxa"/>
                  <w:tcBorders>
                    <w:top w:val="nil"/>
                    <w:left w:val="nil"/>
                    <w:bottom w:val="nil"/>
                    <w:right w:val="nil"/>
                  </w:tcBorders>
                  <w:vAlign w:val="center"/>
                </w:tcPr>
                <w:p w14:paraId="274745CB" w14:textId="77777777" w:rsidR="005E7BFC" w:rsidRPr="009878ED" w:rsidRDefault="005E7BFC" w:rsidP="005E7BFC">
                  <w:pPr>
                    <w:jc w:val="right"/>
                    <w:rPr>
                      <w:rFonts w:ascii="Arial" w:hAnsi="Arial" w:cs="Arial"/>
                      <w:sz w:val="22"/>
                      <w:szCs w:val="22"/>
                    </w:rPr>
                  </w:pPr>
                </w:p>
              </w:tc>
            </w:tr>
            <w:tr w:rsidR="005E7BFC" w:rsidRPr="00EB4495" w14:paraId="248CF565" w14:textId="77777777" w:rsidTr="00315B91">
              <w:trPr>
                <w:trHeight w:val="269"/>
              </w:trPr>
              <w:tc>
                <w:tcPr>
                  <w:tcW w:w="3458" w:type="dxa"/>
                  <w:tcBorders>
                    <w:top w:val="nil"/>
                    <w:left w:val="nil"/>
                    <w:bottom w:val="nil"/>
                    <w:right w:val="nil"/>
                  </w:tcBorders>
                  <w:shd w:val="clear" w:color="auto" w:fill="auto"/>
                  <w:vAlign w:val="center"/>
                </w:tcPr>
                <w:p w14:paraId="523F755C" w14:textId="77777777" w:rsidR="005E7BFC" w:rsidRPr="00F21976" w:rsidRDefault="005E7BFC" w:rsidP="005E7BFC">
                  <w:pPr>
                    <w:jc w:val="left"/>
                    <w:rPr>
                      <w:rFonts w:ascii="Arial" w:hAnsi="Arial" w:cs="Arial"/>
                      <w:sz w:val="22"/>
                      <w:szCs w:val="22"/>
                    </w:rPr>
                  </w:pPr>
                  <w:r w:rsidRPr="00F21976">
                    <w:rPr>
                      <w:rFonts w:ascii="Arial" w:hAnsi="Arial" w:cs="Arial"/>
                      <w:sz w:val="22"/>
                      <w:szCs w:val="22"/>
                    </w:rPr>
                    <w:t>Retail profit margin %*</w:t>
                  </w:r>
                </w:p>
              </w:tc>
              <w:tc>
                <w:tcPr>
                  <w:tcW w:w="1327" w:type="dxa"/>
                  <w:tcBorders>
                    <w:top w:val="nil"/>
                    <w:left w:val="nil"/>
                    <w:bottom w:val="nil"/>
                    <w:right w:val="nil"/>
                  </w:tcBorders>
                  <w:vAlign w:val="center"/>
                </w:tcPr>
                <w:p w14:paraId="67861F2A" w14:textId="14772EE7" w:rsidR="005E7BFC" w:rsidRPr="009878ED" w:rsidRDefault="00EF2D8C" w:rsidP="005E7BFC">
                  <w:pPr>
                    <w:jc w:val="right"/>
                    <w:rPr>
                      <w:rFonts w:ascii="Arial" w:hAnsi="Arial" w:cs="Arial"/>
                      <w:sz w:val="22"/>
                      <w:szCs w:val="22"/>
                    </w:rPr>
                  </w:pPr>
                  <w:r>
                    <w:rPr>
                      <w:rFonts w:ascii="Arial" w:hAnsi="Arial" w:cs="Arial"/>
                      <w:sz w:val="22"/>
                      <w:szCs w:val="22"/>
                    </w:rPr>
                    <w:t>7.1</w:t>
                  </w:r>
                  <w:r w:rsidR="005E7BFC" w:rsidRPr="00EB4495">
                    <w:rPr>
                      <w:rFonts w:ascii="Arial" w:hAnsi="Arial" w:cs="Arial"/>
                      <w:sz w:val="22"/>
                      <w:szCs w:val="22"/>
                    </w:rPr>
                    <w:t>%</w:t>
                  </w:r>
                </w:p>
              </w:tc>
              <w:tc>
                <w:tcPr>
                  <w:tcW w:w="1327" w:type="dxa"/>
                  <w:tcBorders>
                    <w:top w:val="nil"/>
                    <w:left w:val="nil"/>
                    <w:bottom w:val="nil"/>
                    <w:right w:val="nil"/>
                  </w:tcBorders>
                  <w:shd w:val="clear" w:color="auto" w:fill="auto"/>
                  <w:vAlign w:val="center"/>
                </w:tcPr>
                <w:p w14:paraId="1F6678CF" w14:textId="78DB1946" w:rsidR="005E7BFC" w:rsidRPr="009878ED" w:rsidRDefault="005E7BFC" w:rsidP="005E7BFC">
                  <w:pPr>
                    <w:jc w:val="right"/>
                    <w:rPr>
                      <w:rFonts w:ascii="Arial" w:hAnsi="Arial" w:cs="Arial"/>
                      <w:sz w:val="22"/>
                      <w:szCs w:val="22"/>
                    </w:rPr>
                  </w:pPr>
                  <w:r w:rsidRPr="00EB4495">
                    <w:rPr>
                      <w:rFonts w:ascii="Arial" w:hAnsi="Arial" w:cs="Arial"/>
                      <w:sz w:val="22"/>
                      <w:szCs w:val="22"/>
                    </w:rPr>
                    <w:t>8.7%</w:t>
                  </w:r>
                </w:p>
              </w:tc>
              <w:tc>
                <w:tcPr>
                  <w:tcW w:w="1298" w:type="dxa"/>
                  <w:tcBorders>
                    <w:top w:val="nil"/>
                    <w:left w:val="nil"/>
                    <w:bottom w:val="nil"/>
                    <w:right w:val="nil"/>
                  </w:tcBorders>
                  <w:vAlign w:val="center"/>
                </w:tcPr>
                <w:p w14:paraId="39355BEA" w14:textId="410B3743" w:rsidR="005E7BFC" w:rsidRPr="009878ED" w:rsidRDefault="005E7BFC" w:rsidP="005E7BFC">
                  <w:pPr>
                    <w:jc w:val="right"/>
                    <w:rPr>
                      <w:rFonts w:ascii="Arial" w:hAnsi="Arial" w:cs="Arial"/>
                      <w:sz w:val="22"/>
                      <w:szCs w:val="22"/>
                    </w:rPr>
                  </w:pPr>
                  <w:r w:rsidRPr="009878ED">
                    <w:rPr>
                      <w:rFonts w:ascii="Arial" w:hAnsi="Arial" w:cs="Arial"/>
                      <w:sz w:val="22"/>
                      <w:szCs w:val="22"/>
                    </w:rPr>
                    <w:t>(</w:t>
                  </w:r>
                  <w:r w:rsidR="00645058">
                    <w:rPr>
                      <w:rFonts w:ascii="Arial" w:hAnsi="Arial" w:cs="Arial"/>
                      <w:sz w:val="22"/>
                      <w:szCs w:val="22"/>
                    </w:rPr>
                    <w:t>160</w:t>
                  </w:r>
                  <w:r w:rsidRPr="009878ED">
                    <w:rPr>
                      <w:rFonts w:ascii="Arial" w:hAnsi="Arial" w:cs="Arial"/>
                      <w:sz w:val="22"/>
                      <w:szCs w:val="22"/>
                    </w:rPr>
                    <w:t>)bps</w:t>
                  </w:r>
                </w:p>
              </w:tc>
              <w:tc>
                <w:tcPr>
                  <w:tcW w:w="1298" w:type="dxa"/>
                  <w:tcBorders>
                    <w:top w:val="nil"/>
                    <w:left w:val="nil"/>
                    <w:bottom w:val="nil"/>
                    <w:right w:val="nil"/>
                  </w:tcBorders>
                  <w:vAlign w:val="center"/>
                </w:tcPr>
                <w:p w14:paraId="4F13FB1F" w14:textId="6C9E83F3" w:rsidR="005E7BFC" w:rsidRPr="009878ED" w:rsidRDefault="005E7BFC" w:rsidP="005E7BFC">
                  <w:pPr>
                    <w:jc w:val="right"/>
                    <w:rPr>
                      <w:rFonts w:ascii="Arial" w:hAnsi="Arial" w:cs="Arial"/>
                      <w:sz w:val="22"/>
                      <w:szCs w:val="22"/>
                    </w:rPr>
                  </w:pPr>
                  <w:r w:rsidRPr="009878ED">
                    <w:rPr>
                      <w:rFonts w:ascii="Arial" w:hAnsi="Arial" w:cs="Arial"/>
                      <w:sz w:val="22"/>
                      <w:szCs w:val="22"/>
                    </w:rPr>
                    <w:t>(</w:t>
                  </w:r>
                  <w:r w:rsidR="00F03EDF">
                    <w:rPr>
                      <w:rFonts w:ascii="Arial" w:hAnsi="Arial" w:cs="Arial"/>
                      <w:sz w:val="22"/>
                      <w:szCs w:val="22"/>
                    </w:rPr>
                    <w:t>160</w:t>
                  </w:r>
                  <w:r w:rsidRPr="009878ED">
                    <w:rPr>
                      <w:rFonts w:ascii="Arial" w:hAnsi="Arial" w:cs="Arial"/>
                      <w:sz w:val="22"/>
                      <w:szCs w:val="22"/>
                    </w:rPr>
                    <w:t>)bps</w:t>
                  </w:r>
                </w:p>
              </w:tc>
              <w:tc>
                <w:tcPr>
                  <w:tcW w:w="1298" w:type="dxa"/>
                  <w:tcBorders>
                    <w:top w:val="nil"/>
                    <w:left w:val="nil"/>
                    <w:bottom w:val="nil"/>
                    <w:right w:val="nil"/>
                  </w:tcBorders>
                  <w:vAlign w:val="center"/>
                </w:tcPr>
                <w:p w14:paraId="4C95A94E" w14:textId="77777777" w:rsidR="005E7BFC" w:rsidRPr="009878ED" w:rsidRDefault="005E7BFC" w:rsidP="005E7BFC">
                  <w:pPr>
                    <w:jc w:val="right"/>
                    <w:rPr>
                      <w:rFonts w:ascii="Arial" w:hAnsi="Arial" w:cs="Arial"/>
                      <w:sz w:val="22"/>
                      <w:szCs w:val="22"/>
                    </w:rPr>
                  </w:pPr>
                </w:p>
              </w:tc>
            </w:tr>
            <w:tr w:rsidR="005E7BFC" w:rsidRPr="00EB4495" w14:paraId="5570937F" w14:textId="77777777" w:rsidTr="007D6F54">
              <w:trPr>
                <w:trHeight w:val="269"/>
              </w:trPr>
              <w:tc>
                <w:tcPr>
                  <w:tcW w:w="3458" w:type="dxa"/>
                  <w:tcBorders>
                    <w:top w:val="nil"/>
                    <w:left w:val="nil"/>
                    <w:bottom w:val="nil"/>
                    <w:right w:val="nil"/>
                  </w:tcBorders>
                  <w:shd w:val="clear" w:color="auto" w:fill="auto"/>
                  <w:vAlign w:val="center"/>
                </w:tcPr>
                <w:p w14:paraId="4EAEF849" w14:textId="77777777" w:rsidR="005E7BFC" w:rsidRPr="00F21976" w:rsidRDefault="005E7BFC" w:rsidP="005E7BFC">
                  <w:pPr>
                    <w:jc w:val="left"/>
                    <w:rPr>
                      <w:rFonts w:ascii="Arial" w:hAnsi="Arial" w:cs="Arial"/>
                      <w:sz w:val="22"/>
                      <w:szCs w:val="22"/>
                    </w:rPr>
                  </w:pPr>
                  <w:r w:rsidRPr="00F21976">
                    <w:rPr>
                      <w:rFonts w:ascii="Arial" w:hAnsi="Arial" w:cs="Arial"/>
                      <w:sz w:val="22"/>
                      <w:szCs w:val="22"/>
                    </w:rPr>
                    <w:t>Adjusted pre-tax profit*</w:t>
                  </w:r>
                </w:p>
              </w:tc>
              <w:tc>
                <w:tcPr>
                  <w:tcW w:w="1327" w:type="dxa"/>
                  <w:tcBorders>
                    <w:top w:val="nil"/>
                    <w:left w:val="nil"/>
                    <w:bottom w:val="nil"/>
                    <w:right w:val="nil"/>
                  </w:tcBorders>
                  <w:vAlign w:val="center"/>
                </w:tcPr>
                <w:p w14:paraId="2977E522" w14:textId="5AC5E21A" w:rsidR="005E7BFC" w:rsidRPr="009878ED" w:rsidRDefault="005E7BFC" w:rsidP="005E7BFC">
                  <w:pPr>
                    <w:jc w:val="right"/>
                    <w:rPr>
                      <w:rFonts w:ascii="Arial" w:hAnsi="Arial" w:cs="Arial"/>
                      <w:sz w:val="22"/>
                      <w:szCs w:val="22"/>
                    </w:rPr>
                  </w:pPr>
                  <w:r w:rsidRPr="0056048C">
                    <w:rPr>
                      <w:rFonts w:ascii="Arial" w:hAnsi="Arial" w:cs="Arial"/>
                      <w:sz w:val="22"/>
                      <w:szCs w:val="22"/>
                    </w:rPr>
                    <w:t>£</w:t>
                  </w:r>
                  <w:r w:rsidR="003E70C7">
                    <w:rPr>
                      <w:rFonts w:ascii="Arial" w:hAnsi="Arial" w:cs="Arial"/>
                      <w:sz w:val="22"/>
                      <w:szCs w:val="22"/>
                    </w:rPr>
                    <w:t>758</w:t>
                  </w:r>
                  <w:r w:rsidR="003E70C7" w:rsidRPr="0056048C">
                    <w:rPr>
                      <w:rFonts w:ascii="Arial" w:hAnsi="Arial" w:cs="Arial"/>
                      <w:sz w:val="22"/>
                      <w:szCs w:val="22"/>
                    </w:rPr>
                    <w:t>m</w:t>
                  </w:r>
                </w:p>
              </w:tc>
              <w:tc>
                <w:tcPr>
                  <w:tcW w:w="1327" w:type="dxa"/>
                  <w:tcBorders>
                    <w:top w:val="nil"/>
                    <w:left w:val="nil"/>
                    <w:bottom w:val="nil"/>
                    <w:right w:val="nil"/>
                  </w:tcBorders>
                  <w:shd w:val="clear" w:color="auto" w:fill="auto"/>
                  <w:vAlign w:val="center"/>
                </w:tcPr>
                <w:p w14:paraId="779E104E" w14:textId="014D3CF4" w:rsidR="005E7BFC" w:rsidRPr="009878ED" w:rsidRDefault="005E7BFC" w:rsidP="005E7BFC">
                  <w:pPr>
                    <w:jc w:val="right"/>
                    <w:rPr>
                      <w:rFonts w:ascii="Arial" w:hAnsi="Arial" w:cs="Arial"/>
                      <w:sz w:val="22"/>
                      <w:szCs w:val="22"/>
                    </w:rPr>
                  </w:pPr>
                  <w:r w:rsidRPr="0056048C">
                    <w:rPr>
                      <w:rFonts w:ascii="Arial" w:hAnsi="Arial" w:cs="Arial"/>
                      <w:sz w:val="22"/>
                      <w:szCs w:val="22"/>
                    </w:rPr>
                    <w:t>£949m</w:t>
                  </w:r>
                </w:p>
              </w:tc>
              <w:tc>
                <w:tcPr>
                  <w:tcW w:w="1298" w:type="dxa"/>
                  <w:tcBorders>
                    <w:top w:val="nil"/>
                    <w:left w:val="nil"/>
                    <w:bottom w:val="nil"/>
                    <w:right w:val="nil"/>
                  </w:tcBorders>
                  <w:vAlign w:val="center"/>
                </w:tcPr>
                <w:p w14:paraId="05E48111" w14:textId="28B479A4" w:rsidR="005E7BFC" w:rsidRPr="009878ED" w:rsidRDefault="005E7BFC" w:rsidP="005E7BFC">
                  <w:pPr>
                    <w:jc w:val="right"/>
                    <w:rPr>
                      <w:rFonts w:ascii="Arial" w:hAnsi="Arial" w:cs="Arial"/>
                      <w:sz w:val="22"/>
                      <w:szCs w:val="22"/>
                    </w:rPr>
                  </w:pPr>
                  <w:r w:rsidRPr="009878ED">
                    <w:rPr>
                      <w:rFonts w:ascii="Arial" w:hAnsi="Arial" w:cs="Arial"/>
                      <w:sz w:val="22"/>
                      <w:szCs w:val="22"/>
                    </w:rPr>
                    <w:t>(</w:t>
                  </w:r>
                  <w:r w:rsidR="00A05400">
                    <w:rPr>
                      <w:rFonts w:ascii="Arial" w:hAnsi="Arial" w:cs="Arial"/>
                      <w:sz w:val="22"/>
                      <w:szCs w:val="22"/>
                    </w:rPr>
                    <w:t>20.</w:t>
                  </w:r>
                  <w:r w:rsidR="00142FA6">
                    <w:rPr>
                      <w:rFonts w:ascii="Arial" w:hAnsi="Arial" w:cs="Arial"/>
                      <w:sz w:val="22"/>
                      <w:szCs w:val="22"/>
                    </w:rPr>
                    <w:t>2</w:t>
                  </w:r>
                  <w:r w:rsidRPr="009878ED">
                    <w:rPr>
                      <w:rFonts w:ascii="Arial" w:hAnsi="Arial" w:cs="Arial"/>
                      <w:sz w:val="22"/>
                      <w:szCs w:val="22"/>
                    </w:rPr>
                    <w:t>)%</w:t>
                  </w:r>
                </w:p>
              </w:tc>
              <w:tc>
                <w:tcPr>
                  <w:tcW w:w="1298" w:type="dxa"/>
                  <w:tcBorders>
                    <w:top w:val="nil"/>
                    <w:left w:val="nil"/>
                    <w:bottom w:val="nil"/>
                    <w:right w:val="nil"/>
                  </w:tcBorders>
                  <w:vAlign w:val="center"/>
                </w:tcPr>
                <w:p w14:paraId="2A381F0D" w14:textId="77777777" w:rsidR="005E7BFC" w:rsidRPr="009878ED" w:rsidRDefault="005E7BFC" w:rsidP="005E7BFC">
                  <w:pPr>
                    <w:jc w:val="right"/>
                    <w:rPr>
                      <w:rFonts w:ascii="Arial" w:hAnsi="Arial" w:cs="Arial"/>
                      <w:sz w:val="22"/>
                      <w:szCs w:val="22"/>
                    </w:rPr>
                  </w:pPr>
                </w:p>
              </w:tc>
              <w:tc>
                <w:tcPr>
                  <w:tcW w:w="1298" w:type="dxa"/>
                  <w:tcBorders>
                    <w:top w:val="nil"/>
                    <w:left w:val="nil"/>
                    <w:bottom w:val="nil"/>
                    <w:right w:val="nil"/>
                  </w:tcBorders>
                  <w:vAlign w:val="center"/>
                </w:tcPr>
                <w:p w14:paraId="460C0034" w14:textId="77777777" w:rsidR="005E7BFC" w:rsidRPr="009878ED" w:rsidRDefault="005E7BFC" w:rsidP="005E7BFC">
                  <w:pPr>
                    <w:jc w:val="right"/>
                    <w:rPr>
                      <w:rFonts w:ascii="Arial" w:hAnsi="Arial" w:cs="Arial"/>
                      <w:sz w:val="22"/>
                      <w:szCs w:val="22"/>
                    </w:rPr>
                  </w:pPr>
                </w:p>
              </w:tc>
            </w:tr>
            <w:tr w:rsidR="005E7BFC" w:rsidRPr="00EB4495" w14:paraId="359DA5F7" w14:textId="77777777" w:rsidTr="007D6F54">
              <w:trPr>
                <w:trHeight w:val="269"/>
              </w:trPr>
              <w:tc>
                <w:tcPr>
                  <w:tcW w:w="3458" w:type="dxa"/>
                  <w:tcBorders>
                    <w:top w:val="nil"/>
                    <w:left w:val="nil"/>
                    <w:bottom w:val="nil"/>
                    <w:right w:val="nil"/>
                  </w:tcBorders>
                  <w:shd w:val="clear" w:color="auto" w:fill="auto"/>
                  <w:vAlign w:val="center"/>
                </w:tcPr>
                <w:p w14:paraId="3B6CB088" w14:textId="77777777" w:rsidR="005E7BFC" w:rsidRPr="00F21976" w:rsidRDefault="005E7BFC" w:rsidP="005E7BFC">
                  <w:pPr>
                    <w:jc w:val="left"/>
                    <w:rPr>
                      <w:rFonts w:ascii="Arial" w:hAnsi="Arial" w:cs="Arial"/>
                      <w:sz w:val="22"/>
                      <w:szCs w:val="22"/>
                    </w:rPr>
                  </w:pPr>
                  <w:r w:rsidRPr="00F21976">
                    <w:rPr>
                      <w:rFonts w:ascii="Arial" w:hAnsi="Arial" w:cs="Arial"/>
                      <w:sz w:val="22"/>
                      <w:szCs w:val="22"/>
                    </w:rPr>
                    <w:t>Adjusted post-tax profit*</w:t>
                  </w:r>
                </w:p>
              </w:tc>
              <w:tc>
                <w:tcPr>
                  <w:tcW w:w="1327" w:type="dxa"/>
                  <w:tcBorders>
                    <w:top w:val="nil"/>
                    <w:left w:val="nil"/>
                    <w:bottom w:val="nil"/>
                    <w:right w:val="nil"/>
                  </w:tcBorders>
                  <w:vAlign w:val="center"/>
                </w:tcPr>
                <w:p w14:paraId="53BD16B7" w14:textId="491B0E51" w:rsidR="005E7BFC" w:rsidRPr="009878ED" w:rsidRDefault="005E7BFC" w:rsidP="005E7BFC">
                  <w:pPr>
                    <w:jc w:val="right"/>
                    <w:rPr>
                      <w:rFonts w:ascii="Arial" w:hAnsi="Arial" w:cs="Arial"/>
                      <w:sz w:val="22"/>
                      <w:szCs w:val="22"/>
                    </w:rPr>
                  </w:pPr>
                  <w:r w:rsidRPr="00804101">
                    <w:rPr>
                      <w:rFonts w:ascii="Arial" w:hAnsi="Arial" w:cs="Arial"/>
                      <w:sz w:val="22"/>
                      <w:szCs w:val="22"/>
                    </w:rPr>
                    <w:t>£</w:t>
                  </w:r>
                  <w:r w:rsidR="004D2D07">
                    <w:rPr>
                      <w:rFonts w:ascii="Arial" w:hAnsi="Arial" w:cs="Arial"/>
                      <w:sz w:val="22"/>
                      <w:szCs w:val="22"/>
                    </w:rPr>
                    <w:t>589</w:t>
                  </w:r>
                  <w:r w:rsidR="004D2D07" w:rsidRPr="00804101">
                    <w:rPr>
                      <w:rFonts w:ascii="Arial" w:hAnsi="Arial" w:cs="Arial"/>
                      <w:sz w:val="22"/>
                      <w:szCs w:val="22"/>
                    </w:rPr>
                    <w:t>m</w:t>
                  </w:r>
                </w:p>
              </w:tc>
              <w:tc>
                <w:tcPr>
                  <w:tcW w:w="1327" w:type="dxa"/>
                  <w:tcBorders>
                    <w:top w:val="nil"/>
                    <w:left w:val="nil"/>
                    <w:bottom w:val="nil"/>
                    <w:right w:val="nil"/>
                  </w:tcBorders>
                  <w:shd w:val="clear" w:color="auto" w:fill="auto"/>
                  <w:vAlign w:val="center"/>
                </w:tcPr>
                <w:p w14:paraId="181D44FF" w14:textId="282E2A88" w:rsidR="005E7BFC" w:rsidRPr="009878ED" w:rsidRDefault="005E7BFC" w:rsidP="005E7BFC">
                  <w:pPr>
                    <w:jc w:val="right"/>
                    <w:rPr>
                      <w:rFonts w:ascii="Arial" w:hAnsi="Arial" w:cs="Arial"/>
                      <w:sz w:val="22"/>
                      <w:szCs w:val="22"/>
                    </w:rPr>
                  </w:pPr>
                  <w:r w:rsidRPr="00804101">
                    <w:rPr>
                      <w:rFonts w:ascii="Arial" w:hAnsi="Arial" w:cs="Arial"/>
                      <w:sz w:val="22"/>
                      <w:szCs w:val="22"/>
                    </w:rPr>
                    <w:t>£737m</w:t>
                  </w:r>
                </w:p>
              </w:tc>
              <w:tc>
                <w:tcPr>
                  <w:tcW w:w="1298" w:type="dxa"/>
                  <w:tcBorders>
                    <w:top w:val="nil"/>
                    <w:left w:val="nil"/>
                    <w:bottom w:val="nil"/>
                    <w:right w:val="nil"/>
                  </w:tcBorders>
                  <w:vAlign w:val="center"/>
                </w:tcPr>
                <w:p w14:paraId="35ECAE4C" w14:textId="7EAC1194" w:rsidR="005E7BFC" w:rsidRPr="009878ED" w:rsidRDefault="005E7BFC" w:rsidP="005E7BFC">
                  <w:pPr>
                    <w:jc w:val="right"/>
                    <w:rPr>
                      <w:rFonts w:ascii="Arial" w:hAnsi="Arial" w:cs="Arial"/>
                      <w:sz w:val="22"/>
                      <w:szCs w:val="22"/>
                    </w:rPr>
                  </w:pPr>
                  <w:r w:rsidRPr="009878ED">
                    <w:rPr>
                      <w:rFonts w:ascii="Arial" w:hAnsi="Arial" w:cs="Arial"/>
                      <w:sz w:val="22"/>
                      <w:szCs w:val="22"/>
                    </w:rPr>
                    <w:t>(</w:t>
                  </w:r>
                  <w:r w:rsidR="00C60F48">
                    <w:rPr>
                      <w:rFonts w:ascii="Arial" w:hAnsi="Arial" w:cs="Arial"/>
                      <w:sz w:val="22"/>
                      <w:szCs w:val="22"/>
                    </w:rPr>
                    <w:t>20.2</w:t>
                  </w:r>
                  <w:r w:rsidRPr="009878ED">
                    <w:rPr>
                      <w:rFonts w:ascii="Arial" w:hAnsi="Arial" w:cs="Arial"/>
                      <w:sz w:val="22"/>
                      <w:szCs w:val="22"/>
                    </w:rPr>
                    <w:t>)%</w:t>
                  </w:r>
                </w:p>
              </w:tc>
              <w:tc>
                <w:tcPr>
                  <w:tcW w:w="1298" w:type="dxa"/>
                  <w:tcBorders>
                    <w:top w:val="nil"/>
                    <w:left w:val="nil"/>
                    <w:bottom w:val="nil"/>
                    <w:right w:val="nil"/>
                  </w:tcBorders>
                  <w:vAlign w:val="center"/>
                </w:tcPr>
                <w:p w14:paraId="53E77446" w14:textId="77777777" w:rsidR="005E7BFC" w:rsidRPr="009878ED" w:rsidRDefault="005E7BFC" w:rsidP="005E7BFC">
                  <w:pPr>
                    <w:jc w:val="right"/>
                    <w:rPr>
                      <w:rFonts w:ascii="Arial" w:hAnsi="Arial" w:cs="Arial"/>
                      <w:sz w:val="22"/>
                      <w:szCs w:val="22"/>
                    </w:rPr>
                  </w:pPr>
                </w:p>
              </w:tc>
              <w:tc>
                <w:tcPr>
                  <w:tcW w:w="1298" w:type="dxa"/>
                  <w:tcBorders>
                    <w:top w:val="nil"/>
                    <w:left w:val="nil"/>
                    <w:bottom w:val="nil"/>
                    <w:right w:val="nil"/>
                  </w:tcBorders>
                  <w:vAlign w:val="center"/>
                </w:tcPr>
                <w:p w14:paraId="71647306" w14:textId="77777777" w:rsidR="005E7BFC" w:rsidRPr="009878ED" w:rsidRDefault="005E7BFC" w:rsidP="005E7BFC">
                  <w:pPr>
                    <w:jc w:val="right"/>
                    <w:rPr>
                      <w:rFonts w:ascii="Arial" w:hAnsi="Arial" w:cs="Arial"/>
                      <w:sz w:val="22"/>
                      <w:szCs w:val="22"/>
                    </w:rPr>
                  </w:pPr>
                </w:p>
              </w:tc>
            </w:tr>
            <w:tr w:rsidR="005E7BFC" w:rsidRPr="00EB4495" w14:paraId="54DEC3FF" w14:textId="77777777" w:rsidTr="007D6F54">
              <w:trPr>
                <w:trHeight w:val="269"/>
              </w:trPr>
              <w:tc>
                <w:tcPr>
                  <w:tcW w:w="3458" w:type="dxa"/>
                  <w:tcBorders>
                    <w:top w:val="nil"/>
                    <w:left w:val="nil"/>
                    <w:bottom w:val="nil"/>
                    <w:right w:val="nil"/>
                  </w:tcBorders>
                  <w:shd w:val="clear" w:color="auto" w:fill="auto"/>
                  <w:vAlign w:val="center"/>
                </w:tcPr>
                <w:p w14:paraId="7BF4C713" w14:textId="77777777" w:rsidR="005E7BFC" w:rsidRPr="00EB4495" w:rsidRDefault="005E7BFC" w:rsidP="005E7BFC">
                  <w:pPr>
                    <w:jc w:val="left"/>
                    <w:rPr>
                      <w:rFonts w:ascii="Arial" w:hAnsi="Arial" w:cs="Arial"/>
                      <w:sz w:val="22"/>
                      <w:szCs w:val="22"/>
                    </w:rPr>
                  </w:pPr>
                  <w:r w:rsidRPr="00EB4495">
                    <w:rPr>
                      <w:rFonts w:ascii="Arial" w:hAnsi="Arial" w:cs="Arial"/>
                      <w:sz w:val="22"/>
                      <w:szCs w:val="22"/>
                    </w:rPr>
                    <w:t>Adjusted basic EPS*</w:t>
                  </w:r>
                  <w:r w:rsidRPr="00EB4495" w:rsidDel="00431AC5">
                    <w:rPr>
                      <w:rFonts w:ascii="Arial" w:hAnsi="Arial" w:cs="Arial"/>
                      <w:sz w:val="22"/>
                      <w:szCs w:val="22"/>
                      <w:vertAlign w:val="superscript"/>
                    </w:rPr>
                    <w:t xml:space="preserve"> </w:t>
                  </w:r>
                </w:p>
              </w:tc>
              <w:tc>
                <w:tcPr>
                  <w:tcW w:w="1327" w:type="dxa"/>
                  <w:tcBorders>
                    <w:top w:val="nil"/>
                    <w:left w:val="nil"/>
                    <w:bottom w:val="nil"/>
                    <w:right w:val="nil"/>
                  </w:tcBorders>
                  <w:vAlign w:val="center"/>
                </w:tcPr>
                <w:p w14:paraId="788615A4" w14:textId="13061C26" w:rsidR="005E7BFC" w:rsidRPr="009878ED" w:rsidRDefault="00333B50" w:rsidP="005E7BFC">
                  <w:pPr>
                    <w:jc w:val="right"/>
                    <w:rPr>
                      <w:rFonts w:ascii="Arial" w:hAnsi="Arial" w:cs="Arial"/>
                      <w:sz w:val="22"/>
                      <w:szCs w:val="22"/>
                    </w:rPr>
                  </w:pPr>
                  <w:r>
                    <w:rPr>
                      <w:rFonts w:ascii="Arial" w:hAnsi="Arial" w:cs="Arial"/>
                      <w:sz w:val="22"/>
                      <w:szCs w:val="22"/>
                    </w:rPr>
                    <w:t>29.7</w:t>
                  </w:r>
                  <w:r w:rsidR="005E7BFC" w:rsidRPr="00804101">
                    <w:rPr>
                      <w:rFonts w:ascii="Arial" w:hAnsi="Arial" w:cs="Arial"/>
                      <w:sz w:val="22"/>
                      <w:szCs w:val="22"/>
                    </w:rPr>
                    <w:t>p</w:t>
                  </w:r>
                </w:p>
              </w:tc>
              <w:tc>
                <w:tcPr>
                  <w:tcW w:w="1327" w:type="dxa"/>
                  <w:tcBorders>
                    <w:top w:val="nil"/>
                    <w:left w:val="nil"/>
                    <w:bottom w:val="nil"/>
                    <w:right w:val="nil"/>
                  </w:tcBorders>
                  <w:vAlign w:val="center"/>
                </w:tcPr>
                <w:p w14:paraId="4AF92A97" w14:textId="095B6673" w:rsidR="005E7BFC" w:rsidRPr="009878ED" w:rsidRDefault="005E7BFC" w:rsidP="005E7BFC">
                  <w:pPr>
                    <w:jc w:val="right"/>
                    <w:rPr>
                      <w:rFonts w:ascii="Arial" w:hAnsi="Arial" w:cs="Arial"/>
                      <w:sz w:val="22"/>
                      <w:szCs w:val="22"/>
                    </w:rPr>
                  </w:pPr>
                  <w:r w:rsidRPr="00804101">
                    <w:rPr>
                      <w:rFonts w:ascii="Arial" w:hAnsi="Arial" w:cs="Arial"/>
                      <w:sz w:val="22"/>
                      <w:szCs w:val="22"/>
                    </w:rPr>
                    <w:t>35.2p</w:t>
                  </w:r>
                </w:p>
              </w:tc>
              <w:tc>
                <w:tcPr>
                  <w:tcW w:w="1298" w:type="dxa"/>
                  <w:tcBorders>
                    <w:top w:val="nil"/>
                    <w:left w:val="nil"/>
                    <w:bottom w:val="nil"/>
                    <w:right w:val="nil"/>
                  </w:tcBorders>
                  <w:vAlign w:val="center"/>
                </w:tcPr>
                <w:p w14:paraId="53E3BFFE" w14:textId="2EAB4D10" w:rsidR="005E7BFC" w:rsidRPr="009878ED" w:rsidRDefault="005E7BFC" w:rsidP="005E7BFC">
                  <w:pPr>
                    <w:jc w:val="right"/>
                    <w:rPr>
                      <w:rFonts w:ascii="Arial" w:hAnsi="Arial" w:cs="Arial"/>
                      <w:sz w:val="22"/>
                      <w:szCs w:val="22"/>
                    </w:rPr>
                  </w:pPr>
                  <w:r w:rsidRPr="009878ED">
                    <w:rPr>
                      <w:rFonts w:ascii="Arial" w:hAnsi="Arial" w:cs="Arial"/>
                      <w:sz w:val="22"/>
                      <w:szCs w:val="22"/>
                    </w:rPr>
                    <w:t>(</w:t>
                  </w:r>
                  <w:r w:rsidR="00505752">
                    <w:rPr>
                      <w:rFonts w:ascii="Arial" w:hAnsi="Arial" w:cs="Arial"/>
                      <w:sz w:val="22"/>
                      <w:szCs w:val="22"/>
                    </w:rPr>
                    <w:t>15.</w:t>
                  </w:r>
                  <w:r w:rsidR="002B41FC">
                    <w:rPr>
                      <w:rFonts w:ascii="Arial" w:hAnsi="Arial" w:cs="Arial"/>
                      <w:sz w:val="22"/>
                      <w:szCs w:val="22"/>
                    </w:rPr>
                    <w:t>6</w:t>
                  </w:r>
                  <w:r w:rsidRPr="009878ED">
                    <w:rPr>
                      <w:rFonts w:ascii="Arial" w:hAnsi="Arial" w:cs="Arial"/>
                      <w:sz w:val="22"/>
                      <w:szCs w:val="22"/>
                    </w:rPr>
                    <w:t>)%</w:t>
                  </w:r>
                </w:p>
              </w:tc>
              <w:tc>
                <w:tcPr>
                  <w:tcW w:w="1298" w:type="dxa"/>
                  <w:tcBorders>
                    <w:top w:val="nil"/>
                    <w:left w:val="nil"/>
                    <w:bottom w:val="nil"/>
                    <w:right w:val="nil"/>
                  </w:tcBorders>
                  <w:vAlign w:val="center"/>
                </w:tcPr>
                <w:p w14:paraId="634944A5" w14:textId="77777777" w:rsidR="005E7BFC" w:rsidRPr="00786FEC" w:rsidRDefault="005E7BFC" w:rsidP="005E7BFC">
                  <w:pPr>
                    <w:jc w:val="right"/>
                    <w:rPr>
                      <w:rFonts w:ascii="Arial" w:hAnsi="Arial" w:cs="Arial"/>
                      <w:sz w:val="22"/>
                      <w:szCs w:val="22"/>
                    </w:rPr>
                  </w:pPr>
                </w:p>
              </w:tc>
              <w:tc>
                <w:tcPr>
                  <w:tcW w:w="1298" w:type="dxa"/>
                  <w:tcBorders>
                    <w:top w:val="nil"/>
                    <w:left w:val="nil"/>
                    <w:bottom w:val="nil"/>
                    <w:right w:val="nil"/>
                  </w:tcBorders>
                  <w:vAlign w:val="center"/>
                </w:tcPr>
                <w:p w14:paraId="0CDB51D3" w14:textId="77777777" w:rsidR="005E7BFC" w:rsidRPr="009878ED" w:rsidRDefault="005E7BFC" w:rsidP="005E7BFC">
                  <w:pPr>
                    <w:jc w:val="right"/>
                    <w:rPr>
                      <w:rFonts w:ascii="Arial" w:hAnsi="Arial" w:cs="Arial"/>
                      <w:sz w:val="22"/>
                      <w:szCs w:val="22"/>
                    </w:rPr>
                  </w:pPr>
                </w:p>
              </w:tc>
            </w:tr>
            <w:tr w:rsidR="005E7BFC" w:rsidRPr="00EB4495" w14:paraId="67113E2F" w14:textId="77777777" w:rsidTr="007D6F54">
              <w:trPr>
                <w:trHeight w:val="269"/>
              </w:trPr>
              <w:tc>
                <w:tcPr>
                  <w:tcW w:w="3458" w:type="dxa"/>
                  <w:tcBorders>
                    <w:top w:val="nil"/>
                    <w:left w:val="nil"/>
                    <w:bottom w:val="nil"/>
                    <w:right w:val="nil"/>
                  </w:tcBorders>
                  <w:vAlign w:val="center"/>
                </w:tcPr>
                <w:p w14:paraId="0111FE42" w14:textId="77777777" w:rsidR="005E7BFC" w:rsidRPr="00F21976" w:rsidRDefault="005E7BFC" w:rsidP="005E7BFC">
                  <w:pPr>
                    <w:jc w:val="left"/>
                    <w:rPr>
                      <w:rFonts w:ascii="Arial" w:hAnsi="Arial" w:cs="Arial"/>
                      <w:sz w:val="22"/>
                      <w:szCs w:val="22"/>
                    </w:rPr>
                  </w:pPr>
                  <w:r w:rsidRPr="00F21976">
                    <w:rPr>
                      <w:rFonts w:ascii="Arial" w:hAnsi="Arial" w:cs="Arial"/>
                      <w:sz w:val="22"/>
                      <w:szCs w:val="22"/>
                    </w:rPr>
                    <w:t>Free cash flow*</w:t>
                  </w:r>
                </w:p>
              </w:tc>
              <w:tc>
                <w:tcPr>
                  <w:tcW w:w="1327" w:type="dxa"/>
                  <w:tcBorders>
                    <w:top w:val="nil"/>
                    <w:left w:val="nil"/>
                    <w:bottom w:val="nil"/>
                    <w:right w:val="nil"/>
                  </w:tcBorders>
                  <w:vAlign w:val="center"/>
                </w:tcPr>
                <w:p w14:paraId="2A53DDAE" w14:textId="7CB83966" w:rsidR="005E7BFC" w:rsidRPr="009878ED" w:rsidRDefault="005E7BFC" w:rsidP="005E7BFC">
                  <w:pPr>
                    <w:jc w:val="right"/>
                    <w:rPr>
                      <w:rFonts w:ascii="Arial" w:hAnsi="Arial" w:cs="Arial"/>
                      <w:sz w:val="22"/>
                      <w:szCs w:val="22"/>
                    </w:rPr>
                  </w:pPr>
                  <w:r w:rsidRPr="00EB4495">
                    <w:rPr>
                      <w:rFonts w:ascii="Arial" w:hAnsi="Arial" w:cs="Arial"/>
                      <w:sz w:val="22"/>
                      <w:szCs w:val="22"/>
                    </w:rPr>
                    <w:t>£</w:t>
                  </w:r>
                  <w:r w:rsidR="0079159E">
                    <w:rPr>
                      <w:rFonts w:ascii="Arial" w:hAnsi="Arial" w:cs="Arial"/>
                      <w:sz w:val="22"/>
                      <w:szCs w:val="22"/>
                    </w:rPr>
                    <w:t>(4</w:t>
                  </w:r>
                  <w:r w:rsidR="005A7C07">
                    <w:rPr>
                      <w:rFonts w:ascii="Arial" w:hAnsi="Arial" w:cs="Arial"/>
                      <w:sz w:val="22"/>
                      <w:szCs w:val="22"/>
                    </w:rPr>
                    <w:t>0</w:t>
                  </w:r>
                  <w:r w:rsidR="0079159E">
                    <w:rPr>
                      <w:rFonts w:ascii="Arial" w:hAnsi="Arial" w:cs="Arial"/>
                      <w:sz w:val="22"/>
                      <w:szCs w:val="22"/>
                    </w:rPr>
                    <w:t>)</w:t>
                  </w:r>
                  <w:r w:rsidR="0079159E" w:rsidRPr="00EB4495">
                    <w:rPr>
                      <w:rFonts w:ascii="Arial" w:hAnsi="Arial" w:cs="Arial"/>
                      <w:sz w:val="22"/>
                      <w:szCs w:val="22"/>
                    </w:rPr>
                    <w:t>m</w:t>
                  </w:r>
                </w:p>
              </w:tc>
              <w:tc>
                <w:tcPr>
                  <w:tcW w:w="1327" w:type="dxa"/>
                  <w:tcBorders>
                    <w:top w:val="nil"/>
                    <w:left w:val="nil"/>
                    <w:bottom w:val="nil"/>
                    <w:right w:val="nil"/>
                  </w:tcBorders>
                  <w:vAlign w:val="center"/>
                </w:tcPr>
                <w:p w14:paraId="6E6C1C6C" w14:textId="77532D7E" w:rsidR="005E7BFC" w:rsidRPr="009878ED" w:rsidRDefault="005E7BFC" w:rsidP="005E7BFC">
                  <w:pPr>
                    <w:jc w:val="right"/>
                    <w:rPr>
                      <w:rFonts w:ascii="Arial" w:hAnsi="Arial" w:cs="Arial"/>
                      <w:sz w:val="22"/>
                      <w:szCs w:val="22"/>
                    </w:rPr>
                  </w:pPr>
                  <w:r w:rsidRPr="00EB4495">
                    <w:rPr>
                      <w:rFonts w:ascii="Arial" w:hAnsi="Arial" w:cs="Arial"/>
                      <w:sz w:val="22"/>
                      <w:szCs w:val="22"/>
                    </w:rPr>
                    <w:t>£385m</w:t>
                  </w:r>
                </w:p>
              </w:tc>
              <w:tc>
                <w:tcPr>
                  <w:tcW w:w="1298" w:type="dxa"/>
                  <w:tcBorders>
                    <w:top w:val="nil"/>
                    <w:left w:val="nil"/>
                    <w:bottom w:val="nil"/>
                    <w:right w:val="nil"/>
                  </w:tcBorders>
                  <w:vAlign w:val="center"/>
                </w:tcPr>
                <w:p w14:paraId="448B5A20" w14:textId="015468C0" w:rsidR="005E7BFC" w:rsidRPr="009878ED" w:rsidRDefault="00F55DF6" w:rsidP="005E7BFC">
                  <w:pPr>
                    <w:jc w:val="right"/>
                    <w:rPr>
                      <w:rFonts w:ascii="Arial" w:hAnsi="Arial" w:cs="Arial"/>
                      <w:sz w:val="22"/>
                      <w:szCs w:val="22"/>
                    </w:rPr>
                  </w:pPr>
                  <w:r w:rsidRPr="009878ED">
                    <w:rPr>
                      <w:rFonts w:ascii="Arial" w:hAnsi="Arial" w:cs="Arial"/>
                      <w:sz w:val="22"/>
                      <w:szCs w:val="22"/>
                    </w:rPr>
                    <w:t>n/a</w:t>
                  </w:r>
                </w:p>
              </w:tc>
              <w:tc>
                <w:tcPr>
                  <w:tcW w:w="1298" w:type="dxa"/>
                  <w:tcBorders>
                    <w:top w:val="nil"/>
                    <w:left w:val="nil"/>
                    <w:bottom w:val="nil"/>
                    <w:right w:val="nil"/>
                  </w:tcBorders>
                  <w:vAlign w:val="center"/>
                </w:tcPr>
                <w:p w14:paraId="310D5BA9" w14:textId="77777777" w:rsidR="005E7BFC" w:rsidRPr="009878ED" w:rsidRDefault="005E7BFC" w:rsidP="005E7BFC">
                  <w:pPr>
                    <w:jc w:val="right"/>
                    <w:rPr>
                      <w:rFonts w:ascii="Arial" w:hAnsi="Arial" w:cs="Arial"/>
                      <w:sz w:val="22"/>
                      <w:szCs w:val="22"/>
                    </w:rPr>
                  </w:pPr>
                </w:p>
              </w:tc>
              <w:tc>
                <w:tcPr>
                  <w:tcW w:w="1298" w:type="dxa"/>
                  <w:tcBorders>
                    <w:top w:val="nil"/>
                    <w:left w:val="nil"/>
                    <w:bottom w:val="nil"/>
                    <w:right w:val="nil"/>
                  </w:tcBorders>
                  <w:vAlign w:val="center"/>
                </w:tcPr>
                <w:p w14:paraId="68823AA8" w14:textId="77777777" w:rsidR="005E7BFC" w:rsidRPr="009878ED" w:rsidRDefault="005E7BFC" w:rsidP="005E7BFC">
                  <w:pPr>
                    <w:jc w:val="right"/>
                    <w:rPr>
                      <w:rFonts w:ascii="Arial" w:hAnsi="Arial" w:cs="Arial"/>
                      <w:sz w:val="22"/>
                      <w:szCs w:val="22"/>
                    </w:rPr>
                  </w:pPr>
                </w:p>
              </w:tc>
            </w:tr>
            <w:tr w:rsidR="005E7BFC" w:rsidRPr="00EB4495" w14:paraId="40026C68" w14:textId="77777777" w:rsidTr="007D6F54">
              <w:trPr>
                <w:trHeight w:val="269"/>
              </w:trPr>
              <w:tc>
                <w:tcPr>
                  <w:tcW w:w="3458" w:type="dxa"/>
                  <w:tcBorders>
                    <w:top w:val="nil"/>
                    <w:left w:val="nil"/>
                    <w:bottom w:val="nil"/>
                    <w:right w:val="nil"/>
                  </w:tcBorders>
                  <w:vAlign w:val="center"/>
                </w:tcPr>
                <w:p w14:paraId="1B8B7448" w14:textId="5AF9AE7B" w:rsidR="005E7BFC" w:rsidRPr="00F21976" w:rsidRDefault="005E7BFC" w:rsidP="005E7BFC">
                  <w:pPr>
                    <w:jc w:val="left"/>
                    <w:rPr>
                      <w:rFonts w:ascii="Arial" w:hAnsi="Arial" w:cs="Arial"/>
                      <w:sz w:val="22"/>
                      <w:szCs w:val="22"/>
                    </w:rPr>
                  </w:pPr>
                  <w:r w:rsidRPr="00F21976">
                    <w:rPr>
                      <w:rFonts w:ascii="Arial" w:hAnsi="Arial" w:cs="Arial"/>
                      <w:sz w:val="22"/>
                      <w:szCs w:val="22"/>
                    </w:rPr>
                    <w:t>Net debt*</w:t>
                  </w:r>
                  <w:r w:rsidRPr="00F21976">
                    <w:rPr>
                      <w:rFonts w:ascii="Arial" w:hAnsi="Arial" w:cs="Arial"/>
                      <w:sz w:val="22"/>
                      <w:szCs w:val="22"/>
                      <w:vertAlign w:val="superscript"/>
                    </w:rPr>
                    <w:t>(</w:t>
                  </w:r>
                  <w:r>
                    <w:rPr>
                      <w:rFonts w:ascii="Arial" w:hAnsi="Arial" w:cs="Arial"/>
                      <w:sz w:val="22"/>
                      <w:szCs w:val="22"/>
                      <w:vertAlign w:val="superscript"/>
                    </w:rPr>
                    <w:t>2</w:t>
                  </w:r>
                  <w:r w:rsidRPr="00F21976">
                    <w:rPr>
                      <w:rFonts w:ascii="Arial" w:hAnsi="Arial" w:cs="Arial"/>
                      <w:sz w:val="22"/>
                      <w:szCs w:val="22"/>
                      <w:vertAlign w:val="superscript"/>
                    </w:rPr>
                    <w:t>)</w:t>
                  </w:r>
                </w:p>
              </w:tc>
              <w:tc>
                <w:tcPr>
                  <w:tcW w:w="1327" w:type="dxa"/>
                  <w:tcBorders>
                    <w:top w:val="nil"/>
                    <w:left w:val="nil"/>
                    <w:bottom w:val="nil"/>
                    <w:right w:val="nil"/>
                  </w:tcBorders>
                  <w:vAlign w:val="center"/>
                </w:tcPr>
                <w:p w14:paraId="4FF8B483" w14:textId="427EEF0C" w:rsidR="005E7BFC" w:rsidRPr="009878ED" w:rsidRDefault="005E7BFC" w:rsidP="005E7BFC">
                  <w:pPr>
                    <w:jc w:val="right"/>
                    <w:rPr>
                      <w:rFonts w:ascii="Arial" w:hAnsi="Arial" w:cs="Arial"/>
                      <w:sz w:val="22"/>
                      <w:szCs w:val="22"/>
                    </w:rPr>
                  </w:pPr>
                  <w:r w:rsidRPr="00EB4495">
                    <w:rPr>
                      <w:rFonts w:ascii="Arial" w:hAnsi="Arial" w:cs="Arial"/>
                      <w:sz w:val="22"/>
                      <w:szCs w:val="22"/>
                    </w:rPr>
                    <w:t>£(</w:t>
                  </w:r>
                  <w:r w:rsidR="00AE3824">
                    <w:rPr>
                      <w:rFonts w:ascii="Arial" w:hAnsi="Arial" w:cs="Arial"/>
                      <w:sz w:val="22"/>
                      <w:szCs w:val="22"/>
                    </w:rPr>
                    <w:t>2,27</w:t>
                  </w:r>
                  <w:r w:rsidR="009B4B48">
                    <w:rPr>
                      <w:rFonts w:ascii="Arial" w:hAnsi="Arial" w:cs="Arial"/>
                      <w:sz w:val="22"/>
                      <w:szCs w:val="22"/>
                    </w:rPr>
                    <w:t>4</w:t>
                  </w:r>
                  <w:r w:rsidRPr="00EB4495">
                    <w:rPr>
                      <w:rFonts w:ascii="Arial" w:hAnsi="Arial" w:cs="Arial"/>
                      <w:sz w:val="22"/>
                      <w:szCs w:val="22"/>
                    </w:rPr>
                    <w:t>)m</w:t>
                  </w:r>
                </w:p>
              </w:tc>
              <w:tc>
                <w:tcPr>
                  <w:tcW w:w="1327" w:type="dxa"/>
                  <w:tcBorders>
                    <w:top w:val="nil"/>
                    <w:left w:val="nil"/>
                    <w:bottom w:val="nil"/>
                    <w:right w:val="nil"/>
                  </w:tcBorders>
                  <w:vAlign w:val="center"/>
                </w:tcPr>
                <w:p w14:paraId="1331F4F0" w14:textId="33C6DD26" w:rsidR="005E7BFC" w:rsidRPr="009878ED" w:rsidRDefault="005E7BFC" w:rsidP="005E7BFC">
                  <w:pPr>
                    <w:jc w:val="right"/>
                    <w:rPr>
                      <w:rFonts w:ascii="Arial" w:hAnsi="Arial" w:cs="Arial"/>
                      <w:sz w:val="22"/>
                      <w:szCs w:val="22"/>
                    </w:rPr>
                  </w:pPr>
                  <w:r w:rsidRPr="00EB4495">
                    <w:rPr>
                      <w:rFonts w:ascii="Arial" w:hAnsi="Arial" w:cs="Arial"/>
                      <w:sz w:val="22"/>
                      <w:szCs w:val="22"/>
                    </w:rPr>
                    <w:t>£(1,5</w:t>
                  </w:r>
                  <w:r>
                    <w:rPr>
                      <w:rFonts w:ascii="Arial" w:hAnsi="Arial" w:cs="Arial"/>
                      <w:sz w:val="22"/>
                      <w:szCs w:val="22"/>
                    </w:rPr>
                    <w:t>72</w:t>
                  </w:r>
                  <w:r w:rsidRPr="00EB4495">
                    <w:rPr>
                      <w:rFonts w:ascii="Arial" w:hAnsi="Arial" w:cs="Arial"/>
                      <w:sz w:val="22"/>
                      <w:szCs w:val="22"/>
                    </w:rPr>
                    <w:t>)m</w:t>
                  </w:r>
                </w:p>
              </w:tc>
              <w:tc>
                <w:tcPr>
                  <w:tcW w:w="1298" w:type="dxa"/>
                  <w:tcBorders>
                    <w:top w:val="nil"/>
                    <w:left w:val="nil"/>
                    <w:bottom w:val="nil"/>
                    <w:right w:val="nil"/>
                  </w:tcBorders>
                  <w:vAlign w:val="center"/>
                </w:tcPr>
                <w:p w14:paraId="7E8E4B83" w14:textId="08D544F2" w:rsidR="005E7BFC" w:rsidRPr="009878ED" w:rsidRDefault="005E7BFC" w:rsidP="005E7BFC">
                  <w:pPr>
                    <w:jc w:val="right"/>
                    <w:rPr>
                      <w:rFonts w:ascii="Arial" w:hAnsi="Arial" w:cs="Arial"/>
                      <w:sz w:val="22"/>
                      <w:szCs w:val="22"/>
                    </w:rPr>
                  </w:pPr>
                  <w:r w:rsidRPr="009878ED">
                    <w:rPr>
                      <w:rFonts w:ascii="Arial" w:hAnsi="Arial" w:cs="Arial"/>
                      <w:sz w:val="22"/>
                      <w:szCs w:val="22"/>
                    </w:rPr>
                    <w:t>n/a</w:t>
                  </w:r>
                </w:p>
              </w:tc>
              <w:tc>
                <w:tcPr>
                  <w:tcW w:w="1298" w:type="dxa"/>
                  <w:tcBorders>
                    <w:top w:val="nil"/>
                    <w:left w:val="nil"/>
                    <w:bottom w:val="nil"/>
                    <w:right w:val="nil"/>
                  </w:tcBorders>
                  <w:vAlign w:val="center"/>
                </w:tcPr>
                <w:p w14:paraId="33F3E6DD" w14:textId="77777777" w:rsidR="005E7BFC" w:rsidRPr="009878ED" w:rsidRDefault="005E7BFC" w:rsidP="005E7BFC">
                  <w:pPr>
                    <w:jc w:val="right"/>
                    <w:rPr>
                      <w:rFonts w:ascii="Arial" w:hAnsi="Arial" w:cs="Arial"/>
                      <w:sz w:val="22"/>
                      <w:szCs w:val="22"/>
                    </w:rPr>
                  </w:pPr>
                </w:p>
              </w:tc>
              <w:tc>
                <w:tcPr>
                  <w:tcW w:w="1298" w:type="dxa"/>
                  <w:tcBorders>
                    <w:top w:val="nil"/>
                    <w:left w:val="nil"/>
                    <w:bottom w:val="nil"/>
                    <w:right w:val="nil"/>
                  </w:tcBorders>
                  <w:vAlign w:val="center"/>
                </w:tcPr>
                <w:p w14:paraId="2EEC72F2" w14:textId="77777777" w:rsidR="005E7BFC" w:rsidRPr="009878ED" w:rsidRDefault="005E7BFC" w:rsidP="005E7BFC">
                  <w:pPr>
                    <w:jc w:val="right"/>
                    <w:rPr>
                      <w:rFonts w:ascii="Arial" w:hAnsi="Arial" w:cs="Arial"/>
                      <w:sz w:val="22"/>
                      <w:szCs w:val="22"/>
                    </w:rPr>
                  </w:pPr>
                </w:p>
              </w:tc>
            </w:tr>
          </w:tbl>
          <w:p w14:paraId="380597FD" w14:textId="77777777" w:rsidR="00C52B32" w:rsidRPr="00EB4495" w:rsidRDefault="00C52B32" w:rsidP="00810FD1">
            <w:pPr>
              <w:jc w:val="left"/>
              <w:rPr>
                <w:rFonts w:ascii="Arial" w:hAnsi="Arial" w:cs="Arial"/>
                <w:b/>
                <w:bCs/>
                <w:sz w:val="24"/>
                <w:szCs w:val="24"/>
                <w:u w:val="single"/>
              </w:rPr>
            </w:pPr>
          </w:p>
        </w:tc>
      </w:tr>
    </w:tbl>
    <w:p w14:paraId="4C8D505C" w14:textId="77777777" w:rsidR="00C52B32" w:rsidRPr="00EB4495" w:rsidRDefault="00C52B32" w:rsidP="00C52B32">
      <w:pPr>
        <w:jc w:val="left"/>
        <w:rPr>
          <w:rFonts w:ascii="Arial" w:hAnsi="Arial" w:cs="Arial"/>
          <w:i/>
          <w:iCs/>
          <w:sz w:val="4"/>
          <w:szCs w:val="4"/>
          <w:u w:val="single"/>
        </w:rPr>
      </w:pPr>
    </w:p>
    <w:p w14:paraId="6450B894" w14:textId="26765EEC" w:rsidR="00C52B32" w:rsidRPr="00EB4495" w:rsidRDefault="00C52B32" w:rsidP="00C52B32">
      <w:pPr>
        <w:ind w:firstLine="221"/>
        <w:jc w:val="left"/>
        <w:rPr>
          <w:rFonts w:ascii="Arial" w:hAnsi="Arial" w:cs="Arial"/>
          <w:i/>
          <w:iCs/>
          <w:sz w:val="15"/>
          <w:szCs w:val="15"/>
          <w:highlight w:val="yellow"/>
        </w:rPr>
      </w:pPr>
      <w:r w:rsidRPr="00EB4495">
        <w:rPr>
          <w:rFonts w:ascii="Arial" w:hAnsi="Arial" w:cs="Arial"/>
          <w:sz w:val="15"/>
          <w:szCs w:val="15"/>
        </w:rPr>
        <w:t>*</w:t>
      </w:r>
      <w:r w:rsidRPr="00EB4495">
        <w:rPr>
          <w:rFonts w:ascii="Arial" w:hAnsi="Arial" w:cs="Arial"/>
          <w:i/>
          <w:iCs/>
          <w:sz w:val="15"/>
          <w:szCs w:val="15"/>
        </w:rPr>
        <w:t xml:space="preserve"> </w:t>
      </w:r>
      <w:r w:rsidR="009A4250">
        <w:rPr>
          <w:rFonts w:ascii="Arial" w:hAnsi="Arial" w:cs="Arial"/>
          <w:i/>
          <w:iCs/>
          <w:sz w:val="15"/>
          <w:szCs w:val="15"/>
        </w:rPr>
        <w:t>See</w:t>
      </w:r>
      <w:r w:rsidRPr="00EB4495">
        <w:rPr>
          <w:rFonts w:ascii="Arial" w:hAnsi="Arial" w:cs="Arial"/>
          <w:i/>
          <w:iCs/>
          <w:sz w:val="15"/>
          <w:szCs w:val="15"/>
        </w:rPr>
        <w:t xml:space="preserve"> page </w:t>
      </w:r>
      <w:r w:rsidR="00CE36C1">
        <w:rPr>
          <w:rFonts w:ascii="Arial" w:hAnsi="Arial" w:cs="Arial"/>
          <w:i/>
          <w:iCs/>
          <w:sz w:val="15"/>
          <w:szCs w:val="15"/>
        </w:rPr>
        <w:t>5</w:t>
      </w:r>
      <w:r w:rsidR="00CE36C1" w:rsidRPr="00EB4495">
        <w:rPr>
          <w:rFonts w:ascii="Arial" w:hAnsi="Arial" w:cs="Arial"/>
          <w:i/>
          <w:iCs/>
          <w:sz w:val="15"/>
          <w:szCs w:val="15"/>
        </w:rPr>
        <w:t xml:space="preserve"> </w:t>
      </w:r>
      <w:r w:rsidRPr="00EB4495">
        <w:rPr>
          <w:rFonts w:ascii="Arial" w:hAnsi="Arial" w:cs="Arial"/>
          <w:i/>
          <w:iCs/>
          <w:sz w:val="15"/>
          <w:szCs w:val="15"/>
        </w:rPr>
        <w:t>for further details on non-GAAP measures and other terms;</w:t>
      </w:r>
      <w:r w:rsidRPr="00EB4495">
        <w:rPr>
          <w:rFonts w:ascii="Arial" w:hAnsi="Arial" w:cs="Arial"/>
          <w:sz w:val="15"/>
          <w:szCs w:val="15"/>
          <w:vertAlign w:val="superscript"/>
        </w:rPr>
        <w:t xml:space="preserve"> ±</w:t>
      </w:r>
      <w:r w:rsidRPr="00EB4495">
        <w:rPr>
          <w:rFonts w:ascii="Arial" w:hAnsi="Arial" w:cs="Arial"/>
          <w:i/>
          <w:iCs/>
          <w:sz w:val="15"/>
          <w:szCs w:val="15"/>
        </w:rPr>
        <w:t xml:space="preserve"> Net </w:t>
      </w:r>
      <w:r w:rsidR="009A4250">
        <w:rPr>
          <w:rFonts w:ascii="Arial" w:hAnsi="Arial" w:cs="Arial"/>
          <w:i/>
          <w:iCs/>
          <w:sz w:val="15"/>
          <w:szCs w:val="15"/>
        </w:rPr>
        <w:t>decrease</w:t>
      </w:r>
      <w:r w:rsidRPr="00EB4495">
        <w:rPr>
          <w:rFonts w:ascii="Arial" w:hAnsi="Arial" w:cs="Arial"/>
          <w:i/>
          <w:iCs/>
          <w:sz w:val="15"/>
          <w:szCs w:val="15"/>
        </w:rPr>
        <w:t xml:space="preserve"> in cash and cash equivalents and bank overdrafts</w:t>
      </w:r>
    </w:p>
    <w:p w14:paraId="07C5F9D5" w14:textId="64AC7CE2" w:rsidR="00C52B32" w:rsidRPr="001C5B8B" w:rsidRDefault="00C52B32" w:rsidP="00C52B32">
      <w:pPr>
        <w:jc w:val="left"/>
        <w:rPr>
          <w:rFonts w:ascii="Arial" w:hAnsi="Arial" w:cs="Arial"/>
        </w:rPr>
      </w:pPr>
    </w:p>
    <w:p w14:paraId="510E21B7" w14:textId="77777777" w:rsidR="00C52B32" w:rsidRPr="00EB4495" w:rsidRDefault="00C52B32" w:rsidP="00C52B32">
      <w:pPr>
        <w:jc w:val="left"/>
        <w:rPr>
          <w:rFonts w:ascii="Arial" w:hAnsi="Arial" w:cs="Arial"/>
          <w:b/>
          <w:bCs/>
          <w:u w:val="single"/>
        </w:rPr>
      </w:pPr>
      <w:bookmarkStart w:id="2" w:name="_Hlk51150875"/>
      <w:bookmarkEnd w:id="0"/>
      <w:r w:rsidRPr="00EB4495">
        <w:rPr>
          <w:rFonts w:ascii="Arial" w:hAnsi="Arial" w:cs="Arial"/>
          <w:b/>
          <w:bCs/>
          <w:u w:val="single"/>
        </w:rPr>
        <w:t>Highlights</w:t>
      </w:r>
    </w:p>
    <w:p w14:paraId="7985F3A9" w14:textId="1686C244" w:rsidR="00366A43" w:rsidRPr="00234324" w:rsidRDefault="00366A43" w:rsidP="00366A43">
      <w:pPr>
        <w:pStyle w:val="ListParagraph"/>
        <w:numPr>
          <w:ilvl w:val="0"/>
          <w:numId w:val="2"/>
        </w:numPr>
        <w:jc w:val="left"/>
        <w:rPr>
          <w:rFonts w:ascii="Arial" w:hAnsi="Arial" w:cs="Arial"/>
          <w:b/>
        </w:rPr>
      </w:pPr>
      <w:r w:rsidRPr="00234324">
        <w:rPr>
          <w:rFonts w:ascii="Arial" w:hAnsi="Arial" w:cs="Arial"/>
          <w:b/>
        </w:rPr>
        <w:t xml:space="preserve">A year of </w:t>
      </w:r>
      <w:r w:rsidR="002E006B">
        <w:rPr>
          <w:rFonts w:ascii="Arial" w:hAnsi="Arial" w:cs="Arial"/>
          <w:b/>
        </w:rPr>
        <w:t xml:space="preserve">solid </w:t>
      </w:r>
      <w:r w:rsidRPr="00234324">
        <w:rPr>
          <w:rFonts w:ascii="Arial" w:hAnsi="Arial" w:cs="Arial"/>
          <w:b/>
        </w:rPr>
        <w:t>execution</w:t>
      </w:r>
    </w:p>
    <w:p w14:paraId="449B07C5" w14:textId="2DCE21EB" w:rsidR="004050CA" w:rsidRDefault="00366A43" w:rsidP="00366A43">
      <w:pPr>
        <w:pStyle w:val="ListParagraph"/>
        <w:numPr>
          <w:ilvl w:val="1"/>
          <w:numId w:val="2"/>
        </w:numPr>
        <w:ind w:left="709"/>
        <w:jc w:val="left"/>
        <w:rPr>
          <w:rFonts w:ascii="Arial" w:hAnsi="Arial" w:cs="Arial"/>
          <w:bCs/>
        </w:rPr>
      </w:pPr>
      <w:r>
        <w:rPr>
          <w:rFonts w:ascii="Arial" w:hAnsi="Arial" w:cs="Arial"/>
          <w:bCs/>
        </w:rPr>
        <w:t xml:space="preserve">FY </w:t>
      </w:r>
      <w:r w:rsidRPr="006B01FB">
        <w:rPr>
          <w:rFonts w:ascii="Arial" w:hAnsi="Arial" w:cs="Arial"/>
          <w:bCs/>
        </w:rPr>
        <w:t xml:space="preserve">performance in line with </w:t>
      </w:r>
      <w:r>
        <w:rPr>
          <w:rFonts w:ascii="Arial" w:hAnsi="Arial" w:cs="Arial"/>
          <w:bCs/>
        </w:rPr>
        <w:t xml:space="preserve">our </w:t>
      </w:r>
      <w:r w:rsidRPr="006B01FB">
        <w:rPr>
          <w:rFonts w:ascii="Arial" w:hAnsi="Arial" w:cs="Arial"/>
          <w:bCs/>
        </w:rPr>
        <w:t>expectations</w:t>
      </w:r>
      <w:r w:rsidR="00C81012">
        <w:rPr>
          <w:rFonts w:ascii="Arial" w:hAnsi="Arial" w:cs="Arial"/>
          <w:bCs/>
        </w:rPr>
        <w:t xml:space="preserve"> </w:t>
      </w:r>
      <w:r w:rsidR="005B567B">
        <w:rPr>
          <w:rFonts w:ascii="Arial" w:hAnsi="Arial" w:cs="Arial"/>
          <w:bCs/>
        </w:rPr>
        <w:t>&amp;</w:t>
      </w:r>
      <w:r w:rsidR="00847BB4">
        <w:rPr>
          <w:rFonts w:ascii="Arial" w:hAnsi="Arial" w:cs="Arial"/>
          <w:bCs/>
        </w:rPr>
        <w:t xml:space="preserve"> </w:t>
      </w:r>
      <w:r w:rsidR="00C81012">
        <w:rPr>
          <w:rFonts w:ascii="Arial" w:hAnsi="Arial" w:cs="Arial"/>
          <w:bCs/>
        </w:rPr>
        <w:t>guidance</w:t>
      </w:r>
      <w:r w:rsidR="006A199B">
        <w:rPr>
          <w:rFonts w:ascii="Arial" w:hAnsi="Arial" w:cs="Arial"/>
          <w:bCs/>
        </w:rPr>
        <w:t>, against strong prior year comparatives</w:t>
      </w:r>
    </w:p>
    <w:p w14:paraId="566BA261" w14:textId="599E7121" w:rsidR="008E69CA" w:rsidRDefault="008E69CA" w:rsidP="008E69CA">
      <w:pPr>
        <w:pStyle w:val="ListParagraph"/>
        <w:numPr>
          <w:ilvl w:val="1"/>
          <w:numId w:val="2"/>
        </w:numPr>
        <w:ind w:left="709"/>
        <w:jc w:val="left"/>
        <w:rPr>
          <w:rFonts w:ascii="Arial" w:hAnsi="Arial" w:cs="Arial"/>
          <w:bCs/>
        </w:rPr>
      </w:pPr>
      <w:r w:rsidRPr="00895C90">
        <w:rPr>
          <w:rFonts w:ascii="Arial" w:hAnsi="Arial" w:cs="Arial"/>
          <w:bCs/>
        </w:rPr>
        <w:t xml:space="preserve">Total sales -0.7% </w:t>
      </w:r>
      <w:r w:rsidR="003153D3">
        <w:rPr>
          <w:rFonts w:ascii="Arial" w:hAnsi="Arial" w:cs="Arial"/>
          <w:bCs/>
        </w:rPr>
        <w:t xml:space="preserve">in constant currency </w:t>
      </w:r>
      <w:r w:rsidRPr="00895C90">
        <w:rPr>
          <w:rFonts w:ascii="Arial" w:hAnsi="Arial" w:cs="Arial"/>
          <w:bCs/>
        </w:rPr>
        <w:t>and LFL -2</w:t>
      </w:r>
      <w:r w:rsidRPr="008E3722">
        <w:rPr>
          <w:rFonts w:ascii="Arial" w:hAnsi="Arial" w:cs="Arial"/>
          <w:bCs/>
        </w:rPr>
        <w:t>.1% (</w:t>
      </w:r>
      <w:r w:rsidRPr="00895C90">
        <w:rPr>
          <w:rFonts w:ascii="Arial" w:hAnsi="Arial" w:cs="Arial"/>
        </w:rPr>
        <w:t>3-year LFL</w:t>
      </w:r>
      <w:r w:rsidR="00EB5549">
        <w:rPr>
          <w:rFonts w:ascii="Arial" w:hAnsi="Arial" w:cs="Arial"/>
        </w:rPr>
        <w:t>*</w:t>
      </w:r>
      <w:r w:rsidRPr="00895C90">
        <w:rPr>
          <w:rFonts w:ascii="Arial" w:hAnsi="Arial" w:cs="Arial"/>
        </w:rPr>
        <w:t xml:space="preserve"> +15.6%</w:t>
      </w:r>
      <w:r w:rsidRPr="008E3722">
        <w:rPr>
          <w:rFonts w:ascii="Arial" w:hAnsi="Arial" w:cs="Arial"/>
          <w:bCs/>
        </w:rPr>
        <w:t>)</w:t>
      </w:r>
    </w:p>
    <w:p w14:paraId="0A96660C" w14:textId="596AC219" w:rsidR="000B13F1" w:rsidRPr="00A120AA" w:rsidRDefault="000B13F1" w:rsidP="000B13F1">
      <w:pPr>
        <w:pStyle w:val="ListParagraph"/>
        <w:numPr>
          <w:ilvl w:val="1"/>
          <w:numId w:val="2"/>
        </w:numPr>
        <w:ind w:left="709"/>
        <w:jc w:val="left"/>
        <w:rPr>
          <w:rFonts w:ascii="Arial" w:hAnsi="Arial" w:cs="Arial"/>
          <w:bCs/>
        </w:rPr>
      </w:pPr>
      <w:r w:rsidRPr="00234324">
        <w:rPr>
          <w:rFonts w:ascii="Arial" w:hAnsi="Arial" w:cs="Arial"/>
          <w:bCs/>
        </w:rPr>
        <w:t xml:space="preserve">Sales outperforming </w:t>
      </w:r>
      <w:r w:rsidRPr="00895C90">
        <w:rPr>
          <w:rFonts w:ascii="Arial" w:hAnsi="Arial" w:cs="Arial"/>
          <w:bCs/>
        </w:rPr>
        <w:t>home improvement industry growth</w:t>
      </w:r>
      <w:r w:rsidR="007356C0">
        <w:rPr>
          <w:rFonts w:ascii="Arial" w:hAnsi="Arial" w:cs="Arial"/>
          <w:bCs/>
        </w:rPr>
        <w:t>,</w:t>
      </w:r>
      <w:r w:rsidR="00DD08EC">
        <w:rPr>
          <w:rFonts w:ascii="Arial" w:hAnsi="Arial" w:cs="Arial"/>
          <w:bCs/>
        </w:rPr>
        <w:t xml:space="preserve"> with </w:t>
      </w:r>
      <w:r w:rsidR="007614E4">
        <w:rPr>
          <w:rFonts w:ascii="Arial" w:hAnsi="Arial" w:cs="Arial"/>
          <w:bCs/>
        </w:rPr>
        <w:t xml:space="preserve">3-year </w:t>
      </w:r>
      <w:r w:rsidR="007614E4" w:rsidRPr="00A120AA">
        <w:rPr>
          <w:rFonts w:ascii="Arial" w:hAnsi="Arial" w:cs="Arial"/>
          <w:bCs/>
        </w:rPr>
        <w:t>total sales CAGR</w:t>
      </w:r>
      <w:r w:rsidR="006610DC" w:rsidRPr="003052D2">
        <w:rPr>
          <w:rFonts w:ascii="Arial" w:hAnsi="Arial" w:cs="Arial"/>
          <w:bCs/>
          <w:vertAlign w:val="superscript"/>
        </w:rPr>
        <w:t>(3)</w:t>
      </w:r>
      <w:r w:rsidR="007614E4" w:rsidRPr="00A120AA">
        <w:rPr>
          <w:rFonts w:ascii="Arial" w:hAnsi="Arial" w:cs="Arial"/>
          <w:bCs/>
        </w:rPr>
        <w:t xml:space="preserve"> of </w:t>
      </w:r>
      <w:r w:rsidR="008E3AC7">
        <w:rPr>
          <w:rFonts w:ascii="Arial" w:hAnsi="Arial" w:cs="Arial"/>
          <w:bCs/>
        </w:rPr>
        <w:t>+</w:t>
      </w:r>
      <w:r w:rsidR="007614E4" w:rsidRPr="00394AC2">
        <w:rPr>
          <w:rFonts w:ascii="Arial" w:hAnsi="Arial" w:cs="Arial"/>
          <w:bCs/>
        </w:rPr>
        <w:t>5.9</w:t>
      </w:r>
      <w:r w:rsidR="007614E4" w:rsidRPr="00A120AA">
        <w:rPr>
          <w:rFonts w:ascii="Arial" w:hAnsi="Arial" w:cs="Arial"/>
          <w:bCs/>
        </w:rPr>
        <w:t xml:space="preserve">% </w:t>
      </w:r>
      <w:r w:rsidR="003E7CD3">
        <w:rPr>
          <w:rFonts w:ascii="Arial" w:hAnsi="Arial" w:cs="Arial"/>
          <w:bCs/>
        </w:rPr>
        <w:t xml:space="preserve">vs </w:t>
      </w:r>
      <w:r w:rsidR="007614E4" w:rsidRPr="00A120AA">
        <w:rPr>
          <w:rFonts w:ascii="Arial" w:hAnsi="Arial" w:cs="Arial"/>
          <w:bCs/>
        </w:rPr>
        <w:t>market CAGR</w:t>
      </w:r>
      <w:r w:rsidR="006610DC" w:rsidRPr="00F13AFF">
        <w:rPr>
          <w:rFonts w:ascii="Arial" w:hAnsi="Arial" w:cs="Arial"/>
          <w:bCs/>
          <w:vertAlign w:val="superscript"/>
        </w:rPr>
        <w:t>(</w:t>
      </w:r>
      <w:r w:rsidR="006610DC">
        <w:rPr>
          <w:rFonts w:ascii="Arial" w:hAnsi="Arial" w:cs="Arial"/>
          <w:bCs/>
          <w:vertAlign w:val="superscript"/>
        </w:rPr>
        <w:t>4</w:t>
      </w:r>
      <w:r w:rsidR="006610DC" w:rsidRPr="00F13AFF">
        <w:rPr>
          <w:rFonts w:ascii="Arial" w:hAnsi="Arial" w:cs="Arial"/>
          <w:bCs/>
          <w:vertAlign w:val="superscript"/>
        </w:rPr>
        <w:t>)</w:t>
      </w:r>
      <w:r w:rsidR="007614E4" w:rsidRPr="00A120AA">
        <w:rPr>
          <w:rFonts w:ascii="Arial" w:hAnsi="Arial" w:cs="Arial"/>
          <w:bCs/>
        </w:rPr>
        <w:t xml:space="preserve"> of </w:t>
      </w:r>
      <w:r w:rsidR="008E3AC7">
        <w:rPr>
          <w:rFonts w:ascii="Arial" w:hAnsi="Arial" w:cs="Arial"/>
          <w:bCs/>
        </w:rPr>
        <w:t>+</w:t>
      </w:r>
      <w:r w:rsidR="0031291E" w:rsidRPr="00394AC2">
        <w:rPr>
          <w:rFonts w:ascii="Arial" w:hAnsi="Arial" w:cs="Arial"/>
          <w:bCs/>
        </w:rPr>
        <w:t>4</w:t>
      </w:r>
      <w:r w:rsidR="007614E4" w:rsidRPr="00394AC2">
        <w:rPr>
          <w:rFonts w:ascii="Arial" w:hAnsi="Arial" w:cs="Arial"/>
          <w:bCs/>
        </w:rPr>
        <w:t>.</w:t>
      </w:r>
      <w:r w:rsidR="0031291E" w:rsidRPr="00394AC2">
        <w:rPr>
          <w:rFonts w:ascii="Arial" w:hAnsi="Arial" w:cs="Arial"/>
          <w:bCs/>
        </w:rPr>
        <w:t>9</w:t>
      </w:r>
      <w:r w:rsidR="007614E4" w:rsidRPr="00A120AA">
        <w:rPr>
          <w:rFonts w:ascii="Arial" w:hAnsi="Arial" w:cs="Arial"/>
          <w:bCs/>
        </w:rPr>
        <w:t>%</w:t>
      </w:r>
    </w:p>
    <w:p w14:paraId="53A41F64" w14:textId="2C63476E" w:rsidR="002E49C2" w:rsidRPr="004B3175" w:rsidRDefault="00C1651D" w:rsidP="004B3175">
      <w:pPr>
        <w:pStyle w:val="ListParagraph"/>
        <w:numPr>
          <w:ilvl w:val="1"/>
          <w:numId w:val="2"/>
        </w:numPr>
        <w:ind w:left="709"/>
        <w:jc w:val="left"/>
        <w:rPr>
          <w:rFonts w:ascii="Arial" w:hAnsi="Arial" w:cs="Arial"/>
          <w:bCs/>
        </w:rPr>
      </w:pPr>
      <w:r w:rsidRPr="004B3175">
        <w:rPr>
          <w:rFonts w:ascii="Arial" w:hAnsi="Arial" w:cs="Arial"/>
          <w:bCs/>
        </w:rPr>
        <w:t>Total e</w:t>
      </w:r>
      <w:r w:rsidR="002E49C2" w:rsidRPr="004B3175">
        <w:rPr>
          <w:rFonts w:ascii="Arial" w:hAnsi="Arial" w:cs="Arial"/>
          <w:bCs/>
        </w:rPr>
        <w:t xml:space="preserve">-commerce sales* </w:t>
      </w:r>
      <w:r w:rsidR="00114CF7">
        <w:rPr>
          <w:rFonts w:ascii="Arial" w:hAnsi="Arial" w:cs="Arial"/>
          <w:bCs/>
        </w:rPr>
        <w:t>-</w:t>
      </w:r>
      <w:r w:rsidR="003C078B">
        <w:rPr>
          <w:rFonts w:ascii="Arial" w:hAnsi="Arial" w:cs="Arial"/>
          <w:bCs/>
        </w:rPr>
        <w:t>9.1% (</w:t>
      </w:r>
      <w:r w:rsidR="002E49C2" w:rsidRPr="004B3175">
        <w:rPr>
          <w:rFonts w:ascii="Arial" w:hAnsi="Arial" w:cs="Arial"/>
          <w:bCs/>
        </w:rPr>
        <w:t>3-year growth +14</w:t>
      </w:r>
      <w:r w:rsidR="00EE77A0" w:rsidRPr="004B3175">
        <w:rPr>
          <w:rFonts w:ascii="Arial" w:hAnsi="Arial" w:cs="Arial"/>
          <w:bCs/>
        </w:rPr>
        <w:t>6</w:t>
      </w:r>
      <w:r w:rsidR="002E49C2" w:rsidRPr="004B3175">
        <w:rPr>
          <w:rFonts w:ascii="Arial" w:hAnsi="Arial" w:cs="Arial"/>
          <w:bCs/>
        </w:rPr>
        <w:t>%</w:t>
      </w:r>
      <w:r w:rsidR="003C078B">
        <w:rPr>
          <w:rFonts w:ascii="Arial" w:hAnsi="Arial" w:cs="Arial"/>
          <w:bCs/>
        </w:rPr>
        <w:t>)</w:t>
      </w:r>
      <w:r w:rsidR="002E49C2" w:rsidRPr="004B3175">
        <w:rPr>
          <w:rFonts w:ascii="Arial" w:hAnsi="Arial" w:cs="Arial"/>
          <w:bCs/>
        </w:rPr>
        <w:t xml:space="preserve">, </w:t>
      </w:r>
      <w:r w:rsidR="007E125D">
        <w:rPr>
          <w:rFonts w:ascii="Arial" w:hAnsi="Arial" w:cs="Arial"/>
          <w:bCs/>
        </w:rPr>
        <w:t xml:space="preserve">with growth of </w:t>
      </w:r>
      <w:r w:rsidR="00A51CEA">
        <w:rPr>
          <w:rFonts w:ascii="Arial" w:hAnsi="Arial" w:cs="Arial"/>
          <w:bCs/>
        </w:rPr>
        <w:t>+</w:t>
      </w:r>
      <w:r w:rsidR="007E125D">
        <w:rPr>
          <w:rFonts w:ascii="Arial" w:hAnsi="Arial" w:cs="Arial"/>
          <w:bCs/>
        </w:rPr>
        <w:t xml:space="preserve">3.7% in H2. </w:t>
      </w:r>
      <w:r w:rsidR="00E57FC7">
        <w:rPr>
          <w:rFonts w:ascii="Arial" w:hAnsi="Arial" w:cs="Arial"/>
          <w:bCs/>
        </w:rPr>
        <w:t>E-commerce sales penetration</w:t>
      </w:r>
      <w:r w:rsidR="00A4638F">
        <w:rPr>
          <w:rFonts w:ascii="Arial" w:hAnsi="Arial" w:cs="Arial"/>
          <w:bCs/>
        </w:rPr>
        <w:t>*</w:t>
      </w:r>
      <w:r w:rsidR="00E57FC7">
        <w:rPr>
          <w:rFonts w:ascii="Arial" w:hAnsi="Arial" w:cs="Arial"/>
          <w:bCs/>
        </w:rPr>
        <w:t xml:space="preserve"> of </w:t>
      </w:r>
      <w:r w:rsidR="002E49C2" w:rsidRPr="004B3175">
        <w:rPr>
          <w:rFonts w:ascii="Arial" w:hAnsi="Arial" w:cs="Arial"/>
          <w:bCs/>
        </w:rPr>
        <w:t>16</w:t>
      </w:r>
      <w:r w:rsidR="00885F5B" w:rsidRPr="004B3175">
        <w:rPr>
          <w:rFonts w:ascii="Arial" w:hAnsi="Arial" w:cs="Arial"/>
          <w:bCs/>
        </w:rPr>
        <w:t>.</w:t>
      </w:r>
      <w:r w:rsidR="00490B74" w:rsidRPr="004B3175">
        <w:rPr>
          <w:rFonts w:ascii="Arial" w:hAnsi="Arial" w:cs="Arial"/>
          <w:bCs/>
        </w:rPr>
        <w:t>3</w:t>
      </w:r>
      <w:r w:rsidR="002E49C2" w:rsidRPr="004B3175">
        <w:rPr>
          <w:rFonts w:ascii="Arial" w:hAnsi="Arial" w:cs="Arial"/>
          <w:bCs/>
        </w:rPr>
        <w:t xml:space="preserve">% (FY 19/20: </w:t>
      </w:r>
      <w:r w:rsidR="002E5B70" w:rsidRPr="004B3175">
        <w:rPr>
          <w:rFonts w:ascii="Arial" w:hAnsi="Arial" w:cs="Arial"/>
          <w:bCs/>
        </w:rPr>
        <w:t>7.9</w:t>
      </w:r>
      <w:r w:rsidR="002E49C2" w:rsidRPr="004B3175">
        <w:rPr>
          <w:rFonts w:ascii="Arial" w:hAnsi="Arial" w:cs="Arial"/>
          <w:bCs/>
        </w:rPr>
        <w:t>%)</w:t>
      </w:r>
    </w:p>
    <w:p w14:paraId="14B15241" w14:textId="62BDDF48" w:rsidR="00366A43" w:rsidRPr="00443BC4" w:rsidRDefault="00366A43" w:rsidP="00366A43">
      <w:pPr>
        <w:pStyle w:val="ListParagraph"/>
        <w:numPr>
          <w:ilvl w:val="1"/>
          <w:numId w:val="2"/>
        </w:numPr>
        <w:ind w:left="709"/>
        <w:jc w:val="left"/>
        <w:rPr>
          <w:rFonts w:ascii="Arial" w:hAnsi="Arial" w:cs="Arial"/>
          <w:bCs/>
        </w:rPr>
      </w:pPr>
      <w:r w:rsidRPr="00CF6C1D">
        <w:rPr>
          <w:rFonts w:ascii="Arial" w:hAnsi="Arial" w:cs="Arial"/>
        </w:rPr>
        <w:t xml:space="preserve">Adjusted pre-tax profit </w:t>
      </w:r>
      <w:r w:rsidR="004D76A1">
        <w:rPr>
          <w:rFonts w:ascii="Arial" w:hAnsi="Arial" w:cs="Arial"/>
        </w:rPr>
        <w:t xml:space="preserve">(PBT) </w:t>
      </w:r>
      <w:r w:rsidR="00114CF7">
        <w:rPr>
          <w:rFonts w:ascii="Arial" w:hAnsi="Arial" w:cs="Arial"/>
        </w:rPr>
        <w:t>-</w:t>
      </w:r>
      <w:r w:rsidR="00972B45">
        <w:rPr>
          <w:rFonts w:ascii="Arial" w:hAnsi="Arial" w:cs="Arial"/>
        </w:rPr>
        <w:t>20%</w:t>
      </w:r>
      <w:r w:rsidR="001D39A2">
        <w:rPr>
          <w:rFonts w:ascii="Arial" w:hAnsi="Arial" w:cs="Arial"/>
        </w:rPr>
        <w:t xml:space="preserve"> </w:t>
      </w:r>
      <w:r w:rsidR="00F825DD">
        <w:rPr>
          <w:rFonts w:ascii="Arial" w:hAnsi="Arial" w:cs="Arial"/>
        </w:rPr>
        <w:t xml:space="preserve">to £758m </w:t>
      </w:r>
      <w:r w:rsidR="001D39A2">
        <w:rPr>
          <w:rFonts w:ascii="Arial" w:hAnsi="Arial" w:cs="Arial"/>
        </w:rPr>
        <w:t>(</w:t>
      </w:r>
      <w:r w:rsidR="00114CF7">
        <w:rPr>
          <w:rFonts w:ascii="Arial" w:hAnsi="Arial" w:cs="Arial"/>
        </w:rPr>
        <w:t>+</w:t>
      </w:r>
      <w:r w:rsidR="008D76BE" w:rsidRPr="00CF6C1D">
        <w:rPr>
          <w:rFonts w:ascii="Arial" w:hAnsi="Arial" w:cs="Arial"/>
        </w:rPr>
        <w:t>39</w:t>
      </w:r>
      <w:r w:rsidRPr="00CF6C1D">
        <w:rPr>
          <w:rFonts w:ascii="Arial" w:hAnsi="Arial" w:cs="Arial"/>
        </w:rPr>
        <w:t xml:space="preserve">% </w:t>
      </w:r>
      <w:r w:rsidR="003E7CD3">
        <w:rPr>
          <w:rFonts w:ascii="Arial" w:hAnsi="Arial" w:cs="Arial"/>
        </w:rPr>
        <w:t>vs</w:t>
      </w:r>
      <w:r w:rsidR="003E7CD3" w:rsidRPr="00CF6C1D">
        <w:rPr>
          <w:rFonts w:ascii="Arial" w:hAnsi="Arial" w:cs="Arial"/>
        </w:rPr>
        <w:t xml:space="preserve"> </w:t>
      </w:r>
      <w:r w:rsidRPr="00CF6C1D">
        <w:rPr>
          <w:rFonts w:ascii="Arial" w:hAnsi="Arial" w:cs="Arial"/>
        </w:rPr>
        <w:t>FY 19/20</w:t>
      </w:r>
      <w:r w:rsidR="001D39A2">
        <w:rPr>
          <w:rFonts w:ascii="Arial" w:hAnsi="Arial" w:cs="Arial"/>
        </w:rPr>
        <w:t>)</w:t>
      </w:r>
      <w:r w:rsidR="00440F35">
        <w:rPr>
          <w:rFonts w:ascii="Arial" w:hAnsi="Arial" w:cs="Arial"/>
        </w:rPr>
        <w:t xml:space="preserve">. </w:t>
      </w:r>
      <w:r w:rsidR="00440F35" w:rsidRPr="00440F35">
        <w:rPr>
          <w:rFonts w:ascii="Arial" w:hAnsi="Arial" w:cs="Arial"/>
        </w:rPr>
        <w:t xml:space="preserve">Statutory </w:t>
      </w:r>
      <w:r w:rsidR="004D76A1">
        <w:rPr>
          <w:rFonts w:ascii="Arial" w:hAnsi="Arial" w:cs="Arial"/>
        </w:rPr>
        <w:t xml:space="preserve">PBT </w:t>
      </w:r>
      <w:r w:rsidR="00440F35">
        <w:rPr>
          <w:rFonts w:ascii="Arial" w:hAnsi="Arial" w:cs="Arial"/>
        </w:rPr>
        <w:t>-</w:t>
      </w:r>
      <w:r w:rsidR="00440F35" w:rsidRPr="00440F35">
        <w:rPr>
          <w:rFonts w:ascii="Arial" w:hAnsi="Arial" w:cs="Arial"/>
        </w:rPr>
        <w:t>39.3% to £611m</w:t>
      </w:r>
    </w:p>
    <w:p w14:paraId="58E491C2" w14:textId="72B33C9B" w:rsidR="00443BC4" w:rsidRPr="002B26F5" w:rsidRDefault="00443BC4" w:rsidP="00366A43">
      <w:pPr>
        <w:pStyle w:val="ListParagraph"/>
        <w:numPr>
          <w:ilvl w:val="1"/>
          <w:numId w:val="2"/>
        </w:numPr>
        <w:ind w:left="709"/>
        <w:jc w:val="left"/>
        <w:rPr>
          <w:rFonts w:ascii="Arial" w:hAnsi="Arial" w:cs="Arial"/>
          <w:bCs/>
        </w:rPr>
      </w:pPr>
      <w:r w:rsidRPr="00443BC4">
        <w:rPr>
          <w:rFonts w:ascii="Arial" w:hAnsi="Arial" w:cs="Arial"/>
          <w:bCs/>
        </w:rPr>
        <w:t xml:space="preserve">Exceeded </w:t>
      </w:r>
      <w:r w:rsidR="000A6019">
        <w:rPr>
          <w:rFonts w:ascii="Arial" w:hAnsi="Arial" w:cs="Arial"/>
          <w:bCs/>
        </w:rPr>
        <w:t xml:space="preserve">target for </w:t>
      </w:r>
      <w:r w:rsidRPr="00443BC4">
        <w:rPr>
          <w:rFonts w:ascii="Arial" w:hAnsi="Arial" w:cs="Arial"/>
          <w:bCs/>
        </w:rPr>
        <w:t xml:space="preserve">1.5°C science-based scope 1 and 2 carbon reduction </w:t>
      </w:r>
      <w:r w:rsidR="00FF7847">
        <w:rPr>
          <w:rFonts w:ascii="Arial" w:hAnsi="Arial" w:cs="Arial"/>
          <w:bCs/>
        </w:rPr>
        <w:t>(-</w:t>
      </w:r>
      <w:r w:rsidRPr="00443BC4">
        <w:rPr>
          <w:rFonts w:ascii="Arial" w:hAnsi="Arial" w:cs="Arial"/>
          <w:bCs/>
        </w:rPr>
        <w:t>52.</w:t>
      </w:r>
      <w:r w:rsidR="00757C94">
        <w:rPr>
          <w:rFonts w:ascii="Arial" w:hAnsi="Arial" w:cs="Arial"/>
          <w:bCs/>
        </w:rPr>
        <w:t>7</w:t>
      </w:r>
      <w:r w:rsidRPr="00443BC4">
        <w:rPr>
          <w:rFonts w:ascii="Arial" w:hAnsi="Arial" w:cs="Arial"/>
          <w:bCs/>
        </w:rPr>
        <w:t xml:space="preserve">% </w:t>
      </w:r>
      <w:r w:rsidR="003E7CD3">
        <w:rPr>
          <w:rFonts w:ascii="Arial" w:hAnsi="Arial" w:cs="Arial"/>
          <w:bCs/>
        </w:rPr>
        <w:t>vs</w:t>
      </w:r>
      <w:r w:rsidR="003E7CD3" w:rsidRPr="00443BC4">
        <w:rPr>
          <w:rFonts w:ascii="Arial" w:hAnsi="Arial" w:cs="Arial"/>
          <w:bCs/>
        </w:rPr>
        <w:t xml:space="preserve"> </w:t>
      </w:r>
      <w:r w:rsidRPr="00443BC4">
        <w:rPr>
          <w:rFonts w:ascii="Arial" w:hAnsi="Arial" w:cs="Arial"/>
          <w:bCs/>
        </w:rPr>
        <w:t>FY 16/17</w:t>
      </w:r>
      <w:r w:rsidR="00FF7847">
        <w:rPr>
          <w:rFonts w:ascii="Arial" w:hAnsi="Arial" w:cs="Arial"/>
          <w:bCs/>
        </w:rPr>
        <w:t>)</w:t>
      </w:r>
    </w:p>
    <w:p w14:paraId="3758654D" w14:textId="091A5C92" w:rsidR="002B26F5" w:rsidRPr="002B26F5" w:rsidRDefault="009841B0" w:rsidP="00394AC2">
      <w:pPr>
        <w:pStyle w:val="ListParagraph"/>
        <w:numPr>
          <w:ilvl w:val="1"/>
          <w:numId w:val="2"/>
        </w:numPr>
        <w:ind w:left="709"/>
        <w:jc w:val="left"/>
        <w:rPr>
          <w:rFonts w:ascii="Arial" w:hAnsi="Arial" w:cs="Arial"/>
        </w:rPr>
      </w:pPr>
      <w:r>
        <w:rPr>
          <w:rFonts w:ascii="Arial" w:hAnsi="Arial" w:cs="Arial"/>
        </w:rPr>
        <w:t>Proposed total d</w:t>
      </w:r>
      <w:r w:rsidR="002B26F5">
        <w:rPr>
          <w:rFonts w:ascii="Arial" w:hAnsi="Arial" w:cs="Arial"/>
        </w:rPr>
        <w:t>ividend maintained at 12.40p per share</w:t>
      </w:r>
      <w:r>
        <w:rPr>
          <w:rFonts w:ascii="Arial" w:hAnsi="Arial" w:cs="Arial"/>
        </w:rPr>
        <w:t>,</w:t>
      </w:r>
      <w:r w:rsidR="002B26F5">
        <w:rPr>
          <w:rFonts w:ascii="Arial" w:hAnsi="Arial" w:cs="Arial"/>
        </w:rPr>
        <w:t xml:space="preserve"> in line with FY</w:t>
      </w:r>
      <w:r w:rsidR="00EF3766">
        <w:rPr>
          <w:rFonts w:ascii="Arial" w:hAnsi="Arial" w:cs="Arial"/>
        </w:rPr>
        <w:t xml:space="preserve"> </w:t>
      </w:r>
      <w:r w:rsidR="002B26F5">
        <w:rPr>
          <w:rFonts w:ascii="Arial" w:hAnsi="Arial" w:cs="Arial"/>
        </w:rPr>
        <w:t xml:space="preserve">21/22 </w:t>
      </w:r>
    </w:p>
    <w:p w14:paraId="0F9DD76F" w14:textId="77777777" w:rsidR="001112DB" w:rsidRPr="00C844D4" w:rsidRDefault="001112DB" w:rsidP="006821D0">
      <w:pPr>
        <w:jc w:val="left"/>
        <w:rPr>
          <w:rFonts w:ascii="Arial" w:hAnsi="Arial" w:cs="Arial"/>
          <w:sz w:val="18"/>
          <w:szCs w:val="18"/>
        </w:rPr>
      </w:pPr>
    </w:p>
    <w:p w14:paraId="71AD5503" w14:textId="44EF6701" w:rsidR="00366A43" w:rsidRPr="00234324" w:rsidRDefault="007E7CF9" w:rsidP="00366A43">
      <w:pPr>
        <w:pStyle w:val="ListParagraph"/>
        <w:numPr>
          <w:ilvl w:val="0"/>
          <w:numId w:val="2"/>
        </w:numPr>
        <w:jc w:val="left"/>
        <w:rPr>
          <w:rFonts w:ascii="Arial" w:hAnsi="Arial" w:cs="Arial"/>
          <w:b/>
        </w:rPr>
      </w:pPr>
      <w:r>
        <w:rPr>
          <w:rFonts w:ascii="Arial" w:hAnsi="Arial" w:cs="Arial"/>
          <w:b/>
        </w:rPr>
        <w:t>Mul</w:t>
      </w:r>
      <w:r w:rsidR="006D3E6A">
        <w:rPr>
          <w:rFonts w:ascii="Arial" w:hAnsi="Arial" w:cs="Arial"/>
          <w:b/>
        </w:rPr>
        <w:t>tiple profitable growth opportunities being pursued at pace</w:t>
      </w:r>
    </w:p>
    <w:p w14:paraId="041BEA27" w14:textId="0384336C" w:rsidR="00B71B21" w:rsidRPr="00B60A7A" w:rsidRDefault="00901EE8" w:rsidP="006C225F">
      <w:pPr>
        <w:pStyle w:val="ListParagraph"/>
        <w:numPr>
          <w:ilvl w:val="1"/>
          <w:numId w:val="2"/>
        </w:numPr>
        <w:ind w:left="709"/>
        <w:jc w:val="left"/>
        <w:rPr>
          <w:rFonts w:ascii="Arial" w:hAnsi="Arial" w:cs="Arial"/>
          <w:bCs/>
        </w:rPr>
      </w:pPr>
      <w:r>
        <w:rPr>
          <w:rFonts w:ascii="Arial" w:hAnsi="Arial"/>
        </w:rPr>
        <w:t>Ambition</w:t>
      </w:r>
      <w:r w:rsidR="00B71B21" w:rsidRPr="00635726">
        <w:rPr>
          <w:rFonts w:ascii="Arial" w:hAnsi="Arial"/>
        </w:rPr>
        <w:t xml:space="preserve"> of 25% e-commerce sales penetration</w:t>
      </w:r>
      <w:r w:rsidR="00B71B21" w:rsidRPr="00B60A7A">
        <w:rPr>
          <w:rFonts w:ascii="Arial" w:hAnsi="Arial" w:cs="Arial"/>
        </w:rPr>
        <w:t>. Successful e-commerce marketplace</w:t>
      </w:r>
      <w:r w:rsidR="00B71B21" w:rsidRPr="00B60A7A">
        <w:rPr>
          <w:rFonts w:ascii="Arial" w:hAnsi="Arial" w:cs="Arial"/>
          <w:bCs/>
        </w:rPr>
        <w:t xml:space="preserve"> launches in the UK</w:t>
      </w:r>
      <w:r w:rsidR="00262EBF">
        <w:rPr>
          <w:rFonts w:ascii="Arial" w:hAnsi="Arial" w:cs="Arial"/>
          <w:bCs/>
        </w:rPr>
        <w:t xml:space="preserve"> and Iberia*</w:t>
      </w:r>
      <w:r w:rsidR="00B71B21" w:rsidRPr="00B60A7A">
        <w:rPr>
          <w:rFonts w:ascii="Arial" w:hAnsi="Arial" w:cs="Arial"/>
          <w:bCs/>
        </w:rPr>
        <w:t>; preparing roll-out in Poland and France</w:t>
      </w:r>
      <w:r w:rsidR="00262EBF">
        <w:rPr>
          <w:rFonts w:ascii="Arial" w:hAnsi="Arial" w:cs="Arial"/>
          <w:bCs/>
        </w:rPr>
        <w:t>*</w:t>
      </w:r>
      <w:r w:rsidR="00B71B21" w:rsidRPr="00B60A7A">
        <w:rPr>
          <w:rFonts w:ascii="Arial" w:hAnsi="Arial" w:cs="Arial"/>
        </w:rPr>
        <w:t xml:space="preserve"> </w:t>
      </w:r>
    </w:p>
    <w:p w14:paraId="21A34648" w14:textId="418EA740" w:rsidR="00366A43" w:rsidRDefault="00366A43" w:rsidP="00366A43">
      <w:pPr>
        <w:pStyle w:val="ListParagraph"/>
        <w:numPr>
          <w:ilvl w:val="1"/>
          <w:numId w:val="2"/>
        </w:numPr>
        <w:ind w:left="709"/>
        <w:jc w:val="left"/>
        <w:rPr>
          <w:rFonts w:ascii="Arial" w:hAnsi="Arial" w:cs="Arial"/>
        </w:rPr>
      </w:pPr>
      <w:r w:rsidRPr="00273E17">
        <w:rPr>
          <w:rFonts w:ascii="Arial" w:hAnsi="Arial" w:cs="Arial"/>
        </w:rPr>
        <w:t xml:space="preserve">Opened first </w:t>
      </w:r>
      <w:r w:rsidR="008F5361">
        <w:rPr>
          <w:rFonts w:ascii="Arial" w:hAnsi="Arial" w:cs="Arial"/>
        </w:rPr>
        <w:t xml:space="preserve">5 </w:t>
      </w:r>
      <w:r w:rsidRPr="00273E17">
        <w:rPr>
          <w:rFonts w:ascii="Arial" w:hAnsi="Arial" w:cs="Arial"/>
        </w:rPr>
        <w:t xml:space="preserve">Screwfix stores in </w:t>
      </w:r>
      <w:r w:rsidRPr="00167563">
        <w:rPr>
          <w:rFonts w:ascii="Arial" w:hAnsi="Arial" w:cs="Arial"/>
        </w:rPr>
        <w:t xml:space="preserve">France; </w:t>
      </w:r>
      <w:r w:rsidR="00773A1E" w:rsidRPr="005C2EAC">
        <w:rPr>
          <w:rFonts w:ascii="Arial" w:hAnsi="Arial"/>
        </w:rPr>
        <w:t>up to 25</w:t>
      </w:r>
      <w:r w:rsidR="00773A1E">
        <w:rPr>
          <w:rFonts w:ascii="Arial" w:hAnsi="Arial" w:cs="Arial"/>
        </w:rPr>
        <w:t xml:space="preserve"> new stores </w:t>
      </w:r>
      <w:r w:rsidRPr="00273E17">
        <w:rPr>
          <w:rFonts w:ascii="Arial" w:hAnsi="Arial" w:cs="Arial"/>
        </w:rPr>
        <w:t xml:space="preserve">planned </w:t>
      </w:r>
      <w:r w:rsidR="003F5782">
        <w:rPr>
          <w:rFonts w:ascii="Arial" w:hAnsi="Arial" w:cs="Arial"/>
        </w:rPr>
        <w:t>in</w:t>
      </w:r>
      <w:r w:rsidR="003F5782" w:rsidRPr="00273E17">
        <w:rPr>
          <w:rFonts w:ascii="Arial" w:hAnsi="Arial" w:cs="Arial"/>
        </w:rPr>
        <w:t xml:space="preserve"> </w:t>
      </w:r>
      <w:r>
        <w:rPr>
          <w:rFonts w:ascii="Arial" w:hAnsi="Arial" w:cs="Arial"/>
        </w:rPr>
        <w:t>FY 23/24</w:t>
      </w:r>
    </w:p>
    <w:p w14:paraId="0FCC0B1B" w14:textId="27699123" w:rsidR="00366A43" w:rsidRPr="00B63343" w:rsidRDefault="00F5207D" w:rsidP="00366A43">
      <w:pPr>
        <w:pStyle w:val="ListParagraph"/>
        <w:numPr>
          <w:ilvl w:val="1"/>
          <w:numId w:val="2"/>
        </w:numPr>
        <w:ind w:left="709"/>
        <w:jc w:val="left"/>
        <w:rPr>
          <w:rFonts w:ascii="Arial" w:hAnsi="Arial" w:cs="Arial"/>
        </w:rPr>
      </w:pPr>
      <w:r>
        <w:rPr>
          <w:rFonts w:ascii="Arial" w:hAnsi="Arial" w:cs="Arial"/>
        </w:rPr>
        <w:t>R</w:t>
      </w:r>
      <w:r w:rsidR="00366A43" w:rsidRPr="00B63343">
        <w:rPr>
          <w:rFonts w:ascii="Arial" w:hAnsi="Arial" w:cs="Arial"/>
        </w:rPr>
        <w:t xml:space="preserve">ecord </w:t>
      </w:r>
      <w:r w:rsidR="00366A43" w:rsidRPr="00214D4E">
        <w:rPr>
          <w:rFonts w:ascii="Arial" w:hAnsi="Arial" w:cs="Arial"/>
        </w:rPr>
        <w:t>8</w:t>
      </w:r>
      <w:r w:rsidR="00ED662F" w:rsidRPr="00214D4E">
        <w:rPr>
          <w:rFonts w:ascii="Arial" w:hAnsi="Arial" w:cs="Arial"/>
        </w:rPr>
        <w:t>2</w:t>
      </w:r>
      <w:r w:rsidR="00366A43" w:rsidRPr="00B63343">
        <w:rPr>
          <w:rFonts w:ascii="Arial" w:hAnsi="Arial" w:cs="Arial"/>
        </w:rPr>
        <w:t xml:space="preserve"> </w:t>
      </w:r>
      <w:r w:rsidR="00812628">
        <w:rPr>
          <w:rFonts w:ascii="Arial" w:hAnsi="Arial" w:cs="Arial"/>
        </w:rPr>
        <w:t xml:space="preserve">Screwfix </w:t>
      </w:r>
      <w:r w:rsidR="00366A43" w:rsidRPr="00B63343">
        <w:rPr>
          <w:rFonts w:ascii="Arial" w:hAnsi="Arial" w:cs="Arial"/>
        </w:rPr>
        <w:t xml:space="preserve">store openings in the UK &amp; </w:t>
      </w:r>
      <w:r w:rsidR="00366A43" w:rsidRPr="00EA5677">
        <w:rPr>
          <w:rFonts w:ascii="Arial" w:hAnsi="Arial" w:cs="Arial"/>
        </w:rPr>
        <w:t>Ireland</w:t>
      </w:r>
      <w:r w:rsidR="00397A44">
        <w:rPr>
          <w:rFonts w:ascii="Arial" w:hAnsi="Arial" w:cs="Arial"/>
        </w:rPr>
        <w:t>*</w:t>
      </w:r>
      <w:r w:rsidR="00FB3CBD" w:rsidRPr="00EA5677">
        <w:rPr>
          <w:rFonts w:ascii="Arial" w:hAnsi="Arial" w:cs="Arial"/>
        </w:rPr>
        <w:t xml:space="preserve">; </w:t>
      </w:r>
      <w:r w:rsidR="00FB3CBD" w:rsidRPr="00CD09A1">
        <w:rPr>
          <w:rFonts w:ascii="Arial" w:hAnsi="Arial"/>
        </w:rPr>
        <w:t xml:space="preserve">up to </w:t>
      </w:r>
      <w:r w:rsidR="0045715B" w:rsidRPr="00CD09A1">
        <w:rPr>
          <w:rFonts w:ascii="Arial" w:hAnsi="Arial"/>
        </w:rPr>
        <w:t>6</w:t>
      </w:r>
      <w:r w:rsidR="00FB3CBD" w:rsidRPr="00CD09A1">
        <w:rPr>
          <w:rFonts w:ascii="Arial" w:hAnsi="Arial"/>
        </w:rPr>
        <w:t>0</w:t>
      </w:r>
      <w:r w:rsidR="00FB3CBD" w:rsidRPr="00EA5677">
        <w:rPr>
          <w:rFonts w:ascii="Arial" w:hAnsi="Arial" w:cs="Arial"/>
        </w:rPr>
        <w:t xml:space="preserve"> new</w:t>
      </w:r>
      <w:r w:rsidR="00FB3CBD">
        <w:rPr>
          <w:rFonts w:ascii="Arial" w:hAnsi="Arial" w:cs="Arial"/>
        </w:rPr>
        <w:t xml:space="preserve"> stores </w:t>
      </w:r>
      <w:r w:rsidR="00160453">
        <w:rPr>
          <w:rFonts w:ascii="Arial" w:hAnsi="Arial" w:cs="Arial"/>
        </w:rPr>
        <w:t xml:space="preserve">planned </w:t>
      </w:r>
      <w:r w:rsidR="003F5782">
        <w:rPr>
          <w:rFonts w:ascii="Arial" w:hAnsi="Arial" w:cs="Arial"/>
        </w:rPr>
        <w:t xml:space="preserve">in </w:t>
      </w:r>
      <w:r w:rsidR="00FB3CBD">
        <w:rPr>
          <w:rFonts w:ascii="Arial" w:hAnsi="Arial" w:cs="Arial"/>
        </w:rPr>
        <w:t>FY 23/24</w:t>
      </w:r>
    </w:p>
    <w:p w14:paraId="2F0C4670" w14:textId="2509E84D" w:rsidR="000C7E3F" w:rsidRPr="00700F86" w:rsidRDefault="001B1E76" w:rsidP="00366A43">
      <w:pPr>
        <w:pStyle w:val="ListParagraph"/>
        <w:numPr>
          <w:ilvl w:val="1"/>
          <w:numId w:val="2"/>
        </w:numPr>
        <w:ind w:left="709"/>
        <w:jc w:val="left"/>
        <w:rPr>
          <w:rFonts w:ascii="Arial" w:hAnsi="Arial" w:cs="Arial"/>
        </w:rPr>
      </w:pPr>
      <w:r>
        <w:rPr>
          <w:rFonts w:ascii="Arial" w:hAnsi="Arial" w:cs="Arial"/>
        </w:rPr>
        <w:t>T</w:t>
      </w:r>
      <w:r w:rsidR="00C005DB" w:rsidRPr="00CD09A1">
        <w:rPr>
          <w:rFonts w:ascii="Arial" w:hAnsi="Arial"/>
        </w:rPr>
        <w:t xml:space="preserve">argeting </w:t>
      </w:r>
      <w:r w:rsidR="006677D8">
        <w:rPr>
          <w:rFonts w:ascii="Arial" w:hAnsi="Arial"/>
        </w:rPr>
        <w:t xml:space="preserve">up to </w:t>
      </w:r>
      <w:r w:rsidR="006677D8">
        <w:rPr>
          <w:rFonts w:ascii="Arial" w:hAnsi="Arial" w:cs="Arial"/>
        </w:rPr>
        <w:t>80</w:t>
      </w:r>
      <w:r w:rsidR="006677D8" w:rsidRPr="00CD09A1">
        <w:rPr>
          <w:rFonts w:ascii="Arial" w:hAnsi="Arial"/>
        </w:rPr>
        <w:t xml:space="preserve"> </w:t>
      </w:r>
      <w:r w:rsidR="00C005DB" w:rsidRPr="00CD09A1">
        <w:rPr>
          <w:rFonts w:ascii="Arial" w:hAnsi="Arial"/>
        </w:rPr>
        <w:t>medium</w:t>
      </w:r>
      <w:r w:rsidR="009D3C08" w:rsidRPr="00CD09A1">
        <w:rPr>
          <w:rFonts w:ascii="Arial" w:hAnsi="Arial"/>
        </w:rPr>
        <w:t>-</w:t>
      </w:r>
      <w:r w:rsidR="00C005DB" w:rsidRPr="00CD09A1">
        <w:rPr>
          <w:rFonts w:ascii="Arial" w:hAnsi="Arial"/>
        </w:rPr>
        <w:t xml:space="preserve">box </w:t>
      </w:r>
      <w:r w:rsidR="00472DE1" w:rsidRPr="00635726">
        <w:rPr>
          <w:rFonts w:ascii="Arial" w:hAnsi="Arial"/>
        </w:rPr>
        <w:t>and co</w:t>
      </w:r>
      <w:r w:rsidR="00B0220B" w:rsidRPr="00635726">
        <w:rPr>
          <w:rFonts w:ascii="Arial" w:hAnsi="Arial"/>
        </w:rPr>
        <w:t xml:space="preserve">mpact </w:t>
      </w:r>
      <w:r w:rsidR="00C005DB" w:rsidRPr="00CD09A1">
        <w:rPr>
          <w:rFonts w:ascii="Arial" w:hAnsi="Arial"/>
        </w:rPr>
        <w:t xml:space="preserve">store openings in </w:t>
      </w:r>
      <w:r>
        <w:rPr>
          <w:rFonts w:ascii="Arial" w:hAnsi="Arial"/>
        </w:rPr>
        <w:t xml:space="preserve">Castorama </w:t>
      </w:r>
      <w:r w:rsidR="00C005DB" w:rsidRPr="00CD09A1">
        <w:rPr>
          <w:rFonts w:ascii="Arial" w:hAnsi="Arial"/>
        </w:rPr>
        <w:t xml:space="preserve">Poland over </w:t>
      </w:r>
      <w:r w:rsidR="00511B9D">
        <w:rPr>
          <w:rFonts w:ascii="Arial" w:hAnsi="Arial"/>
        </w:rPr>
        <w:t>5</w:t>
      </w:r>
      <w:r w:rsidR="00C005DB" w:rsidRPr="00CD09A1">
        <w:rPr>
          <w:rFonts w:ascii="Arial" w:hAnsi="Arial"/>
        </w:rPr>
        <w:t xml:space="preserve"> years</w:t>
      </w:r>
    </w:p>
    <w:p w14:paraId="21D2C135" w14:textId="1683FCAD" w:rsidR="00366A43" w:rsidRPr="00716B95" w:rsidRDefault="00F31C07" w:rsidP="00366A43">
      <w:pPr>
        <w:pStyle w:val="ListParagraph"/>
        <w:numPr>
          <w:ilvl w:val="1"/>
          <w:numId w:val="2"/>
        </w:numPr>
        <w:ind w:left="709"/>
        <w:jc w:val="left"/>
        <w:rPr>
          <w:rFonts w:ascii="Arial" w:hAnsi="Arial" w:cs="Arial"/>
        </w:rPr>
      </w:pPr>
      <w:r w:rsidRPr="00700F86">
        <w:rPr>
          <w:rFonts w:ascii="Arial" w:hAnsi="Arial" w:cs="Arial"/>
        </w:rPr>
        <w:t>Continued focus on increasing trade penet</w:t>
      </w:r>
      <w:r>
        <w:rPr>
          <w:rFonts w:ascii="Arial" w:hAnsi="Arial" w:cs="Arial"/>
        </w:rPr>
        <w:t xml:space="preserve">ration across all banners. </w:t>
      </w:r>
      <w:r w:rsidR="00366A43">
        <w:rPr>
          <w:rFonts w:ascii="Arial" w:hAnsi="Arial" w:cs="Arial"/>
        </w:rPr>
        <w:t>TradePoint (in B&amp;Q) 3-</w:t>
      </w:r>
      <w:r w:rsidR="00366A43" w:rsidRPr="00716B95">
        <w:rPr>
          <w:rFonts w:ascii="Arial" w:hAnsi="Arial" w:cs="Arial"/>
        </w:rPr>
        <w:t>year LFL sales growth of +</w:t>
      </w:r>
      <w:r w:rsidR="00716B95" w:rsidRPr="00214D4E">
        <w:rPr>
          <w:rFonts w:ascii="Arial" w:hAnsi="Arial" w:cs="Arial"/>
        </w:rPr>
        <w:t>31.5</w:t>
      </w:r>
      <w:r w:rsidR="00366A43" w:rsidRPr="00716B95">
        <w:rPr>
          <w:rFonts w:ascii="Arial" w:hAnsi="Arial" w:cs="Arial"/>
        </w:rPr>
        <w:t xml:space="preserve">%, outperforming core B&amp;Q and reaching </w:t>
      </w:r>
      <w:r w:rsidR="00366A43" w:rsidRPr="00214D4E">
        <w:rPr>
          <w:rFonts w:ascii="Arial" w:hAnsi="Arial" w:cs="Arial"/>
        </w:rPr>
        <w:t>22</w:t>
      </w:r>
      <w:r w:rsidR="00366A43" w:rsidRPr="00716B95">
        <w:rPr>
          <w:rFonts w:ascii="Arial" w:hAnsi="Arial" w:cs="Arial"/>
        </w:rPr>
        <w:t>% sales penetration</w:t>
      </w:r>
      <w:r w:rsidR="00B37DA8">
        <w:rPr>
          <w:rFonts w:ascii="Arial" w:hAnsi="Arial" w:cs="Arial"/>
        </w:rPr>
        <w:t xml:space="preserve"> </w:t>
      </w:r>
    </w:p>
    <w:p w14:paraId="7293EB68" w14:textId="06C74698" w:rsidR="001112DB" w:rsidRPr="00C844D4" w:rsidRDefault="001112DB" w:rsidP="006821D0">
      <w:pPr>
        <w:jc w:val="left"/>
        <w:rPr>
          <w:rFonts w:ascii="Arial" w:hAnsi="Arial" w:cs="Arial"/>
          <w:sz w:val="18"/>
          <w:szCs w:val="18"/>
        </w:rPr>
      </w:pPr>
    </w:p>
    <w:p w14:paraId="2CF8FAED" w14:textId="3B9745E8" w:rsidR="00366A43" w:rsidRPr="00234324" w:rsidRDefault="00366A43" w:rsidP="00366A43">
      <w:pPr>
        <w:pStyle w:val="ListParagraph"/>
        <w:numPr>
          <w:ilvl w:val="0"/>
          <w:numId w:val="2"/>
        </w:numPr>
        <w:jc w:val="left"/>
        <w:rPr>
          <w:rFonts w:ascii="Arial" w:hAnsi="Arial" w:cs="Arial"/>
          <w:b/>
        </w:rPr>
      </w:pPr>
      <w:r w:rsidRPr="00234324">
        <w:rPr>
          <w:rFonts w:ascii="Arial" w:hAnsi="Arial" w:cs="Arial"/>
          <w:b/>
        </w:rPr>
        <w:t>Well positioned to navigate FY 23/24</w:t>
      </w:r>
    </w:p>
    <w:p w14:paraId="66BF32EF" w14:textId="1AE0F19D" w:rsidR="00366A43" w:rsidRPr="00A939BC" w:rsidRDefault="00366A43" w:rsidP="00366A43">
      <w:pPr>
        <w:pStyle w:val="ListParagraph"/>
        <w:numPr>
          <w:ilvl w:val="1"/>
          <w:numId w:val="2"/>
        </w:numPr>
        <w:ind w:left="709"/>
        <w:jc w:val="left"/>
        <w:rPr>
          <w:rFonts w:ascii="Arial" w:hAnsi="Arial" w:cs="Arial"/>
        </w:rPr>
      </w:pPr>
      <w:r w:rsidRPr="00234324">
        <w:rPr>
          <w:rFonts w:ascii="Arial" w:hAnsi="Arial" w:cs="Arial"/>
        </w:rPr>
        <w:t xml:space="preserve">Resilient </w:t>
      </w:r>
      <w:r w:rsidR="00A939BC">
        <w:rPr>
          <w:rFonts w:ascii="Arial" w:hAnsi="Arial" w:cs="Arial"/>
        </w:rPr>
        <w:t xml:space="preserve">underlying </w:t>
      </w:r>
      <w:r w:rsidRPr="00234324">
        <w:rPr>
          <w:rFonts w:ascii="Arial" w:hAnsi="Arial" w:cs="Arial"/>
        </w:rPr>
        <w:t>sales trend</w:t>
      </w:r>
      <w:r w:rsidR="00B664F8">
        <w:rPr>
          <w:rFonts w:ascii="Arial" w:hAnsi="Arial" w:cs="Arial"/>
        </w:rPr>
        <w:t>s</w:t>
      </w:r>
      <w:r w:rsidRPr="00234324">
        <w:rPr>
          <w:rFonts w:ascii="Arial" w:hAnsi="Arial" w:cs="Arial"/>
        </w:rPr>
        <w:t xml:space="preserve"> in </w:t>
      </w:r>
      <w:r w:rsidR="00A939BC">
        <w:rPr>
          <w:rFonts w:ascii="Arial" w:hAnsi="Arial" w:cs="Arial"/>
        </w:rPr>
        <w:t>the new year</w:t>
      </w:r>
      <w:r w:rsidR="0092003B">
        <w:rPr>
          <w:rFonts w:ascii="Arial" w:hAnsi="Arial" w:cs="Arial"/>
        </w:rPr>
        <w:t xml:space="preserve"> (</w:t>
      </w:r>
      <w:r w:rsidR="00A939BC">
        <w:rPr>
          <w:rFonts w:ascii="Arial" w:hAnsi="Arial" w:cs="Arial"/>
        </w:rPr>
        <w:t xml:space="preserve">February </w:t>
      </w:r>
      <w:r w:rsidR="0092003B">
        <w:rPr>
          <w:rFonts w:ascii="Arial" w:hAnsi="Arial" w:cs="Arial"/>
        </w:rPr>
        <w:t>23/24</w:t>
      </w:r>
      <w:r w:rsidR="00C42B40">
        <w:rPr>
          <w:rFonts w:ascii="Arial" w:hAnsi="Arial" w:cs="Arial"/>
        </w:rPr>
        <w:t xml:space="preserve"> </w:t>
      </w:r>
      <w:r w:rsidR="003E6956">
        <w:rPr>
          <w:rFonts w:ascii="Arial" w:hAnsi="Arial" w:cs="Arial"/>
        </w:rPr>
        <w:t xml:space="preserve">LFL </w:t>
      </w:r>
      <w:r w:rsidR="003E6956" w:rsidRPr="00A939BC">
        <w:rPr>
          <w:rFonts w:ascii="Arial" w:hAnsi="Arial" w:cs="Arial"/>
        </w:rPr>
        <w:t>sales</w:t>
      </w:r>
      <w:r w:rsidR="008F6970" w:rsidRPr="00A939BC">
        <w:rPr>
          <w:rFonts w:ascii="Arial" w:hAnsi="Arial" w:cs="Arial"/>
          <w:vertAlign w:val="superscript"/>
        </w:rPr>
        <w:t>(</w:t>
      </w:r>
      <w:r w:rsidR="006610DC" w:rsidRPr="00A939BC">
        <w:rPr>
          <w:rFonts w:ascii="Arial" w:hAnsi="Arial" w:cs="Arial"/>
          <w:vertAlign w:val="superscript"/>
        </w:rPr>
        <w:t>5</w:t>
      </w:r>
      <w:r w:rsidR="008F6970" w:rsidRPr="00A939BC">
        <w:rPr>
          <w:rFonts w:ascii="Arial" w:hAnsi="Arial" w:cs="Arial"/>
          <w:vertAlign w:val="superscript"/>
        </w:rPr>
        <w:t>)</w:t>
      </w:r>
      <w:r w:rsidR="00C42B40" w:rsidRPr="00A939BC">
        <w:rPr>
          <w:rFonts w:ascii="Arial" w:hAnsi="Arial" w:cs="Arial"/>
        </w:rPr>
        <w:t xml:space="preserve">: </w:t>
      </w:r>
      <w:r w:rsidR="00A939BC" w:rsidRPr="005B1D34">
        <w:rPr>
          <w:rFonts w:ascii="Arial" w:hAnsi="Arial"/>
        </w:rPr>
        <w:t>+0</w:t>
      </w:r>
      <w:r w:rsidR="0018027F" w:rsidRPr="005B1D34">
        <w:rPr>
          <w:rFonts w:ascii="Arial" w:hAnsi="Arial"/>
        </w:rPr>
        <w:t>.</w:t>
      </w:r>
      <w:r w:rsidR="00A939BC" w:rsidRPr="005B1D34">
        <w:rPr>
          <w:rFonts w:ascii="Arial" w:hAnsi="Arial"/>
        </w:rPr>
        <w:t>5</w:t>
      </w:r>
      <w:r w:rsidR="0018027F" w:rsidRPr="00A939BC">
        <w:rPr>
          <w:rFonts w:ascii="Arial" w:hAnsi="Arial" w:cs="Arial"/>
        </w:rPr>
        <w:t>%)</w:t>
      </w:r>
    </w:p>
    <w:p w14:paraId="5011D6B0" w14:textId="37560DB4" w:rsidR="00366A43" w:rsidRDefault="00366A43" w:rsidP="00366A43">
      <w:pPr>
        <w:pStyle w:val="ListParagraph"/>
        <w:numPr>
          <w:ilvl w:val="1"/>
          <w:numId w:val="2"/>
        </w:numPr>
        <w:ind w:left="709"/>
        <w:jc w:val="left"/>
        <w:rPr>
          <w:rFonts w:ascii="Arial" w:hAnsi="Arial" w:cs="Arial"/>
        </w:rPr>
      </w:pPr>
      <w:r w:rsidRPr="00A939BC">
        <w:rPr>
          <w:rFonts w:ascii="Arial" w:hAnsi="Arial" w:cs="Arial"/>
        </w:rPr>
        <w:t>Maintaining strong price indices in our key market</w:t>
      </w:r>
      <w:r w:rsidR="00CE535A" w:rsidRPr="00A939BC">
        <w:rPr>
          <w:rFonts w:ascii="Arial" w:hAnsi="Arial" w:cs="Arial"/>
        </w:rPr>
        <w:t xml:space="preserve">s, and </w:t>
      </w:r>
      <w:r w:rsidR="00EA6CFC" w:rsidRPr="00A939BC">
        <w:rPr>
          <w:rFonts w:ascii="Arial" w:hAnsi="Arial" w:cs="Arial"/>
        </w:rPr>
        <w:t xml:space="preserve">continuing to </w:t>
      </w:r>
      <w:r w:rsidRPr="00A939BC">
        <w:rPr>
          <w:rFonts w:ascii="Arial" w:hAnsi="Arial" w:cs="Arial"/>
        </w:rPr>
        <w:t>deliver</w:t>
      </w:r>
      <w:r>
        <w:rPr>
          <w:rFonts w:ascii="Arial" w:hAnsi="Arial" w:cs="Arial"/>
        </w:rPr>
        <w:t xml:space="preserve"> value to customers</w:t>
      </w:r>
    </w:p>
    <w:p w14:paraId="24B71FF5" w14:textId="010658BD" w:rsidR="006D3E6A" w:rsidRPr="006C225F" w:rsidRDefault="006D3E6A" w:rsidP="003305AE">
      <w:pPr>
        <w:pStyle w:val="ListParagraph"/>
        <w:numPr>
          <w:ilvl w:val="1"/>
          <w:numId w:val="2"/>
        </w:numPr>
        <w:ind w:left="709"/>
        <w:jc w:val="left"/>
        <w:rPr>
          <w:rFonts w:ascii="Arial" w:hAnsi="Arial" w:cs="Arial"/>
          <w:bCs/>
        </w:rPr>
      </w:pPr>
      <w:r>
        <w:rPr>
          <w:rFonts w:ascii="Arial" w:hAnsi="Arial" w:cs="Arial"/>
        </w:rPr>
        <w:t xml:space="preserve">Own exclusive brands (45% of sales) providing </w:t>
      </w:r>
      <w:r w:rsidR="001C4E0D">
        <w:rPr>
          <w:rFonts w:ascii="Arial" w:hAnsi="Arial" w:cs="Arial"/>
        </w:rPr>
        <w:t>customer benefits</w:t>
      </w:r>
      <w:r w:rsidR="009C421C">
        <w:rPr>
          <w:rFonts w:ascii="Arial" w:hAnsi="Arial" w:cs="Arial"/>
        </w:rPr>
        <w:t xml:space="preserve"> and </w:t>
      </w:r>
      <w:r w:rsidR="00A51130">
        <w:rPr>
          <w:rFonts w:ascii="Arial" w:hAnsi="Arial" w:cs="Arial"/>
        </w:rPr>
        <w:t xml:space="preserve">support to </w:t>
      </w:r>
      <w:r w:rsidRPr="006C225F">
        <w:rPr>
          <w:rFonts w:ascii="Arial" w:hAnsi="Arial" w:cs="Arial"/>
        </w:rPr>
        <w:t>gross margi</w:t>
      </w:r>
      <w:r w:rsidR="009C421C">
        <w:rPr>
          <w:rFonts w:ascii="Arial" w:hAnsi="Arial" w:cs="Arial"/>
        </w:rPr>
        <w:t>n</w:t>
      </w:r>
      <w:r w:rsidRPr="006C225F">
        <w:rPr>
          <w:rFonts w:ascii="Arial" w:hAnsi="Arial" w:cs="Arial"/>
        </w:rPr>
        <w:t xml:space="preserve"> </w:t>
      </w:r>
      <w:r w:rsidR="00114F04">
        <w:rPr>
          <w:rFonts w:ascii="Arial" w:hAnsi="Arial" w:cs="Arial"/>
        </w:rPr>
        <w:t>%</w:t>
      </w:r>
    </w:p>
    <w:p w14:paraId="5765EBF0" w14:textId="77777777" w:rsidR="00366A43" w:rsidRDefault="00366A43" w:rsidP="00366A43">
      <w:pPr>
        <w:pStyle w:val="ListParagraph"/>
        <w:numPr>
          <w:ilvl w:val="1"/>
          <w:numId w:val="2"/>
        </w:numPr>
        <w:ind w:left="709"/>
        <w:jc w:val="left"/>
        <w:rPr>
          <w:rFonts w:ascii="Arial" w:hAnsi="Arial" w:cs="Arial"/>
        </w:rPr>
      </w:pPr>
      <w:r>
        <w:rPr>
          <w:rFonts w:ascii="Arial" w:hAnsi="Arial" w:cs="Arial"/>
        </w:rPr>
        <w:t>E</w:t>
      </w:r>
      <w:r w:rsidRPr="00863417">
        <w:rPr>
          <w:rFonts w:ascii="Arial" w:hAnsi="Arial" w:cs="Arial"/>
        </w:rPr>
        <w:t>ffectively managing inflation, costs and inventory levels</w:t>
      </w:r>
    </w:p>
    <w:p w14:paraId="7C193365" w14:textId="08218C58" w:rsidR="00366A43" w:rsidRDefault="00366A43" w:rsidP="00366A43">
      <w:pPr>
        <w:pStyle w:val="ListParagraph"/>
        <w:numPr>
          <w:ilvl w:val="1"/>
          <w:numId w:val="2"/>
        </w:numPr>
        <w:ind w:left="709"/>
        <w:rPr>
          <w:rFonts w:ascii="Arial" w:hAnsi="Arial" w:cs="Arial"/>
        </w:rPr>
      </w:pPr>
      <w:r>
        <w:rPr>
          <w:rFonts w:ascii="Arial" w:hAnsi="Arial" w:cs="Arial"/>
        </w:rPr>
        <w:t>C</w:t>
      </w:r>
      <w:r w:rsidRPr="007E065D">
        <w:rPr>
          <w:rFonts w:ascii="Arial" w:hAnsi="Arial" w:cs="Arial"/>
        </w:rPr>
        <w:t>omfortable with current consensus of sell-side analyst estimates for FY 2</w:t>
      </w:r>
      <w:r>
        <w:rPr>
          <w:rFonts w:ascii="Arial" w:hAnsi="Arial" w:cs="Arial"/>
        </w:rPr>
        <w:t>3</w:t>
      </w:r>
      <w:r w:rsidRPr="007E065D">
        <w:rPr>
          <w:rFonts w:ascii="Arial" w:hAnsi="Arial" w:cs="Arial"/>
        </w:rPr>
        <w:t>/2</w:t>
      </w:r>
      <w:r>
        <w:rPr>
          <w:rFonts w:ascii="Arial" w:hAnsi="Arial" w:cs="Arial"/>
        </w:rPr>
        <w:t>4</w:t>
      </w:r>
      <w:r w:rsidRPr="007E065D">
        <w:rPr>
          <w:rFonts w:ascii="Arial" w:hAnsi="Arial" w:cs="Arial"/>
        </w:rPr>
        <w:t xml:space="preserve"> adjusted pre-tax profit</w:t>
      </w:r>
      <w:r w:rsidRPr="00234324">
        <w:rPr>
          <w:rFonts w:ascii="Arial" w:hAnsi="Arial" w:cs="Arial"/>
          <w:vertAlign w:val="superscript"/>
        </w:rPr>
        <w:t>(</w:t>
      </w:r>
      <w:r w:rsidR="00B9320D">
        <w:rPr>
          <w:rFonts w:ascii="Arial" w:hAnsi="Arial" w:cs="Arial"/>
          <w:vertAlign w:val="superscript"/>
        </w:rPr>
        <w:t>4</w:t>
      </w:r>
      <w:r w:rsidRPr="00234324">
        <w:rPr>
          <w:rFonts w:ascii="Arial" w:hAnsi="Arial" w:cs="Arial"/>
          <w:vertAlign w:val="superscript"/>
        </w:rPr>
        <w:t>)</w:t>
      </w:r>
      <w:r>
        <w:rPr>
          <w:rFonts w:ascii="Arial" w:hAnsi="Arial" w:cs="Arial"/>
        </w:rPr>
        <w:t xml:space="preserve">, with </w:t>
      </w:r>
      <w:r w:rsidRPr="00167563">
        <w:rPr>
          <w:rFonts w:ascii="Arial" w:hAnsi="Arial" w:cs="Arial"/>
        </w:rPr>
        <w:t xml:space="preserve">expectation of </w:t>
      </w:r>
      <w:r w:rsidRPr="005C2EAC">
        <w:rPr>
          <w:rFonts w:ascii="Arial" w:hAnsi="Arial"/>
        </w:rPr>
        <w:t>&gt;£500m</w:t>
      </w:r>
      <w:r w:rsidR="00ED62FD" w:rsidRPr="00167563">
        <w:rPr>
          <w:rFonts w:ascii="Arial" w:hAnsi="Arial" w:cs="Arial"/>
        </w:rPr>
        <w:t xml:space="preserve"> </w:t>
      </w:r>
      <w:r w:rsidRPr="00167563">
        <w:rPr>
          <w:rFonts w:ascii="Arial" w:hAnsi="Arial" w:cs="Arial"/>
        </w:rPr>
        <w:t>free</w:t>
      </w:r>
      <w:r>
        <w:rPr>
          <w:rFonts w:ascii="Arial" w:hAnsi="Arial" w:cs="Arial"/>
        </w:rPr>
        <w:t xml:space="preserve"> cash flow</w:t>
      </w:r>
      <w:r w:rsidR="0046300A">
        <w:rPr>
          <w:rFonts w:ascii="Arial" w:hAnsi="Arial" w:cs="Arial"/>
        </w:rPr>
        <w:t xml:space="preserve"> for the year</w:t>
      </w:r>
    </w:p>
    <w:p w14:paraId="49AD106C" w14:textId="10B79082" w:rsidR="001112DB" w:rsidRPr="00C844D4" w:rsidRDefault="001112DB" w:rsidP="006821D0">
      <w:pPr>
        <w:jc w:val="left"/>
        <w:rPr>
          <w:rFonts w:ascii="Arial" w:hAnsi="Arial" w:cs="Arial"/>
          <w:sz w:val="18"/>
          <w:szCs w:val="18"/>
        </w:rPr>
      </w:pPr>
    </w:p>
    <w:p w14:paraId="4FEB19C1" w14:textId="01A9B487" w:rsidR="001112DB" w:rsidRPr="00812336" w:rsidRDefault="003A75DB" w:rsidP="00812336">
      <w:pPr>
        <w:pStyle w:val="ListParagraph"/>
        <w:numPr>
          <w:ilvl w:val="0"/>
          <w:numId w:val="2"/>
        </w:numPr>
        <w:jc w:val="left"/>
        <w:rPr>
          <w:rFonts w:ascii="Arial" w:hAnsi="Arial" w:cs="Arial"/>
        </w:rPr>
      </w:pPr>
      <w:r w:rsidRPr="003A75DB">
        <w:rPr>
          <w:rFonts w:ascii="Arial" w:hAnsi="Arial" w:cs="Arial"/>
          <w:b/>
          <w:bCs/>
        </w:rPr>
        <w:t>Announcing new medium-term financial priorities;</w:t>
      </w:r>
      <w:r>
        <w:rPr>
          <w:rFonts w:ascii="Arial" w:hAnsi="Arial" w:cs="Arial"/>
          <w:b/>
          <w:bCs/>
        </w:rPr>
        <w:t xml:space="preserve"> c</w:t>
      </w:r>
      <w:r w:rsidR="00366A43" w:rsidRPr="00812336">
        <w:rPr>
          <w:rFonts w:ascii="Arial" w:hAnsi="Arial" w:cs="Arial"/>
          <w:b/>
          <w:bCs/>
        </w:rPr>
        <w:t>onfiden</w:t>
      </w:r>
      <w:r w:rsidR="00812336" w:rsidRPr="00812336">
        <w:rPr>
          <w:rFonts w:ascii="Arial" w:hAnsi="Arial" w:cs="Arial"/>
          <w:b/>
          <w:bCs/>
        </w:rPr>
        <w:t>t</w:t>
      </w:r>
      <w:r w:rsidR="00366A43" w:rsidRPr="00812336">
        <w:rPr>
          <w:rFonts w:ascii="Arial" w:hAnsi="Arial" w:cs="Arial"/>
          <w:b/>
          <w:bCs/>
        </w:rPr>
        <w:t xml:space="preserve"> in growth and cash generation opportunity</w:t>
      </w:r>
      <w:bookmarkEnd w:id="2"/>
      <w:r w:rsidR="001112DB" w:rsidRPr="00812336">
        <w:rPr>
          <w:rFonts w:ascii="Arial" w:hAnsi="Arial" w:cs="Arial"/>
        </w:rPr>
        <w:br w:type="page"/>
      </w:r>
    </w:p>
    <w:p w14:paraId="60F940F6" w14:textId="77777777" w:rsidR="00B97CD8" w:rsidRPr="00EB4495" w:rsidRDefault="00B97CD8" w:rsidP="00B97CD8">
      <w:pPr>
        <w:jc w:val="left"/>
        <w:rPr>
          <w:rFonts w:ascii="Arial" w:hAnsi="Arial" w:cs="Arial"/>
          <w:b/>
          <w:bCs/>
          <w:szCs w:val="24"/>
        </w:rPr>
      </w:pPr>
      <w:r w:rsidRPr="00EB4495">
        <w:rPr>
          <w:rFonts w:ascii="Arial" w:hAnsi="Arial" w:cs="Arial"/>
          <w:b/>
        </w:rPr>
        <w:lastRenderedPageBreak/>
        <w:t>Thierry Garnier</w:t>
      </w:r>
      <w:r w:rsidRPr="00EB4495">
        <w:rPr>
          <w:rFonts w:ascii="Arial" w:hAnsi="Arial" w:cs="Arial"/>
          <w:b/>
          <w:szCs w:val="24"/>
        </w:rPr>
        <w:t>, Chief Executive Officer, said</w:t>
      </w:r>
      <w:r w:rsidRPr="00EB4495">
        <w:rPr>
          <w:rFonts w:ascii="Arial" w:hAnsi="Arial" w:cs="Arial"/>
          <w:b/>
          <w:bCs/>
          <w:szCs w:val="24"/>
        </w:rPr>
        <w:t>:</w:t>
      </w:r>
    </w:p>
    <w:p w14:paraId="553DFB40" w14:textId="23C4D352" w:rsidR="00B97CD8" w:rsidRPr="00F96CBF" w:rsidRDefault="00B97CD8" w:rsidP="00B97CD8">
      <w:pPr>
        <w:jc w:val="left"/>
        <w:rPr>
          <w:rFonts w:ascii="Arial" w:hAnsi="Arial" w:cs="Arial"/>
          <w:bCs/>
        </w:rPr>
      </w:pPr>
    </w:p>
    <w:p w14:paraId="17790FA7" w14:textId="5FFD006F" w:rsidR="002A448D" w:rsidRPr="006B01FB" w:rsidRDefault="002A448D" w:rsidP="002A448D">
      <w:pPr>
        <w:jc w:val="left"/>
        <w:rPr>
          <w:rFonts w:ascii="Arial" w:hAnsi="Arial" w:cs="Arial"/>
          <w:bCs/>
        </w:rPr>
      </w:pPr>
      <w:r w:rsidRPr="00F96CBF">
        <w:rPr>
          <w:rFonts w:ascii="Arial" w:hAnsi="Arial" w:cs="Arial"/>
          <w:bCs/>
        </w:rPr>
        <w:t>“</w:t>
      </w:r>
      <w:r w:rsidRPr="006B01FB">
        <w:rPr>
          <w:rFonts w:ascii="Arial" w:hAnsi="Arial" w:cs="Arial"/>
          <w:bCs/>
        </w:rPr>
        <w:t xml:space="preserve">Across all </w:t>
      </w:r>
      <w:r w:rsidRPr="00895C90">
        <w:rPr>
          <w:rFonts w:ascii="Arial" w:hAnsi="Arial" w:cs="Arial"/>
          <w:bCs/>
        </w:rPr>
        <w:t xml:space="preserve">our markets, sales have remained resilient in both DIY and </w:t>
      </w:r>
      <w:r w:rsidR="004C0407" w:rsidRPr="00895C90">
        <w:rPr>
          <w:rFonts w:ascii="Arial" w:hAnsi="Arial" w:cs="Arial"/>
          <w:bCs/>
        </w:rPr>
        <w:t>DIFM/</w:t>
      </w:r>
      <w:r w:rsidRPr="00895C90">
        <w:rPr>
          <w:rFonts w:ascii="Arial" w:hAnsi="Arial" w:cs="Arial"/>
          <w:bCs/>
        </w:rPr>
        <w:t xml:space="preserve">trade channels, with like-for-like sales </w:t>
      </w:r>
      <w:r w:rsidR="00895C90" w:rsidRPr="00895C90">
        <w:rPr>
          <w:rFonts w:ascii="Arial" w:hAnsi="Arial" w:cs="Arial"/>
          <w:bCs/>
        </w:rPr>
        <w:t>15.6</w:t>
      </w:r>
      <w:r w:rsidRPr="00895C90">
        <w:rPr>
          <w:rFonts w:ascii="Arial" w:hAnsi="Arial" w:cs="Arial"/>
          <w:bCs/>
        </w:rPr>
        <w:t xml:space="preserve">% ahead of pre-pandemic levels. We have </w:t>
      </w:r>
      <w:r w:rsidR="007D2206" w:rsidRPr="00895C90">
        <w:rPr>
          <w:rFonts w:ascii="Arial" w:hAnsi="Arial" w:cs="Arial"/>
          <w:bCs/>
        </w:rPr>
        <w:t xml:space="preserve">maintained </w:t>
      </w:r>
      <w:r w:rsidRPr="00895C90">
        <w:rPr>
          <w:rFonts w:ascii="Arial" w:hAnsi="Arial" w:cs="Arial"/>
          <w:bCs/>
        </w:rPr>
        <w:t xml:space="preserve">a sharp focus on pricing to </w:t>
      </w:r>
      <w:r w:rsidR="00883416" w:rsidRPr="00895C90">
        <w:rPr>
          <w:rFonts w:ascii="Arial" w:hAnsi="Arial" w:cs="Arial"/>
          <w:bCs/>
        </w:rPr>
        <w:t xml:space="preserve">deliver value to </w:t>
      </w:r>
      <w:r w:rsidR="00103465" w:rsidRPr="00895C90">
        <w:rPr>
          <w:rFonts w:ascii="Arial" w:hAnsi="Arial" w:cs="Arial"/>
          <w:bCs/>
        </w:rPr>
        <w:t xml:space="preserve">our </w:t>
      </w:r>
      <w:r w:rsidRPr="00895C90">
        <w:rPr>
          <w:rFonts w:ascii="Arial" w:hAnsi="Arial" w:cs="Arial"/>
          <w:bCs/>
        </w:rPr>
        <w:t xml:space="preserve">customers </w:t>
      </w:r>
      <w:r w:rsidR="00640BEC" w:rsidRPr="00895C90">
        <w:rPr>
          <w:rFonts w:ascii="Arial" w:hAnsi="Arial" w:cs="Arial"/>
          <w:bCs/>
        </w:rPr>
        <w:t>during th</w:t>
      </w:r>
      <w:r w:rsidR="009609FF" w:rsidRPr="00895C90">
        <w:rPr>
          <w:rFonts w:ascii="Arial" w:hAnsi="Arial" w:cs="Arial"/>
          <w:bCs/>
        </w:rPr>
        <w:t>is</w:t>
      </w:r>
      <w:r w:rsidR="00640BEC" w:rsidRPr="00895C90">
        <w:rPr>
          <w:rFonts w:ascii="Arial" w:hAnsi="Arial" w:cs="Arial"/>
          <w:bCs/>
        </w:rPr>
        <w:t xml:space="preserve"> challenging </w:t>
      </w:r>
      <w:r w:rsidR="009609FF" w:rsidRPr="00895C90">
        <w:rPr>
          <w:rFonts w:ascii="Arial" w:hAnsi="Arial" w:cs="Arial"/>
          <w:bCs/>
        </w:rPr>
        <w:t>period for household finances</w:t>
      </w:r>
      <w:r w:rsidR="00103465" w:rsidRPr="00895C90">
        <w:rPr>
          <w:rFonts w:ascii="Arial" w:hAnsi="Arial" w:cs="Arial"/>
          <w:bCs/>
        </w:rPr>
        <w:t xml:space="preserve">, </w:t>
      </w:r>
      <w:r w:rsidRPr="00895C90">
        <w:rPr>
          <w:rFonts w:ascii="Arial" w:hAnsi="Arial" w:cs="Arial"/>
          <w:bCs/>
        </w:rPr>
        <w:t>whil</w:t>
      </w:r>
      <w:r w:rsidR="00EC3B0C">
        <w:rPr>
          <w:rFonts w:ascii="Arial" w:hAnsi="Arial" w:cs="Arial"/>
          <w:bCs/>
        </w:rPr>
        <w:t>e</w:t>
      </w:r>
      <w:r w:rsidRPr="00895C90">
        <w:rPr>
          <w:rFonts w:ascii="Arial" w:hAnsi="Arial" w:cs="Arial"/>
          <w:bCs/>
        </w:rPr>
        <w:t xml:space="preserve"> </w:t>
      </w:r>
      <w:r w:rsidR="002352AB" w:rsidRPr="00895C90">
        <w:rPr>
          <w:rFonts w:ascii="Arial" w:hAnsi="Arial" w:cs="Arial"/>
          <w:bCs/>
        </w:rPr>
        <w:t xml:space="preserve">at the same time </w:t>
      </w:r>
      <w:r w:rsidRPr="00895C90">
        <w:rPr>
          <w:rFonts w:ascii="Arial" w:hAnsi="Arial" w:cs="Arial"/>
          <w:bCs/>
        </w:rPr>
        <w:t xml:space="preserve">managing </w:t>
      </w:r>
      <w:r w:rsidR="00990EBC" w:rsidRPr="00895C90">
        <w:rPr>
          <w:rFonts w:ascii="Arial" w:hAnsi="Arial" w:cs="Arial"/>
          <w:bCs/>
        </w:rPr>
        <w:t xml:space="preserve">our </w:t>
      </w:r>
      <w:r w:rsidR="007D2206" w:rsidRPr="00895C90">
        <w:rPr>
          <w:rFonts w:ascii="Arial" w:hAnsi="Arial" w:cs="Arial"/>
          <w:bCs/>
        </w:rPr>
        <w:t>cost</w:t>
      </w:r>
      <w:r w:rsidR="007D2206">
        <w:rPr>
          <w:rFonts w:ascii="Arial" w:hAnsi="Arial" w:cs="Arial"/>
          <w:bCs/>
        </w:rPr>
        <w:t xml:space="preserve"> </w:t>
      </w:r>
      <w:r w:rsidRPr="006B01FB">
        <w:rPr>
          <w:rFonts w:ascii="Arial" w:hAnsi="Arial" w:cs="Arial"/>
          <w:bCs/>
        </w:rPr>
        <w:t>inflation pressures</w:t>
      </w:r>
      <w:r w:rsidR="00ED38A7">
        <w:rPr>
          <w:rFonts w:ascii="Arial" w:hAnsi="Arial" w:cs="Arial"/>
          <w:bCs/>
        </w:rPr>
        <w:t xml:space="preserve"> effectively</w:t>
      </w:r>
      <w:r w:rsidRPr="006B01FB">
        <w:rPr>
          <w:rFonts w:ascii="Arial" w:hAnsi="Arial" w:cs="Arial"/>
          <w:bCs/>
        </w:rPr>
        <w:t xml:space="preserve">. Strong supply chain management has ensured good product availability and </w:t>
      </w:r>
      <w:r w:rsidR="002D0398">
        <w:rPr>
          <w:rFonts w:ascii="Arial" w:hAnsi="Arial" w:cs="Arial"/>
          <w:bCs/>
        </w:rPr>
        <w:t xml:space="preserve">a </w:t>
      </w:r>
      <w:r w:rsidR="00602D4E">
        <w:rPr>
          <w:rFonts w:ascii="Arial" w:hAnsi="Arial" w:cs="Arial"/>
          <w:bCs/>
        </w:rPr>
        <w:t xml:space="preserve">firm </w:t>
      </w:r>
      <w:r w:rsidR="002D0398">
        <w:rPr>
          <w:rFonts w:ascii="Arial" w:hAnsi="Arial" w:cs="Arial"/>
          <w:bCs/>
        </w:rPr>
        <w:t xml:space="preserve">grip </w:t>
      </w:r>
      <w:r w:rsidR="00640BEC">
        <w:rPr>
          <w:rFonts w:ascii="Arial" w:hAnsi="Arial" w:cs="Arial"/>
          <w:bCs/>
        </w:rPr>
        <w:t>o</w:t>
      </w:r>
      <w:r w:rsidR="002D0398">
        <w:rPr>
          <w:rFonts w:ascii="Arial" w:hAnsi="Arial" w:cs="Arial"/>
          <w:bCs/>
        </w:rPr>
        <w:t xml:space="preserve">n our </w:t>
      </w:r>
      <w:r w:rsidRPr="006B01FB">
        <w:rPr>
          <w:rFonts w:ascii="Arial" w:hAnsi="Arial" w:cs="Arial"/>
          <w:bCs/>
        </w:rPr>
        <w:t>inventor</w:t>
      </w:r>
      <w:r w:rsidR="00ED38A7">
        <w:rPr>
          <w:rFonts w:ascii="Arial" w:hAnsi="Arial" w:cs="Arial"/>
          <w:bCs/>
        </w:rPr>
        <w:t>ies</w:t>
      </w:r>
      <w:r w:rsidR="00640BEC">
        <w:rPr>
          <w:rFonts w:ascii="Arial" w:hAnsi="Arial" w:cs="Arial"/>
          <w:bCs/>
        </w:rPr>
        <w:t>.</w:t>
      </w:r>
    </w:p>
    <w:p w14:paraId="1A5A32C4" w14:textId="5F1D798C" w:rsidR="002A448D" w:rsidRPr="006B01FB" w:rsidRDefault="002A448D" w:rsidP="002A448D">
      <w:pPr>
        <w:jc w:val="left"/>
        <w:rPr>
          <w:rFonts w:ascii="Arial" w:hAnsi="Arial" w:cs="Arial"/>
          <w:bCs/>
        </w:rPr>
      </w:pPr>
    </w:p>
    <w:p w14:paraId="115A4C6B" w14:textId="68C7491B" w:rsidR="002A448D" w:rsidRPr="006B01FB" w:rsidRDefault="002A448D" w:rsidP="002A448D">
      <w:pPr>
        <w:jc w:val="left"/>
        <w:rPr>
          <w:rFonts w:ascii="Arial" w:hAnsi="Arial" w:cs="Arial"/>
          <w:bCs/>
        </w:rPr>
      </w:pPr>
      <w:r w:rsidRPr="006B01FB">
        <w:rPr>
          <w:rFonts w:ascii="Arial" w:hAnsi="Arial" w:cs="Arial"/>
          <w:bCs/>
        </w:rPr>
        <w:t>“</w:t>
      </w:r>
      <w:r>
        <w:rPr>
          <w:rFonts w:ascii="Arial" w:hAnsi="Arial" w:cs="Arial"/>
          <w:bCs/>
        </w:rPr>
        <w:t xml:space="preserve">We continue to execute our strategy at pace and invest in our </w:t>
      </w:r>
      <w:r w:rsidR="00E67C44">
        <w:rPr>
          <w:rFonts w:ascii="Arial" w:hAnsi="Arial" w:cs="Arial"/>
          <w:bCs/>
        </w:rPr>
        <w:t xml:space="preserve">multiple </w:t>
      </w:r>
      <w:r>
        <w:rPr>
          <w:rFonts w:ascii="Arial" w:hAnsi="Arial" w:cs="Arial"/>
          <w:bCs/>
        </w:rPr>
        <w:t>growth</w:t>
      </w:r>
      <w:r w:rsidR="00E67C44">
        <w:rPr>
          <w:rFonts w:ascii="Arial" w:hAnsi="Arial" w:cs="Arial"/>
          <w:bCs/>
        </w:rPr>
        <w:t xml:space="preserve"> opportunities</w:t>
      </w:r>
      <w:r>
        <w:rPr>
          <w:rFonts w:ascii="Arial" w:hAnsi="Arial" w:cs="Arial"/>
          <w:bCs/>
        </w:rPr>
        <w:t xml:space="preserve">. We are proud of the progress our teams have made during the year, and since the start of our ‘Powered by Kingfisher’ strategy. </w:t>
      </w:r>
      <w:r w:rsidR="006862FC">
        <w:rPr>
          <w:rFonts w:ascii="Arial" w:hAnsi="Arial" w:cs="Arial"/>
          <w:bCs/>
        </w:rPr>
        <w:t>O</w:t>
      </w:r>
      <w:r w:rsidRPr="006B01FB">
        <w:rPr>
          <w:rFonts w:ascii="Arial" w:hAnsi="Arial" w:cs="Arial"/>
          <w:bCs/>
        </w:rPr>
        <w:t>ur e</w:t>
      </w:r>
      <w:r>
        <w:rPr>
          <w:rFonts w:ascii="Arial" w:hAnsi="Arial" w:cs="Arial"/>
          <w:bCs/>
        </w:rPr>
        <w:t>-</w:t>
      </w:r>
      <w:r w:rsidRPr="006B01FB">
        <w:rPr>
          <w:rFonts w:ascii="Arial" w:hAnsi="Arial" w:cs="Arial"/>
          <w:bCs/>
        </w:rPr>
        <w:t xml:space="preserve">commerce sales have </w:t>
      </w:r>
      <w:r w:rsidR="006E5FFA">
        <w:rPr>
          <w:rFonts w:ascii="Arial" w:hAnsi="Arial" w:cs="Arial"/>
          <w:bCs/>
        </w:rPr>
        <w:t xml:space="preserve">increased by 146% </w:t>
      </w:r>
      <w:r w:rsidRPr="006B01FB">
        <w:rPr>
          <w:rFonts w:ascii="Arial" w:hAnsi="Arial" w:cs="Arial"/>
          <w:bCs/>
        </w:rPr>
        <w:t xml:space="preserve">over the </w:t>
      </w:r>
      <w:r w:rsidR="00B032B8">
        <w:rPr>
          <w:rFonts w:ascii="Arial" w:hAnsi="Arial" w:cs="Arial"/>
          <w:bCs/>
        </w:rPr>
        <w:t>l</w:t>
      </w:r>
      <w:r w:rsidRPr="006B01FB">
        <w:rPr>
          <w:rFonts w:ascii="Arial" w:hAnsi="Arial" w:cs="Arial"/>
          <w:bCs/>
        </w:rPr>
        <w:t>ast three years</w:t>
      </w:r>
      <w:r w:rsidR="007D1A93">
        <w:rPr>
          <w:rFonts w:ascii="Arial" w:hAnsi="Arial" w:cs="Arial"/>
          <w:bCs/>
        </w:rPr>
        <w:t xml:space="preserve"> and </w:t>
      </w:r>
      <w:r w:rsidR="006D3E6A">
        <w:rPr>
          <w:rFonts w:ascii="Arial" w:hAnsi="Arial" w:cs="Arial"/>
          <w:bCs/>
        </w:rPr>
        <w:t xml:space="preserve">we </w:t>
      </w:r>
      <w:r w:rsidRPr="006B01FB">
        <w:rPr>
          <w:rFonts w:ascii="Arial" w:hAnsi="Arial" w:cs="Arial"/>
          <w:bCs/>
        </w:rPr>
        <w:t xml:space="preserve">have </w:t>
      </w:r>
      <w:r w:rsidR="007D1A93">
        <w:rPr>
          <w:rFonts w:ascii="Arial" w:hAnsi="Arial" w:cs="Arial"/>
          <w:bCs/>
        </w:rPr>
        <w:t xml:space="preserve">enhanced </w:t>
      </w:r>
      <w:r w:rsidRPr="006B01FB">
        <w:rPr>
          <w:rFonts w:ascii="Arial" w:hAnsi="Arial" w:cs="Arial"/>
          <w:bCs/>
        </w:rPr>
        <w:t>our online proposition with the launch of marketplace offerings in the UK, Spain and Portugal</w:t>
      </w:r>
      <w:r w:rsidR="00864A16">
        <w:rPr>
          <w:rFonts w:ascii="Arial" w:hAnsi="Arial" w:cs="Arial"/>
          <w:bCs/>
        </w:rPr>
        <w:t xml:space="preserve">, </w:t>
      </w:r>
      <w:r w:rsidRPr="006B01FB">
        <w:rPr>
          <w:rFonts w:ascii="Arial" w:hAnsi="Arial" w:cs="Arial"/>
          <w:bCs/>
        </w:rPr>
        <w:t xml:space="preserve">which are </w:t>
      </w:r>
      <w:r w:rsidR="00864A16">
        <w:rPr>
          <w:rFonts w:ascii="Arial" w:hAnsi="Arial" w:cs="Arial"/>
          <w:bCs/>
        </w:rPr>
        <w:t>all</w:t>
      </w:r>
      <w:r w:rsidR="00E02AB0">
        <w:rPr>
          <w:rFonts w:ascii="Arial" w:hAnsi="Arial" w:cs="Arial"/>
          <w:bCs/>
        </w:rPr>
        <w:t xml:space="preserve"> </w:t>
      </w:r>
      <w:r w:rsidRPr="006B01FB">
        <w:rPr>
          <w:rFonts w:ascii="Arial" w:hAnsi="Arial" w:cs="Arial"/>
          <w:bCs/>
        </w:rPr>
        <w:t>performing</w:t>
      </w:r>
      <w:r w:rsidR="009E134A">
        <w:rPr>
          <w:rFonts w:ascii="Arial" w:hAnsi="Arial" w:cs="Arial"/>
          <w:bCs/>
        </w:rPr>
        <w:t xml:space="preserve"> </w:t>
      </w:r>
      <w:r w:rsidR="001976C0">
        <w:rPr>
          <w:rFonts w:ascii="Arial" w:hAnsi="Arial" w:cs="Arial"/>
          <w:bCs/>
        </w:rPr>
        <w:t>strongly</w:t>
      </w:r>
      <w:r w:rsidR="00AC70D2">
        <w:rPr>
          <w:rFonts w:ascii="Arial" w:hAnsi="Arial" w:cs="Arial"/>
          <w:bCs/>
        </w:rPr>
        <w:t xml:space="preserve">. </w:t>
      </w:r>
      <w:r w:rsidR="00B92FEE">
        <w:rPr>
          <w:rFonts w:ascii="Arial" w:hAnsi="Arial" w:cs="Arial"/>
          <w:bCs/>
        </w:rPr>
        <w:t>Across the Group, w</w:t>
      </w:r>
      <w:r>
        <w:rPr>
          <w:rFonts w:ascii="Arial" w:hAnsi="Arial" w:cs="Arial"/>
          <w:bCs/>
        </w:rPr>
        <w:t xml:space="preserve">e are </w:t>
      </w:r>
      <w:r w:rsidR="008F5065">
        <w:rPr>
          <w:rFonts w:ascii="Arial" w:hAnsi="Arial" w:cs="Arial"/>
          <w:bCs/>
        </w:rPr>
        <w:t xml:space="preserve">strengthening </w:t>
      </w:r>
      <w:r>
        <w:rPr>
          <w:rFonts w:ascii="Arial" w:hAnsi="Arial" w:cs="Arial"/>
          <w:bCs/>
        </w:rPr>
        <w:t xml:space="preserve">our proposition for trade customers, building on the success of </w:t>
      </w:r>
      <w:r w:rsidR="008F5065">
        <w:rPr>
          <w:rFonts w:ascii="Arial" w:hAnsi="Arial" w:cs="Arial"/>
          <w:bCs/>
        </w:rPr>
        <w:t>B&amp;Q’s</w:t>
      </w:r>
      <w:r w:rsidR="00B92FEE">
        <w:rPr>
          <w:rFonts w:ascii="Arial" w:hAnsi="Arial" w:cs="Arial"/>
          <w:bCs/>
        </w:rPr>
        <w:t xml:space="preserve"> </w:t>
      </w:r>
      <w:r>
        <w:rPr>
          <w:rFonts w:ascii="Arial" w:hAnsi="Arial" w:cs="Arial"/>
          <w:bCs/>
        </w:rPr>
        <w:t>TradePoint and t</w:t>
      </w:r>
      <w:r w:rsidRPr="006B01FB">
        <w:rPr>
          <w:rFonts w:ascii="Arial" w:hAnsi="Arial" w:cs="Arial"/>
          <w:bCs/>
        </w:rPr>
        <w:t xml:space="preserve">he </w:t>
      </w:r>
      <w:r w:rsidR="00B92FEE">
        <w:rPr>
          <w:rFonts w:ascii="Arial" w:hAnsi="Arial" w:cs="Arial"/>
          <w:bCs/>
        </w:rPr>
        <w:t xml:space="preserve">accelerated </w:t>
      </w:r>
      <w:r w:rsidRPr="006B01FB">
        <w:rPr>
          <w:rFonts w:ascii="Arial" w:hAnsi="Arial" w:cs="Arial"/>
          <w:bCs/>
        </w:rPr>
        <w:t>expansion of Screwfix</w:t>
      </w:r>
      <w:r>
        <w:rPr>
          <w:rFonts w:ascii="Arial" w:hAnsi="Arial" w:cs="Arial"/>
          <w:bCs/>
        </w:rPr>
        <w:t>. Whilst it</w:t>
      </w:r>
      <w:r w:rsidR="00B81849">
        <w:rPr>
          <w:rFonts w:ascii="Arial" w:hAnsi="Arial" w:cs="Arial"/>
          <w:bCs/>
        </w:rPr>
        <w:t>’</w:t>
      </w:r>
      <w:r>
        <w:rPr>
          <w:rFonts w:ascii="Arial" w:hAnsi="Arial" w:cs="Arial"/>
          <w:bCs/>
        </w:rPr>
        <w:t xml:space="preserve">s still early </w:t>
      </w:r>
      <w:r w:rsidR="00C81BC4">
        <w:rPr>
          <w:rFonts w:ascii="Arial" w:hAnsi="Arial" w:cs="Arial"/>
          <w:bCs/>
        </w:rPr>
        <w:t xml:space="preserve">days </w:t>
      </w:r>
      <w:r>
        <w:rPr>
          <w:rFonts w:ascii="Arial" w:hAnsi="Arial" w:cs="Arial"/>
          <w:bCs/>
        </w:rPr>
        <w:t xml:space="preserve">for </w:t>
      </w:r>
      <w:r w:rsidR="00884CF4">
        <w:rPr>
          <w:rFonts w:ascii="Arial" w:hAnsi="Arial" w:cs="Arial"/>
          <w:bCs/>
        </w:rPr>
        <w:t xml:space="preserve">Screwfix’s </w:t>
      </w:r>
      <w:r>
        <w:rPr>
          <w:rFonts w:ascii="Arial" w:hAnsi="Arial" w:cs="Arial"/>
          <w:bCs/>
        </w:rPr>
        <w:t>ambitions in France, we are happy with the results</w:t>
      </w:r>
      <w:r w:rsidR="009E134A">
        <w:rPr>
          <w:rFonts w:ascii="Arial" w:hAnsi="Arial" w:cs="Arial"/>
          <w:bCs/>
        </w:rPr>
        <w:t xml:space="preserve"> of the first few months of operations </w:t>
      </w:r>
      <w:r w:rsidRPr="006B01FB">
        <w:rPr>
          <w:rFonts w:ascii="Arial" w:hAnsi="Arial" w:cs="Arial"/>
          <w:bCs/>
        </w:rPr>
        <w:t xml:space="preserve">and </w:t>
      </w:r>
      <w:r w:rsidR="007818D7" w:rsidRPr="00167563">
        <w:rPr>
          <w:rFonts w:ascii="Arial" w:hAnsi="Arial" w:cs="Arial"/>
          <w:bCs/>
        </w:rPr>
        <w:t xml:space="preserve">planning for </w:t>
      </w:r>
      <w:r w:rsidR="00D035CF" w:rsidRPr="005C2EAC">
        <w:rPr>
          <w:rFonts w:ascii="Arial" w:hAnsi="Arial"/>
        </w:rPr>
        <w:t>up to 25</w:t>
      </w:r>
      <w:r w:rsidR="00D035CF" w:rsidRPr="00167563">
        <w:rPr>
          <w:rFonts w:ascii="Arial" w:hAnsi="Arial" w:cs="Arial"/>
          <w:bCs/>
        </w:rPr>
        <w:t xml:space="preserve"> </w:t>
      </w:r>
      <w:r w:rsidRPr="00167563">
        <w:rPr>
          <w:rFonts w:ascii="Arial" w:hAnsi="Arial" w:cs="Arial"/>
          <w:bCs/>
        </w:rPr>
        <w:t>mor</w:t>
      </w:r>
      <w:r w:rsidRPr="006B01FB">
        <w:rPr>
          <w:rFonts w:ascii="Arial" w:hAnsi="Arial" w:cs="Arial"/>
          <w:bCs/>
        </w:rPr>
        <w:t xml:space="preserve">e </w:t>
      </w:r>
      <w:r>
        <w:rPr>
          <w:rFonts w:ascii="Arial" w:hAnsi="Arial" w:cs="Arial"/>
          <w:bCs/>
        </w:rPr>
        <w:t xml:space="preserve">store openings </w:t>
      </w:r>
      <w:r w:rsidRPr="006B01FB">
        <w:rPr>
          <w:rFonts w:ascii="Arial" w:hAnsi="Arial" w:cs="Arial"/>
          <w:bCs/>
        </w:rPr>
        <w:t xml:space="preserve">this year. We are also building on </w:t>
      </w:r>
      <w:r w:rsidR="00303268">
        <w:rPr>
          <w:rFonts w:ascii="Arial" w:hAnsi="Arial" w:cs="Arial"/>
          <w:bCs/>
        </w:rPr>
        <w:t xml:space="preserve">our leadership </w:t>
      </w:r>
      <w:r w:rsidR="00884CF4">
        <w:rPr>
          <w:rFonts w:ascii="Arial" w:hAnsi="Arial" w:cs="Arial"/>
          <w:bCs/>
        </w:rPr>
        <w:t xml:space="preserve">position </w:t>
      </w:r>
      <w:r w:rsidRPr="006B01FB">
        <w:rPr>
          <w:rFonts w:ascii="Arial" w:hAnsi="Arial" w:cs="Arial"/>
          <w:bCs/>
        </w:rPr>
        <w:t xml:space="preserve">in Poland </w:t>
      </w:r>
      <w:r w:rsidR="00832509">
        <w:rPr>
          <w:rFonts w:ascii="Arial" w:hAnsi="Arial" w:cs="Arial"/>
          <w:bCs/>
        </w:rPr>
        <w:t xml:space="preserve">and the attractive potential of this market </w:t>
      </w:r>
      <w:r w:rsidRPr="006B01FB">
        <w:rPr>
          <w:rFonts w:ascii="Arial" w:hAnsi="Arial" w:cs="Arial"/>
          <w:bCs/>
        </w:rPr>
        <w:t xml:space="preserve">by opening </w:t>
      </w:r>
      <w:r w:rsidR="0031609A">
        <w:rPr>
          <w:rFonts w:ascii="Arial" w:hAnsi="Arial"/>
        </w:rPr>
        <w:t>s</w:t>
      </w:r>
      <w:r w:rsidR="0041684B">
        <w:rPr>
          <w:rFonts w:ascii="Arial" w:hAnsi="Arial"/>
        </w:rPr>
        <w:t>even</w:t>
      </w:r>
      <w:r w:rsidR="0031609A">
        <w:rPr>
          <w:rFonts w:ascii="Arial" w:hAnsi="Arial" w:cs="Arial"/>
          <w:bCs/>
        </w:rPr>
        <w:t xml:space="preserve"> </w:t>
      </w:r>
      <w:r w:rsidR="005B21B2">
        <w:rPr>
          <w:rFonts w:ascii="Arial" w:hAnsi="Arial" w:cs="Arial"/>
          <w:bCs/>
        </w:rPr>
        <w:t xml:space="preserve">more </w:t>
      </w:r>
      <w:r w:rsidR="00303268">
        <w:rPr>
          <w:rFonts w:ascii="Arial" w:hAnsi="Arial" w:cs="Arial"/>
          <w:bCs/>
        </w:rPr>
        <w:t xml:space="preserve">Castorama </w:t>
      </w:r>
      <w:r w:rsidRPr="006B01FB">
        <w:rPr>
          <w:rFonts w:ascii="Arial" w:hAnsi="Arial" w:cs="Arial"/>
          <w:bCs/>
        </w:rPr>
        <w:t>stores</w:t>
      </w:r>
      <w:r w:rsidR="005B21B2">
        <w:rPr>
          <w:rFonts w:ascii="Arial" w:hAnsi="Arial" w:cs="Arial"/>
          <w:bCs/>
        </w:rPr>
        <w:t xml:space="preserve"> in 2023</w:t>
      </w:r>
      <w:r w:rsidRPr="006B01FB">
        <w:rPr>
          <w:rFonts w:ascii="Arial" w:hAnsi="Arial" w:cs="Arial"/>
          <w:bCs/>
        </w:rPr>
        <w:t>.</w:t>
      </w:r>
    </w:p>
    <w:p w14:paraId="503255B9" w14:textId="77777777" w:rsidR="002A448D" w:rsidRPr="006B01FB" w:rsidRDefault="002A448D" w:rsidP="002A448D">
      <w:pPr>
        <w:jc w:val="left"/>
        <w:rPr>
          <w:rFonts w:ascii="Arial" w:hAnsi="Arial" w:cs="Arial"/>
          <w:bCs/>
        </w:rPr>
      </w:pPr>
    </w:p>
    <w:p w14:paraId="34BA8683" w14:textId="494C6A72" w:rsidR="00590304" w:rsidRPr="00F96CBF" w:rsidRDefault="002A448D" w:rsidP="00F96CBF">
      <w:pPr>
        <w:jc w:val="left"/>
        <w:rPr>
          <w:rFonts w:ascii="Arial" w:hAnsi="Arial" w:cs="Arial"/>
          <w:bCs/>
        </w:rPr>
      </w:pPr>
      <w:r w:rsidRPr="006B01FB">
        <w:rPr>
          <w:rFonts w:ascii="Arial" w:hAnsi="Arial" w:cs="Arial"/>
          <w:bCs/>
        </w:rPr>
        <w:t>“</w:t>
      </w:r>
      <w:r>
        <w:rPr>
          <w:rFonts w:ascii="Arial" w:hAnsi="Arial" w:cs="Arial"/>
          <w:bCs/>
        </w:rPr>
        <w:t xml:space="preserve">We remain confident in both the </w:t>
      </w:r>
      <w:r w:rsidR="00CE7EA4">
        <w:rPr>
          <w:rFonts w:ascii="Arial" w:hAnsi="Arial" w:cs="Arial"/>
          <w:bCs/>
        </w:rPr>
        <w:t xml:space="preserve">growth </w:t>
      </w:r>
      <w:r w:rsidR="007E540A">
        <w:rPr>
          <w:rFonts w:ascii="Arial" w:hAnsi="Arial" w:cs="Arial"/>
          <w:bCs/>
        </w:rPr>
        <w:t xml:space="preserve">of </w:t>
      </w:r>
      <w:r>
        <w:rPr>
          <w:rFonts w:ascii="Arial" w:hAnsi="Arial" w:cs="Arial"/>
          <w:bCs/>
        </w:rPr>
        <w:t>our industry</w:t>
      </w:r>
      <w:r w:rsidR="007945DF">
        <w:rPr>
          <w:rFonts w:ascii="Arial" w:hAnsi="Arial" w:cs="Arial"/>
          <w:bCs/>
        </w:rPr>
        <w:t>,</w:t>
      </w:r>
      <w:r>
        <w:rPr>
          <w:rFonts w:ascii="Arial" w:hAnsi="Arial" w:cs="Arial"/>
          <w:bCs/>
        </w:rPr>
        <w:t xml:space="preserve"> and in </w:t>
      </w:r>
      <w:r w:rsidR="000508C3">
        <w:rPr>
          <w:rFonts w:ascii="Arial" w:hAnsi="Arial" w:cs="Arial"/>
          <w:bCs/>
        </w:rPr>
        <w:t xml:space="preserve">our strategic priorities </w:t>
      </w:r>
      <w:r w:rsidR="00E0673B">
        <w:rPr>
          <w:rFonts w:ascii="Arial" w:hAnsi="Arial" w:cs="Arial"/>
          <w:bCs/>
        </w:rPr>
        <w:t>supporting</w:t>
      </w:r>
      <w:r w:rsidR="000508C3">
        <w:rPr>
          <w:rFonts w:ascii="Arial" w:hAnsi="Arial" w:cs="Arial"/>
          <w:bCs/>
        </w:rPr>
        <w:t xml:space="preserve"> </w:t>
      </w:r>
      <w:r>
        <w:rPr>
          <w:rFonts w:ascii="Arial" w:hAnsi="Arial" w:cs="Arial"/>
          <w:bCs/>
        </w:rPr>
        <w:t>grow</w:t>
      </w:r>
      <w:r w:rsidR="00D063C4">
        <w:rPr>
          <w:rFonts w:ascii="Arial" w:hAnsi="Arial" w:cs="Arial"/>
          <w:bCs/>
        </w:rPr>
        <w:t>th</w:t>
      </w:r>
      <w:r>
        <w:rPr>
          <w:rFonts w:ascii="Arial" w:hAnsi="Arial" w:cs="Arial"/>
          <w:bCs/>
        </w:rPr>
        <w:t xml:space="preserve"> ahead of our markets.</w:t>
      </w:r>
      <w:r w:rsidR="00AF4118">
        <w:rPr>
          <w:rFonts w:ascii="Arial" w:hAnsi="Arial" w:cs="Arial"/>
          <w:bCs/>
        </w:rPr>
        <w:t xml:space="preserve"> And we are announcing today our new medium-term financial priorities</w:t>
      </w:r>
      <w:r w:rsidR="00AF4118" w:rsidRPr="006B01FB">
        <w:rPr>
          <w:rFonts w:ascii="Arial" w:hAnsi="Arial" w:cs="Arial"/>
          <w:bCs/>
        </w:rPr>
        <w:t xml:space="preserve">, </w:t>
      </w:r>
      <w:r w:rsidR="00AF4118">
        <w:rPr>
          <w:rFonts w:ascii="Arial" w:hAnsi="Arial" w:cs="Arial"/>
          <w:bCs/>
        </w:rPr>
        <w:t xml:space="preserve">focused on growth, cash generation and higher </w:t>
      </w:r>
      <w:r w:rsidR="00AF4118" w:rsidRPr="006B01FB">
        <w:rPr>
          <w:rFonts w:ascii="Arial" w:hAnsi="Arial" w:cs="Arial"/>
          <w:bCs/>
        </w:rPr>
        <w:t>returns to shareholders</w:t>
      </w:r>
      <w:r w:rsidR="00AF4118">
        <w:rPr>
          <w:rFonts w:ascii="Arial" w:hAnsi="Arial" w:cs="Arial"/>
          <w:bCs/>
        </w:rPr>
        <w:t>.</w:t>
      </w:r>
      <w:r>
        <w:rPr>
          <w:rFonts w:ascii="Arial" w:hAnsi="Arial" w:cs="Arial"/>
          <w:bCs/>
        </w:rPr>
        <w:t>”</w:t>
      </w:r>
    </w:p>
    <w:p w14:paraId="50EBBD24" w14:textId="2E031F11" w:rsidR="00F96CBF" w:rsidRPr="00F96CBF" w:rsidRDefault="00F96CBF" w:rsidP="00B97CD8">
      <w:pPr>
        <w:jc w:val="left"/>
        <w:rPr>
          <w:rFonts w:ascii="Arial" w:hAnsi="Arial" w:cs="Arial"/>
          <w:bCs/>
        </w:rPr>
      </w:pPr>
    </w:p>
    <w:p w14:paraId="0947D290" w14:textId="582BE294" w:rsidR="00C52B32" w:rsidRPr="00EB4495" w:rsidRDefault="00AD1517" w:rsidP="00C52B32">
      <w:pPr>
        <w:jc w:val="left"/>
        <w:rPr>
          <w:rFonts w:ascii="Arial" w:hAnsi="Arial" w:cs="Arial"/>
          <w:b/>
          <w:bCs/>
          <w:u w:val="single"/>
        </w:rPr>
      </w:pPr>
      <w:r>
        <w:rPr>
          <w:rFonts w:ascii="Arial" w:hAnsi="Arial" w:cs="Arial"/>
          <w:b/>
          <w:bCs/>
          <w:u w:val="single"/>
        </w:rPr>
        <w:t xml:space="preserve">FY </w:t>
      </w:r>
      <w:r w:rsidR="00C52B32" w:rsidRPr="00EB4495">
        <w:rPr>
          <w:rFonts w:ascii="Arial" w:hAnsi="Arial" w:cs="Arial"/>
          <w:b/>
          <w:bCs/>
          <w:u w:val="single"/>
        </w:rPr>
        <w:t>2</w:t>
      </w:r>
      <w:r w:rsidR="002F1C4F">
        <w:rPr>
          <w:rFonts w:ascii="Arial" w:hAnsi="Arial" w:cs="Arial"/>
          <w:b/>
          <w:bCs/>
          <w:u w:val="single"/>
        </w:rPr>
        <w:t>2</w:t>
      </w:r>
      <w:r w:rsidR="00C52B32" w:rsidRPr="00EB4495">
        <w:rPr>
          <w:rFonts w:ascii="Arial" w:hAnsi="Arial" w:cs="Arial"/>
          <w:b/>
          <w:bCs/>
          <w:u w:val="single"/>
        </w:rPr>
        <w:t>/2</w:t>
      </w:r>
      <w:r w:rsidR="002F1C4F">
        <w:rPr>
          <w:rFonts w:ascii="Arial" w:hAnsi="Arial" w:cs="Arial"/>
          <w:b/>
          <w:bCs/>
          <w:u w:val="single"/>
        </w:rPr>
        <w:t>3</w:t>
      </w:r>
      <w:r w:rsidR="00C52B32" w:rsidRPr="00EB4495">
        <w:rPr>
          <w:rFonts w:ascii="Arial" w:hAnsi="Arial" w:cs="Arial"/>
          <w:b/>
          <w:bCs/>
          <w:u w:val="single"/>
        </w:rPr>
        <w:t xml:space="preserve"> Group results</w:t>
      </w:r>
    </w:p>
    <w:p w14:paraId="2365A2CD" w14:textId="2C202980" w:rsidR="00C52B32" w:rsidRPr="0049788A" w:rsidRDefault="00C52B32" w:rsidP="00C52B32">
      <w:pPr>
        <w:pStyle w:val="ListParagraph"/>
        <w:numPr>
          <w:ilvl w:val="0"/>
          <w:numId w:val="2"/>
        </w:numPr>
        <w:jc w:val="left"/>
        <w:rPr>
          <w:rFonts w:ascii="Arial" w:hAnsi="Arial" w:cs="Arial"/>
          <w:bCs/>
        </w:rPr>
      </w:pPr>
      <w:r w:rsidRPr="0049788A">
        <w:rPr>
          <w:rFonts w:ascii="Arial" w:hAnsi="Arial" w:cs="Arial"/>
          <w:b/>
        </w:rPr>
        <w:t>Sales</w:t>
      </w:r>
      <w:r w:rsidRPr="0049788A">
        <w:rPr>
          <w:rFonts w:ascii="Arial" w:hAnsi="Arial" w:cs="Arial"/>
          <w:bCs/>
        </w:rPr>
        <w:t xml:space="preserve"> </w:t>
      </w:r>
      <w:r w:rsidR="00893C40" w:rsidRPr="0049788A">
        <w:rPr>
          <w:rFonts w:ascii="Arial" w:hAnsi="Arial" w:cs="Arial"/>
          <w:bCs/>
        </w:rPr>
        <w:t>down</w:t>
      </w:r>
      <w:r w:rsidRPr="0049788A">
        <w:rPr>
          <w:rFonts w:ascii="Arial" w:hAnsi="Arial" w:cs="Arial"/>
          <w:bCs/>
        </w:rPr>
        <w:t xml:space="preserve"> </w:t>
      </w:r>
      <w:r w:rsidR="0049788A" w:rsidRPr="0049788A">
        <w:rPr>
          <w:rFonts w:ascii="Arial" w:hAnsi="Arial" w:cs="Arial"/>
          <w:bCs/>
        </w:rPr>
        <w:t>0.7</w:t>
      </w:r>
      <w:r w:rsidRPr="0049788A">
        <w:rPr>
          <w:rFonts w:ascii="Arial" w:hAnsi="Arial" w:cs="Arial"/>
          <w:bCs/>
        </w:rPr>
        <w:t xml:space="preserve">% in constant currency, </w:t>
      </w:r>
      <w:r w:rsidR="00B20565" w:rsidRPr="0049788A">
        <w:rPr>
          <w:rFonts w:ascii="Arial" w:hAnsi="Arial" w:cs="Arial"/>
          <w:bCs/>
        </w:rPr>
        <w:t>reflecting strong prior year comparatives</w:t>
      </w:r>
      <w:r w:rsidR="00294CE8" w:rsidRPr="0049788A">
        <w:rPr>
          <w:rFonts w:ascii="Arial" w:hAnsi="Arial" w:cs="Arial"/>
          <w:bCs/>
        </w:rPr>
        <w:t xml:space="preserve"> </w:t>
      </w:r>
      <w:r w:rsidR="00563AB5" w:rsidRPr="0049788A">
        <w:rPr>
          <w:rFonts w:ascii="Arial" w:hAnsi="Arial" w:cs="Arial"/>
          <w:bCs/>
        </w:rPr>
        <w:t>linked to high demand for home improvement products</w:t>
      </w:r>
      <w:r w:rsidR="007363FB" w:rsidRPr="0049788A">
        <w:rPr>
          <w:rFonts w:ascii="Arial" w:hAnsi="Arial" w:cs="Arial"/>
          <w:bCs/>
        </w:rPr>
        <w:t>.</w:t>
      </w:r>
      <w:r w:rsidR="00B20565" w:rsidRPr="0049788A">
        <w:rPr>
          <w:rFonts w:ascii="Arial" w:hAnsi="Arial" w:cs="Arial"/>
          <w:bCs/>
        </w:rPr>
        <w:t xml:space="preserve"> </w:t>
      </w:r>
      <w:r w:rsidR="007363FB" w:rsidRPr="0049788A">
        <w:rPr>
          <w:rFonts w:ascii="Arial" w:hAnsi="Arial" w:cs="Arial"/>
          <w:bCs/>
        </w:rPr>
        <w:t xml:space="preserve">Resilient </w:t>
      </w:r>
      <w:r w:rsidR="006D5ECD" w:rsidRPr="0049788A">
        <w:rPr>
          <w:rFonts w:ascii="Arial" w:hAnsi="Arial" w:cs="Arial"/>
        </w:rPr>
        <w:t xml:space="preserve">sales </w:t>
      </w:r>
      <w:r w:rsidRPr="0049788A">
        <w:rPr>
          <w:rFonts w:ascii="Arial" w:hAnsi="Arial" w:cs="Arial"/>
          <w:bCs/>
        </w:rPr>
        <w:t xml:space="preserve">across </w:t>
      </w:r>
      <w:r w:rsidR="00272962" w:rsidRPr="0049788A">
        <w:rPr>
          <w:rFonts w:ascii="Arial" w:hAnsi="Arial" w:cs="Arial"/>
          <w:bCs/>
        </w:rPr>
        <w:t xml:space="preserve">both </w:t>
      </w:r>
      <w:r w:rsidRPr="0049788A">
        <w:rPr>
          <w:rFonts w:ascii="Arial" w:hAnsi="Arial" w:cs="Arial"/>
          <w:bCs/>
        </w:rPr>
        <w:t>retail and trade channels</w:t>
      </w:r>
    </w:p>
    <w:p w14:paraId="0D2346B3" w14:textId="72BD180D" w:rsidR="00C52B32" w:rsidRPr="0049788A" w:rsidRDefault="00C52B32" w:rsidP="00C52B32">
      <w:pPr>
        <w:pStyle w:val="ListParagraph"/>
        <w:numPr>
          <w:ilvl w:val="0"/>
          <w:numId w:val="2"/>
        </w:numPr>
        <w:jc w:val="left"/>
        <w:rPr>
          <w:rFonts w:ascii="Arial" w:hAnsi="Arial" w:cs="Arial"/>
          <w:bCs/>
        </w:rPr>
      </w:pPr>
      <w:r w:rsidRPr="0049788A">
        <w:rPr>
          <w:rFonts w:ascii="Arial" w:hAnsi="Arial" w:cs="Arial"/>
          <w:b/>
        </w:rPr>
        <w:t xml:space="preserve">LFL sales </w:t>
      </w:r>
      <w:r w:rsidR="007363FB" w:rsidRPr="0049788A">
        <w:rPr>
          <w:rFonts w:ascii="Arial" w:hAnsi="Arial" w:cs="Arial"/>
          <w:bCs/>
        </w:rPr>
        <w:t xml:space="preserve">down </w:t>
      </w:r>
      <w:r w:rsidR="0049788A" w:rsidRPr="0049788A">
        <w:rPr>
          <w:rFonts w:ascii="Arial" w:hAnsi="Arial" w:cs="Arial"/>
          <w:bCs/>
        </w:rPr>
        <w:t>2.1</w:t>
      </w:r>
      <w:r w:rsidRPr="0049788A">
        <w:rPr>
          <w:rFonts w:ascii="Arial" w:hAnsi="Arial" w:cs="Arial"/>
          <w:bCs/>
        </w:rPr>
        <w:t xml:space="preserve">% and corresponding </w:t>
      </w:r>
      <w:r w:rsidR="007363FB" w:rsidRPr="0049788A">
        <w:rPr>
          <w:rFonts w:ascii="Arial" w:hAnsi="Arial" w:cs="Arial"/>
          <w:bCs/>
        </w:rPr>
        <w:t>3</w:t>
      </w:r>
      <w:r w:rsidRPr="0049788A">
        <w:rPr>
          <w:rFonts w:ascii="Arial" w:hAnsi="Arial" w:cs="Arial"/>
          <w:bCs/>
        </w:rPr>
        <w:t xml:space="preserve">-year LFL up </w:t>
      </w:r>
      <w:r w:rsidR="0049788A" w:rsidRPr="0049788A">
        <w:rPr>
          <w:rFonts w:ascii="Arial" w:hAnsi="Arial" w:cs="Arial"/>
          <w:bCs/>
        </w:rPr>
        <w:t>15.6</w:t>
      </w:r>
      <w:r w:rsidRPr="0049788A">
        <w:rPr>
          <w:rFonts w:ascii="Arial" w:hAnsi="Arial" w:cs="Arial"/>
          <w:bCs/>
        </w:rPr>
        <w:t>%</w:t>
      </w:r>
    </w:p>
    <w:p w14:paraId="2BEBEFCE" w14:textId="4BC97CA9" w:rsidR="005B0DCA" w:rsidRPr="0049788A" w:rsidRDefault="003B7567" w:rsidP="00C52B32">
      <w:pPr>
        <w:pStyle w:val="ListParagraph"/>
        <w:numPr>
          <w:ilvl w:val="1"/>
          <w:numId w:val="2"/>
        </w:numPr>
        <w:ind w:left="709"/>
        <w:jc w:val="left"/>
        <w:rPr>
          <w:rFonts w:ascii="Arial" w:hAnsi="Arial" w:cs="Arial"/>
          <w:bCs/>
        </w:rPr>
      </w:pPr>
      <w:r w:rsidRPr="0049788A">
        <w:rPr>
          <w:rFonts w:ascii="Arial" w:hAnsi="Arial" w:cs="Arial"/>
          <w:bCs/>
        </w:rPr>
        <w:t xml:space="preserve">Double-digit </w:t>
      </w:r>
      <w:r w:rsidR="00FB7FF4" w:rsidRPr="0049788A">
        <w:rPr>
          <w:rFonts w:ascii="Arial" w:hAnsi="Arial" w:cs="Arial"/>
          <w:bCs/>
        </w:rPr>
        <w:t>3-year</w:t>
      </w:r>
      <w:r w:rsidR="00620BF5" w:rsidRPr="0049788A">
        <w:rPr>
          <w:rFonts w:ascii="Arial" w:hAnsi="Arial" w:cs="Arial"/>
          <w:bCs/>
        </w:rPr>
        <w:t xml:space="preserve"> </w:t>
      </w:r>
      <w:r w:rsidR="00D94699" w:rsidRPr="0049788A">
        <w:rPr>
          <w:rFonts w:ascii="Arial" w:hAnsi="Arial" w:cs="Arial"/>
          <w:bCs/>
        </w:rPr>
        <w:t xml:space="preserve">LFL </w:t>
      </w:r>
      <w:r w:rsidRPr="0049788A">
        <w:rPr>
          <w:rFonts w:ascii="Arial" w:hAnsi="Arial" w:cs="Arial"/>
          <w:bCs/>
        </w:rPr>
        <w:t xml:space="preserve">sales growth </w:t>
      </w:r>
      <w:r w:rsidR="005B0DCA" w:rsidRPr="0049788A">
        <w:rPr>
          <w:rFonts w:ascii="Arial" w:hAnsi="Arial" w:cs="Arial"/>
          <w:bCs/>
        </w:rPr>
        <w:t>across all banners</w:t>
      </w:r>
    </w:p>
    <w:p w14:paraId="1D5C0BA9" w14:textId="0C25D4AD" w:rsidR="00C52B32" w:rsidRPr="0049788A" w:rsidRDefault="00E212A1" w:rsidP="00C52B32">
      <w:pPr>
        <w:pStyle w:val="ListParagraph"/>
        <w:numPr>
          <w:ilvl w:val="1"/>
          <w:numId w:val="2"/>
        </w:numPr>
        <w:ind w:left="709"/>
        <w:jc w:val="left"/>
        <w:rPr>
          <w:rFonts w:ascii="Arial" w:hAnsi="Arial" w:cs="Arial"/>
          <w:bCs/>
        </w:rPr>
      </w:pPr>
      <w:r w:rsidRPr="0049788A">
        <w:rPr>
          <w:rFonts w:ascii="Arial" w:hAnsi="Arial" w:cs="Arial"/>
          <w:bCs/>
        </w:rPr>
        <w:t xml:space="preserve">Positive </w:t>
      </w:r>
      <w:r w:rsidR="00D94699" w:rsidRPr="0049788A">
        <w:rPr>
          <w:rFonts w:ascii="Arial" w:hAnsi="Arial" w:cs="Arial"/>
          <w:bCs/>
        </w:rPr>
        <w:t>1-</w:t>
      </w:r>
      <w:r w:rsidRPr="0049788A">
        <w:rPr>
          <w:rFonts w:ascii="Arial" w:hAnsi="Arial" w:cs="Arial"/>
          <w:bCs/>
        </w:rPr>
        <w:t xml:space="preserve">year growth </w:t>
      </w:r>
      <w:r w:rsidR="00C52B32" w:rsidRPr="0049788A">
        <w:rPr>
          <w:rFonts w:ascii="Arial" w:hAnsi="Arial" w:cs="Arial"/>
          <w:bCs/>
        </w:rPr>
        <w:t xml:space="preserve">in </w:t>
      </w:r>
      <w:r w:rsidRPr="0049788A">
        <w:rPr>
          <w:rFonts w:ascii="Arial" w:hAnsi="Arial" w:cs="Arial"/>
          <w:bCs/>
        </w:rPr>
        <w:t xml:space="preserve">Poland, </w:t>
      </w:r>
      <w:r w:rsidR="00C52B32" w:rsidRPr="0049788A">
        <w:rPr>
          <w:rFonts w:ascii="Arial" w:hAnsi="Arial" w:cs="Arial"/>
          <w:bCs/>
        </w:rPr>
        <w:t xml:space="preserve">Iberia and Romania; </w:t>
      </w:r>
      <w:r w:rsidRPr="0049788A">
        <w:rPr>
          <w:rFonts w:ascii="Arial" w:hAnsi="Arial" w:cs="Arial"/>
          <w:bCs/>
        </w:rPr>
        <w:t>resilient performance in France</w:t>
      </w:r>
      <w:r w:rsidR="006C5443" w:rsidRPr="0049788A">
        <w:rPr>
          <w:rFonts w:ascii="Arial" w:hAnsi="Arial" w:cs="Arial"/>
          <w:bCs/>
        </w:rPr>
        <w:t>;</w:t>
      </w:r>
      <w:r w:rsidR="003B7567" w:rsidRPr="0049788A">
        <w:rPr>
          <w:rFonts w:ascii="Arial" w:hAnsi="Arial" w:cs="Arial"/>
          <w:bCs/>
        </w:rPr>
        <w:t xml:space="preserve"> </w:t>
      </w:r>
      <w:r w:rsidR="006C5443" w:rsidRPr="0049788A">
        <w:rPr>
          <w:rFonts w:ascii="Arial" w:hAnsi="Arial" w:cs="Arial"/>
          <w:bCs/>
        </w:rPr>
        <w:t xml:space="preserve">strong prior year comparatives </w:t>
      </w:r>
      <w:r w:rsidR="0007144D" w:rsidRPr="0049788A">
        <w:rPr>
          <w:rFonts w:ascii="Arial" w:hAnsi="Arial" w:cs="Arial"/>
          <w:bCs/>
        </w:rPr>
        <w:t xml:space="preserve">for the </w:t>
      </w:r>
      <w:r w:rsidR="003B7567" w:rsidRPr="0049788A">
        <w:rPr>
          <w:rFonts w:ascii="Arial" w:hAnsi="Arial" w:cs="Arial"/>
          <w:bCs/>
        </w:rPr>
        <w:t>UK &amp; Ireland</w:t>
      </w:r>
    </w:p>
    <w:p w14:paraId="457659F8" w14:textId="4B2D3AC3" w:rsidR="0013021B" w:rsidRPr="0049788A" w:rsidRDefault="002F606A" w:rsidP="002F606A">
      <w:pPr>
        <w:pStyle w:val="ListParagraph"/>
        <w:numPr>
          <w:ilvl w:val="0"/>
          <w:numId w:val="2"/>
        </w:numPr>
        <w:jc w:val="left"/>
        <w:rPr>
          <w:rFonts w:ascii="Arial" w:hAnsi="Arial" w:cs="Arial"/>
          <w:bCs/>
        </w:rPr>
      </w:pPr>
      <w:r w:rsidRPr="0049788A">
        <w:rPr>
          <w:rFonts w:ascii="Arial" w:hAnsi="Arial" w:cs="Arial"/>
          <w:b/>
          <w:bCs/>
        </w:rPr>
        <w:t>Q</w:t>
      </w:r>
      <w:r w:rsidR="00750EC6" w:rsidRPr="0049788A">
        <w:rPr>
          <w:rFonts w:ascii="Arial" w:hAnsi="Arial" w:cs="Arial"/>
          <w:b/>
          <w:bCs/>
        </w:rPr>
        <w:t>4</w:t>
      </w:r>
      <w:r w:rsidRPr="0049788A">
        <w:rPr>
          <w:rFonts w:ascii="Arial" w:hAnsi="Arial" w:cs="Arial"/>
          <w:b/>
          <w:bCs/>
        </w:rPr>
        <w:t xml:space="preserve"> 22/23 </w:t>
      </w:r>
      <w:r w:rsidRPr="0049788A">
        <w:rPr>
          <w:rFonts w:ascii="Arial" w:hAnsi="Arial" w:cs="Arial"/>
          <w:bCs/>
        </w:rPr>
        <w:t>LFL sa</w:t>
      </w:r>
      <w:r w:rsidR="00C52B32" w:rsidRPr="0049788A">
        <w:rPr>
          <w:rFonts w:ascii="Arial" w:hAnsi="Arial" w:cs="Arial"/>
          <w:bCs/>
        </w:rPr>
        <w:t xml:space="preserve">les </w:t>
      </w:r>
      <w:r w:rsidR="001475A4">
        <w:rPr>
          <w:rFonts w:ascii="Arial" w:hAnsi="Arial" w:cs="Arial"/>
          <w:bCs/>
        </w:rPr>
        <w:t>flat</w:t>
      </w:r>
      <w:r w:rsidR="00087DD1" w:rsidRPr="0049788A">
        <w:rPr>
          <w:rFonts w:ascii="Arial" w:hAnsi="Arial" w:cs="Arial"/>
          <w:bCs/>
        </w:rPr>
        <w:t xml:space="preserve">, and </w:t>
      </w:r>
      <w:r w:rsidR="001475A4">
        <w:rPr>
          <w:rFonts w:ascii="Arial" w:hAnsi="Arial" w:cs="Arial"/>
          <w:bCs/>
        </w:rPr>
        <w:t xml:space="preserve">up </w:t>
      </w:r>
      <w:r w:rsidR="0049788A" w:rsidRPr="0049788A">
        <w:rPr>
          <w:rFonts w:ascii="Arial" w:hAnsi="Arial" w:cs="Arial"/>
          <w:bCs/>
        </w:rPr>
        <w:t>13.7</w:t>
      </w:r>
      <w:r w:rsidR="002A1580" w:rsidRPr="0049788A">
        <w:rPr>
          <w:rFonts w:ascii="Arial" w:hAnsi="Arial" w:cs="Arial"/>
          <w:bCs/>
        </w:rPr>
        <w:t xml:space="preserve">% </w:t>
      </w:r>
      <w:r w:rsidR="00934B65" w:rsidRPr="0049788A">
        <w:rPr>
          <w:rFonts w:ascii="Arial" w:hAnsi="Arial" w:cs="Arial"/>
          <w:bCs/>
        </w:rPr>
        <w:t xml:space="preserve">on a </w:t>
      </w:r>
      <w:r w:rsidR="00325CD1" w:rsidRPr="0049788A">
        <w:rPr>
          <w:rFonts w:ascii="Arial" w:hAnsi="Arial" w:cs="Arial"/>
          <w:bCs/>
        </w:rPr>
        <w:t>3</w:t>
      </w:r>
      <w:r w:rsidR="00934B65" w:rsidRPr="0049788A">
        <w:rPr>
          <w:rFonts w:ascii="Arial" w:hAnsi="Arial" w:cs="Arial"/>
          <w:bCs/>
        </w:rPr>
        <w:t>-year basis</w:t>
      </w:r>
      <w:r w:rsidRPr="0049788A">
        <w:rPr>
          <w:rFonts w:ascii="Arial" w:hAnsi="Arial" w:cs="Arial"/>
          <w:bCs/>
        </w:rPr>
        <w:t>,</w:t>
      </w:r>
      <w:r w:rsidR="00325CD1" w:rsidRPr="0049788A">
        <w:rPr>
          <w:rFonts w:ascii="Arial" w:hAnsi="Arial" w:cs="Arial"/>
          <w:bCs/>
        </w:rPr>
        <w:t xml:space="preserve"> </w:t>
      </w:r>
      <w:r w:rsidR="00087DD1" w:rsidRPr="0049788A">
        <w:rPr>
          <w:rFonts w:ascii="Arial" w:hAnsi="Arial" w:cs="Arial"/>
          <w:bCs/>
        </w:rPr>
        <w:t xml:space="preserve">broadly </w:t>
      </w:r>
      <w:r w:rsidR="007F0372" w:rsidRPr="0049788A">
        <w:rPr>
          <w:rFonts w:ascii="Arial" w:hAnsi="Arial" w:cs="Arial"/>
          <w:bCs/>
        </w:rPr>
        <w:t xml:space="preserve">consistent </w:t>
      </w:r>
      <w:r w:rsidR="00087DD1" w:rsidRPr="0049788A">
        <w:rPr>
          <w:rFonts w:ascii="Arial" w:hAnsi="Arial" w:cs="Arial"/>
          <w:bCs/>
        </w:rPr>
        <w:t xml:space="preserve">with the </w:t>
      </w:r>
      <w:r w:rsidR="0094153D" w:rsidRPr="0049788A">
        <w:rPr>
          <w:rFonts w:ascii="Arial" w:hAnsi="Arial" w:cs="Arial"/>
          <w:bCs/>
        </w:rPr>
        <w:t xml:space="preserve">trend </w:t>
      </w:r>
      <w:r w:rsidR="00087DD1" w:rsidRPr="0049788A">
        <w:rPr>
          <w:rFonts w:ascii="Arial" w:hAnsi="Arial" w:cs="Arial"/>
          <w:bCs/>
        </w:rPr>
        <w:t xml:space="preserve">from </w:t>
      </w:r>
      <w:r w:rsidR="0094153D" w:rsidRPr="0049788A">
        <w:rPr>
          <w:rFonts w:ascii="Arial" w:hAnsi="Arial" w:cs="Arial"/>
          <w:bCs/>
        </w:rPr>
        <w:t>Q</w:t>
      </w:r>
      <w:r w:rsidR="00050535" w:rsidRPr="0049788A">
        <w:rPr>
          <w:rFonts w:ascii="Arial" w:hAnsi="Arial" w:cs="Arial"/>
          <w:bCs/>
        </w:rPr>
        <w:t>3</w:t>
      </w:r>
      <w:r w:rsidR="0094153D" w:rsidRPr="0049788A">
        <w:rPr>
          <w:rFonts w:ascii="Arial" w:hAnsi="Arial" w:cs="Arial"/>
          <w:bCs/>
        </w:rPr>
        <w:t xml:space="preserve"> 22/23 (</w:t>
      </w:r>
      <w:r w:rsidR="00087DD1" w:rsidRPr="0049788A">
        <w:rPr>
          <w:rFonts w:ascii="Arial" w:hAnsi="Arial" w:cs="Arial"/>
          <w:bCs/>
        </w:rPr>
        <w:t xml:space="preserve">LFL </w:t>
      </w:r>
      <w:r w:rsidR="00050535" w:rsidRPr="0049788A">
        <w:rPr>
          <w:rFonts w:ascii="Arial" w:hAnsi="Arial" w:cs="Arial"/>
          <w:bCs/>
        </w:rPr>
        <w:t xml:space="preserve">+0.2%; 3-year LFL </w:t>
      </w:r>
      <w:r w:rsidR="00283605" w:rsidRPr="0049788A">
        <w:rPr>
          <w:rFonts w:ascii="Arial" w:hAnsi="Arial" w:cs="Arial"/>
          <w:bCs/>
        </w:rPr>
        <w:t>+</w:t>
      </w:r>
      <w:r w:rsidR="0013021B" w:rsidRPr="0049788A">
        <w:rPr>
          <w:rFonts w:ascii="Arial" w:hAnsi="Arial" w:cs="Arial"/>
          <w:bCs/>
        </w:rPr>
        <w:t>1</w:t>
      </w:r>
      <w:r w:rsidR="00050535" w:rsidRPr="0049788A">
        <w:rPr>
          <w:rFonts w:ascii="Arial" w:hAnsi="Arial" w:cs="Arial"/>
          <w:bCs/>
        </w:rPr>
        <w:t>5</w:t>
      </w:r>
      <w:r w:rsidR="00283605" w:rsidRPr="0049788A">
        <w:rPr>
          <w:rFonts w:ascii="Arial" w:hAnsi="Arial" w:cs="Arial"/>
          <w:bCs/>
        </w:rPr>
        <w:t>.</w:t>
      </w:r>
      <w:r w:rsidR="00050535" w:rsidRPr="0049788A">
        <w:rPr>
          <w:rFonts w:ascii="Arial" w:hAnsi="Arial" w:cs="Arial"/>
          <w:bCs/>
        </w:rPr>
        <w:t>3</w:t>
      </w:r>
      <w:r w:rsidR="00283605" w:rsidRPr="0049788A">
        <w:rPr>
          <w:rFonts w:ascii="Arial" w:hAnsi="Arial" w:cs="Arial"/>
          <w:bCs/>
        </w:rPr>
        <w:t>%</w:t>
      </w:r>
      <w:r w:rsidR="005F6344" w:rsidRPr="0049788A">
        <w:rPr>
          <w:rFonts w:ascii="Arial" w:hAnsi="Arial" w:cs="Arial"/>
          <w:bCs/>
        </w:rPr>
        <w:t>)</w:t>
      </w:r>
    </w:p>
    <w:p w14:paraId="33CBF233" w14:textId="67192F04" w:rsidR="00233161" w:rsidRPr="00C27BD9" w:rsidRDefault="00233161" w:rsidP="00C52B32">
      <w:pPr>
        <w:pStyle w:val="ListParagraph"/>
        <w:numPr>
          <w:ilvl w:val="0"/>
          <w:numId w:val="2"/>
        </w:numPr>
        <w:jc w:val="left"/>
        <w:rPr>
          <w:rFonts w:ascii="Arial" w:hAnsi="Arial" w:cs="Arial"/>
          <w:bCs/>
        </w:rPr>
      </w:pPr>
      <w:r w:rsidRPr="00A573C9">
        <w:rPr>
          <w:rFonts w:ascii="Arial" w:hAnsi="Arial" w:cs="Arial"/>
          <w:b/>
        </w:rPr>
        <w:t>Gross margin %</w:t>
      </w:r>
      <w:r w:rsidRPr="00A573C9">
        <w:rPr>
          <w:rFonts w:ascii="Arial" w:hAnsi="Arial" w:cs="Arial"/>
          <w:bCs/>
        </w:rPr>
        <w:t xml:space="preserve"> down </w:t>
      </w:r>
      <w:r w:rsidR="004C334D" w:rsidRPr="00A573C9">
        <w:rPr>
          <w:rFonts w:ascii="Arial" w:hAnsi="Arial" w:cs="Arial"/>
          <w:bCs/>
        </w:rPr>
        <w:t xml:space="preserve">70 </w:t>
      </w:r>
      <w:r w:rsidR="003526E9" w:rsidRPr="00A573C9">
        <w:rPr>
          <w:rFonts w:ascii="Arial" w:hAnsi="Arial" w:cs="Arial"/>
          <w:bCs/>
        </w:rPr>
        <w:t>basis points</w:t>
      </w:r>
      <w:r w:rsidR="00F555D1" w:rsidRPr="00A573C9">
        <w:rPr>
          <w:rFonts w:ascii="Arial" w:hAnsi="Arial" w:cs="Arial"/>
          <w:bCs/>
        </w:rPr>
        <w:t xml:space="preserve"> </w:t>
      </w:r>
      <w:r w:rsidR="00794F15" w:rsidRPr="00A573C9">
        <w:rPr>
          <w:rFonts w:ascii="Arial" w:hAnsi="Arial" w:cs="Arial"/>
          <w:bCs/>
        </w:rPr>
        <w:t xml:space="preserve">to </w:t>
      </w:r>
      <w:r w:rsidR="004C334D" w:rsidRPr="00A573C9">
        <w:rPr>
          <w:rFonts w:ascii="Arial" w:hAnsi="Arial" w:cs="Arial"/>
          <w:bCs/>
        </w:rPr>
        <w:t>36.7</w:t>
      </w:r>
      <w:r w:rsidR="00794F15" w:rsidRPr="00A573C9">
        <w:rPr>
          <w:rFonts w:ascii="Arial" w:hAnsi="Arial" w:cs="Arial"/>
          <w:bCs/>
        </w:rPr>
        <w:t xml:space="preserve">% </w:t>
      </w:r>
      <w:r w:rsidR="00F555D1" w:rsidRPr="00A573C9">
        <w:rPr>
          <w:rFonts w:ascii="Arial" w:hAnsi="Arial" w:cs="Arial"/>
          <w:bCs/>
        </w:rPr>
        <w:t>(</w:t>
      </w:r>
      <w:r w:rsidR="00D51601" w:rsidRPr="00C27BD9">
        <w:rPr>
          <w:rFonts w:ascii="Arial" w:hAnsi="Arial" w:cs="Arial"/>
          <w:bCs/>
        </w:rPr>
        <w:t xml:space="preserve">FY </w:t>
      </w:r>
      <w:r w:rsidR="000226C3" w:rsidRPr="00C27BD9">
        <w:rPr>
          <w:rFonts w:ascii="Arial" w:hAnsi="Arial" w:cs="Arial"/>
          <w:bCs/>
        </w:rPr>
        <w:t>21/22: 3</w:t>
      </w:r>
      <w:r w:rsidR="003417CC" w:rsidRPr="00C27BD9">
        <w:rPr>
          <w:rFonts w:ascii="Arial" w:hAnsi="Arial" w:cs="Arial"/>
          <w:bCs/>
        </w:rPr>
        <w:t>7</w:t>
      </w:r>
      <w:r w:rsidR="000226C3" w:rsidRPr="00C27BD9">
        <w:rPr>
          <w:rFonts w:ascii="Arial" w:hAnsi="Arial" w:cs="Arial"/>
          <w:bCs/>
        </w:rPr>
        <w:t>.</w:t>
      </w:r>
      <w:r w:rsidR="003417CC" w:rsidRPr="00C27BD9">
        <w:rPr>
          <w:rFonts w:ascii="Arial" w:hAnsi="Arial" w:cs="Arial"/>
          <w:bCs/>
        </w:rPr>
        <w:t>4</w:t>
      </w:r>
      <w:r w:rsidR="000226C3" w:rsidRPr="00C27BD9">
        <w:rPr>
          <w:rFonts w:ascii="Arial" w:hAnsi="Arial" w:cs="Arial"/>
          <w:bCs/>
        </w:rPr>
        <w:t xml:space="preserve">%; </w:t>
      </w:r>
      <w:r w:rsidR="003417CC" w:rsidRPr="00C27BD9">
        <w:rPr>
          <w:rFonts w:ascii="Arial" w:hAnsi="Arial" w:cs="Arial"/>
          <w:bCs/>
        </w:rPr>
        <w:t xml:space="preserve">FY </w:t>
      </w:r>
      <w:r w:rsidR="00F555D1" w:rsidRPr="00C27BD9">
        <w:rPr>
          <w:rFonts w:ascii="Arial" w:hAnsi="Arial" w:cs="Arial"/>
          <w:bCs/>
        </w:rPr>
        <w:t>19/20</w:t>
      </w:r>
      <w:r w:rsidR="0049179A" w:rsidRPr="00C27BD9">
        <w:rPr>
          <w:rFonts w:ascii="Arial" w:hAnsi="Arial" w:cs="Arial"/>
          <w:bCs/>
        </w:rPr>
        <w:t xml:space="preserve">: </w:t>
      </w:r>
      <w:r w:rsidR="00CD7557" w:rsidRPr="00C27BD9">
        <w:rPr>
          <w:rFonts w:ascii="Arial" w:hAnsi="Arial" w:cs="Arial"/>
          <w:bCs/>
        </w:rPr>
        <w:t>37.0%)</w:t>
      </w:r>
      <w:r w:rsidR="00692127" w:rsidRPr="00C27BD9">
        <w:rPr>
          <w:rFonts w:ascii="Arial" w:hAnsi="Arial" w:cs="Arial"/>
          <w:bCs/>
        </w:rPr>
        <w:t xml:space="preserve">, </w:t>
      </w:r>
      <w:r w:rsidR="00F555D1" w:rsidRPr="00C27BD9">
        <w:rPr>
          <w:rFonts w:ascii="Arial" w:hAnsi="Arial" w:cs="Arial"/>
          <w:bCs/>
        </w:rPr>
        <w:t xml:space="preserve">reflecting </w:t>
      </w:r>
      <w:r w:rsidR="00974A0C" w:rsidRPr="005C2EAC">
        <w:rPr>
          <w:rFonts w:ascii="Arial" w:hAnsi="Arial"/>
        </w:rPr>
        <w:t>banner &amp; category mix</w:t>
      </w:r>
      <w:r w:rsidR="00D14297">
        <w:rPr>
          <w:rFonts w:ascii="Arial" w:hAnsi="Arial"/>
        </w:rPr>
        <w:t>,</w:t>
      </w:r>
      <w:r w:rsidR="00974A0C">
        <w:rPr>
          <w:rFonts w:ascii="Arial" w:hAnsi="Arial"/>
        </w:rPr>
        <w:t xml:space="preserve"> and the impact in H1 of ‘normalised’ promotional activity and</w:t>
      </w:r>
      <w:r w:rsidR="00974A0C" w:rsidRPr="005C2EAC">
        <w:rPr>
          <w:rFonts w:ascii="Arial" w:hAnsi="Arial"/>
        </w:rPr>
        <w:t xml:space="preserve"> </w:t>
      </w:r>
      <w:r w:rsidR="00AE730A" w:rsidRPr="005C2EAC">
        <w:rPr>
          <w:rFonts w:ascii="Arial" w:hAnsi="Arial"/>
        </w:rPr>
        <w:t>one-off logistics spend to secure</w:t>
      </w:r>
      <w:r w:rsidR="00574008" w:rsidRPr="005C2EAC">
        <w:rPr>
          <w:rFonts w:ascii="Arial" w:hAnsi="Arial"/>
        </w:rPr>
        <w:t>/</w:t>
      </w:r>
      <w:r w:rsidR="00EC2364" w:rsidRPr="005C2EAC">
        <w:rPr>
          <w:rFonts w:ascii="Arial" w:hAnsi="Arial"/>
        </w:rPr>
        <w:t xml:space="preserve">manage </w:t>
      </w:r>
      <w:r w:rsidR="00AE730A" w:rsidRPr="005C2EAC">
        <w:rPr>
          <w:rFonts w:ascii="Arial" w:hAnsi="Arial"/>
        </w:rPr>
        <w:t>seasonal and ‘buffer’ stock</w:t>
      </w:r>
    </w:p>
    <w:p w14:paraId="43B5A24D" w14:textId="4C2DAB75" w:rsidR="00C52B32" w:rsidRPr="00137A0F" w:rsidRDefault="00C52B32" w:rsidP="00C52B32">
      <w:pPr>
        <w:pStyle w:val="ListParagraph"/>
        <w:numPr>
          <w:ilvl w:val="0"/>
          <w:numId w:val="2"/>
        </w:numPr>
        <w:jc w:val="left"/>
        <w:rPr>
          <w:rFonts w:ascii="Arial" w:hAnsi="Arial" w:cs="Arial"/>
          <w:bCs/>
        </w:rPr>
      </w:pPr>
      <w:r w:rsidRPr="00C27BD9">
        <w:rPr>
          <w:rFonts w:ascii="Arial" w:hAnsi="Arial" w:cs="Arial"/>
          <w:b/>
        </w:rPr>
        <w:t xml:space="preserve">Retail profit </w:t>
      </w:r>
      <w:r w:rsidR="007A0590" w:rsidRPr="00C27BD9">
        <w:rPr>
          <w:rFonts w:ascii="Arial" w:hAnsi="Arial" w:cs="Arial"/>
          <w:bCs/>
        </w:rPr>
        <w:t>down</w:t>
      </w:r>
      <w:r w:rsidRPr="00C27BD9">
        <w:rPr>
          <w:rFonts w:ascii="Arial" w:hAnsi="Arial" w:cs="Arial"/>
          <w:bCs/>
        </w:rPr>
        <w:t xml:space="preserve"> </w:t>
      </w:r>
      <w:r w:rsidR="00444303" w:rsidRPr="00C27BD9">
        <w:rPr>
          <w:rFonts w:ascii="Arial" w:hAnsi="Arial" w:cs="Arial"/>
          <w:bCs/>
        </w:rPr>
        <w:t>19.2</w:t>
      </w:r>
      <w:r w:rsidRPr="00C27BD9">
        <w:rPr>
          <w:rFonts w:ascii="Arial" w:hAnsi="Arial" w:cs="Arial"/>
          <w:bCs/>
        </w:rPr>
        <w:t>% in constant currency</w:t>
      </w:r>
      <w:r w:rsidR="00164107" w:rsidRPr="00C27BD9">
        <w:rPr>
          <w:rFonts w:ascii="Arial" w:hAnsi="Arial" w:cs="Arial"/>
          <w:bCs/>
        </w:rPr>
        <w:t xml:space="preserve"> </w:t>
      </w:r>
      <w:r w:rsidR="00B17DF8" w:rsidRPr="00C27BD9">
        <w:rPr>
          <w:rFonts w:ascii="Arial" w:hAnsi="Arial" w:cs="Arial"/>
          <w:bCs/>
        </w:rPr>
        <w:t>to £</w:t>
      </w:r>
      <w:r w:rsidR="00166700" w:rsidRPr="00C27BD9">
        <w:rPr>
          <w:rFonts w:ascii="Arial" w:hAnsi="Arial" w:cs="Arial"/>
          <w:bCs/>
        </w:rPr>
        <w:t>923m</w:t>
      </w:r>
      <w:r w:rsidR="00166700" w:rsidRPr="00137A0F">
        <w:rPr>
          <w:rFonts w:ascii="Arial" w:hAnsi="Arial" w:cs="Arial"/>
          <w:bCs/>
        </w:rPr>
        <w:t xml:space="preserve"> </w:t>
      </w:r>
      <w:r w:rsidR="00164107" w:rsidRPr="00137A0F">
        <w:rPr>
          <w:rFonts w:ascii="Arial" w:hAnsi="Arial" w:cs="Arial"/>
          <w:bCs/>
        </w:rPr>
        <w:t>(</w:t>
      </w:r>
      <w:r w:rsidR="00BE0879" w:rsidRPr="00137A0F">
        <w:rPr>
          <w:rFonts w:ascii="Arial" w:hAnsi="Arial" w:cs="Arial"/>
          <w:bCs/>
        </w:rPr>
        <w:t xml:space="preserve">FY </w:t>
      </w:r>
      <w:r w:rsidR="00164107" w:rsidRPr="00137A0F">
        <w:rPr>
          <w:rFonts w:ascii="Arial" w:hAnsi="Arial" w:cs="Arial"/>
          <w:bCs/>
        </w:rPr>
        <w:t xml:space="preserve">21/22: </w:t>
      </w:r>
      <w:r w:rsidR="008A1F30" w:rsidRPr="00137A0F">
        <w:rPr>
          <w:rFonts w:ascii="Arial" w:hAnsi="Arial" w:cs="Arial"/>
          <w:bCs/>
        </w:rPr>
        <w:t>£</w:t>
      </w:r>
      <w:r w:rsidR="00331ADA" w:rsidRPr="00137A0F">
        <w:rPr>
          <w:rFonts w:ascii="Arial" w:hAnsi="Arial" w:cs="Arial"/>
          <w:bCs/>
        </w:rPr>
        <w:t>1,148m</w:t>
      </w:r>
      <w:r w:rsidR="00164107" w:rsidRPr="00137A0F">
        <w:rPr>
          <w:rFonts w:ascii="Arial" w:hAnsi="Arial" w:cs="Arial"/>
          <w:bCs/>
        </w:rPr>
        <w:t xml:space="preserve">; </w:t>
      </w:r>
      <w:r w:rsidR="00331ADA" w:rsidRPr="00137A0F">
        <w:rPr>
          <w:rFonts w:ascii="Arial" w:hAnsi="Arial" w:cs="Arial"/>
          <w:bCs/>
        </w:rPr>
        <w:t xml:space="preserve">FY </w:t>
      </w:r>
      <w:r w:rsidR="00164107" w:rsidRPr="00137A0F">
        <w:rPr>
          <w:rFonts w:ascii="Arial" w:hAnsi="Arial" w:cs="Arial"/>
          <w:bCs/>
        </w:rPr>
        <w:t xml:space="preserve">19/20: </w:t>
      </w:r>
      <w:r w:rsidR="008A1F30" w:rsidRPr="00137A0F">
        <w:rPr>
          <w:rFonts w:ascii="Arial" w:hAnsi="Arial" w:cs="Arial"/>
          <w:bCs/>
        </w:rPr>
        <w:t>£</w:t>
      </w:r>
      <w:r w:rsidR="00A30272" w:rsidRPr="00137A0F">
        <w:rPr>
          <w:rFonts w:ascii="Arial" w:hAnsi="Arial" w:cs="Arial"/>
          <w:bCs/>
        </w:rPr>
        <w:t>786m</w:t>
      </w:r>
      <w:r w:rsidR="00164107" w:rsidRPr="00137A0F">
        <w:rPr>
          <w:rFonts w:ascii="Arial" w:hAnsi="Arial" w:cs="Arial"/>
          <w:bCs/>
        </w:rPr>
        <w:t>)</w:t>
      </w:r>
      <w:r w:rsidRPr="00137A0F">
        <w:rPr>
          <w:rFonts w:ascii="Arial" w:hAnsi="Arial" w:cs="Arial"/>
          <w:bCs/>
        </w:rPr>
        <w:t xml:space="preserve">, </w:t>
      </w:r>
      <w:r w:rsidR="0013772E" w:rsidRPr="00137A0F">
        <w:rPr>
          <w:rFonts w:ascii="Arial" w:hAnsi="Arial" w:cs="Arial"/>
          <w:bCs/>
        </w:rPr>
        <w:t xml:space="preserve">largely reflecting very </w:t>
      </w:r>
      <w:r w:rsidRPr="00137A0F">
        <w:rPr>
          <w:rFonts w:ascii="Arial" w:hAnsi="Arial" w:cs="Arial"/>
          <w:bCs/>
        </w:rPr>
        <w:t xml:space="preserve">strong </w:t>
      </w:r>
      <w:r w:rsidR="0013772E" w:rsidRPr="00137A0F">
        <w:rPr>
          <w:rFonts w:ascii="Arial" w:hAnsi="Arial" w:cs="Arial"/>
          <w:bCs/>
        </w:rPr>
        <w:t>prior year comparative</w:t>
      </w:r>
      <w:r w:rsidR="008D0D5E" w:rsidRPr="00137A0F">
        <w:rPr>
          <w:rFonts w:ascii="Arial" w:hAnsi="Arial" w:cs="Arial"/>
          <w:bCs/>
        </w:rPr>
        <w:t>s</w:t>
      </w:r>
      <w:r w:rsidR="0013772E" w:rsidRPr="00137A0F">
        <w:rPr>
          <w:rFonts w:ascii="Arial" w:hAnsi="Arial" w:cs="Arial"/>
          <w:bCs/>
        </w:rPr>
        <w:t xml:space="preserve"> </w:t>
      </w:r>
      <w:r w:rsidR="001E16D5" w:rsidRPr="00137A0F">
        <w:rPr>
          <w:rFonts w:ascii="Arial" w:hAnsi="Arial" w:cs="Arial"/>
          <w:bCs/>
        </w:rPr>
        <w:t xml:space="preserve">in </w:t>
      </w:r>
      <w:r w:rsidR="00415293" w:rsidRPr="00137A0F">
        <w:rPr>
          <w:rFonts w:ascii="Arial" w:hAnsi="Arial" w:cs="Arial"/>
          <w:bCs/>
        </w:rPr>
        <w:t xml:space="preserve">the </w:t>
      </w:r>
      <w:r w:rsidRPr="00137A0F">
        <w:rPr>
          <w:rFonts w:ascii="Arial" w:hAnsi="Arial" w:cs="Arial"/>
          <w:bCs/>
        </w:rPr>
        <w:t>UK &amp; Ireland</w:t>
      </w:r>
      <w:r w:rsidR="00974A0C">
        <w:rPr>
          <w:rFonts w:ascii="Arial" w:hAnsi="Arial" w:cs="Arial"/>
          <w:bCs/>
        </w:rPr>
        <w:t xml:space="preserve"> </w:t>
      </w:r>
      <w:r w:rsidR="00974A0C" w:rsidRPr="009021DE">
        <w:rPr>
          <w:rFonts w:ascii="Arial" w:hAnsi="Arial" w:cs="Arial"/>
          <w:bCs/>
        </w:rPr>
        <w:t>and France</w:t>
      </w:r>
    </w:p>
    <w:p w14:paraId="2A2048FB" w14:textId="745574E9" w:rsidR="00C52B32" w:rsidRPr="00137A0F" w:rsidRDefault="00C52B32" w:rsidP="00C52B32">
      <w:pPr>
        <w:pStyle w:val="ListParagraph"/>
        <w:numPr>
          <w:ilvl w:val="0"/>
          <w:numId w:val="2"/>
        </w:numPr>
        <w:jc w:val="left"/>
        <w:rPr>
          <w:rFonts w:ascii="Arial" w:hAnsi="Arial" w:cs="Arial"/>
        </w:rPr>
      </w:pPr>
      <w:bookmarkStart w:id="3" w:name="_Hlk66202790"/>
      <w:bookmarkStart w:id="4" w:name="_Hlk129601853"/>
      <w:bookmarkStart w:id="5" w:name="_Hlk128567510"/>
      <w:r w:rsidRPr="00137A0F">
        <w:rPr>
          <w:rFonts w:ascii="Arial" w:hAnsi="Arial" w:cs="Arial"/>
          <w:b/>
          <w:bCs/>
        </w:rPr>
        <w:t>Statutory pre-tax profit</w:t>
      </w:r>
      <w:r w:rsidRPr="00137A0F">
        <w:rPr>
          <w:rFonts w:ascii="Arial" w:hAnsi="Arial" w:cs="Arial"/>
        </w:rPr>
        <w:t xml:space="preserve"> </w:t>
      </w:r>
      <w:r w:rsidR="007A0590" w:rsidRPr="00137A0F">
        <w:rPr>
          <w:rFonts w:ascii="Arial" w:hAnsi="Arial" w:cs="Arial"/>
        </w:rPr>
        <w:t xml:space="preserve">down </w:t>
      </w:r>
      <w:r w:rsidR="00872794">
        <w:rPr>
          <w:rFonts w:ascii="Arial" w:hAnsi="Arial" w:cs="Arial"/>
        </w:rPr>
        <w:t>39.3</w:t>
      </w:r>
      <w:r w:rsidRPr="00137A0F">
        <w:rPr>
          <w:rFonts w:ascii="Arial" w:hAnsi="Arial" w:cs="Arial"/>
        </w:rPr>
        <w:t>%</w:t>
      </w:r>
      <w:bookmarkEnd w:id="3"/>
      <w:r w:rsidR="00180110" w:rsidRPr="00137A0F">
        <w:rPr>
          <w:rFonts w:ascii="Arial" w:hAnsi="Arial" w:cs="Arial"/>
        </w:rPr>
        <w:t xml:space="preserve"> </w:t>
      </w:r>
      <w:r w:rsidR="00180110" w:rsidRPr="00137A0F">
        <w:rPr>
          <w:rFonts w:ascii="Arial" w:hAnsi="Arial" w:cs="Arial"/>
          <w:bCs/>
        </w:rPr>
        <w:t>to £</w:t>
      </w:r>
      <w:r w:rsidR="00D8499A">
        <w:rPr>
          <w:rFonts w:ascii="Arial" w:hAnsi="Arial" w:cs="Arial"/>
          <w:bCs/>
        </w:rPr>
        <w:t>611</w:t>
      </w:r>
      <w:r w:rsidR="00D8499A" w:rsidRPr="00137A0F">
        <w:rPr>
          <w:rFonts w:ascii="Arial" w:hAnsi="Arial" w:cs="Arial"/>
          <w:bCs/>
        </w:rPr>
        <w:t>m</w:t>
      </w:r>
      <w:bookmarkEnd w:id="4"/>
      <w:r w:rsidR="00D8499A" w:rsidRPr="00137A0F">
        <w:rPr>
          <w:rFonts w:ascii="Arial" w:hAnsi="Arial" w:cs="Arial"/>
          <w:bCs/>
        </w:rPr>
        <w:t xml:space="preserve"> </w:t>
      </w:r>
      <w:r w:rsidR="00180110" w:rsidRPr="00137A0F">
        <w:rPr>
          <w:rFonts w:ascii="Arial" w:hAnsi="Arial" w:cs="Arial"/>
          <w:bCs/>
        </w:rPr>
        <w:t>(</w:t>
      </w:r>
      <w:r w:rsidR="00293F6B" w:rsidRPr="00137A0F">
        <w:rPr>
          <w:rFonts w:ascii="Arial" w:hAnsi="Arial" w:cs="Arial"/>
          <w:bCs/>
        </w:rPr>
        <w:t xml:space="preserve">FY </w:t>
      </w:r>
      <w:r w:rsidR="00180110" w:rsidRPr="00137A0F">
        <w:rPr>
          <w:rFonts w:ascii="Arial" w:hAnsi="Arial" w:cs="Arial"/>
          <w:bCs/>
        </w:rPr>
        <w:t>21/22: £</w:t>
      </w:r>
      <w:r w:rsidR="00386278" w:rsidRPr="00137A0F">
        <w:rPr>
          <w:rFonts w:ascii="Arial" w:hAnsi="Arial" w:cs="Arial"/>
          <w:bCs/>
        </w:rPr>
        <w:t>1,0</w:t>
      </w:r>
      <w:r w:rsidR="00D87DA8" w:rsidRPr="00137A0F">
        <w:rPr>
          <w:rFonts w:ascii="Arial" w:hAnsi="Arial" w:cs="Arial"/>
          <w:bCs/>
        </w:rPr>
        <w:t>0</w:t>
      </w:r>
      <w:r w:rsidR="00386278" w:rsidRPr="00137A0F">
        <w:rPr>
          <w:rFonts w:ascii="Arial" w:hAnsi="Arial" w:cs="Arial"/>
          <w:bCs/>
        </w:rPr>
        <w:t>7m</w:t>
      </w:r>
      <w:r w:rsidR="00180110" w:rsidRPr="00137A0F">
        <w:rPr>
          <w:rFonts w:ascii="Arial" w:hAnsi="Arial" w:cs="Arial"/>
          <w:bCs/>
        </w:rPr>
        <w:t xml:space="preserve">; </w:t>
      </w:r>
      <w:r w:rsidR="00A73491" w:rsidRPr="00137A0F">
        <w:rPr>
          <w:rFonts w:ascii="Arial" w:hAnsi="Arial" w:cs="Arial"/>
          <w:bCs/>
        </w:rPr>
        <w:t xml:space="preserve">FY </w:t>
      </w:r>
      <w:r w:rsidR="00180110" w:rsidRPr="00137A0F">
        <w:rPr>
          <w:rFonts w:ascii="Arial" w:hAnsi="Arial" w:cs="Arial"/>
          <w:bCs/>
        </w:rPr>
        <w:t>19/20: £</w:t>
      </w:r>
      <w:r w:rsidR="00A73491" w:rsidRPr="00137A0F">
        <w:rPr>
          <w:rFonts w:ascii="Arial" w:hAnsi="Arial" w:cs="Arial"/>
          <w:bCs/>
        </w:rPr>
        <w:t>103m</w:t>
      </w:r>
      <w:r w:rsidR="00180110" w:rsidRPr="00137A0F">
        <w:rPr>
          <w:rFonts w:ascii="Arial" w:hAnsi="Arial" w:cs="Arial"/>
          <w:bCs/>
        </w:rPr>
        <w:t>)</w:t>
      </w:r>
      <w:r w:rsidRPr="00137A0F">
        <w:rPr>
          <w:rFonts w:ascii="Arial" w:hAnsi="Arial" w:cs="Arial"/>
        </w:rPr>
        <w:t xml:space="preserve">, reflecting </w:t>
      </w:r>
      <w:r w:rsidR="00415293" w:rsidRPr="00137A0F">
        <w:rPr>
          <w:rFonts w:ascii="Arial" w:hAnsi="Arial" w:cs="Arial"/>
        </w:rPr>
        <w:t xml:space="preserve">lower </w:t>
      </w:r>
      <w:r w:rsidRPr="00137A0F">
        <w:rPr>
          <w:rFonts w:ascii="Arial" w:hAnsi="Arial" w:cs="Arial"/>
        </w:rPr>
        <w:t>operating profit</w:t>
      </w:r>
      <w:r w:rsidR="009C5719">
        <w:rPr>
          <w:rFonts w:ascii="Arial" w:hAnsi="Arial" w:cs="Arial"/>
        </w:rPr>
        <w:t>,</w:t>
      </w:r>
      <w:r w:rsidR="007D3725">
        <w:rPr>
          <w:rFonts w:ascii="Arial" w:hAnsi="Arial" w:cs="Arial"/>
        </w:rPr>
        <w:t xml:space="preserve"> </w:t>
      </w:r>
      <w:r w:rsidR="001976B0">
        <w:rPr>
          <w:rFonts w:ascii="Arial" w:hAnsi="Arial" w:cs="Arial"/>
        </w:rPr>
        <w:t xml:space="preserve">including </w:t>
      </w:r>
      <w:r w:rsidR="00B71FE9">
        <w:rPr>
          <w:rFonts w:ascii="Arial" w:hAnsi="Arial" w:cs="Arial"/>
        </w:rPr>
        <w:t xml:space="preserve">the impact of </w:t>
      </w:r>
      <w:r w:rsidR="007D3725">
        <w:rPr>
          <w:rFonts w:ascii="Arial" w:hAnsi="Arial" w:cs="Arial"/>
        </w:rPr>
        <w:t>impairments</w:t>
      </w:r>
      <w:bookmarkEnd w:id="5"/>
      <w:r w:rsidR="00D77579">
        <w:rPr>
          <w:rFonts w:ascii="Arial" w:hAnsi="Arial" w:cs="Arial"/>
        </w:rPr>
        <w:t xml:space="preserve"> </w:t>
      </w:r>
      <w:r w:rsidR="00D77579" w:rsidRPr="00D77579">
        <w:rPr>
          <w:rFonts w:ascii="Arial" w:hAnsi="Arial" w:cs="Arial"/>
        </w:rPr>
        <w:t>following significant increases in discount rates and revised future projections</w:t>
      </w:r>
    </w:p>
    <w:p w14:paraId="339C7E6E" w14:textId="131A8688" w:rsidR="00C52B32" w:rsidRPr="00137A0F" w:rsidRDefault="00C52B32" w:rsidP="00C52B32">
      <w:pPr>
        <w:pStyle w:val="ListParagraph"/>
        <w:numPr>
          <w:ilvl w:val="0"/>
          <w:numId w:val="2"/>
        </w:numPr>
        <w:jc w:val="left"/>
        <w:rPr>
          <w:rFonts w:ascii="Arial" w:hAnsi="Arial" w:cs="Arial"/>
        </w:rPr>
      </w:pPr>
      <w:r w:rsidRPr="00137A0F">
        <w:rPr>
          <w:rFonts w:ascii="Arial" w:hAnsi="Arial" w:cs="Arial"/>
          <w:b/>
        </w:rPr>
        <w:t>Adjusted pre-tax profit</w:t>
      </w:r>
      <w:r w:rsidRPr="00137A0F">
        <w:rPr>
          <w:rFonts w:ascii="Arial" w:hAnsi="Arial" w:cs="Arial"/>
        </w:rPr>
        <w:t xml:space="preserve"> </w:t>
      </w:r>
      <w:r w:rsidR="007A0590" w:rsidRPr="00137A0F">
        <w:rPr>
          <w:rFonts w:ascii="Arial" w:hAnsi="Arial" w:cs="Arial"/>
        </w:rPr>
        <w:t xml:space="preserve">down </w:t>
      </w:r>
      <w:r w:rsidR="00166700" w:rsidRPr="00137A0F">
        <w:rPr>
          <w:rFonts w:ascii="Arial" w:hAnsi="Arial" w:cs="Arial"/>
        </w:rPr>
        <w:t>20.</w:t>
      </w:r>
      <w:r w:rsidR="00B63ED4">
        <w:rPr>
          <w:rFonts w:ascii="Arial" w:hAnsi="Arial" w:cs="Arial"/>
        </w:rPr>
        <w:t>2</w:t>
      </w:r>
      <w:r w:rsidRPr="00137A0F">
        <w:rPr>
          <w:rFonts w:ascii="Arial" w:hAnsi="Arial" w:cs="Arial"/>
        </w:rPr>
        <w:t>%</w:t>
      </w:r>
      <w:r w:rsidR="00FD2044" w:rsidRPr="00137A0F">
        <w:rPr>
          <w:rFonts w:ascii="Arial" w:hAnsi="Arial" w:cs="Arial"/>
        </w:rPr>
        <w:t xml:space="preserve"> </w:t>
      </w:r>
      <w:r w:rsidR="00FD2044" w:rsidRPr="00137A0F">
        <w:rPr>
          <w:rFonts w:ascii="Arial" w:hAnsi="Arial" w:cs="Arial"/>
          <w:bCs/>
        </w:rPr>
        <w:t>to £</w:t>
      </w:r>
      <w:r w:rsidR="00303374" w:rsidRPr="00137A0F">
        <w:rPr>
          <w:rFonts w:ascii="Arial" w:hAnsi="Arial" w:cs="Arial"/>
          <w:bCs/>
        </w:rPr>
        <w:t xml:space="preserve">758m </w:t>
      </w:r>
      <w:r w:rsidR="00FD2044" w:rsidRPr="00137A0F">
        <w:rPr>
          <w:rFonts w:ascii="Arial" w:hAnsi="Arial" w:cs="Arial"/>
          <w:bCs/>
        </w:rPr>
        <w:t>(</w:t>
      </w:r>
      <w:r w:rsidR="00BC3A19" w:rsidRPr="00137A0F">
        <w:rPr>
          <w:rFonts w:ascii="Arial" w:hAnsi="Arial" w:cs="Arial"/>
          <w:bCs/>
        </w:rPr>
        <w:t xml:space="preserve">FY </w:t>
      </w:r>
      <w:r w:rsidR="00FD2044" w:rsidRPr="00137A0F">
        <w:rPr>
          <w:rFonts w:ascii="Arial" w:hAnsi="Arial" w:cs="Arial"/>
          <w:bCs/>
        </w:rPr>
        <w:t>21/22: £</w:t>
      </w:r>
      <w:r w:rsidR="00BC3A19" w:rsidRPr="00137A0F">
        <w:rPr>
          <w:rFonts w:ascii="Arial" w:hAnsi="Arial" w:cs="Arial"/>
          <w:bCs/>
        </w:rPr>
        <w:t>949m</w:t>
      </w:r>
      <w:r w:rsidR="00FD2044" w:rsidRPr="00137A0F">
        <w:rPr>
          <w:rFonts w:ascii="Arial" w:hAnsi="Arial" w:cs="Arial"/>
          <w:bCs/>
        </w:rPr>
        <w:t xml:space="preserve">; </w:t>
      </w:r>
      <w:r w:rsidR="0012037E" w:rsidRPr="00137A0F">
        <w:rPr>
          <w:rFonts w:ascii="Arial" w:hAnsi="Arial" w:cs="Arial"/>
          <w:bCs/>
        </w:rPr>
        <w:t xml:space="preserve">FY </w:t>
      </w:r>
      <w:r w:rsidR="00FD2044" w:rsidRPr="00137A0F">
        <w:rPr>
          <w:rFonts w:ascii="Arial" w:hAnsi="Arial" w:cs="Arial"/>
          <w:bCs/>
        </w:rPr>
        <w:t>19/20: £</w:t>
      </w:r>
      <w:r w:rsidR="0012037E" w:rsidRPr="00137A0F">
        <w:rPr>
          <w:rFonts w:ascii="Arial" w:hAnsi="Arial" w:cs="Arial"/>
          <w:bCs/>
        </w:rPr>
        <w:t>544m</w:t>
      </w:r>
      <w:r w:rsidR="00FD2044" w:rsidRPr="00137A0F">
        <w:rPr>
          <w:rFonts w:ascii="Arial" w:hAnsi="Arial" w:cs="Arial"/>
          <w:bCs/>
        </w:rPr>
        <w:t>)</w:t>
      </w:r>
      <w:r w:rsidRPr="00137A0F">
        <w:rPr>
          <w:rFonts w:ascii="Arial" w:hAnsi="Arial" w:cs="Arial"/>
        </w:rPr>
        <w:t xml:space="preserve">, reflecting </w:t>
      </w:r>
      <w:r w:rsidR="00F43868" w:rsidRPr="00137A0F">
        <w:rPr>
          <w:rFonts w:ascii="Arial" w:hAnsi="Arial" w:cs="Arial"/>
        </w:rPr>
        <w:t xml:space="preserve">lower </w:t>
      </w:r>
      <w:r w:rsidRPr="00137A0F">
        <w:rPr>
          <w:rFonts w:ascii="Arial" w:hAnsi="Arial" w:cs="Arial"/>
        </w:rPr>
        <w:t>retail profit</w:t>
      </w:r>
      <w:r w:rsidR="00F43868" w:rsidRPr="00137A0F">
        <w:rPr>
          <w:rFonts w:ascii="Arial" w:hAnsi="Arial" w:cs="Arial"/>
        </w:rPr>
        <w:t xml:space="preserve">, partially offset by </w:t>
      </w:r>
      <w:r w:rsidRPr="00137A0F">
        <w:rPr>
          <w:rFonts w:ascii="Arial" w:hAnsi="Arial" w:cs="Arial"/>
        </w:rPr>
        <w:t>lower finance costs</w:t>
      </w:r>
    </w:p>
    <w:p w14:paraId="6164A65B" w14:textId="710865F3" w:rsidR="00CE31A3" w:rsidRPr="00137A0F" w:rsidRDefault="00C52B32" w:rsidP="00C52B32">
      <w:pPr>
        <w:pStyle w:val="ListParagraph"/>
        <w:numPr>
          <w:ilvl w:val="0"/>
          <w:numId w:val="2"/>
        </w:numPr>
        <w:jc w:val="left"/>
        <w:rPr>
          <w:rFonts w:ascii="Arial" w:hAnsi="Arial" w:cs="Arial"/>
        </w:rPr>
      </w:pPr>
      <w:r w:rsidRPr="00137A0F">
        <w:rPr>
          <w:rFonts w:ascii="Arial" w:hAnsi="Arial" w:cs="Arial"/>
          <w:b/>
          <w:bCs/>
        </w:rPr>
        <w:t xml:space="preserve">Free cash flow </w:t>
      </w:r>
      <w:r w:rsidRPr="00137A0F">
        <w:rPr>
          <w:rFonts w:ascii="Arial" w:hAnsi="Arial" w:cs="Arial"/>
        </w:rPr>
        <w:t>of £</w:t>
      </w:r>
      <w:r w:rsidR="00303374" w:rsidRPr="00137A0F">
        <w:rPr>
          <w:rFonts w:ascii="Arial" w:hAnsi="Arial" w:cs="Arial"/>
        </w:rPr>
        <w:t>(4</w:t>
      </w:r>
      <w:r w:rsidR="0027631A">
        <w:rPr>
          <w:rFonts w:ascii="Arial" w:hAnsi="Arial" w:cs="Arial"/>
        </w:rPr>
        <w:t>0</w:t>
      </w:r>
      <w:r w:rsidR="00303374" w:rsidRPr="00137A0F">
        <w:rPr>
          <w:rFonts w:ascii="Arial" w:hAnsi="Arial" w:cs="Arial"/>
        </w:rPr>
        <w:t>)m</w:t>
      </w:r>
      <w:r w:rsidRPr="00137A0F">
        <w:rPr>
          <w:rFonts w:ascii="Arial" w:hAnsi="Arial" w:cs="Arial"/>
        </w:rPr>
        <w:t xml:space="preserve">, down </w:t>
      </w:r>
      <w:r w:rsidR="00303374" w:rsidRPr="00137A0F">
        <w:rPr>
          <w:rFonts w:ascii="Arial" w:hAnsi="Arial" w:cs="Arial"/>
        </w:rPr>
        <w:t>£</w:t>
      </w:r>
      <w:r w:rsidR="005B26DE" w:rsidRPr="00137A0F">
        <w:rPr>
          <w:rFonts w:ascii="Arial" w:hAnsi="Arial" w:cs="Arial"/>
        </w:rPr>
        <w:t>42</w:t>
      </w:r>
      <w:r w:rsidR="00631016">
        <w:rPr>
          <w:rFonts w:ascii="Arial" w:hAnsi="Arial" w:cs="Arial"/>
        </w:rPr>
        <w:t>5</w:t>
      </w:r>
      <w:r w:rsidR="005B26DE" w:rsidRPr="00137A0F">
        <w:rPr>
          <w:rFonts w:ascii="Arial" w:hAnsi="Arial" w:cs="Arial"/>
        </w:rPr>
        <w:t>m</w:t>
      </w:r>
      <w:r w:rsidRPr="00137A0F">
        <w:rPr>
          <w:rFonts w:ascii="Arial" w:hAnsi="Arial" w:cs="Arial"/>
          <w:bCs/>
        </w:rPr>
        <w:t xml:space="preserve"> (</w:t>
      </w:r>
      <w:r w:rsidR="0012037E" w:rsidRPr="00137A0F">
        <w:rPr>
          <w:rFonts w:ascii="Arial" w:hAnsi="Arial" w:cs="Arial"/>
          <w:bCs/>
        </w:rPr>
        <w:t xml:space="preserve">FY </w:t>
      </w:r>
      <w:r w:rsidRPr="00137A0F">
        <w:rPr>
          <w:rFonts w:ascii="Arial" w:hAnsi="Arial" w:cs="Arial"/>
          <w:bCs/>
        </w:rPr>
        <w:t>2</w:t>
      </w:r>
      <w:r w:rsidR="00EF76A9" w:rsidRPr="00137A0F">
        <w:rPr>
          <w:rFonts w:ascii="Arial" w:hAnsi="Arial" w:cs="Arial"/>
          <w:bCs/>
        </w:rPr>
        <w:t>1</w:t>
      </w:r>
      <w:r w:rsidRPr="00137A0F">
        <w:rPr>
          <w:rFonts w:ascii="Arial" w:hAnsi="Arial" w:cs="Arial"/>
          <w:bCs/>
        </w:rPr>
        <w:t>/2</w:t>
      </w:r>
      <w:r w:rsidR="00EF76A9" w:rsidRPr="00137A0F">
        <w:rPr>
          <w:rFonts w:ascii="Arial" w:hAnsi="Arial" w:cs="Arial"/>
          <w:bCs/>
        </w:rPr>
        <w:t>2</w:t>
      </w:r>
      <w:r w:rsidRPr="00137A0F">
        <w:rPr>
          <w:rFonts w:ascii="Arial" w:hAnsi="Arial" w:cs="Arial"/>
          <w:bCs/>
        </w:rPr>
        <w:t>: £</w:t>
      </w:r>
      <w:r w:rsidR="00597FD7" w:rsidRPr="00137A0F">
        <w:rPr>
          <w:rFonts w:ascii="Arial" w:hAnsi="Arial" w:cs="Arial"/>
          <w:bCs/>
        </w:rPr>
        <w:t>385m</w:t>
      </w:r>
      <w:r w:rsidRPr="00137A0F">
        <w:rPr>
          <w:rFonts w:ascii="Arial" w:hAnsi="Arial" w:cs="Arial"/>
          <w:bCs/>
        </w:rPr>
        <w:t xml:space="preserve">; </w:t>
      </w:r>
      <w:r w:rsidR="00597FD7" w:rsidRPr="00137A0F">
        <w:rPr>
          <w:rFonts w:ascii="Arial" w:hAnsi="Arial" w:cs="Arial"/>
          <w:bCs/>
        </w:rPr>
        <w:t xml:space="preserve">FY </w:t>
      </w:r>
      <w:r w:rsidRPr="00137A0F">
        <w:rPr>
          <w:rFonts w:ascii="Arial" w:hAnsi="Arial" w:cs="Arial"/>
          <w:bCs/>
        </w:rPr>
        <w:t>19/20: £</w:t>
      </w:r>
      <w:r w:rsidR="00597FD7" w:rsidRPr="00137A0F">
        <w:rPr>
          <w:rFonts w:ascii="Arial" w:hAnsi="Arial" w:cs="Arial"/>
          <w:bCs/>
        </w:rPr>
        <w:t>191m</w:t>
      </w:r>
      <w:r w:rsidRPr="00137A0F">
        <w:rPr>
          <w:rFonts w:ascii="Arial" w:hAnsi="Arial" w:cs="Arial"/>
          <w:bCs/>
        </w:rPr>
        <w:t>)</w:t>
      </w:r>
      <w:r w:rsidRPr="00137A0F">
        <w:rPr>
          <w:rFonts w:ascii="Arial" w:hAnsi="Arial" w:cs="Arial"/>
        </w:rPr>
        <w:t xml:space="preserve">, reflecting </w:t>
      </w:r>
      <w:r w:rsidR="00A13FB4" w:rsidRPr="00137A0F">
        <w:rPr>
          <w:rFonts w:ascii="Arial" w:hAnsi="Arial" w:cs="Arial"/>
        </w:rPr>
        <w:t>lower EBITDA</w:t>
      </w:r>
      <w:r w:rsidR="00794C70" w:rsidRPr="00137A0F">
        <w:rPr>
          <w:rFonts w:ascii="Arial" w:hAnsi="Arial" w:cs="Arial"/>
        </w:rPr>
        <w:t>*</w:t>
      </w:r>
      <w:r w:rsidR="00A13FB4" w:rsidRPr="00137A0F">
        <w:rPr>
          <w:rFonts w:ascii="Arial" w:hAnsi="Arial" w:cs="Arial"/>
        </w:rPr>
        <w:t xml:space="preserve"> and </w:t>
      </w:r>
      <w:r w:rsidR="00930D32">
        <w:rPr>
          <w:rFonts w:ascii="Arial" w:hAnsi="Arial" w:cs="Arial"/>
        </w:rPr>
        <w:t>one-</w:t>
      </w:r>
      <w:r w:rsidR="00321C3B">
        <w:rPr>
          <w:rFonts w:ascii="Arial" w:hAnsi="Arial" w:cs="Arial"/>
        </w:rPr>
        <w:t xml:space="preserve">off </w:t>
      </w:r>
      <w:r w:rsidRPr="00137A0F">
        <w:rPr>
          <w:rFonts w:ascii="Arial" w:hAnsi="Arial" w:cs="Arial"/>
        </w:rPr>
        <w:t xml:space="preserve">working capital </w:t>
      </w:r>
      <w:r w:rsidR="008A0DA9" w:rsidRPr="00137A0F">
        <w:rPr>
          <w:rFonts w:ascii="Arial" w:hAnsi="Arial" w:cs="Arial"/>
        </w:rPr>
        <w:t>out</w:t>
      </w:r>
      <w:r w:rsidRPr="00137A0F">
        <w:rPr>
          <w:rFonts w:ascii="Arial" w:hAnsi="Arial" w:cs="Arial"/>
        </w:rPr>
        <w:t xml:space="preserve">flow </w:t>
      </w:r>
      <w:r w:rsidR="00367D49">
        <w:rPr>
          <w:rFonts w:ascii="Arial" w:hAnsi="Arial" w:cs="Arial"/>
        </w:rPr>
        <w:t>from</w:t>
      </w:r>
      <w:r w:rsidR="00B901C4" w:rsidRPr="00137A0F">
        <w:rPr>
          <w:rFonts w:ascii="Arial" w:hAnsi="Arial" w:cs="Arial"/>
        </w:rPr>
        <w:t xml:space="preserve"> completion of inventory rebuild programme</w:t>
      </w:r>
    </w:p>
    <w:p w14:paraId="15AB131C" w14:textId="6A3BFE1B" w:rsidR="00C52B32" w:rsidRPr="00137A0F" w:rsidRDefault="00CE31A3" w:rsidP="00C52B32">
      <w:pPr>
        <w:pStyle w:val="ListParagraph"/>
        <w:numPr>
          <w:ilvl w:val="0"/>
          <w:numId w:val="2"/>
        </w:numPr>
        <w:jc w:val="left"/>
        <w:rPr>
          <w:rFonts w:ascii="Arial" w:hAnsi="Arial" w:cs="Arial"/>
        </w:rPr>
      </w:pPr>
      <w:r w:rsidRPr="00137A0F">
        <w:rPr>
          <w:rFonts w:ascii="Arial" w:hAnsi="Arial" w:cs="Arial"/>
          <w:b/>
          <w:bCs/>
        </w:rPr>
        <w:t>Net decrease in cash</w:t>
      </w:r>
      <w:r w:rsidRPr="00137A0F">
        <w:rPr>
          <w:rFonts w:ascii="Arial" w:hAnsi="Arial" w:cs="Arial"/>
        </w:rPr>
        <w:t xml:space="preserve"> of £</w:t>
      </w:r>
      <w:r w:rsidR="00E918D2" w:rsidRPr="00137A0F">
        <w:rPr>
          <w:rFonts w:ascii="Arial" w:hAnsi="Arial" w:cs="Arial"/>
        </w:rPr>
        <w:t xml:space="preserve">555m </w:t>
      </w:r>
      <w:r w:rsidRPr="00137A0F">
        <w:rPr>
          <w:rFonts w:ascii="Arial" w:hAnsi="Arial" w:cs="Arial"/>
          <w:bCs/>
        </w:rPr>
        <w:t>(</w:t>
      </w:r>
      <w:r w:rsidR="00597FD7" w:rsidRPr="00137A0F">
        <w:rPr>
          <w:rFonts w:ascii="Arial" w:hAnsi="Arial" w:cs="Arial"/>
          <w:bCs/>
        </w:rPr>
        <w:t xml:space="preserve">FY </w:t>
      </w:r>
      <w:r w:rsidRPr="00137A0F">
        <w:rPr>
          <w:rFonts w:ascii="Arial" w:hAnsi="Arial" w:cs="Arial"/>
          <w:bCs/>
        </w:rPr>
        <w:t>2</w:t>
      </w:r>
      <w:r w:rsidR="0068211F" w:rsidRPr="00137A0F">
        <w:rPr>
          <w:rFonts w:ascii="Arial" w:hAnsi="Arial" w:cs="Arial"/>
          <w:bCs/>
        </w:rPr>
        <w:t>1</w:t>
      </w:r>
      <w:r w:rsidRPr="00137A0F">
        <w:rPr>
          <w:rFonts w:ascii="Arial" w:hAnsi="Arial" w:cs="Arial"/>
          <w:bCs/>
        </w:rPr>
        <w:t>/2</w:t>
      </w:r>
      <w:r w:rsidR="0068211F" w:rsidRPr="00137A0F">
        <w:rPr>
          <w:rFonts w:ascii="Arial" w:hAnsi="Arial" w:cs="Arial"/>
          <w:bCs/>
        </w:rPr>
        <w:t>2</w:t>
      </w:r>
      <w:r w:rsidRPr="00137A0F">
        <w:rPr>
          <w:rFonts w:ascii="Arial" w:hAnsi="Arial" w:cs="Arial"/>
          <w:bCs/>
        </w:rPr>
        <w:t>: £</w:t>
      </w:r>
      <w:r w:rsidR="00357EE9" w:rsidRPr="00137A0F">
        <w:rPr>
          <w:rFonts w:ascii="Arial" w:hAnsi="Arial" w:cs="Arial"/>
          <w:bCs/>
        </w:rPr>
        <w:t>237m</w:t>
      </w:r>
      <w:r w:rsidRPr="00137A0F">
        <w:rPr>
          <w:rFonts w:ascii="Arial" w:hAnsi="Arial" w:cs="Arial"/>
          <w:bCs/>
        </w:rPr>
        <w:t xml:space="preserve">), largely reflecting lower free cash flow, and </w:t>
      </w:r>
      <w:r w:rsidR="00AA3DD2" w:rsidRPr="00137A0F">
        <w:rPr>
          <w:rFonts w:ascii="Arial" w:hAnsi="Arial" w:cs="Arial"/>
          <w:bCs/>
        </w:rPr>
        <w:t>£</w:t>
      </w:r>
      <w:r w:rsidR="005E44EE" w:rsidRPr="00137A0F">
        <w:rPr>
          <w:rFonts w:ascii="Arial" w:hAnsi="Arial" w:cs="Arial"/>
          <w:bCs/>
        </w:rPr>
        <w:t>58</w:t>
      </w:r>
      <w:r w:rsidR="007E5C58">
        <w:rPr>
          <w:rFonts w:ascii="Arial" w:hAnsi="Arial" w:cs="Arial"/>
          <w:bCs/>
        </w:rPr>
        <w:t>3</w:t>
      </w:r>
      <w:r w:rsidR="005E44EE" w:rsidRPr="00137A0F">
        <w:rPr>
          <w:rFonts w:ascii="Arial" w:hAnsi="Arial" w:cs="Arial"/>
          <w:bCs/>
        </w:rPr>
        <w:t xml:space="preserve">m </w:t>
      </w:r>
      <w:r w:rsidR="00AA3DD2" w:rsidRPr="00137A0F">
        <w:rPr>
          <w:rFonts w:ascii="Arial" w:hAnsi="Arial" w:cs="Arial"/>
          <w:bCs/>
        </w:rPr>
        <w:t xml:space="preserve">of </w:t>
      </w:r>
      <w:r w:rsidRPr="00137A0F">
        <w:rPr>
          <w:rFonts w:ascii="Arial" w:hAnsi="Arial" w:cs="Arial"/>
          <w:bCs/>
        </w:rPr>
        <w:t>outflows in relation to ordinary dividends and share buybacks</w:t>
      </w:r>
    </w:p>
    <w:p w14:paraId="282E7770" w14:textId="2A9E7769" w:rsidR="0003682D" w:rsidRPr="00BF4F91" w:rsidRDefault="00D84F17" w:rsidP="009258A9">
      <w:pPr>
        <w:pStyle w:val="ListParagraph"/>
        <w:numPr>
          <w:ilvl w:val="0"/>
          <w:numId w:val="2"/>
        </w:numPr>
        <w:jc w:val="left"/>
        <w:rPr>
          <w:rFonts w:ascii="Arial" w:hAnsi="Arial" w:cs="Arial"/>
        </w:rPr>
      </w:pPr>
      <w:r w:rsidRPr="00137A0F">
        <w:rPr>
          <w:rFonts w:ascii="Arial" w:hAnsi="Arial" w:cs="Arial"/>
          <w:b/>
          <w:bCs/>
        </w:rPr>
        <w:t xml:space="preserve">Net debt </w:t>
      </w:r>
      <w:r w:rsidR="00573FB9" w:rsidRPr="00137A0F">
        <w:rPr>
          <w:rFonts w:ascii="Arial" w:hAnsi="Arial" w:cs="Arial"/>
        </w:rPr>
        <w:t xml:space="preserve">up to </w:t>
      </w:r>
      <w:r w:rsidRPr="00137A0F">
        <w:rPr>
          <w:rFonts w:ascii="Arial" w:hAnsi="Arial" w:cs="Arial"/>
        </w:rPr>
        <w:t>£</w:t>
      </w:r>
      <w:r w:rsidR="00530F41" w:rsidRPr="00137A0F">
        <w:rPr>
          <w:rFonts w:ascii="Arial" w:hAnsi="Arial" w:cs="Arial"/>
        </w:rPr>
        <w:t>2,2</w:t>
      </w:r>
      <w:r w:rsidR="004E75A4" w:rsidRPr="00137A0F">
        <w:rPr>
          <w:rFonts w:ascii="Arial" w:hAnsi="Arial" w:cs="Arial"/>
        </w:rPr>
        <w:t>7</w:t>
      </w:r>
      <w:r w:rsidR="00CD5D30">
        <w:rPr>
          <w:rFonts w:ascii="Arial" w:hAnsi="Arial" w:cs="Arial"/>
        </w:rPr>
        <w:t>4</w:t>
      </w:r>
      <w:r w:rsidR="006F2B88" w:rsidRPr="00137A0F">
        <w:rPr>
          <w:rFonts w:ascii="Arial" w:hAnsi="Arial" w:cs="Arial"/>
        </w:rPr>
        <w:t>m (</w:t>
      </w:r>
      <w:r w:rsidR="006A4B84" w:rsidRPr="00137A0F">
        <w:rPr>
          <w:rFonts w:ascii="Arial" w:hAnsi="Arial" w:cs="Arial"/>
        </w:rPr>
        <w:t xml:space="preserve">31 January </w:t>
      </w:r>
      <w:r w:rsidR="00AB1F7F" w:rsidRPr="00137A0F">
        <w:rPr>
          <w:rFonts w:ascii="Arial" w:hAnsi="Arial" w:cs="Arial"/>
        </w:rPr>
        <w:t xml:space="preserve">2022: </w:t>
      </w:r>
      <w:r w:rsidR="006F2B88" w:rsidRPr="00137A0F">
        <w:rPr>
          <w:rFonts w:ascii="Arial" w:hAnsi="Arial" w:cs="Arial"/>
        </w:rPr>
        <w:t>£</w:t>
      </w:r>
      <w:r w:rsidR="004E75A4" w:rsidRPr="00137A0F">
        <w:rPr>
          <w:rFonts w:ascii="Arial" w:hAnsi="Arial" w:cs="Arial"/>
        </w:rPr>
        <w:t>1,572</w:t>
      </w:r>
      <w:r w:rsidR="006F2B88" w:rsidRPr="00137A0F">
        <w:rPr>
          <w:rFonts w:ascii="Arial" w:hAnsi="Arial" w:cs="Arial"/>
        </w:rPr>
        <w:t>m)</w:t>
      </w:r>
      <w:r w:rsidR="00BB70C0" w:rsidRPr="00137A0F">
        <w:rPr>
          <w:rFonts w:ascii="Arial" w:hAnsi="Arial" w:cs="Arial"/>
        </w:rPr>
        <w:t xml:space="preserve">, </w:t>
      </w:r>
      <w:r w:rsidR="00DE1B9D" w:rsidRPr="00137A0F">
        <w:rPr>
          <w:rFonts w:ascii="Arial" w:hAnsi="Arial" w:cs="Arial"/>
        </w:rPr>
        <w:t>including £2,44</w:t>
      </w:r>
      <w:r w:rsidR="00A2541B">
        <w:rPr>
          <w:rFonts w:ascii="Arial" w:hAnsi="Arial" w:cs="Arial"/>
        </w:rPr>
        <w:t>4</w:t>
      </w:r>
      <w:r w:rsidR="00DE1B9D" w:rsidRPr="00137A0F">
        <w:rPr>
          <w:rFonts w:ascii="Arial" w:hAnsi="Arial" w:cs="Arial"/>
        </w:rPr>
        <w:t>m of lease liabilities under IFRS 16</w:t>
      </w:r>
      <w:r w:rsidR="0046075B" w:rsidRPr="00137A0F">
        <w:rPr>
          <w:rFonts w:ascii="Arial" w:hAnsi="Arial" w:cs="Arial"/>
        </w:rPr>
        <w:t>,</w:t>
      </w:r>
      <w:r w:rsidR="00DE1B9D" w:rsidRPr="00137A0F">
        <w:rPr>
          <w:rFonts w:ascii="Arial" w:hAnsi="Arial" w:cs="Arial"/>
        </w:rPr>
        <w:t xml:space="preserve"> </w:t>
      </w:r>
      <w:r w:rsidR="00BB70C0" w:rsidRPr="00137A0F">
        <w:rPr>
          <w:rFonts w:ascii="Arial" w:hAnsi="Arial" w:cs="Arial"/>
        </w:rPr>
        <w:t xml:space="preserve">reflecting </w:t>
      </w:r>
      <w:r w:rsidR="00921855" w:rsidRPr="00137A0F">
        <w:rPr>
          <w:rFonts w:ascii="Arial" w:hAnsi="Arial" w:cs="Arial"/>
        </w:rPr>
        <w:t xml:space="preserve">the </w:t>
      </w:r>
      <w:r w:rsidR="008D34A7" w:rsidRPr="00137A0F">
        <w:rPr>
          <w:rFonts w:ascii="Arial" w:hAnsi="Arial" w:cs="Arial"/>
        </w:rPr>
        <w:t xml:space="preserve">net </w:t>
      </w:r>
      <w:r w:rsidR="00BB70C0" w:rsidRPr="00137A0F">
        <w:rPr>
          <w:rFonts w:ascii="Arial" w:hAnsi="Arial" w:cs="Arial"/>
        </w:rPr>
        <w:t>de</w:t>
      </w:r>
      <w:r w:rsidR="00793B4E" w:rsidRPr="00137A0F">
        <w:rPr>
          <w:rFonts w:ascii="Arial" w:hAnsi="Arial" w:cs="Arial"/>
        </w:rPr>
        <w:t>crease in cash</w:t>
      </w:r>
      <w:r w:rsidR="009258A9">
        <w:rPr>
          <w:rFonts w:ascii="Arial" w:hAnsi="Arial" w:cs="Arial"/>
        </w:rPr>
        <w:t xml:space="preserve">. </w:t>
      </w:r>
      <w:r w:rsidR="0003682D" w:rsidRPr="00BF4F91">
        <w:rPr>
          <w:rFonts w:ascii="Arial" w:hAnsi="Arial" w:cs="Arial"/>
          <w:b/>
        </w:rPr>
        <w:t>Net debt to EBITDA</w:t>
      </w:r>
      <w:r w:rsidR="0003682D" w:rsidRPr="00BF4F91">
        <w:rPr>
          <w:rFonts w:ascii="Arial" w:hAnsi="Arial" w:cs="Arial"/>
          <w:bCs/>
        </w:rPr>
        <w:t xml:space="preserve"> of </w:t>
      </w:r>
      <w:r w:rsidR="00137A0F" w:rsidRPr="00BF4F91">
        <w:rPr>
          <w:rFonts w:ascii="Arial" w:hAnsi="Arial" w:cs="Arial"/>
          <w:bCs/>
        </w:rPr>
        <w:t>1.6</w:t>
      </w:r>
      <w:r w:rsidR="0003682D" w:rsidRPr="00BF4F91">
        <w:rPr>
          <w:rFonts w:ascii="Arial" w:hAnsi="Arial" w:cs="Arial"/>
          <w:bCs/>
        </w:rPr>
        <w:t>x (31 January 2022</w:t>
      </w:r>
      <w:r w:rsidR="00AB1F7F" w:rsidRPr="00BF4F91">
        <w:rPr>
          <w:rFonts w:ascii="Arial" w:hAnsi="Arial" w:cs="Arial"/>
          <w:bCs/>
        </w:rPr>
        <w:t>: 1.0x</w:t>
      </w:r>
      <w:r w:rsidR="0003682D" w:rsidRPr="00BF4F91">
        <w:rPr>
          <w:rFonts w:ascii="Arial" w:hAnsi="Arial" w:cs="Arial"/>
          <w:bCs/>
        </w:rPr>
        <w:t>)</w:t>
      </w:r>
    </w:p>
    <w:p w14:paraId="1E748EFF" w14:textId="45880EEC" w:rsidR="00CE0801" w:rsidRPr="00137A0F" w:rsidRDefault="007C1D38" w:rsidP="00C52B32">
      <w:pPr>
        <w:pStyle w:val="ListParagraph"/>
        <w:numPr>
          <w:ilvl w:val="0"/>
          <w:numId w:val="2"/>
        </w:numPr>
        <w:jc w:val="left"/>
        <w:rPr>
          <w:rFonts w:ascii="Arial" w:hAnsi="Arial" w:cs="Arial"/>
        </w:rPr>
      </w:pPr>
      <w:r w:rsidRPr="00137A0F">
        <w:rPr>
          <w:rFonts w:ascii="Arial" w:hAnsi="Arial"/>
          <w:b/>
          <w:bCs/>
        </w:rPr>
        <w:t xml:space="preserve">Total </w:t>
      </w:r>
      <w:r w:rsidR="00CE0801" w:rsidRPr="00137A0F">
        <w:rPr>
          <w:rFonts w:ascii="Arial" w:hAnsi="Arial"/>
          <w:b/>
          <w:bCs/>
        </w:rPr>
        <w:t>dividend</w:t>
      </w:r>
      <w:r w:rsidR="00CE0801" w:rsidRPr="00137A0F">
        <w:rPr>
          <w:rFonts w:ascii="Arial" w:hAnsi="Arial"/>
        </w:rPr>
        <w:t xml:space="preserve"> per share </w:t>
      </w:r>
      <w:r w:rsidR="004B302D" w:rsidRPr="00137A0F">
        <w:rPr>
          <w:rFonts w:ascii="Arial" w:hAnsi="Arial"/>
        </w:rPr>
        <w:t xml:space="preserve">proposed </w:t>
      </w:r>
      <w:r w:rsidR="00CE0801" w:rsidRPr="00137A0F">
        <w:rPr>
          <w:rFonts w:ascii="Arial" w:hAnsi="Arial"/>
        </w:rPr>
        <w:t xml:space="preserve">of </w:t>
      </w:r>
      <w:r w:rsidR="004B302D" w:rsidRPr="00137A0F">
        <w:rPr>
          <w:rFonts w:ascii="Arial" w:hAnsi="Arial"/>
        </w:rPr>
        <w:t>12</w:t>
      </w:r>
      <w:r w:rsidR="00CE0801" w:rsidRPr="00137A0F">
        <w:rPr>
          <w:rFonts w:ascii="Arial" w:hAnsi="Arial"/>
        </w:rPr>
        <w:t>.</w:t>
      </w:r>
      <w:r w:rsidR="004B302D" w:rsidRPr="00137A0F">
        <w:rPr>
          <w:rFonts w:ascii="Arial" w:hAnsi="Arial"/>
        </w:rPr>
        <w:t>4</w:t>
      </w:r>
      <w:r w:rsidR="00CE0801" w:rsidRPr="00137A0F">
        <w:rPr>
          <w:rFonts w:ascii="Arial" w:hAnsi="Arial"/>
        </w:rPr>
        <w:t>0p (FY 21/22</w:t>
      </w:r>
      <w:r w:rsidR="00C1714C" w:rsidRPr="00137A0F">
        <w:rPr>
          <w:rFonts w:ascii="Arial" w:hAnsi="Arial"/>
        </w:rPr>
        <w:t>:</w:t>
      </w:r>
      <w:r w:rsidR="00CE0801" w:rsidRPr="00137A0F">
        <w:rPr>
          <w:rFonts w:ascii="Arial" w:hAnsi="Arial"/>
        </w:rPr>
        <w:t xml:space="preserve"> </w:t>
      </w:r>
      <w:r w:rsidR="00C1714C" w:rsidRPr="00137A0F">
        <w:rPr>
          <w:rFonts w:ascii="Arial" w:hAnsi="Arial"/>
        </w:rPr>
        <w:t>12</w:t>
      </w:r>
      <w:r w:rsidR="00CE0801" w:rsidRPr="00137A0F">
        <w:rPr>
          <w:rFonts w:ascii="Arial" w:hAnsi="Arial"/>
        </w:rPr>
        <w:t>.</w:t>
      </w:r>
      <w:r w:rsidR="00C1714C" w:rsidRPr="00137A0F">
        <w:rPr>
          <w:rFonts w:ascii="Arial" w:hAnsi="Arial"/>
        </w:rPr>
        <w:t>4</w:t>
      </w:r>
      <w:r w:rsidR="00CE0801" w:rsidRPr="00137A0F">
        <w:rPr>
          <w:rFonts w:ascii="Arial" w:hAnsi="Arial"/>
        </w:rPr>
        <w:t>0p)</w:t>
      </w:r>
    </w:p>
    <w:p w14:paraId="25463E16" w14:textId="56468935" w:rsidR="00B97CD8" w:rsidRPr="00EB4495" w:rsidRDefault="00B97CD8" w:rsidP="00A3425D">
      <w:pPr>
        <w:jc w:val="left"/>
        <w:rPr>
          <w:rFonts w:ascii="Arial" w:hAnsi="Arial" w:cs="Arial"/>
        </w:rPr>
      </w:pPr>
      <w:bookmarkStart w:id="6" w:name="_Hlk524456632"/>
      <w:bookmarkStart w:id="7" w:name="_Hlk17919536"/>
    </w:p>
    <w:p w14:paraId="74B3FB77" w14:textId="77777777" w:rsidR="00E06F5F" w:rsidRPr="00EB4495" w:rsidRDefault="00E06F5F" w:rsidP="00E06F5F">
      <w:pPr>
        <w:jc w:val="left"/>
        <w:rPr>
          <w:rFonts w:ascii="Arial" w:hAnsi="Arial" w:cs="Arial"/>
        </w:rPr>
      </w:pPr>
      <w:bookmarkStart w:id="8" w:name="_Hlk524455500"/>
      <w:bookmarkStart w:id="9" w:name="_Hlk96704201"/>
      <w:bookmarkStart w:id="10" w:name="_Hlk96690341"/>
      <w:r w:rsidRPr="00EB4495">
        <w:rPr>
          <w:rFonts w:ascii="Arial" w:hAnsi="Arial" w:cs="Arial"/>
          <w:b/>
          <w:bCs/>
          <w:u w:val="single"/>
        </w:rPr>
        <w:t>Outlook for FY 2</w:t>
      </w:r>
      <w:r>
        <w:rPr>
          <w:rFonts w:ascii="Arial" w:hAnsi="Arial" w:cs="Arial"/>
          <w:b/>
          <w:bCs/>
          <w:u w:val="single"/>
        </w:rPr>
        <w:t>3</w:t>
      </w:r>
      <w:r w:rsidRPr="00EB4495">
        <w:rPr>
          <w:rFonts w:ascii="Arial" w:hAnsi="Arial" w:cs="Arial"/>
          <w:b/>
          <w:bCs/>
          <w:u w:val="single"/>
        </w:rPr>
        <w:t>/2</w:t>
      </w:r>
      <w:r>
        <w:rPr>
          <w:rFonts w:ascii="Arial" w:hAnsi="Arial" w:cs="Arial"/>
          <w:b/>
          <w:bCs/>
          <w:u w:val="single"/>
        </w:rPr>
        <w:t>4</w:t>
      </w:r>
    </w:p>
    <w:p w14:paraId="37C2FA8B" w14:textId="31A077B9" w:rsidR="00E06F5F" w:rsidRPr="005B1D34" w:rsidRDefault="00B664F8" w:rsidP="00E06F5F">
      <w:pPr>
        <w:pStyle w:val="ListParagraph"/>
        <w:numPr>
          <w:ilvl w:val="0"/>
          <w:numId w:val="3"/>
        </w:numPr>
        <w:jc w:val="left"/>
        <w:rPr>
          <w:rFonts w:ascii="Arial" w:hAnsi="Arial" w:cs="Arial"/>
          <w:bCs/>
        </w:rPr>
      </w:pPr>
      <w:r>
        <w:rPr>
          <w:rFonts w:ascii="Arial" w:hAnsi="Arial" w:cs="Arial"/>
          <w:bCs/>
        </w:rPr>
        <w:t>Current trading:</w:t>
      </w:r>
      <w:r w:rsidR="00E06F5F" w:rsidRPr="005B1D34">
        <w:rPr>
          <w:rFonts w:ascii="Arial" w:hAnsi="Arial" w:cs="Arial"/>
          <w:bCs/>
        </w:rPr>
        <w:t xml:space="preserve"> </w:t>
      </w:r>
    </w:p>
    <w:p w14:paraId="4E127924" w14:textId="136FD843" w:rsidR="00E06F5F" w:rsidRPr="005B1D34" w:rsidRDefault="005B1D34" w:rsidP="00E06F5F">
      <w:pPr>
        <w:pStyle w:val="ListParagraph"/>
        <w:numPr>
          <w:ilvl w:val="1"/>
          <w:numId w:val="2"/>
        </w:numPr>
        <w:ind w:left="709"/>
        <w:jc w:val="left"/>
        <w:rPr>
          <w:rFonts w:ascii="Arial" w:hAnsi="Arial" w:cs="Arial"/>
          <w:bCs/>
        </w:rPr>
      </w:pPr>
      <w:r w:rsidRPr="005B1D34">
        <w:rPr>
          <w:rFonts w:ascii="Arial" w:hAnsi="Arial" w:cs="Arial"/>
          <w:bCs/>
        </w:rPr>
        <w:t xml:space="preserve">February </w:t>
      </w:r>
      <w:r w:rsidR="00E06F5F" w:rsidRPr="005B1D34">
        <w:rPr>
          <w:rFonts w:ascii="Arial" w:hAnsi="Arial" w:cs="Arial"/>
          <w:bCs/>
        </w:rPr>
        <w:t>23/24</w:t>
      </w:r>
      <w:r w:rsidR="00C8344E" w:rsidRPr="005B1D34">
        <w:rPr>
          <w:rFonts w:ascii="Arial" w:hAnsi="Arial" w:cs="Arial"/>
          <w:bCs/>
        </w:rPr>
        <w:t xml:space="preserve"> </w:t>
      </w:r>
      <w:r w:rsidR="00CE2086" w:rsidRPr="005B1D34">
        <w:rPr>
          <w:rFonts w:ascii="Arial" w:hAnsi="Arial" w:cs="Arial"/>
          <w:bCs/>
        </w:rPr>
        <w:t xml:space="preserve">total </w:t>
      </w:r>
      <w:r w:rsidR="00E06F5F" w:rsidRPr="005B1D34">
        <w:rPr>
          <w:rFonts w:ascii="Arial" w:hAnsi="Arial" w:cs="Arial"/>
          <w:bCs/>
        </w:rPr>
        <w:t xml:space="preserve">sales </w:t>
      </w:r>
      <w:r w:rsidR="00560A44" w:rsidRPr="005B1D34">
        <w:rPr>
          <w:rFonts w:ascii="Arial" w:hAnsi="Arial" w:cs="Arial"/>
          <w:bCs/>
        </w:rPr>
        <w:t>+</w:t>
      </w:r>
      <w:r w:rsidRPr="005B1D34">
        <w:rPr>
          <w:rFonts w:ascii="Arial" w:hAnsi="Arial"/>
        </w:rPr>
        <w:t>1</w:t>
      </w:r>
      <w:r w:rsidR="00E06F5F" w:rsidRPr="005B1D34">
        <w:rPr>
          <w:rFonts w:ascii="Arial" w:hAnsi="Arial"/>
        </w:rPr>
        <w:t>.</w:t>
      </w:r>
      <w:r w:rsidRPr="005B1D34">
        <w:rPr>
          <w:rFonts w:ascii="Arial" w:hAnsi="Arial"/>
        </w:rPr>
        <w:t>9</w:t>
      </w:r>
      <w:r w:rsidR="00E06F5F" w:rsidRPr="005B1D34">
        <w:rPr>
          <w:rFonts w:ascii="Arial" w:hAnsi="Arial" w:cs="Arial"/>
          <w:bCs/>
        </w:rPr>
        <w:t>%</w:t>
      </w:r>
      <w:r w:rsidR="00C8344E" w:rsidRPr="005B1D34">
        <w:rPr>
          <w:rFonts w:ascii="Arial" w:hAnsi="Arial" w:cs="Arial"/>
          <w:bCs/>
        </w:rPr>
        <w:t xml:space="preserve"> </w:t>
      </w:r>
      <w:r w:rsidR="00CE2086" w:rsidRPr="005B1D34">
        <w:rPr>
          <w:rFonts w:ascii="Arial" w:hAnsi="Arial" w:cs="Arial"/>
          <w:bCs/>
        </w:rPr>
        <w:t>(</w:t>
      </w:r>
      <w:r w:rsidR="00C8344E" w:rsidRPr="005B1D34">
        <w:rPr>
          <w:rFonts w:ascii="Arial" w:hAnsi="Arial" w:cs="Arial"/>
          <w:bCs/>
        </w:rPr>
        <w:t xml:space="preserve">LFL sales </w:t>
      </w:r>
      <w:r w:rsidRPr="005B1D34">
        <w:rPr>
          <w:rFonts w:ascii="Arial" w:hAnsi="Arial" w:cs="Arial"/>
          <w:bCs/>
        </w:rPr>
        <w:t>+0</w:t>
      </w:r>
      <w:r w:rsidR="00CE2086" w:rsidRPr="005B1D34">
        <w:rPr>
          <w:rFonts w:ascii="Arial" w:hAnsi="Arial" w:cs="Arial"/>
          <w:bCs/>
        </w:rPr>
        <w:t>.</w:t>
      </w:r>
      <w:r w:rsidRPr="005B1D34">
        <w:rPr>
          <w:rFonts w:ascii="Arial" w:hAnsi="Arial" w:cs="Arial"/>
          <w:bCs/>
        </w:rPr>
        <w:t>5</w:t>
      </w:r>
      <w:r w:rsidR="00C8344E" w:rsidRPr="005B1D34">
        <w:rPr>
          <w:rFonts w:ascii="Arial" w:hAnsi="Arial" w:cs="Arial"/>
          <w:bCs/>
        </w:rPr>
        <w:t>%</w:t>
      </w:r>
      <w:r w:rsidR="00CE2086" w:rsidRPr="005B1D34">
        <w:rPr>
          <w:rFonts w:ascii="Arial" w:hAnsi="Arial" w:cs="Arial"/>
          <w:bCs/>
        </w:rPr>
        <w:t>)</w:t>
      </w:r>
      <w:r w:rsidR="00CE2086" w:rsidRPr="005B1D34">
        <w:rPr>
          <w:rFonts w:ascii="Arial" w:hAnsi="Arial" w:cs="Arial"/>
          <w:bCs/>
          <w:vertAlign w:val="superscript"/>
        </w:rPr>
        <w:t>(5)</w:t>
      </w:r>
    </w:p>
    <w:p w14:paraId="5EDD18E4" w14:textId="7C9C4BF7" w:rsidR="00E06F5F" w:rsidRDefault="005B1D34" w:rsidP="005B1D34">
      <w:pPr>
        <w:pStyle w:val="ListParagraph"/>
        <w:numPr>
          <w:ilvl w:val="1"/>
          <w:numId w:val="2"/>
        </w:numPr>
        <w:ind w:left="709"/>
        <w:jc w:val="left"/>
        <w:rPr>
          <w:rFonts w:ascii="Arial" w:eastAsiaTheme="minorHAnsi" w:hAnsi="Arial" w:cs="Arial"/>
        </w:rPr>
      </w:pPr>
      <w:r w:rsidRPr="005B1D34">
        <w:rPr>
          <w:rFonts w:ascii="Arial" w:eastAsiaTheme="minorHAnsi" w:hAnsi="Arial" w:cs="Arial"/>
        </w:rPr>
        <w:t xml:space="preserve">Underlying sales trends remain </w:t>
      </w:r>
      <w:r>
        <w:rPr>
          <w:rFonts w:ascii="Arial" w:eastAsiaTheme="minorHAnsi" w:hAnsi="Arial" w:cs="Arial"/>
        </w:rPr>
        <w:t>r</w:t>
      </w:r>
      <w:r w:rsidR="00E06F5F">
        <w:rPr>
          <w:rFonts w:ascii="Arial" w:eastAsiaTheme="minorHAnsi" w:hAnsi="Arial" w:cs="Arial"/>
        </w:rPr>
        <w:t>esilient</w:t>
      </w:r>
      <w:r w:rsidR="00323987">
        <w:rPr>
          <w:rFonts w:ascii="Arial" w:eastAsiaTheme="minorHAnsi" w:hAnsi="Arial" w:cs="Arial"/>
        </w:rPr>
        <w:t>, with</w:t>
      </w:r>
      <w:r w:rsidR="00E06F5F">
        <w:rPr>
          <w:rFonts w:ascii="Arial" w:eastAsiaTheme="minorHAnsi" w:hAnsi="Arial" w:cs="Arial"/>
        </w:rPr>
        <w:t xml:space="preserve"> </w:t>
      </w:r>
      <w:r w:rsidR="00E06F5F" w:rsidRPr="00B33268">
        <w:rPr>
          <w:rFonts w:ascii="Arial" w:eastAsiaTheme="minorHAnsi" w:hAnsi="Arial" w:cs="Arial"/>
        </w:rPr>
        <w:t>‘</w:t>
      </w:r>
      <w:r w:rsidR="00E06F5F">
        <w:rPr>
          <w:rFonts w:ascii="Arial" w:eastAsiaTheme="minorHAnsi" w:hAnsi="Arial" w:cs="Arial"/>
        </w:rPr>
        <w:t>b</w:t>
      </w:r>
      <w:r w:rsidR="00E06F5F" w:rsidRPr="00B33268">
        <w:rPr>
          <w:rFonts w:ascii="Arial" w:eastAsiaTheme="minorHAnsi" w:hAnsi="Arial" w:cs="Arial"/>
        </w:rPr>
        <w:t xml:space="preserve">ig-ticket’ </w:t>
      </w:r>
      <w:r w:rsidRPr="005B1D34">
        <w:rPr>
          <w:rFonts w:ascii="Arial" w:eastAsiaTheme="minorHAnsi" w:hAnsi="Arial" w:cs="Arial"/>
        </w:rPr>
        <w:t>sales broadly flat YoY</w:t>
      </w:r>
    </w:p>
    <w:p w14:paraId="51252401" w14:textId="1CCAEFFB" w:rsidR="00B664F8" w:rsidRPr="00B664F8" w:rsidRDefault="00B664F8" w:rsidP="00B664F8">
      <w:pPr>
        <w:pStyle w:val="ListParagraph"/>
        <w:numPr>
          <w:ilvl w:val="1"/>
          <w:numId w:val="2"/>
        </w:numPr>
        <w:ind w:left="709"/>
        <w:rPr>
          <w:rFonts w:ascii="Arial" w:eastAsiaTheme="minorHAnsi" w:hAnsi="Arial" w:cs="Arial"/>
        </w:rPr>
      </w:pPr>
      <w:r w:rsidRPr="00B664F8">
        <w:rPr>
          <w:rFonts w:ascii="Arial" w:eastAsiaTheme="minorHAnsi" w:hAnsi="Arial" w:cs="Arial"/>
        </w:rPr>
        <w:t>Expect some impact in March from adverse weather conditions and strong comp</w:t>
      </w:r>
      <w:r>
        <w:rPr>
          <w:rFonts w:ascii="Arial" w:eastAsiaTheme="minorHAnsi" w:hAnsi="Arial" w:cs="Arial"/>
        </w:rPr>
        <w:t>arative</w:t>
      </w:r>
      <w:r w:rsidRPr="00B664F8">
        <w:rPr>
          <w:rFonts w:ascii="Arial" w:eastAsiaTheme="minorHAnsi" w:hAnsi="Arial" w:cs="Arial"/>
        </w:rPr>
        <w:t xml:space="preserve"> in Poland</w:t>
      </w:r>
    </w:p>
    <w:p w14:paraId="6310D9D0" w14:textId="2ACE6C4F" w:rsidR="00E06F5F" w:rsidRPr="00E93183" w:rsidRDefault="00E06F5F" w:rsidP="00E06F5F">
      <w:pPr>
        <w:pStyle w:val="ListParagraph"/>
        <w:numPr>
          <w:ilvl w:val="0"/>
          <w:numId w:val="2"/>
        </w:numPr>
        <w:jc w:val="left"/>
        <w:rPr>
          <w:rFonts w:ascii="Arial" w:hAnsi="Arial"/>
          <w:bCs/>
        </w:rPr>
      </w:pPr>
      <w:r w:rsidRPr="00661AFC">
        <w:rPr>
          <w:rFonts w:ascii="Arial" w:hAnsi="Arial"/>
          <w:bCs/>
        </w:rPr>
        <w:t>Well positioned to navigate FY 23/24</w:t>
      </w:r>
      <w:r>
        <w:rPr>
          <w:rFonts w:ascii="Arial" w:hAnsi="Arial"/>
          <w:bCs/>
        </w:rPr>
        <w:t>:</w:t>
      </w:r>
    </w:p>
    <w:p w14:paraId="1880EB7D" w14:textId="2E5AC7CE" w:rsidR="00E06F5F" w:rsidRDefault="00E06F5F" w:rsidP="00E06F5F">
      <w:pPr>
        <w:pStyle w:val="ListParagraph"/>
        <w:numPr>
          <w:ilvl w:val="1"/>
          <w:numId w:val="2"/>
        </w:numPr>
        <w:ind w:left="709"/>
        <w:jc w:val="left"/>
        <w:rPr>
          <w:rFonts w:ascii="Arial" w:hAnsi="Arial" w:cs="Arial"/>
          <w:bCs/>
        </w:rPr>
      </w:pPr>
      <w:r w:rsidRPr="000A5394">
        <w:rPr>
          <w:rFonts w:ascii="Arial" w:hAnsi="Arial" w:cs="Arial"/>
          <w:bCs/>
        </w:rPr>
        <w:t>Targeting further market share growth</w:t>
      </w:r>
    </w:p>
    <w:p w14:paraId="24D6D59B" w14:textId="036D48A3" w:rsidR="00E06F5F" w:rsidRPr="00B66635" w:rsidRDefault="00CB28A3" w:rsidP="00E06F5F">
      <w:pPr>
        <w:pStyle w:val="ListParagraph"/>
        <w:numPr>
          <w:ilvl w:val="1"/>
          <w:numId w:val="2"/>
        </w:numPr>
        <w:ind w:left="709"/>
        <w:jc w:val="left"/>
        <w:rPr>
          <w:rFonts w:ascii="Arial" w:hAnsi="Arial" w:cs="Arial"/>
          <w:bCs/>
        </w:rPr>
      </w:pPr>
      <w:r>
        <w:rPr>
          <w:rFonts w:ascii="Arial" w:hAnsi="Arial" w:cs="Arial"/>
          <w:bCs/>
        </w:rPr>
        <w:t>S</w:t>
      </w:r>
      <w:r w:rsidR="00481A1D">
        <w:rPr>
          <w:rFonts w:ascii="Arial" w:hAnsi="Arial" w:cs="Arial"/>
          <w:bCs/>
        </w:rPr>
        <w:t xml:space="preserve">ales impact </w:t>
      </w:r>
      <w:r w:rsidR="00E06F5F" w:rsidRPr="00632613">
        <w:rPr>
          <w:rFonts w:ascii="Arial" w:hAnsi="Arial" w:cs="Arial"/>
          <w:bCs/>
        </w:rPr>
        <w:t xml:space="preserve">of </w:t>
      </w:r>
      <w:r w:rsidR="00E06F5F" w:rsidRPr="00565D59">
        <w:rPr>
          <w:rFonts w:ascii="Arial" w:hAnsi="Arial" w:cs="Arial"/>
          <w:bCs/>
        </w:rPr>
        <w:t>c.+</w:t>
      </w:r>
      <w:r w:rsidR="00F0064F" w:rsidRPr="00FF7C1B">
        <w:rPr>
          <w:rFonts w:ascii="Arial" w:eastAsiaTheme="minorHAnsi" w:hAnsi="Arial" w:cs="Arial"/>
        </w:rPr>
        <w:t>1</w:t>
      </w:r>
      <w:r w:rsidR="00E06F5F" w:rsidRPr="00FF7C1B">
        <w:rPr>
          <w:rFonts w:ascii="Arial" w:eastAsiaTheme="minorHAnsi" w:hAnsi="Arial" w:cs="Arial"/>
        </w:rPr>
        <w:t>.</w:t>
      </w:r>
      <w:r w:rsidR="00F0064F" w:rsidRPr="00FF7C1B">
        <w:rPr>
          <w:rFonts w:ascii="Arial" w:eastAsiaTheme="minorHAnsi" w:hAnsi="Arial" w:cs="Arial"/>
        </w:rPr>
        <w:t>5</w:t>
      </w:r>
      <w:r w:rsidR="00E06F5F" w:rsidRPr="00565D59">
        <w:rPr>
          <w:rFonts w:ascii="Arial" w:eastAsiaTheme="minorHAnsi" w:hAnsi="Arial" w:cs="Arial"/>
        </w:rPr>
        <w:t>%</w:t>
      </w:r>
      <w:r>
        <w:rPr>
          <w:rFonts w:ascii="Arial" w:eastAsiaTheme="minorHAnsi" w:hAnsi="Arial" w:cs="Arial"/>
        </w:rPr>
        <w:t xml:space="preserve"> from </w:t>
      </w:r>
      <w:r>
        <w:rPr>
          <w:rFonts w:ascii="Arial" w:hAnsi="Arial" w:cs="Arial"/>
          <w:bCs/>
        </w:rPr>
        <w:t>n</w:t>
      </w:r>
      <w:r w:rsidRPr="000A5394">
        <w:rPr>
          <w:rFonts w:ascii="Arial" w:hAnsi="Arial" w:cs="Arial"/>
          <w:bCs/>
        </w:rPr>
        <w:t>et space growth</w:t>
      </w:r>
      <w:r w:rsidR="00E06F5F" w:rsidRPr="00565D59">
        <w:rPr>
          <w:rFonts w:ascii="Arial" w:hAnsi="Arial" w:cs="Arial"/>
          <w:bCs/>
        </w:rPr>
        <w:t>, largely</w:t>
      </w:r>
      <w:r w:rsidR="00E06F5F" w:rsidRPr="000A5394">
        <w:rPr>
          <w:rFonts w:ascii="Arial" w:hAnsi="Arial" w:cs="Arial"/>
          <w:bCs/>
        </w:rPr>
        <w:t xml:space="preserve"> from Screwfix and </w:t>
      </w:r>
      <w:r w:rsidR="001B4A3A">
        <w:rPr>
          <w:rFonts w:ascii="Arial" w:hAnsi="Arial" w:cs="Arial"/>
          <w:bCs/>
        </w:rPr>
        <w:t xml:space="preserve">Castorama </w:t>
      </w:r>
      <w:r w:rsidR="00E06F5F" w:rsidRPr="000A5394">
        <w:rPr>
          <w:rFonts w:ascii="Arial" w:hAnsi="Arial" w:cs="Arial"/>
          <w:bCs/>
        </w:rPr>
        <w:t>Poland</w:t>
      </w:r>
    </w:p>
    <w:p w14:paraId="60CD61D0" w14:textId="2E6E7A80" w:rsidR="00E06F5F" w:rsidRPr="00B6297C" w:rsidRDefault="00E06F5F" w:rsidP="00E06F5F">
      <w:pPr>
        <w:pStyle w:val="ListParagraph"/>
        <w:numPr>
          <w:ilvl w:val="1"/>
          <w:numId w:val="2"/>
        </w:numPr>
        <w:ind w:left="709"/>
        <w:jc w:val="left"/>
        <w:rPr>
          <w:rFonts w:ascii="Arial" w:hAnsi="Arial" w:cs="Arial"/>
          <w:bCs/>
        </w:rPr>
      </w:pPr>
      <w:r w:rsidRPr="00137A0F">
        <w:rPr>
          <w:rFonts w:ascii="Arial" w:hAnsi="Arial" w:cs="Arial"/>
          <w:bCs/>
        </w:rPr>
        <w:lastRenderedPageBreak/>
        <w:t xml:space="preserve">Committed to </w:t>
      </w:r>
      <w:r w:rsidRPr="00B6297C">
        <w:rPr>
          <w:rFonts w:ascii="Arial" w:hAnsi="Arial" w:cs="Arial"/>
          <w:bCs/>
        </w:rPr>
        <w:t>active and responsive management of operating costs*</w:t>
      </w:r>
      <w:r w:rsidR="00573FB9" w:rsidRPr="00B6297C">
        <w:rPr>
          <w:rFonts w:ascii="Arial" w:hAnsi="Arial" w:cs="Arial"/>
          <w:bCs/>
        </w:rPr>
        <w:t xml:space="preserve"> </w:t>
      </w:r>
      <w:r w:rsidR="0027213A" w:rsidRPr="00B6297C">
        <w:rPr>
          <w:rFonts w:ascii="Arial" w:hAnsi="Arial" w:cs="Arial"/>
          <w:bCs/>
        </w:rPr>
        <w:t xml:space="preserve">to partially offset </w:t>
      </w:r>
      <w:r w:rsidR="00573FB9" w:rsidRPr="00B6297C">
        <w:rPr>
          <w:rFonts w:ascii="Arial" w:hAnsi="Arial" w:cs="Arial"/>
          <w:bCs/>
        </w:rPr>
        <w:t>higher staff</w:t>
      </w:r>
      <w:r w:rsidR="00931806" w:rsidRPr="00B6297C">
        <w:rPr>
          <w:rFonts w:ascii="Arial" w:hAnsi="Arial" w:cs="Arial"/>
          <w:bCs/>
        </w:rPr>
        <w:t xml:space="preserve">, </w:t>
      </w:r>
      <w:r w:rsidR="00931806" w:rsidRPr="006A2643">
        <w:rPr>
          <w:rFonts w:ascii="Arial" w:hAnsi="Arial" w:cs="Arial"/>
          <w:bCs/>
        </w:rPr>
        <w:t>technology</w:t>
      </w:r>
      <w:r w:rsidR="00573FB9" w:rsidRPr="00B6297C">
        <w:rPr>
          <w:rFonts w:ascii="Arial" w:hAnsi="Arial" w:cs="Arial"/>
          <w:bCs/>
        </w:rPr>
        <w:t xml:space="preserve"> </w:t>
      </w:r>
      <w:r w:rsidR="00AF6007" w:rsidRPr="00B6297C">
        <w:rPr>
          <w:rFonts w:ascii="Arial" w:hAnsi="Arial" w:cs="Arial"/>
          <w:bCs/>
        </w:rPr>
        <w:t xml:space="preserve">and energy </w:t>
      </w:r>
      <w:r w:rsidR="00573FB9" w:rsidRPr="00B6297C">
        <w:rPr>
          <w:rFonts w:ascii="Arial" w:hAnsi="Arial" w:cs="Arial"/>
          <w:bCs/>
        </w:rPr>
        <w:t>costs YoY</w:t>
      </w:r>
    </w:p>
    <w:p w14:paraId="422E65D8" w14:textId="7991EBAE" w:rsidR="00E06F5F" w:rsidRDefault="003963FF" w:rsidP="00E06F5F">
      <w:pPr>
        <w:pStyle w:val="ListParagraph"/>
        <w:numPr>
          <w:ilvl w:val="1"/>
          <w:numId w:val="2"/>
        </w:numPr>
        <w:ind w:left="709"/>
        <w:jc w:val="left"/>
        <w:rPr>
          <w:rFonts w:ascii="Arial" w:hAnsi="Arial" w:cs="Arial"/>
          <w:bCs/>
        </w:rPr>
      </w:pPr>
      <w:r w:rsidRPr="00B6297C">
        <w:rPr>
          <w:rFonts w:ascii="Arial" w:hAnsi="Arial" w:cs="Arial"/>
          <w:bCs/>
        </w:rPr>
        <w:t xml:space="preserve">Expect </w:t>
      </w:r>
      <w:r w:rsidR="00E06F5F" w:rsidRPr="00B6297C">
        <w:rPr>
          <w:rFonts w:ascii="Arial" w:hAnsi="Arial" w:cs="Arial"/>
          <w:bCs/>
        </w:rPr>
        <w:t>P&amp;L investment</w:t>
      </w:r>
      <w:r w:rsidR="00E06F5F" w:rsidRPr="00137A0F">
        <w:rPr>
          <w:rFonts w:ascii="Arial" w:hAnsi="Arial" w:cs="Arial"/>
          <w:bCs/>
        </w:rPr>
        <w:t xml:space="preserve"> </w:t>
      </w:r>
      <w:r w:rsidR="00E06F5F" w:rsidRPr="0060310F">
        <w:rPr>
          <w:rFonts w:ascii="Arial" w:hAnsi="Arial" w:cs="Arial"/>
          <w:bCs/>
        </w:rPr>
        <w:t xml:space="preserve">of </w:t>
      </w:r>
      <w:r w:rsidRPr="00CD09A1">
        <w:rPr>
          <w:rFonts w:ascii="Arial" w:hAnsi="Arial"/>
        </w:rPr>
        <w:t>c.</w:t>
      </w:r>
      <w:r w:rsidR="00E06F5F" w:rsidRPr="00CD09A1">
        <w:rPr>
          <w:rFonts w:ascii="Arial" w:hAnsi="Arial"/>
        </w:rPr>
        <w:t>£</w:t>
      </w:r>
      <w:r w:rsidR="006E4B42" w:rsidRPr="00CD09A1">
        <w:rPr>
          <w:rFonts w:ascii="Arial" w:hAnsi="Arial"/>
        </w:rPr>
        <w:t>4</w:t>
      </w:r>
      <w:r w:rsidR="005F0E7E" w:rsidRPr="00CD09A1">
        <w:rPr>
          <w:rFonts w:ascii="Arial" w:hAnsi="Arial"/>
        </w:rPr>
        <w:t>0</w:t>
      </w:r>
      <w:r w:rsidR="00E06F5F" w:rsidRPr="00CD09A1">
        <w:rPr>
          <w:rFonts w:ascii="Arial" w:hAnsi="Arial"/>
        </w:rPr>
        <w:t>m</w:t>
      </w:r>
      <w:r w:rsidR="00E06F5F" w:rsidRPr="0060310F">
        <w:rPr>
          <w:rFonts w:ascii="Arial" w:hAnsi="Arial" w:cs="Arial"/>
          <w:bCs/>
        </w:rPr>
        <w:t xml:space="preserve"> in</w:t>
      </w:r>
      <w:r w:rsidR="00E06F5F" w:rsidRPr="000A5394">
        <w:rPr>
          <w:rFonts w:ascii="Arial" w:hAnsi="Arial" w:cs="Arial"/>
          <w:bCs/>
        </w:rPr>
        <w:t xml:space="preserve"> relation to </w:t>
      </w:r>
      <w:r>
        <w:rPr>
          <w:rFonts w:ascii="Arial" w:hAnsi="Arial" w:cs="Arial"/>
          <w:bCs/>
        </w:rPr>
        <w:t xml:space="preserve">our new businesses, including </w:t>
      </w:r>
      <w:r w:rsidR="00E06F5F" w:rsidRPr="000A5394">
        <w:rPr>
          <w:rFonts w:ascii="Arial" w:hAnsi="Arial" w:cs="Arial"/>
          <w:bCs/>
        </w:rPr>
        <w:t>Screwfix France</w:t>
      </w:r>
    </w:p>
    <w:p w14:paraId="0905DDEC" w14:textId="6E0B7CFA" w:rsidR="00E06F5F" w:rsidRPr="00C60F3B" w:rsidRDefault="007839F0" w:rsidP="00E06F5F">
      <w:pPr>
        <w:pStyle w:val="ListParagraph"/>
        <w:numPr>
          <w:ilvl w:val="0"/>
          <w:numId w:val="2"/>
        </w:numPr>
        <w:jc w:val="left"/>
        <w:rPr>
          <w:rFonts w:ascii="Arial" w:hAnsi="Arial" w:cs="Arial"/>
          <w:bCs/>
        </w:rPr>
      </w:pPr>
      <w:r>
        <w:rPr>
          <w:rFonts w:ascii="Arial" w:hAnsi="Arial" w:cs="Arial"/>
        </w:rPr>
        <w:t>Based on the above</w:t>
      </w:r>
      <w:r w:rsidR="00E06F5F">
        <w:rPr>
          <w:rFonts w:ascii="Arial" w:hAnsi="Arial" w:cs="Arial"/>
        </w:rPr>
        <w:t>, we are c</w:t>
      </w:r>
      <w:r w:rsidR="00E06F5F" w:rsidRPr="00B00CD8">
        <w:rPr>
          <w:rFonts w:ascii="Arial" w:hAnsi="Arial" w:cs="Arial"/>
        </w:rPr>
        <w:t xml:space="preserve">omfortable with </w:t>
      </w:r>
      <w:r w:rsidR="00E06F5F">
        <w:rPr>
          <w:rFonts w:ascii="Arial" w:hAnsi="Arial" w:cs="Arial"/>
        </w:rPr>
        <w:t xml:space="preserve">the </w:t>
      </w:r>
      <w:r w:rsidR="00E06F5F" w:rsidRPr="00B00CD8">
        <w:rPr>
          <w:rFonts w:ascii="Arial" w:hAnsi="Arial" w:cs="Arial"/>
        </w:rPr>
        <w:t>current consensus of sell-side analyst estimates for FY 23/24 adjusted pre-tax profit</w:t>
      </w:r>
      <w:r w:rsidR="00E06F5F" w:rsidRPr="00B00CD8">
        <w:rPr>
          <w:rFonts w:ascii="Arial" w:hAnsi="Arial" w:cs="Arial"/>
          <w:vertAlign w:val="superscript"/>
        </w:rPr>
        <w:t>(</w:t>
      </w:r>
      <w:r w:rsidR="006610DC">
        <w:rPr>
          <w:rFonts w:ascii="Arial" w:hAnsi="Arial" w:cs="Arial"/>
          <w:vertAlign w:val="superscript"/>
        </w:rPr>
        <w:t>6</w:t>
      </w:r>
      <w:r w:rsidR="00E06F5F" w:rsidRPr="00B00CD8">
        <w:rPr>
          <w:rFonts w:ascii="Arial" w:hAnsi="Arial" w:cs="Arial"/>
          <w:vertAlign w:val="superscript"/>
        </w:rPr>
        <w:t>)</w:t>
      </w:r>
    </w:p>
    <w:p w14:paraId="411F6107" w14:textId="55B271FC" w:rsidR="00E06F5F" w:rsidRPr="00CE794D" w:rsidRDefault="00E06F5F" w:rsidP="00E06F5F">
      <w:pPr>
        <w:pStyle w:val="ListParagraph"/>
        <w:numPr>
          <w:ilvl w:val="0"/>
          <w:numId w:val="2"/>
        </w:numPr>
        <w:jc w:val="left"/>
        <w:rPr>
          <w:rFonts w:ascii="Arial" w:hAnsi="Arial" w:cs="Arial"/>
          <w:bCs/>
        </w:rPr>
      </w:pPr>
      <w:r w:rsidRPr="00C27BD9">
        <w:rPr>
          <w:rFonts w:ascii="Arial" w:hAnsi="Arial" w:cs="Arial"/>
        </w:rPr>
        <w:t xml:space="preserve">Expect </w:t>
      </w:r>
      <w:r w:rsidR="006022B6" w:rsidRPr="005C2EAC">
        <w:rPr>
          <w:rFonts w:ascii="Arial" w:hAnsi="Arial"/>
        </w:rPr>
        <w:t>&gt;</w:t>
      </w:r>
      <w:r w:rsidRPr="005C2EAC">
        <w:rPr>
          <w:rFonts w:ascii="Arial" w:hAnsi="Arial"/>
        </w:rPr>
        <w:t>£</w:t>
      </w:r>
      <w:r w:rsidR="006022B6" w:rsidRPr="005C2EAC">
        <w:rPr>
          <w:rFonts w:ascii="Arial" w:hAnsi="Arial"/>
        </w:rPr>
        <w:t>5</w:t>
      </w:r>
      <w:r w:rsidRPr="005C2EAC">
        <w:rPr>
          <w:rFonts w:ascii="Arial" w:hAnsi="Arial"/>
        </w:rPr>
        <w:t>00m</w:t>
      </w:r>
      <w:r w:rsidRPr="00B00CD8">
        <w:rPr>
          <w:rFonts w:ascii="Arial" w:hAnsi="Arial" w:cs="Arial"/>
        </w:rPr>
        <w:t xml:space="preserve"> free cash flow for the year</w:t>
      </w:r>
      <w:r>
        <w:rPr>
          <w:rFonts w:ascii="Arial" w:hAnsi="Arial" w:cs="Arial"/>
        </w:rPr>
        <w:t xml:space="preserve">, supported by </w:t>
      </w:r>
      <w:r w:rsidR="00CF15D5">
        <w:rPr>
          <w:rFonts w:ascii="Arial" w:hAnsi="Arial" w:cs="Arial"/>
        </w:rPr>
        <w:t xml:space="preserve">the unwind of </w:t>
      </w:r>
      <w:r>
        <w:rPr>
          <w:rFonts w:ascii="Arial" w:hAnsi="Arial" w:cs="Arial"/>
        </w:rPr>
        <w:t xml:space="preserve">working capital </w:t>
      </w:r>
      <w:r w:rsidR="0082424C">
        <w:rPr>
          <w:rFonts w:ascii="Arial" w:hAnsi="Arial" w:cs="Arial"/>
        </w:rPr>
        <w:t>out</w:t>
      </w:r>
      <w:r>
        <w:rPr>
          <w:rFonts w:ascii="Arial" w:hAnsi="Arial" w:cs="Arial"/>
        </w:rPr>
        <w:t xml:space="preserve">flows </w:t>
      </w:r>
      <w:r w:rsidR="0082424C">
        <w:rPr>
          <w:rFonts w:ascii="Arial" w:hAnsi="Arial" w:cs="Arial"/>
        </w:rPr>
        <w:t xml:space="preserve">in the prior </w:t>
      </w:r>
      <w:r w:rsidR="0082424C" w:rsidRPr="00CE794D">
        <w:rPr>
          <w:rFonts w:ascii="Arial" w:hAnsi="Arial" w:cs="Arial"/>
        </w:rPr>
        <w:t>year</w:t>
      </w:r>
    </w:p>
    <w:p w14:paraId="701688AA" w14:textId="4D82DDA6" w:rsidR="00410A97" w:rsidRPr="00CE794D" w:rsidRDefault="006730A7" w:rsidP="00E06F5F">
      <w:pPr>
        <w:pStyle w:val="ListParagraph"/>
        <w:numPr>
          <w:ilvl w:val="0"/>
          <w:numId w:val="2"/>
        </w:numPr>
        <w:jc w:val="left"/>
        <w:rPr>
          <w:rFonts w:ascii="Arial" w:hAnsi="Arial" w:cs="Arial"/>
          <w:bCs/>
        </w:rPr>
      </w:pPr>
      <w:bookmarkStart w:id="11" w:name="_Hlk128742767"/>
      <w:r w:rsidRPr="005C2EAC">
        <w:rPr>
          <w:rFonts w:ascii="Arial" w:hAnsi="Arial"/>
        </w:rPr>
        <w:t xml:space="preserve">Intention to </w:t>
      </w:r>
      <w:r w:rsidR="00CE794D">
        <w:rPr>
          <w:rFonts w:ascii="Arial" w:hAnsi="Arial" w:cs="Arial"/>
        </w:rPr>
        <w:t xml:space="preserve">announce a new </w:t>
      </w:r>
      <w:r w:rsidR="00CE794D" w:rsidRPr="00BF4BC0">
        <w:rPr>
          <w:rFonts w:ascii="Arial" w:hAnsi="Arial" w:cs="Arial"/>
        </w:rPr>
        <w:t>share buyback programme</w:t>
      </w:r>
      <w:r w:rsidR="00CE794D" w:rsidRPr="005C2EAC">
        <w:rPr>
          <w:rFonts w:ascii="Arial" w:hAnsi="Arial"/>
        </w:rPr>
        <w:t xml:space="preserve"> following completion of </w:t>
      </w:r>
      <w:r w:rsidR="00CE794D">
        <w:rPr>
          <w:rFonts w:ascii="Arial" w:hAnsi="Arial" w:cs="Arial"/>
        </w:rPr>
        <w:t>the existing</w:t>
      </w:r>
      <w:r w:rsidR="00CE794D" w:rsidRPr="005C2EAC">
        <w:rPr>
          <w:rFonts w:ascii="Arial" w:hAnsi="Arial"/>
        </w:rPr>
        <w:t xml:space="preserve"> programme this year</w:t>
      </w:r>
      <w:r w:rsidRPr="005C2EAC">
        <w:rPr>
          <w:rFonts w:ascii="Arial" w:hAnsi="Arial"/>
        </w:rPr>
        <w:t>; subject to our capital allocation framework and market conditions</w:t>
      </w:r>
      <w:bookmarkEnd w:id="11"/>
    </w:p>
    <w:p w14:paraId="67860F58" w14:textId="7336EDF3" w:rsidR="00666F9C" w:rsidRDefault="00666F9C" w:rsidP="00D21466">
      <w:pPr>
        <w:jc w:val="left"/>
        <w:rPr>
          <w:rFonts w:ascii="Arial" w:hAnsi="Arial" w:cs="Arial"/>
        </w:rPr>
      </w:pPr>
      <w:bookmarkStart w:id="12" w:name="_Hlk96769938"/>
      <w:bookmarkEnd w:id="8"/>
    </w:p>
    <w:p w14:paraId="1D538249" w14:textId="6F8D7335" w:rsidR="00ED53D6" w:rsidRPr="00122D5A" w:rsidRDefault="00ED53D6" w:rsidP="00D21466">
      <w:pPr>
        <w:jc w:val="left"/>
        <w:rPr>
          <w:rFonts w:ascii="Arial" w:hAnsi="Arial" w:cs="Arial"/>
          <w:u w:val="single"/>
        </w:rPr>
      </w:pPr>
      <w:r w:rsidRPr="00A37015">
        <w:rPr>
          <w:rFonts w:ascii="Arial" w:hAnsi="Arial" w:cs="Arial"/>
          <w:b/>
          <w:bCs/>
          <w:u w:val="single"/>
        </w:rPr>
        <w:t>Medium</w:t>
      </w:r>
      <w:r w:rsidR="0090075E">
        <w:rPr>
          <w:rFonts w:ascii="Arial" w:hAnsi="Arial" w:cs="Arial"/>
          <w:b/>
          <w:bCs/>
          <w:u w:val="single"/>
        </w:rPr>
        <w:t>-</w:t>
      </w:r>
      <w:r w:rsidRPr="00A37015">
        <w:rPr>
          <w:rFonts w:ascii="Arial" w:hAnsi="Arial" w:cs="Arial"/>
          <w:b/>
          <w:bCs/>
          <w:u w:val="single"/>
        </w:rPr>
        <w:t xml:space="preserve">term financial and capital allocation </w:t>
      </w:r>
      <w:r w:rsidR="00154AEF">
        <w:rPr>
          <w:rFonts w:ascii="Arial" w:hAnsi="Arial" w:cs="Arial"/>
          <w:b/>
          <w:bCs/>
          <w:u w:val="single"/>
        </w:rPr>
        <w:t>priorities</w:t>
      </w:r>
    </w:p>
    <w:p w14:paraId="3B3F5718" w14:textId="1DB9AC84" w:rsidR="005C0BBB" w:rsidRDefault="00C279DF" w:rsidP="00440DAC">
      <w:pPr>
        <w:pStyle w:val="ListParagraph"/>
        <w:numPr>
          <w:ilvl w:val="0"/>
          <w:numId w:val="2"/>
        </w:numPr>
        <w:jc w:val="left"/>
        <w:rPr>
          <w:rFonts w:ascii="Arial" w:hAnsi="Arial" w:cs="Arial"/>
          <w:bCs/>
        </w:rPr>
      </w:pPr>
      <w:r>
        <w:rPr>
          <w:rFonts w:ascii="Arial" w:hAnsi="Arial" w:cs="Arial"/>
          <w:bCs/>
        </w:rPr>
        <w:t xml:space="preserve">Kingfisher </w:t>
      </w:r>
      <w:r w:rsidRPr="00C279DF">
        <w:rPr>
          <w:rFonts w:ascii="Arial" w:hAnsi="Arial" w:cs="Arial"/>
          <w:bCs/>
        </w:rPr>
        <w:t>operate</w:t>
      </w:r>
      <w:r>
        <w:rPr>
          <w:rFonts w:ascii="Arial" w:hAnsi="Arial" w:cs="Arial"/>
          <w:bCs/>
        </w:rPr>
        <w:t>s</w:t>
      </w:r>
      <w:r w:rsidRPr="00C279DF">
        <w:rPr>
          <w:rFonts w:ascii="Arial" w:hAnsi="Arial" w:cs="Arial"/>
          <w:bCs/>
        </w:rPr>
        <w:t xml:space="preserve"> in attractive markets, with new </w:t>
      </w:r>
      <w:r w:rsidR="005935FB">
        <w:rPr>
          <w:rFonts w:ascii="Arial" w:hAnsi="Arial" w:cs="Arial"/>
          <w:bCs/>
        </w:rPr>
        <w:t xml:space="preserve">positive </w:t>
      </w:r>
      <w:r w:rsidRPr="00C279DF">
        <w:rPr>
          <w:rFonts w:ascii="Arial" w:hAnsi="Arial" w:cs="Arial"/>
          <w:bCs/>
        </w:rPr>
        <w:t>longer-term trends (such as more working from home and energy efficiency</w:t>
      </w:r>
      <w:r w:rsidR="00A96FA6">
        <w:rPr>
          <w:rFonts w:ascii="Arial" w:hAnsi="Arial" w:cs="Arial"/>
          <w:bCs/>
        </w:rPr>
        <w:t xml:space="preserve"> renovations</w:t>
      </w:r>
      <w:r w:rsidRPr="00C279DF">
        <w:rPr>
          <w:rFonts w:ascii="Arial" w:hAnsi="Arial" w:cs="Arial"/>
          <w:bCs/>
        </w:rPr>
        <w:t>)</w:t>
      </w:r>
      <w:r w:rsidR="003E1333">
        <w:rPr>
          <w:rFonts w:ascii="Arial" w:hAnsi="Arial" w:cs="Arial"/>
          <w:bCs/>
        </w:rPr>
        <w:t xml:space="preserve"> </w:t>
      </w:r>
      <w:r w:rsidR="009F7826">
        <w:rPr>
          <w:rFonts w:ascii="Arial" w:hAnsi="Arial" w:cs="Arial"/>
          <w:bCs/>
        </w:rPr>
        <w:t xml:space="preserve">providing </w:t>
      </w:r>
      <w:r w:rsidR="008072F3">
        <w:rPr>
          <w:rFonts w:ascii="Arial" w:hAnsi="Arial" w:cs="Arial"/>
          <w:bCs/>
        </w:rPr>
        <w:t>further</w:t>
      </w:r>
      <w:r w:rsidR="009F7826">
        <w:rPr>
          <w:rFonts w:ascii="Arial" w:hAnsi="Arial" w:cs="Arial"/>
          <w:bCs/>
        </w:rPr>
        <w:t xml:space="preserve"> support </w:t>
      </w:r>
      <w:r w:rsidR="008072F3">
        <w:rPr>
          <w:rFonts w:ascii="Arial" w:hAnsi="Arial" w:cs="Arial"/>
          <w:bCs/>
        </w:rPr>
        <w:t xml:space="preserve">to </w:t>
      </w:r>
      <w:r w:rsidR="00D66F02">
        <w:rPr>
          <w:rFonts w:ascii="Arial" w:hAnsi="Arial" w:cs="Arial"/>
          <w:bCs/>
        </w:rPr>
        <w:t xml:space="preserve">market </w:t>
      </w:r>
      <w:r w:rsidR="003E1333">
        <w:rPr>
          <w:rFonts w:ascii="Arial" w:hAnsi="Arial" w:cs="Arial"/>
          <w:bCs/>
        </w:rPr>
        <w:t>growth</w:t>
      </w:r>
      <w:r w:rsidR="008072F3">
        <w:rPr>
          <w:rFonts w:ascii="Arial" w:hAnsi="Arial" w:cs="Arial"/>
          <w:bCs/>
        </w:rPr>
        <w:t xml:space="preserve"> </w:t>
      </w:r>
      <w:r w:rsidR="00792968">
        <w:rPr>
          <w:rFonts w:ascii="Arial" w:hAnsi="Arial" w:cs="Arial"/>
          <w:bCs/>
        </w:rPr>
        <w:t>potential</w:t>
      </w:r>
    </w:p>
    <w:p w14:paraId="472989E7" w14:textId="246D9891" w:rsidR="00794E5B" w:rsidRPr="00122D5A" w:rsidRDefault="0082761E" w:rsidP="00440DAC">
      <w:pPr>
        <w:pStyle w:val="ListParagraph"/>
        <w:numPr>
          <w:ilvl w:val="0"/>
          <w:numId w:val="2"/>
        </w:numPr>
        <w:jc w:val="left"/>
        <w:rPr>
          <w:rFonts w:ascii="Arial" w:hAnsi="Arial" w:cs="Arial"/>
          <w:bCs/>
        </w:rPr>
      </w:pPr>
      <w:r>
        <w:rPr>
          <w:rFonts w:ascii="Arial" w:hAnsi="Arial" w:cs="Arial"/>
          <w:b/>
        </w:rPr>
        <w:t>F</w:t>
      </w:r>
      <w:r w:rsidRPr="0040704A">
        <w:rPr>
          <w:rFonts w:ascii="Arial" w:hAnsi="Arial" w:cs="Arial"/>
          <w:b/>
        </w:rPr>
        <w:t>inancial priorities</w:t>
      </w:r>
      <w:r>
        <w:rPr>
          <w:rFonts w:ascii="Arial" w:hAnsi="Arial" w:cs="Arial"/>
          <w:b/>
        </w:rPr>
        <w:t>:</w:t>
      </w:r>
      <w:r w:rsidRPr="00EB53AD">
        <w:rPr>
          <w:rFonts w:ascii="Arial" w:hAnsi="Arial" w:cs="Arial"/>
        </w:rPr>
        <w:t xml:space="preserve"> </w:t>
      </w:r>
      <w:r w:rsidR="0090612E" w:rsidRPr="0082761E">
        <w:rPr>
          <w:rFonts w:ascii="Arial" w:hAnsi="Arial" w:cs="Arial"/>
        </w:rPr>
        <w:t xml:space="preserve">Building on our industry’s </w:t>
      </w:r>
      <w:r w:rsidR="008B1AD3">
        <w:rPr>
          <w:rFonts w:ascii="Arial" w:hAnsi="Arial" w:cs="Arial"/>
        </w:rPr>
        <w:t xml:space="preserve">attractive </w:t>
      </w:r>
      <w:r w:rsidR="0090612E" w:rsidRPr="0082761E">
        <w:rPr>
          <w:rFonts w:ascii="Arial" w:hAnsi="Arial" w:cs="Arial"/>
        </w:rPr>
        <w:t xml:space="preserve">growth profile, the </w:t>
      </w:r>
      <w:r w:rsidR="0090612E" w:rsidRPr="00635726">
        <w:rPr>
          <w:rFonts w:ascii="Arial" w:hAnsi="Arial"/>
        </w:rPr>
        <w:t xml:space="preserve">Group’s </w:t>
      </w:r>
      <w:r w:rsidR="00A42BD6" w:rsidRPr="00635726">
        <w:rPr>
          <w:rFonts w:ascii="Arial" w:hAnsi="Arial"/>
        </w:rPr>
        <w:t>medium</w:t>
      </w:r>
      <w:r w:rsidR="0090075E" w:rsidRPr="00635726">
        <w:rPr>
          <w:rFonts w:ascii="Arial" w:hAnsi="Arial"/>
        </w:rPr>
        <w:t>-</w:t>
      </w:r>
      <w:r w:rsidR="00A42BD6" w:rsidRPr="00635726">
        <w:rPr>
          <w:rFonts w:ascii="Arial" w:hAnsi="Arial"/>
        </w:rPr>
        <w:t xml:space="preserve">term </w:t>
      </w:r>
      <w:r w:rsidR="001751CF" w:rsidRPr="00635726">
        <w:rPr>
          <w:rFonts w:ascii="Arial" w:hAnsi="Arial"/>
        </w:rPr>
        <w:t>financial priorities</w:t>
      </w:r>
      <w:r w:rsidR="001751CF" w:rsidRPr="0082761E">
        <w:rPr>
          <w:rFonts w:ascii="Arial" w:hAnsi="Arial" w:cs="Arial"/>
        </w:rPr>
        <w:t xml:space="preserve"> are</w:t>
      </w:r>
      <w:r w:rsidR="00AB361B">
        <w:rPr>
          <w:rFonts w:ascii="Arial" w:hAnsi="Arial" w:cs="Arial"/>
          <w:bCs/>
        </w:rPr>
        <w:t>:</w:t>
      </w:r>
    </w:p>
    <w:p w14:paraId="4E48D566" w14:textId="785647C8" w:rsidR="00EC57C4" w:rsidRDefault="00CB4781" w:rsidP="00437C16">
      <w:pPr>
        <w:pStyle w:val="ListParagraph"/>
        <w:numPr>
          <w:ilvl w:val="1"/>
          <w:numId w:val="2"/>
        </w:numPr>
        <w:ind w:left="709"/>
        <w:jc w:val="left"/>
        <w:rPr>
          <w:rFonts w:ascii="Arial" w:hAnsi="Arial" w:cs="Arial"/>
          <w:bCs/>
        </w:rPr>
      </w:pPr>
      <w:r>
        <w:rPr>
          <w:rFonts w:ascii="Arial" w:hAnsi="Arial" w:cs="Arial"/>
          <w:b/>
        </w:rPr>
        <w:t>S</w:t>
      </w:r>
      <w:r w:rsidR="00890315">
        <w:rPr>
          <w:rFonts w:ascii="Arial" w:hAnsi="Arial" w:cs="Arial"/>
          <w:b/>
        </w:rPr>
        <w:t xml:space="preserve">ales </w:t>
      </w:r>
      <w:r w:rsidR="00116BA9">
        <w:rPr>
          <w:rFonts w:ascii="Arial" w:hAnsi="Arial" w:cs="Arial"/>
          <w:b/>
        </w:rPr>
        <w:t xml:space="preserve">to </w:t>
      </w:r>
      <w:r w:rsidR="003C5412" w:rsidRPr="0089073F">
        <w:rPr>
          <w:rFonts w:ascii="Arial" w:hAnsi="Arial" w:cs="Arial"/>
          <w:b/>
        </w:rPr>
        <w:t xml:space="preserve">grow </w:t>
      </w:r>
      <w:r w:rsidR="003F6523" w:rsidRPr="00EB53AD">
        <w:rPr>
          <w:rFonts w:ascii="Arial" w:hAnsi="Arial" w:cs="Arial"/>
          <w:b/>
        </w:rPr>
        <w:t>ahead of our markets</w:t>
      </w:r>
      <w:r w:rsidR="003C5412" w:rsidRPr="0089073F">
        <w:rPr>
          <w:rFonts w:ascii="Arial" w:hAnsi="Arial" w:cs="Arial"/>
          <w:b/>
        </w:rPr>
        <w:t>:</w:t>
      </w:r>
    </w:p>
    <w:p w14:paraId="60BAF15C" w14:textId="7F2CCAF3" w:rsidR="006E729E" w:rsidRDefault="006F1E6B" w:rsidP="00635726">
      <w:pPr>
        <w:pStyle w:val="ListParagraph"/>
        <w:numPr>
          <w:ilvl w:val="2"/>
          <w:numId w:val="2"/>
        </w:numPr>
        <w:ind w:left="993" w:hanging="284"/>
        <w:jc w:val="left"/>
        <w:rPr>
          <w:rFonts w:ascii="Arial" w:hAnsi="Arial" w:cs="Arial"/>
          <w:bCs/>
        </w:rPr>
      </w:pPr>
      <w:r>
        <w:rPr>
          <w:rFonts w:ascii="Arial" w:hAnsi="Arial" w:cs="Arial"/>
          <w:bCs/>
        </w:rPr>
        <w:t xml:space="preserve">LFL sales growth driven </w:t>
      </w:r>
      <w:r w:rsidR="004A6980" w:rsidRPr="006C225F">
        <w:rPr>
          <w:rFonts w:ascii="Arial" w:hAnsi="Arial" w:cs="Arial"/>
          <w:bCs/>
        </w:rPr>
        <w:t xml:space="preserve">by </w:t>
      </w:r>
      <w:r w:rsidR="003C4F4A" w:rsidRPr="006C225F">
        <w:rPr>
          <w:rFonts w:ascii="Arial" w:hAnsi="Arial" w:cs="Arial"/>
          <w:bCs/>
        </w:rPr>
        <w:t xml:space="preserve">our strategic focus areas including </w:t>
      </w:r>
      <w:r w:rsidR="008F440F" w:rsidRPr="006C225F">
        <w:rPr>
          <w:rFonts w:ascii="Arial" w:hAnsi="Arial" w:cs="Arial"/>
          <w:bCs/>
        </w:rPr>
        <w:t xml:space="preserve">e-commerce and marketplace, </w:t>
      </w:r>
      <w:r w:rsidR="00C3261A" w:rsidRPr="006C225F">
        <w:rPr>
          <w:rFonts w:ascii="Arial" w:hAnsi="Arial" w:cs="Arial"/>
          <w:bCs/>
        </w:rPr>
        <w:t>OEB</w:t>
      </w:r>
      <w:r w:rsidR="00965DB0" w:rsidRPr="006C225F">
        <w:rPr>
          <w:rFonts w:ascii="Arial" w:hAnsi="Arial" w:cs="Arial"/>
          <w:bCs/>
        </w:rPr>
        <w:t xml:space="preserve">, </w:t>
      </w:r>
      <w:r w:rsidR="008F440F" w:rsidRPr="006C225F">
        <w:rPr>
          <w:rFonts w:ascii="Arial" w:hAnsi="Arial" w:cs="Arial"/>
          <w:bCs/>
        </w:rPr>
        <w:t>trade penetration</w:t>
      </w:r>
      <w:r w:rsidR="000E3B8B">
        <w:rPr>
          <w:rFonts w:ascii="Arial" w:hAnsi="Arial" w:cs="Arial"/>
          <w:bCs/>
        </w:rPr>
        <w:t>;</w:t>
      </w:r>
      <w:r w:rsidR="004A6980" w:rsidRPr="006C225F">
        <w:rPr>
          <w:rFonts w:ascii="Arial" w:hAnsi="Arial" w:cs="Arial"/>
          <w:bCs/>
        </w:rPr>
        <w:t xml:space="preserve"> </w:t>
      </w:r>
      <w:r w:rsidR="004C0411" w:rsidRPr="006C225F">
        <w:rPr>
          <w:rFonts w:ascii="Arial" w:hAnsi="Arial" w:cs="Arial"/>
          <w:bCs/>
        </w:rPr>
        <w:t xml:space="preserve">and </w:t>
      </w:r>
    </w:p>
    <w:p w14:paraId="44EAED1B" w14:textId="7191CA02" w:rsidR="001E797F" w:rsidRPr="006C225F" w:rsidRDefault="00CB28A3" w:rsidP="00635726">
      <w:pPr>
        <w:pStyle w:val="ListParagraph"/>
        <w:numPr>
          <w:ilvl w:val="2"/>
          <w:numId w:val="2"/>
        </w:numPr>
        <w:ind w:left="993" w:hanging="284"/>
        <w:jc w:val="left"/>
        <w:rPr>
          <w:rFonts w:ascii="Arial" w:hAnsi="Arial" w:cs="Arial"/>
          <w:bCs/>
        </w:rPr>
      </w:pPr>
      <w:r>
        <w:rPr>
          <w:rFonts w:ascii="Arial" w:hAnsi="Arial" w:cs="Arial"/>
          <w:bCs/>
        </w:rPr>
        <w:t>S</w:t>
      </w:r>
      <w:r w:rsidR="00481A1D">
        <w:rPr>
          <w:rFonts w:ascii="Arial" w:hAnsi="Arial" w:cs="Arial"/>
          <w:bCs/>
        </w:rPr>
        <w:t xml:space="preserve">ales impact </w:t>
      </w:r>
      <w:r w:rsidR="0026598D" w:rsidRPr="00D57959">
        <w:rPr>
          <w:rFonts w:ascii="Arial" w:hAnsi="Arial" w:cs="Arial"/>
          <w:bCs/>
        </w:rPr>
        <w:t xml:space="preserve">of </w:t>
      </w:r>
      <w:r w:rsidR="00BB7A35" w:rsidRPr="005C2EAC">
        <w:rPr>
          <w:rFonts w:ascii="Arial" w:hAnsi="Arial"/>
        </w:rPr>
        <w:t>c.</w:t>
      </w:r>
      <w:r w:rsidR="00E3345D" w:rsidRPr="005C2EAC">
        <w:rPr>
          <w:rFonts w:ascii="Arial" w:hAnsi="Arial"/>
        </w:rPr>
        <w:t>+</w:t>
      </w:r>
      <w:r w:rsidR="007773CB" w:rsidRPr="005C2EAC">
        <w:rPr>
          <w:rFonts w:ascii="Arial" w:hAnsi="Arial"/>
        </w:rPr>
        <w:t>1.5</w:t>
      </w:r>
      <w:r w:rsidR="00DE7E9A" w:rsidRPr="005C2EAC">
        <w:rPr>
          <w:rFonts w:ascii="Arial" w:hAnsi="Arial"/>
        </w:rPr>
        <w:t>%</w:t>
      </w:r>
      <w:r w:rsidR="0087063E" w:rsidRPr="005C2EAC">
        <w:rPr>
          <w:rFonts w:ascii="Arial" w:hAnsi="Arial"/>
        </w:rPr>
        <w:t xml:space="preserve"> to </w:t>
      </w:r>
      <w:r w:rsidR="00DE7E9A" w:rsidRPr="005C2EAC">
        <w:rPr>
          <w:rFonts w:ascii="Arial" w:hAnsi="Arial"/>
        </w:rPr>
        <w:t>+</w:t>
      </w:r>
      <w:r w:rsidR="0087063E" w:rsidRPr="005C2EAC">
        <w:rPr>
          <w:rFonts w:ascii="Arial" w:hAnsi="Arial"/>
        </w:rPr>
        <w:t>2.</w:t>
      </w:r>
      <w:r w:rsidR="007D580C" w:rsidRPr="005C2EAC">
        <w:rPr>
          <w:rFonts w:ascii="Arial" w:hAnsi="Arial"/>
        </w:rPr>
        <w:t>5</w:t>
      </w:r>
      <w:r w:rsidR="0026598D" w:rsidRPr="005C2EAC">
        <w:rPr>
          <w:rFonts w:ascii="Arial" w:hAnsi="Arial"/>
        </w:rPr>
        <w:t>%</w:t>
      </w:r>
      <w:r>
        <w:rPr>
          <w:rFonts w:ascii="Arial" w:hAnsi="Arial"/>
        </w:rPr>
        <w:t xml:space="preserve"> from </w:t>
      </w:r>
      <w:r w:rsidRPr="006C225F">
        <w:rPr>
          <w:rFonts w:ascii="Arial" w:hAnsi="Arial" w:cs="Arial"/>
          <w:bCs/>
        </w:rPr>
        <w:t xml:space="preserve">annual </w:t>
      </w:r>
      <w:r>
        <w:rPr>
          <w:rFonts w:ascii="Arial" w:hAnsi="Arial" w:cs="Arial"/>
          <w:bCs/>
        </w:rPr>
        <w:t xml:space="preserve">net </w:t>
      </w:r>
      <w:r w:rsidRPr="006C225F">
        <w:rPr>
          <w:rFonts w:ascii="Arial" w:hAnsi="Arial" w:cs="Arial"/>
          <w:bCs/>
        </w:rPr>
        <w:t>space growth</w:t>
      </w:r>
      <w:r w:rsidR="00DF1998">
        <w:rPr>
          <w:rFonts w:ascii="Arial" w:hAnsi="Arial" w:cs="Arial"/>
          <w:bCs/>
        </w:rPr>
        <w:t xml:space="preserve"> over the medium term</w:t>
      </w:r>
      <w:r w:rsidR="00FC4567" w:rsidRPr="00D57959">
        <w:rPr>
          <w:rFonts w:ascii="Arial" w:hAnsi="Arial" w:cs="Arial"/>
          <w:bCs/>
        </w:rPr>
        <w:t>,</w:t>
      </w:r>
      <w:r w:rsidR="00804F43" w:rsidRPr="00D57959">
        <w:rPr>
          <w:rFonts w:ascii="Arial" w:hAnsi="Arial" w:cs="Arial"/>
          <w:bCs/>
        </w:rPr>
        <w:t xml:space="preserve"> </w:t>
      </w:r>
      <w:r w:rsidR="001A7BDB" w:rsidRPr="00D57959">
        <w:rPr>
          <w:rFonts w:ascii="Arial" w:hAnsi="Arial" w:cs="Arial"/>
          <w:bCs/>
        </w:rPr>
        <w:t>primarily</w:t>
      </w:r>
      <w:r w:rsidR="001A7BDB" w:rsidRPr="006C225F">
        <w:rPr>
          <w:rFonts w:ascii="Arial" w:hAnsi="Arial" w:cs="Arial"/>
          <w:bCs/>
        </w:rPr>
        <w:t xml:space="preserve"> </w:t>
      </w:r>
      <w:r w:rsidR="0026598D" w:rsidRPr="006C225F">
        <w:rPr>
          <w:rFonts w:ascii="Arial" w:hAnsi="Arial" w:cs="Arial"/>
          <w:bCs/>
        </w:rPr>
        <w:t xml:space="preserve">driven by </w:t>
      </w:r>
      <w:r w:rsidR="001A7BDB" w:rsidRPr="006C225F">
        <w:rPr>
          <w:rFonts w:ascii="Arial" w:hAnsi="Arial" w:cs="Arial"/>
          <w:bCs/>
        </w:rPr>
        <w:t>Screwfix and Castorama Poland</w:t>
      </w:r>
    </w:p>
    <w:p w14:paraId="1CA158C9" w14:textId="77777777" w:rsidR="005A7E37" w:rsidRPr="008A4455" w:rsidRDefault="00C213BE" w:rsidP="00437C16">
      <w:pPr>
        <w:pStyle w:val="ListParagraph"/>
        <w:numPr>
          <w:ilvl w:val="1"/>
          <w:numId w:val="2"/>
        </w:numPr>
        <w:ind w:left="709"/>
        <w:jc w:val="left"/>
        <w:rPr>
          <w:rFonts w:ascii="Arial" w:hAnsi="Arial" w:cs="Arial"/>
          <w:bCs/>
        </w:rPr>
      </w:pPr>
      <w:r>
        <w:rPr>
          <w:rFonts w:ascii="Arial" w:hAnsi="Arial" w:cs="Arial"/>
          <w:b/>
        </w:rPr>
        <w:t xml:space="preserve">Adjusted pre-tax profit </w:t>
      </w:r>
      <w:r w:rsidR="00BB5D1D">
        <w:rPr>
          <w:rFonts w:ascii="Arial" w:hAnsi="Arial" w:cs="Arial"/>
          <w:b/>
        </w:rPr>
        <w:t xml:space="preserve">to grow </w:t>
      </w:r>
      <w:r w:rsidR="00890315">
        <w:rPr>
          <w:rFonts w:ascii="Arial" w:hAnsi="Arial" w:cs="Arial"/>
          <w:b/>
        </w:rPr>
        <w:t>faster</w:t>
      </w:r>
      <w:r w:rsidR="00BB5D1D">
        <w:rPr>
          <w:rFonts w:ascii="Arial" w:hAnsi="Arial" w:cs="Arial"/>
          <w:b/>
        </w:rPr>
        <w:t xml:space="preserve"> than sales</w:t>
      </w:r>
      <w:r w:rsidR="00590062">
        <w:rPr>
          <w:rFonts w:ascii="Arial" w:hAnsi="Arial" w:cs="Arial"/>
          <w:b/>
        </w:rPr>
        <w:t xml:space="preserve">: </w:t>
      </w:r>
    </w:p>
    <w:p w14:paraId="5364E68F" w14:textId="2982F7DD" w:rsidR="001A7BDB" w:rsidRDefault="005A7E37" w:rsidP="008A4455">
      <w:pPr>
        <w:pStyle w:val="ListParagraph"/>
        <w:numPr>
          <w:ilvl w:val="2"/>
          <w:numId w:val="2"/>
        </w:numPr>
        <w:ind w:left="993" w:hanging="284"/>
        <w:jc w:val="left"/>
        <w:rPr>
          <w:rFonts w:ascii="Arial" w:hAnsi="Arial" w:cs="Arial"/>
          <w:bCs/>
        </w:rPr>
      </w:pPr>
      <w:r>
        <w:rPr>
          <w:rFonts w:ascii="Arial" w:hAnsi="Arial" w:cs="Arial"/>
          <w:bCs/>
        </w:rPr>
        <w:t>S</w:t>
      </w:r>
      <w:r w:rsidR="00590062">
        <w:rPr>
          <w:rFonts w:ascii="Arial" w:hAnsi="Arial" w:cs="Arial"/>
          <w:bCs/>
        </w:rPr>
        <w:t xml:space="preserve">upported by </w:t>
      </w:r>
      <w:r>
        <w:rPr>
          <w:rFonts w:ascii="Arial" w:hAnsi="Arial" w:cs="Arial"/>
          <w:bCs/>
        </w:rPr>
        <w:t xml:space="preserve">scale </w:t>
      </w:r>
      <w:r w:rsidRPr="00BB0D5F">
        <w:rPr>
          <w:rFonts w:ascii="Arial" w:hAnsi="Arial" w:cs="Arial"/>
          <w:bCs/>
        </w:rPr>
        <w:t xml:space="preserve">benefits, </w:t>
      </w:r>
      <w:r w:rsidR="0000211F" w:rsidRPr="00CD09A1">
        <w:rPr>
          <w:rFonts w:ascii="Arial" w:hAnsi="Arial"/>
        </w:rPr>
        <w:t>higher margin</w:t>
      </w:r>
      <w:r w:rsidR="00E615B9" w:rsidRPr="00CD09A1">
        <w:rPr>
          <w:rFonts w:ascii="Arial" w:hAnsi="Arial"/>
        </w:rPr>
        <w:t xml:space="preserve"> </w:t>
      </w:r>
      <w:r w:rsidR="0000211F" w:rsidRPr="00CD09A1">
        <w:rPr>
          <w:rFonts w:ascii="Arial" w:hAnsi="Arial"/>
        </w:rPr>
        <w:t>initiatives</w:t>
      </w:r>
      <w:r w:rsidR="0000211F" w:rsidRPr="00BB0D5F">
        <w:rPr>
          <w:rFonts w:ascii="Arial" w:hAnsi="Arial" w:cs="Arial"/>
          <w:bCs/>
        </w:rPr>
        <w:t xml:space="preserve">, </w:t>
      </w:r>
      <w:r w:rsidR="00A43CED" w:rsidRPr="00BB0D5F">
        <w:rPr>
          <w:rFonts w:ascii="Arial" w:hAnsi="Arial" w:cs="Arial"/>
          <w:bCs/>
        </w:rPr>
        <w:t>operating</w:t>
      </w:r>
      <w:r w:rsidR="00A43CED">
        <w:rPr>
          <w:rFonts w:ascii="Arial" w:hAnsi="Arial" w:cs="Arial"/>
          <w:bCs/>
        </w:rPr>
        <w:t xml:space="preserve"> cost leverage</w:t>
      </w:r>
      <w:r w:rsidR="000936A9">
        <w:rPr>
          <w:rFonts w:ascii="Arial" w:hAnsi="Arial" w:cs="Arial"/>
          <w:bCs/>
        </w:rPr>
        <w:t xml:space="preserve">, and </w:t>
      </w:r>
      <w:r w:rsidR="00774C6A">
        <w:rPr>
          <w:rFonts w:ascii="Arial" w:hAnsi="Arial" w:cs="Arial"/>
          <w:bCs/>
        </w:rPr>
        <w:t xml:space="preserve">multi-year </w:t>
      </w:r>
      <w:r w:rsidR="00A37211">
        <w:rPr>
          <w:rFonts w:ascii="Arial" w:hAnsi="Arial" w:cs="Arial"/>
          <w:bCs/>
        </w:rPr>
        <w:t>operating cost reduction opportunities</w:t>
      </w:r>
    </w:p>
    <w:p w14:paraId="294D2ADC" w14:textId="43C2AE18" w:rsidR="003305AE" w:rsidRPr="006C225F" w:rsidRDefault="003F7D4F" w:rsidP="003305AE">
      <w:pPr>
        <w:pStyle w:val="ListParagraph"/>
        <w:numPr>
          <w:ilvl w:val="1"/>
          <w:numId w:val="2"/>
        </w:numPr>
        <w:ind w:left="709"/>
        <w:jc w:val="left"/>
        <w:rPr>
          <w:rFonts w:ascii="Arial" w:hAnsi="Arial" w:cs="Arial"/>
          <w:bCs/>
        </w:rPr>
      </w:pPr>
      <w:r>
        <w:rPr>
          <w:rFonts w:ascii="Arial" w:hAnsi="Arial" w:cs="Arial"/>
          <w:b/>
        </w:rPr>
        <w:t>S</w:t>
      </w:r>
      <w:r w:rsidR="007E45E5">
        <w:rPr>
          <w:rFonts w:ascii="Arial" w:hAnsi="Arial" w:cs="Arial"/>
          <w:b/>
        </w:rPr>
        <w:t xml:space="preserve">trong </w:t>
      </w:r>
      <w:r w:rsidR="00E251D4">
        <w:rPr>
          <w:rFonts w:ascii="Arial" w:hAnsi="Arial" w:cs="Arial"/>
          <w:b/>
        </w:rPr>
        <w:t xml:space="preserve">cash </w:t>
      </w:r>
      <w:r>
        <w:rPr>
          <w:rFonts w:ascii="Arial" w:hAnsi="Arial" w:cs="Arial"/>
          <w:b/>
        </w:rPr>
        <w:t xml:space="preserve">generation </w:t>
      </w:r>
      <w:r w:rsidR="00C45F37">
        <w:rPr>
          <w:rFonts w:ascii="Arial" w:hAnsi="Arial" w:cs="Arial"/>
          <w:b/>
        </w:rPr>
        <w:t xml:space="preserve">to </w:t>
      </w:r>
      <w:r w:rsidR="0044203A">
        <w:rPr>
          <w:rFonts w:ascii="Arial" w:hAnsi="Arial" w:cs="Arial"/>
          <w:b/>
        </w:rPr>
        <w:t xml:space="preserve">drive growth </w:t>
      </w:r>
      <w:r w:rsidR="00C45F37" w:rsidRPr="00181A1A">
        <w:rPr>
          <w:rFonts w:ascii="Arial" w:hAnsi="Arial" w:cs="Arial"/>
          <w:b/>
        </w:rPr>
        <w:t>investment and shareholder returns</w:t>
      </w:r>
      <w:r w:rsidR="00315B5A" w:rsidRPr="00181A1A">
        <w:rPr>
          <w:rFonts w:ascii="Arial" w:hAnsi="Arial" w:cs="Arial"/>
          <w:b/>
        </w:rPr>
        <w:t>:</w:t>
      </w:r>
    </w:p>
    <w:p w14:paraId="5DE6CEDD" w14:textId="3B5C2417" w:rsidR="00A37211" w:rsidRPr="00D57959" w:rsidRDefault="00DE2110" w:rsidP="008A4455">
      <w:pPr>
        <w:pStyle w:val="ListParagraph"/>
        <w:numPr>
          <w:ilvl w:val="2"/>
          <w:numId w:val="2"/>
        </w:numPr>
        <w:ind w:left="993" w:hanging="284"/>
        <w:jc w:val="left"/>
        <w:rPr>
          <w:rFonts w:ascii="Arial" w:hAnsi="Arial" w:cs="Arial"/>
          <w:bCs/>
        </w:rPr>
      </w:pPr>
      <w:r w:rsidRPr="005C2EAC">
        <w:rPr>
          <w:rFonts w:ascii="Arial" w:hAnsi="Arial"/>
        </w:rPr>
        <w:t>Free</w:t>
      </w:r>
      <w:r w:rsidR="00BD3ECB" w:rsidRPr="005C2EAC">
        <w:rPr>
          <w:rFonts w:ascii="Arial" w:hAnsi="Arial"/>
        </w:rPr>
        <w:t xml:space="preserve"> cash flow </w:t>
      </w:r>
      <w:r w:rsidR="008641BC" w:rsidRPr="005C2EAC">
        <w:rPr>
          <w:rFonts w:ascii="Arial" w:hAnsi="Arial"/>
        </w:rPr>
        <w:t xml:space="preserve">of </w:t>
      </w:r>
      <w:r w:rsidR="00FB2557" w:rsidRPr="005C2EAC">
        <w:rPr>
          <w:rFonts w:ascii="Arial" w:hAnsi="Arial"/>
        </w:rPr>
        <w:t xml:space="preserve">c.£400m to £500m in FY </w:t>
      </w:r>
      <w:r w:rsidR="00873E30" w:rsidRPr="005C2EAC">
        <w:rPr>
          <w:rFonts w:ascii="Arial" w:hAnsi="Arial"/>
        </w:rPr>
        <w:t xml:space="preserve">24/25, followed by </w:t>
      </w:r>
      <w:r w:rsidR="00BD3ECB" w:rsidRPr="005C2EAC">
        <w:rPr>
          <w:rFonts w:ascii="Arial" w:hAnsi="Arial"/>
        </w:rPr>
        <w:t xml:space="preserve">&gt;£500m </w:t>
      </w:r>
      <w:r w:rsidR="00BD79A0" w:rsidRPr="005C2EAC">
        <w:rPr>
          <w:rFonts w:ascii="Arial" w:hAnsi="Arial"/>
        </w:rPr>
        <w:t>per annum</w:t>
      </w:r>
      <w:r w:rsidR="00D9169F">
        <w:rPr>
          <w:rFonts w:ascii="Arial" w:hAnsi="Arial"/>
        </w:rPr>
        <w:t xml:space="preserve"> from FY 25/26</w:t>
      </w:r>
      <w:r w:rsidR="00BD3ECB" w:rsidRPr="005C2EAC">
        <w:rPr>
          <w:rFonts w:ascii="Arial" w:hAnsi="Arial"/>
        </w:rPr>
        <w:t>, s</w:t>
      </w:r>
      <w:r w:rsidR="00A230B8" w:rsidRPr="005C2EAC">
        <w:rPr>
          <w:rFonts w:ascii="Arial" w:hAnsi="Arial"/>
        </w:rPr>
        <w:t xml:space="preserve">upported by </w:t>
      </w:r>
      <w:r w:rsidR="00F62C56" w:rsidRPr="005C2EAC">
        <w:rPr>
          <w:rFonts w:ascii="Arial" w:hAnsi="Arial"/>
        </w:rPr>
        <w:t xml:space="preserve">profit growth and </w:t>
      </w:r>
      <w:r w:rsidR="005B211D" w:rsidRPr="005C2EAC">
        <w:rPr>
          <w:rFonts w:ascii="Arial" w:hAnsi="Arial"/>
        </w:rPr>
        <w:t xml:space="preserve">ongoing </w:t>
      </w:r>
      <w:r w:rsidR="00A230B8" w:rsidRPr="005C2EAC">
        <w:rPr>
          <w:rFonts w:ascii="Arial" w:hAnsi="Arial"/>
        </w:rPr>
        <w:t>inventory</w:t>
      </w:r>
      <w:r w:rsidR="00CF353D" w:rsidRPr="005C2EAC">
        <w:rPr>
          <w:rFonts w:ascii="Arial" w:hAnsi="Arial"/>
        </w:rPr>
        <w:t xml:space="preserve"> </w:t>
      </w:r>
      <w:r w:rsidR="00A230B8" w:rsidRPr="005C2EAC">
        <w:rPr>
          <w:rFonts w:ascii="Arial" w:hAnsi="Arial"/>
        </w:rPr>
        <w:t xml:space="preserve">self-help </w:t>
      </w:r>
      <w:r w:rsidR="00AB6A12" w:rsidRPr="005C2EAC">
        <w:rPr>
          <w:rFonts w:ascii="Arial" w:hAnsi="Arial"/>
        </w:rPr>
        <w:t>measures</w:t>
      </w:r>
    </w:p>
    <w:p w14:paraId="762C327F" w14:textId="4010432D" w:rsidR="00335F0F" w:rsidRPr="00A73E7A" w:rsidRDefault="0082761E" w:rsidP="00335F0F">
      <w:pPr>
        <w:pStyle w:val="ListParagraph"/>
        <w:numPr>
          <w:ilvl w:val="0"/>
          <w:numId w:val="2"/>
        </w:numPr>
        <w:jc w:val="left"/>
        <w:rPr>
          <w:rFonts w:ascii="Arial" w:hAnsi="Arial" w:cs="Arial"/>
          <w:bCs/>
        </w:rPr>
      </w:pPr>
      <w:r w:rsidRPr="008A4455">
        <w:rPr>
          <w:rFonts w:ascii="Arial" w:hAnsi="Arial" w:cs="Arial"/>
          <w:b/>
          <w:bCs/>
        </w:rPr>
        <w:t xml:space="preserve">Capital </w:t>
      </w:r>
      <w:r w:rsidRPr="00A73E7A">
        <w:rPr>
          <w:rFonts w:ascii="Arial" w:hAnsi="Arial" w:cs="Arial"/>
          <w:b/>
          <w:bCs/>
        </w:rPr>
        <w:t>allocation:</w:t>
      </w:r>
      <w:r w:rsidRPr="00A73E7A">
        <w:rPr>
          <w:rFonts w:ascii="Arial" w:hAnsi="Arial" w:cs="Arial"/>
        </w:rPr>
        <w:t xml:space="preserve"> </w:t>
      </w:r>
      <w:r w:rsidR="0085342C" w:rsidRPr="00A73E7A">
        <w:rPr>
          <w:rFonts w:ascii="Arial" w:hAnsi="Arial" w:cs="Arial"/>
        </w:rPr>
        <w:t>Our c</w:t>
      </w:r>
      <w:r w:rsidR="00335F0F" w:rsidRPr="00A73E7A">
        <w:rPr>
          <w:rFonts w:ascii="Arial" w:hAnsi="Arial" w:cs="Arial"/>
        </w:rPr>
        <w:t xml:space="preserve">apital allocation </w:t>
      </w:r>
      <w:r w:rsidR="00E2285C" w:rsidRPr="00A73E7A">
        <w:rPr>
          <w:rFonts w:ascii="Arial" w:hAnsi="Arial" w:cs="Arial"/>
        </w:rPr>
        <w:t>priorities</w:t>
      </w:r>
      <w:r w:rsidR="0085342C" w:rsidRPr="00A73E7A">
        <w:rPr>
          <w:rFonts w:ascii="Arial" w:hAnsi="Arial" w:cs="Arial"/>
        </w:rPr>
        <w:t xml:space="preserve"> are as follows</w:t>
      </w:r>
      <w:r w:rsidR="00335F0F" w:rsidRPr="00A73E7A">
        <w:rPr>
          <w:rFonts w:ascii="Arial" w:hAnsi="Arial" w:cs="Arial"/>
        </w:rPr>
        <w:t>:</w:t>
      </w:r>
    </w:p>
    <w:p w14:paraId="63DBCBD6" w14:textId="3B74051F" w:rsidR="00F94249" w:rsidRPr="00F94249" w:rsidRDefault="00A73E7A" w:rsidP="0089073F">
      <w:pPr>
        <w:pStyle w:val="ListParagraph"/>
        <w:numPr>
          <w:ilvl w:val="1"/>
          <w:numId w:val="2"/>
        </w:numPr>
        <w:ind w:left="709"/>
        <w:jc w:val="left"/>
        <w:rPr>
          <w:rFonts w:ascii="Arial" w:hAnsi="Arial" w:cs="Arial"/>
          <w:bCs/>
        </w:rPr>
      </w:pPr>
      <w:r w:rsidRPr="00BF4BC0">
        <w:rPr>
          <w:rFonts w:ascii="Arial" w:hAnsi="Arial" w:cs="Arial"/>
          <w:bCs/>
        </w:rPr>
        <w:t>O</w:t>
      </w:r>
      <w:r w:rsidR="000F4C58" w:rsidRPr="00BF4BC0">
        <w:rPr>
          <w:rFonts w:ascii="Arial" w:hAnsi="Arial" w:cs="Arial"/>
          <w:bCs/>
        </w:rPr>
        <w:t>rganic</w:t>
      </w:r>
      <w:r w:rsidR="000F4C58" w:rsidRPr="005C2EAC">
        <w:rPr>
          <w:rFonts w:ascii="Arial" w:hAnsi="Arial"/>
        </w:rPr>
        <w:t xml:space="preserve"> </w:t>
      </w:r>
      <w:r w:rsidR="00B64F61">
        <w:rPr>
          <w:rFonts w:ascii="Arial" w:hAnsi="Arial"/>
        </w:rPr>
        <w:t>and</w:t>
      </w:r>
      <w:r w:rsidR="00B64F61" w:rsidRPr="00FD3B1D">
        <w:rPr>
          <w:rFonts w:ascii="Arial" w:hAnsi="Arial"/>
        </w:rPr>
        <w:t xml:space="preserve"> </w:t>
      </w:r>
      <w:r w:rsidR="00B64F61">
        <w:rPr>
          <w:rFonts w:ascii="Arial" w:hAnsi="Arial"/>
        </w:rPr>
        <w:t>‘</w:t>
      </w:r>
      <w:r w:rsidR="000F4C58" w:rsidRPr="00AD2F29">
        <w:rPr>
          <w:rFonts w:ascii="Arial" w:hAnsi="Arial" w:cs="Arial"/>
          <w:bCs/>
        </w:rPr>
        <w:t>bolt-on</w:t>
      </w:r>
      <w:r w:rsidR="00B64F61">
        <w:rPr>
          <w:rFonts w:ascii="Arial" w:hAnsi="Arial" w:cs="Arial"/>
          <w:bCs/>
        </w:rPr>
        <w:t>’</w:t>
      </w:r>
      <w:r w:rsidR="000F4C58" w:rsidRPr="00FD3B1D">
        <w:rPr>
          <w:rFonts w:ascii="Arial" w:hAnsi="Arial"/>
        </w:rPr>
        <w:t xml:space="preserve"> inorganic</w:t>
      </w:r>
      <w:r w:rsidR="000F4C58" w:rsidRPr="005C2EAC">
        <w:rPr>
          <w:rFonts w:ascii="Arial" w:hAnsi="Arial"/>
        </w:rPr>
        <w:t xml:space="preserve"> growth opportunities that accelerate our strategy.</w:t>
      </w:r>
      <w:r w:rsidR="00CB5D44" w:rsidRPr="00A73E7A">
        <w:rPr>
          <w:rFonts w:ascii="Arial" w:hAnsi="Arial" w:cs="Arial"/>
          <w:bCs/>
        </w:rPr>
        <w:t xml:space="preserve"> </w:t>
      </w:r>
      <w:r w:rsidR="00337FB8" w:rsidRPr="00A73E7A">
        <w:rPr>
          <w:rFonts w:ascii="Arial" w:hAnsi="Arial" w:cs="Arial"/>
          <w:bCs/>
        </w:rPr>
        <w:t>T</w:t>
      </w:r>
      <w:r w:rsidR="00F94249" w:rsidRPr="00A73E7A">
        <w:rPr>
          <w:rFonts w:ascii="Arial" w:hAnsi="Arial" w:cs="Arial"/>
          <w:bCs/>
        </w:rPr>
        <w:t>arget</w:t>
      </w:r>
      <w:r w:rsidR="00F94249" w:rsidRPr="00F94249">
        <w:rPr>
          <w:rFonts w:ascii="Arial" w:hAnsi="Arial" w:cs="Arial"/>
          <w:bCs/>
        </w:rPr>
        <w:t xml:space="preserve"> gross capex of c.3.0-3.5% of total sales per annum, on average</w:t>
      </w:r>
      <w:r w:rsidR="00102E93">
        <w:rPr>
          <w:rFonts w:ascii="Arial" w:hAnsi="Arial" w:cs="Arial"/>
          <w:bCs/>
        </w:rPr>
        <w:t>,</w:t>
      </w:r>
      <w:r w:rsidR="00F94249" w:rsidRPr="00F94249">
        <w:rPr>
          <w:rFonts w:ascii="Arial" w:hAnsi="Arial" w:cs="Arial"/>
          <w:bCs/>
        </w:rPr>
        <w:t xml:space="preserve"> </w:t>
      </w:r>
      <w:r w:rsidR="00F06437">
        <w:rPr>
          <w:rFonts w:ascii="Arial" w:hAnsi="Arial" w:cs="Arial"/>
          <w:bCs/>
        </w:rPr>
        <w:t xml:space="preserve">focussed on delivering against attractive </w:t>
      </w:r>
      <w:r w:rsidR="00F023F1">
        <w:rPr>
          <w:rFonts w:ascii="Arial" w:hAnsi="Arial" w:cs="Arial"/>
          <w:bCs/>
        </w:rPr>
        <w:t xml:space="preserve">organic </w:t>
      </w:r>
      <w:r w:rsidR="00F06437">
        <w:rPr>
          <w:rFonts w:ascii="Arial" w:hAnsi="Arial" w:cs="Arial"/>
          <w:bCs/>
        </w:rPr>
        <w:t>growth opportunities</w:t>
      </w:r>
    </w:p>
    <w:p w14:paraId="46BC6851" w14:textId="3A2F5314" w:rsidR="00F94249" w:rsidRPr="00F94249" w:rsidRDefault="00F84878" w:rsidP="0089073F">
      <w:pPr>
        <w:pStyle w:val="ListParagraph"/>
        <w:numPr>
          <w:ilvl w:val="1"/>
          <w:numId w:val="2"/>
        </w:numPr>
        <w:ind w:left="709"/>
        <w:jc w:val="left"/>
        <w:rPr>
          <w:rFonts w:ascii="Arial" w:hAnsi="Arial" w:cs="Arial"/>
          <w:bCs/>
        </w:rPr>
      </w:pPr>
      <w:r>
        <w:rPr>
          <w:rFonts w:ascii="Arial" w:hAnsi="Arial" w:cs="Arial"/>
          <w:bCs/>
        </w:rPr>
        <w:t xml:space="preserve">Maintain </w:t>
      </w:r>
      <w:r w:rsidR="00F94249" w:rsidRPr="00F94249">
        <w:rPr>
          <w:rFonts w:ascii="Arial" w:hAnsi="Arial" w:cs="Arial"/>
          <w:bCs/>
        </w:rPr>
        <w:t xml:space="preserve">an efficient capital structure, </w:t>
      </w:r>
      <w:r w:rsidR="000C6B89">
        <w:rPr>
          <w:rFonts w:ascii="Arial" w:hAnsi="Arial" w:cs="Arial"/>
          <w:bCs/>
        </w:rPr>
        <w:t xml:space="preserve">with </w:t>
      </w:r>
      <w:r w:rsidR="00F94249" w:rsidRPr="00F94249">
        <w:rPr>
          <w:rFonts w:ascii="Arial" w:hAnsi="Arial" w:cs="Arial"/>
          <w:bCs/>
        </w:rPr>
        <w:t xml:space="preserve">a </w:t>
      </w:r>
      <w:r w:rsidR="006C74F4">
        <w:rPr>
          <w:rFonts w:ascii="Arial" w:hAnsi="Arial" w:cs="Arial"/>
          <w:bCs/>
        </w:rPr>
        <w:t xml:space="preserve">more </w:t>
      </w:r>
      <w:r w:rsidR="00F94249" w:rsidRPr="00F94249">
        <w:rPr>
          <w:rFonts w:ascii="Arial" w:hAnsi="Arial" w:cs="Arial"/>
          <w:bCs/>
        </w:rPr>
        <w:t xml:space="preserve">prudent position in times of </w:t>
      </w:r>
      <w:r w:rsidR="00F54F8A">
        <w:rPr>
          <w:rFonts w:ascii="Arial" w:hAnsi="Arial" w:cs="Arial"/>
          <w:bCs/>
        </w:rPr>
        <w:t xml:space="preserve">macroeconomic </w:t>
      </w:r>
      <w:r w:rsidR="00F94249" w:rsidRPr="00F94249">
        <w:rPr>
          <w:rFonts w:ascii="Arial" w:hAnsi="Arial" w:cs="Arial"/>
          <w:bCs/>
        </w:rPr>
        <w:t>uncertainty</w:t>
      </w:r>
      <w:r w:rsidR="000C6B89">
        <w:rPr>
          <w:rFonts w:ascii="Arial" w:hAnsi="Arial" w:cs="Arial"/>
          <w:bCs/>
        </w:rPr>
        <w:t>;</w:t>
      </w:r>
      <w:r w:rsidR="00F94249" w:rsidRPr="00F94249">
        <w:rPr>
          <w:rFonts w:ascii="Arial" w:hAnsi="Arial" w:cs="Arial"/>
          <w:bCs/>
        </w:rPr>
        <w:t xml:space="preserve"> </w:t>
      </w:r>
      <w:r w:rsidR="00867AFB">
        <w:rPr>
          <w:rFonts w:ascii="Arial" w:hAnsi="Arial" w:cs="Arial"/>
          <w:bCs/>
        </w:rPr>
        <w:t xml:space="preserve">maximum net leverage </w:t>
      </w:r>
      <w:r w:rsidR="00FB0646">
        <w:rPr>
          <w:rFonts w:ascii="Arial" w:hAnsi="Arial" w:cs="Arial"/>
          <w:bCs/>
        </w:rPr>
        <w:t xml:space="preserve">(net debt to EBITDA) </w:t>
      </w:r>
      <w:r w:rsidR="00867AFB">
        <w:rPr>
          <w:rFonts w:ascii="Arial" w:hAnsi="Arial" w:cs="Arial"/>
          <w:bCs/>
        </w:rPr>
        <w:t>of 2.0x over medium term</w:t>
      </w:r>
    </w:p>
    <w:p w14:paraId="1B26560F" w14:textId="0B7E7836" w:rsidR="00480D9D" w:rsidRPr="00F94249" w:rsidRDefault="00480D9D" w:rsidP="00480D9D">
      <w:pPr>
        <w:pStyle w:val="ListParagraph"/>
        <w:numPr>
          <w:ilvl w:val="1"/>
          <w:numId w:val="2"/>
        </w:numPr>
        <w:ind w:left="709"/>
        <w:jc w:val="left"/>
        <w:rPr>
          <w:rFonts w:ascii="Arial" w:hAnsi="Arial" w:cs="Arial"/>
          <w:bCs/>
        </w:rPr>
      </w:pPr>
      <w:r w:rsidRPr="00F94249">
        <w:rPr>
          <w:rFonts w:ascii="Arial" w:hAnsi="Arial" w:cs="Arial"/>
          <w:bCs/>
        </w:rPr>
        <w:t>Progressive, sustainable dividend policy, with target dividend cover</w:t>
      </w:r>
      <w:r w:rsidR="0023305C">
        <w:rPr>
          <w:rFonts w:ascii="Arial" w:hAnsi="Arial" w:cs="Arial"/>
          <w:bCs/>
        </w:rPr>
        <w:t>*</w:t>
      </w:r>
      <w:r w:rsidRPr="00F94249">
        <w:rPr>
          <w:rFonts w:ascii="Arial" w:hAnsi="Arial" w:cs="Arial"/>
          <w:bCs/>
        </w:rPr>
        <w:t xml:space="preserve"> of 2.25-2.75x </w:t>
      </w:r>
    </w:p>
    <w:p w14:paraId="65D5CEB3" w14:textId="5758363B" w:rsidR="00F94249" w:rsidRPr="00A37015" w:rsidRDefault="00F94249" w:rsidP="0089073F">
      <w:pPr>
        <w:pStyle w:val="ListParagraph"/>
        <w:numPr>
          <w:ilvl w:val="1"/>
          <w:numId w:val="2"/>
        </w:numPr>
        <w:ind w:left="709"/>
        <w:jc w:val="left"/>
        <w:rPr>
          <w:rFonts w:ascii="Arial" w:hAnsi="Arial" w:cs="Arial"/>
          <w:bCs/>
        </w:rPr>
      </w:pPr>
      <w:r w:rsidRPr="00A37015">
        <w:rPr>
          <w:rFonts w:ascii="Arial" w:hAnsi="Arial" w:cs="Arial"/>
          <w:bCs/>
        </w:rPr>
        <w:t>S</w:t>
      </w:r>
      <w:r w:rsidR="009C28DD" w:rsidRPr="00A37015">
        <w:rPr>
          <w:rFonts w:ascii="Arial" w:hAnsi="Arial" w:cs="Arial"/>
          <w:bCs/>
        </w:rPr>
        <w:t xml:space="preserve">urplus capital </w:t>
      </w:r>
      <w:r w:rsidR="00BA6A42" w:rsidRPr="00A37015">
        <w:rPr>
          <w:rFonts w:ascii="Arial" w:hAnsi="Arial" w:cs="Arial"/>
          <w:bCs/>
        </w:rPr>
        <w:t xml:space="preserve">to be </w:t>
      </w:r>
      <w:r w:rsidR="009C28DD" w:rsidRPr="00A37015">
        <w:rPr>
          <w:rFonts w:ascii="Arial" w:hAnsi="Arial" w:cs="Arial"/>
          <w:bCs/>
        </w:rPr>
        <w:t>return</w:t>
      </w:r>
      <w:r w:rsidR="00BA6A42" w:rsidRPr="00A37015">
        <w:rPr>
          <w:rFonts w:ascii="Arial" w:hAnsi="Arial" w:cs="Arial"/>
          <w:bCs/>
        </w:rPr>
        <w:t>ed</w:t>
      </w:r>
      <w:r w:rsidR="009C28DD" w:rsidRPr="00A37015">
        <w:rPr>
          <w:rFonts w:ascii="Arial" w:hAnsi="Arial" w:cs="Arial"/>
          <w:bCs/>
        </w:rPr>
        <w:t xml:space="preserve"> </w:t>
      </w:r>
      <w:r w:rsidRPr="00A37015">
        <w:rPr>
          <w:rFonts w:ascii="Arial" w:hAnsi="Arial" w:cs="Arial"/>
          <w:bCs/>
        </w:rPr>
        <w:t xml:space="preserve">via share buybacks or special dividends </w:t>
      </w:r>
    </w:p>
    <w:p w14:paraId="18A05A8F" w14:textId="4581FD77" w:rsidR="00195BBC" w:rsidRPr="00D376B1" w:rsidRDefault="00195BBC" w:rsidP="00D21466">
      <w:pPr>
        <w:jc w:val="left"/>
        <w:rPr>
          <w:rFonts w:ascii="Arial" w:hAnsi="Arial" w:cs="Arial"/>
        </w:rPr>
      </w:pPr>
    </w:p>
    <w:bookmarkEnd w:id="9"/>
    <w:bookmarkEnd w:id="10"/>
    <w:bookmarkEnd w:id="12"/>
    <w:p w14:paraId="5697B4F4" w14:textId="0A30F7B2" w:rsidR="00C1353A" w:rsidRPr="00EB4495" w:rsidRDefault="00C1353A" w:rsidP="00C1353A">
      <w:pPr>
        <w:jc w:val="left"/>
        <w:rPr>
          <w:rFonts w:ascii="Arial" w:hAnsi="Arial" w:cs="Arial"/>
          <w:b/>
          <w:u w:val="single"/>
        </w:rPr>
      </w:pPr>
      <w:r w:rsidRPr="00EA63F2">
        <w:rPr>
          <w:rFonts w:ascii="Arial" w:hAnsi="Arial" w:cs="Arial"/>
          <w:b/>
          <w:u w:val="single"/>
        </w:rPr>
        <w:t>Executing strongly against our strategic priorities</w:t>
      </w:r>
    </w:p>
    <w:p w14:paraId="1505D587" w14:textId="77777777" w:rsidR="00C1353A" w:rsidRPr="00E75C03" w:rsidRDefault="00C1353A" w:rsidP="00C1353A">
      <w:pPr>
        <w:jc w:val="left"/>
        <w:rPr>
          <w:rFonts w:ascii="Arial" w:hAnsi="Arial" w:cs="Arial"/>
        </w:rPr>
      </w:pPr>
    </w:p>
    <w:p w14:paraId="1BDD4A34" w14:textId="77777777" w:rsidR="00C1353A" w:rsidRPr="00FA03DF" w:rsidRDefault="00C1353A" w:rsidP="00C1353A">
      <w:pPr>
        <w:pStyle w:val="ListParagraph"/>
        <w:numPr>
          <w:ilvl w:val="0"/>
          <w:numId w:val="2"/>
        </w:numPr>
        <w:jc w:val="left"/>
        <w:rPr>
          <w:rFonts w:ascii="Arial" w:hAnsi="Arial"/>
          <w:b/>
        </w:rPr>
      </w:pPr>
      <w:r w:rsidRPr="00983AE2">
        <w:rPr>
          <w:rFonts w:ascii="Arial" w:hAnsi="Arial"/>
          <w:b/>
        </w:rPr>
        <w:t>Grow by building on our different banners:</w:t>
      </w:r>
    </w:p>
    <w:p w14:paraId="13745C2C" w14:textId="006FFDCE" w:rsidR="00C1353A" w:rsidRDefault="00C1353A" w:rsidP="00C1353A">
      <w:pPr>
        <w:pStyle w:val="ListParagraph"/>
        <w:numPr>
          <w:ilvl w:val="1"/>
          <w:numId w:val="2"/>
        </w:numPr>
        <w:ind w:left="709"/>
        <w:jc w:val="left"/>
        <w:rPr>
          <w:rFonts w:ascii="Arial" w:hAnsi="Arial" w:cs="Arial"/>
        </w:rPr>
      </w:pPr>
      <w:r>
        <w:rPr>
          <w:rFonts w:ascii="Arial" w:hAnsi="Arial" w:cs="Arial"/>
        </w:rPr>
        <w:t xml:space="preserve">Record </w:t>
      </w:r>
      <w:r w:rsidRPr="00214D4E">
        <w:rPr>
          <w:rFonts w:ascii="Arial" w:hAnsi="Arial" w:cs="Arial"/>
        </w:rPr>
        <w:t>82</w:t>
      </w:r>
      <w:r w:rsidRPr="00B63343">
        <w:rPr>
          <w:rFonts w:ascii="Arial" w:hAnsi="Arial" w:cs="Arial"/>
        </w:rPr>
        <w:t xml:space="preserve"> </w:t>
      </w:r>
      <w:r>
        <w:rPr>
          <w:rFonts w:ascii="Arial" w:hAnsi="Arial" w:cs="Arial"/>
        </w:rPr>
        <w:t xml:space="preserve">Screwfix </w:t>
      </w:r>
      <w:r w:rsidRPr="00B63343">
        <w:rPr>
          <w:rFonts w:ascii="Arial" w:hAnsi="Arial" w:cs="Arial"/>
        </w:rPr>
        <w:t>store openings in the UK &amp; Ireland</w:t>
      </w:r>
      <w:r>
        <w:rPr>
          <w:rFonts w:ascii="Arial" w:hAnsi="Arial" w:cs="Arial"/>
        </w:rPr>
        <w:t xml:space="preserve"> for a total of 872 </w:t>
      </w:r>
      <w:r w:rsidRPr="00CB5CE8">
        <w:rPr>
          <w:rFonts w:ascii="Arial" w:hAnsi="Arial" w:cs="Arial"/>
        </w:rPr>
        <w:t xml:space="preserve">stores; </w:t>
      </w:r>
      <w:r w:rsidRPr="00CD09A1">
        <w:rPr>
          <w:rFonts w:ascii="Arial" w:hAnsi="Arial"/>
        </w:rPr>
        <w:t>up to 60</w:t>
      </w:r>
      <w:r w:rsidRPr="00CB5CE8">
        <w:rPr>
          <w:rFonts w:ascii="Arial" w:hAnsi="Arial" w:cs="Arial"/>
        </w:rPr>
        <w:t xml:space="preserve"> new</w:t>
      </w:r>
      <w:r>
        <w:rPr>
          <w:rFonts w:ascii="Arial" w:hAnsi="Arial" w:cs="Arial"/>
        </w:rPr>
        <w:t xml:space="preserve"> stores planned </w:t>
      </w:r>
      <w:r w:rsidR="003F5782">
        <w:rPr>
          <w:rFonts w:ascii="Arial" w:hAnsi="Arial" w:cs="Arial"/>
        </w:rPr>
        <w:t xml:space="preserve">in </w:t>
      </w:r>
      <w:r>
        <w:rPr>
          <w:rFonts w:ascii="Arial" w:hAnsi="Arial" w:cs="Arial"/>
        </w:rPr>
        <w:t>FY 23/24</w:t>
      </w:r>
    </w:p>
    <w:p w14:paraId="7200CF0F" w14:textId="63687192" w:rsidR="00C1353A" w:rsidRDefault="00C1353A" w:rsidP="00C1353A">
      <w:pPr>
        <w:pStyle w:val="ListParagraph"/>
        <w:numPr>
          <w:ilvl w:val="1"/>
          <w:numId w:val="2"/>
        </w:numPr>
        <w:ind w:left="709"/>
        <w:jc w:val="left"/>
        <w:rPr>
          <w:rFonts w:ascii="Arial" w:hAnsi="Arial" w:cs="Arial"/>
        </w:rPr>
      </w:pPr>
      <w:r>
        <w:rPr>
          <w:rFonts w:ascii="Arial" w:hAnsi="Arial" w:cs="Arial"/>
        </w:rPr>
        <w:t>F</w:t>
      </w:r>
      <w:r w:rsidRPr="00273E17">
        <w:rPr>
          <w:rFonts w:ascii="Arial" w:hAnsi="Arial" w:cs="Arial"/>
        </w:rPr>
        <w:t xml:space="preserve">irst </w:t>
      </w:r>
      <w:r>
        <w:rPr>
          <w:rFonts w:ascii="Arial" w:hAnsi="Arial" w:cs="Arial"/>
        </w:rPr>
        <w:t xml:space="preserve">5 </w:t>
      </w:r>
      <w:r w:rsidRPr="00273E17">
        <w:rPr>
          <w:rFonts w:ascii="Arial" w:hAnsi="Arial" w:cs="Arial"/>
        </w:rPr>
        <w:t xml:space="preserve">Screwfix stores </w:t>
      </w:r>
      <w:r>
        <w:rPr>
          <w:rFonts w:ascii="Arial" w:hAnsi="Arial" w:cs="Arial"/>
        </w:rPr>
        <w:t xml:space="preserve">opened </w:t>
      </w:r>
      <w:r w:rsidRPr="00273E17">
        <w:rPr>
          <w:rFonts w:ascii="Arial" w:hAnsi="Arial" w:cs="Arial"/>
        </w:rPr>
        <w:t xml:space="preserve">in </w:t>
      </w:r>
      <w:r w:rsidRPr="001653EA">
        <w:rPr>
          <w:rFonts w:ascii="Arial" w:hAnsi="Arial" w:cs="Arial"/>
        </w:rPr>
        <w:t xml:space="preserve">France; </w:t>
      </w:r>
      <w:r w:rsidRPr="005C2EAC">
        <w:rPr>
          <w:rFonts w:ascii="Arial" w:hAnsi="Arial"/>
        </w:rPr>
        <w:t>up to 25</w:t>
      </w:r>
      <w:r w:rsidRPr="001653EA">
        <w:rPr>
          <w:rFonts w:ascii="Arial" w:hAnsi="Arial" w:cs="Arial"/>
        </w:rPr>
        <w:t xml:space="preserve"> new</w:t>
      </w:r>
      <w:r>
        <w:rPr>
          <w:rFonts w:ascii="Arial" w:hAnsi="Arial" w:cs="Arial"/>
        </w:rPr>
        <w:t xml:space="preserve"> stores </w:t>
      </w:r>
      <w:r w:rsidRPr="00273E17">
        <w:rPr>
          <w:rFonts w:ascii="Arial" w:hAnsi="Arial" w:cs="Arial"/>
        </w:rPr>
        <w:t xml:space="preserve">planned </w:t>
      </w:r>
      <w:r w:rsidR="003F5782">
        <w:rPr>
          <w:rFonts w:ascii="Arial" w:hAnsi="Arial" w:cs="Arial"/>
        </w:rPr>
        <w:t>in</w:t>
      </w:r>
      <w:r w:rsidR="003F5782" w:rsidRPr="00273E17">
        <w:rPr>
          <w:rFonts w:ascii="Arial" w:hAnsi="Arial" w:cs="Arial"/>
        </w:rPr>
        <w:t xml:space="preserve"> </w:t>
      </w:r>
      <w:r>
        <w:rPr>
          <w:rFonts w:ascii="Arial" w:hAnsi="Arial" w:cs="Arial"/>
        </w:rPr>
        <w:t>FY 23/24</w:t>
      </w:r>
    </w:p>
    <w:p w14:paraId="241472CE" w14:textId="6235D44A" w:rsidR="00C1353A" w:rsidRPr="00B40B6F" w:rsidRDefault="00C1353A" w:rsidP="00C1353A">
      <w:pPr>
        <w:pStyle w:val="ListParagraph"/>
        <w:numPr>
          <w:ilvl w:val="1"/>
          <w:numId w:val="2"/>
        </w:numPr>
        <w:ind w:left="709"/>
        <w:jc w:val="left"/>
        <w:rPr>
          <w:rFonts w:ascii="Arial" w:hAnsi="Arial" w:cs="Arial"/>
        </w:rPr>
      </w:pPr>
      <w:r>
        <w:rPr>
          <w:rFonts w:ascii="Arial" w:hAnsi="Arial" w:cs="Arial"/>
        </w:rPr>
        <w:t xml:space="preserve">7 </w:t>
      </w:r>
      <w:r w:rsidRPr="00B63343">
        <w:rPr>
          <w:rFonts w:ascii="Arial" w:hAnsi="Arial" w:cs="Arial"/>
        </w:rPr>
        <w:t>new C</w:t>
      </w:r>
      <w:r>
        <w:rPr>
          <w:rFonts w:ascii="Arial" w:hAnsi="Arial" w:cs="Arial"/>
        </w:rPr>
        <w:t xml:space="preserve">astorama stores opened in </w:t>
      </w:r>
      <w:r w:rsidRPr="00B40B6F">
        <w:rPr>
          <w:rFonts w:ascii="Arial" w:hAnsi="Arial" w:cs="Arial"/>
        </w:rPr>
        <w:t xml:space="preserve">Poland; </w:t>
      </w:r>
      <w:r w:rsidRPr="00CD09A1">
        <w:rPr>
          <w:rFonts w:ascii="Arial" w:hAnsi="Arial"/>
        </w:rPr>
        <w:t xml:space="preserve">targeting </w:t>
      </w:r>
      <w:r w:rsidR="00511B9D">
        <w:rPr>
          <w:rFonts w:ascii="Arial" w:hAnsi="Arial" w:cs="Arial"/>
        </w:rPr>
        <w:t>up to 80</w:t>
      </w:r>
      <w:r w:rsidR="00511B9D" w:rsidRPr="00CD09A1">
        <w:rPr>
          <w:rFonts w:ascii="Arial" w:hAnsi="Arial"/>
        </w:rPr>
        <w:t xml:space="preserve"> </w:t>
      </w:r>
      <w:r w:rsidRPr="00CD09A1">
        <w:rPr>
          <w:rFonts w:ascii="Arial" w:hAnsi="Arial"/>
        </w:rPr>
        <w:t xml:space="preserve">medium-box </w:t>
      </w:r>
      <w:r w:rsidR="001B1E1D" w:rsidRPr="00FF7C1B">
        <w:rPr>
          <w:rFonts w:ascii="Arial" w:hAnsi="Arial" w:cs="Arial"/>
        </w:rPr>
        <w:t>and compa</w:t>
      </w:r>
      <w:r w:rsidR="00184198" w:rsidRPr="00FF7C1B">
        <w:rPr>
          <w:rFonts w:ascii="Arial" w:hAnsi="Arial" w:cs="Arial"/>
        </w:rPr>
        <w:t xml:space="preserve">ct </w:t>
      </w:r>
      <w:r w:rsidRPr="00CD09A1">
        <w:rPr>
          <w:rFonts w:ascii="Arial" w:hAnsi="Arial"/>
        </w:rPr>
        <w:t xml:space="preserve">store openings in Poland over the next </w:t>
      </w:r>
      <w:r w:rsidR="00971970">
        <w:rPr>
          <w:rFonts w:ascii="Arial" w:hAnsi="Arial" w:cs="Arial"/>
        </w:rPr>
        <w:t>5</w:t>
      </w:r>
      <w:r w:rsidR="00971970" w:rsidRPr="00CD09A1">
        <w:rPr>
          <w:rFonts w:ascii="Arial" w:hAnsi="Arial"/>
        </w:rPr>
        <w:t xml:space="preserve"> </w:t>
      </w:r>
      <w:r w:rsidRPr="00CD09A1">
        <w:rPr>
          <w:rFonts w:ascii="Arial" w:hAnsi="Arial"/>
        </w:rPr>
        <w:t>years</w:t>
      </w:r>
    </w:p>
    <w:p w14:paraId="3F850228" w14:textId="074A7F90" w:rsidR="00C1353A" w:rsidRDefault="00C875AE" w:rsidP="00C1353A">
      <w:pPr>
        <w:pStyle w:val="ListParagraph"/>
        <w:numPr>
          <w:ilvl w:val="1"/>
          <w:numId w:val="2"/>
        </w:numPr>
        <w:ind w:left="709"/>
        <w:jc w:val="left"/>
        <w:rPr>
          <w:rFonts w:ascii="Arial" w:hAnsi="Arial" w:cs="Arial"/>
        </w:rPr>
      </w:pPr>
      <w:r>
        <w:rPr>
          <w:rFonts w:ascii="Arial" w:hAnsi="Arial" w:cs="Arial"/>
          <w:bCs/>
        </w:rPr>
        <w:t>F</w:t>
      </w:r>
      <w:r w:rsidR="00C1353A">
        <w:rPr>
          <w:rFonts w:ascii="Arial" w:hAnsi="Arial" w:cs="Arial"/>
          <w:bCs/>
        </w:rPr>
        <w:t>irst two B&amp;Q franchise stores in the Middle East</w:t>
      </w:r>
      <w:r>
        <w:rPr>
          <w:rFonts w:ascii="Arial" w:hAnsi="Arial" w:cs="Arial"/>
          <w:bCs/>
        </w:rPr>
        <w:t xml:space="preserve"> have opened</w:t>
      </w:r>
    </w:p>
    <w:p w14:paraId="6CB090A5" w14:textId="77777777" w:rsidR="00C1353A" w:rsidRPr="00983AE2" w:rsidRDefault="00C1353A" w:rsidP="00C1353A">
      <w:pPr>
        <w:pStyle w:val="ListParagraph"/>
        <w:numPr>
          <w:ilvl w:val="0"/>
          <w:numId w:val="2"/>
        </w:numPr>
        <w:jc w:val="left"/>
        <w:rPr>
          <w:rFonts w:ascii="Arial" w:hAnsi="Arial"/>
          <w:b/>
        </w:rPr>
      </w:pPr>
      <w:r w:rsidRPr="00983AE2">
        <w:rPr>
          <w:rFonts w:ascii="Arial" w:hAnsi="Arial"/>
          <w:b/>
        </w:rPr>
        <w:t xml:space="preserve">Accelerate e-commerce through speed and choice: </w:t>
      </w:r>
    </w:p>
    <w:p w14:paraId="4CA9FB28" w14:textId="2FC86C85" w:rsidR="00C1353A" w:rsidRPr="00CB5CE8" w:rsidRDefault="00C1353A" w:rsidP="00C1353A">
      <w:pPr>
        <w:pStyle w:val="ListParagraph"/>
        <w:numPr>
          <w:ilvl w:val="1"/>
          <w:numId w:val="2"/>
        </w:numPr>
        <w:ind w:left="709"/>
        <w:jc w:val="left"/>
        <w:rPr>
          <w:rFonts w:ascii="Arial" w:hAnsi="Arial" w:cs="Arial"/>
          <w:bCs/>
        </w:rPr>
      </w:pPr>
      <w:r>
        <w:rPr>
          <w:rFonts w:ascii="Arial" w:hAnsi="Arial" w:cs="Arial"/>
        </w:rPr>
        <w:t>E</w:t>
      </w:r>
      <w:r w:rsidRPr="008F305F">
        <w:rPr>
          <w:rFonts w:ascii="Arial" w:hAnsi="Arial" w:cs="Arial"/>
        </w:rPr>
        <w:t xml:space="preserve">-commerce sales </w:t>
      </w:r>
      <w:r>
        <w:rPr>
          <w:rFonts w:ascii="Arial" w:hAnsi="Arial" w:cs="Arial"/>
        </w:rPr>
        <w:t xml:space="preserve">penetration of </w:t>
      </w:r>
      <w:r w:rsidRPr="008F305F">
        <w:rPr>
          <w:rFonts w:ascii="Arial" w:hAnsi="Arial" w:cs="Arial"/>
        </w:rPr>
        <w:t>16</w:t>
      </w:r>
      <w:r w:rsidR="00184198">
        <w:rPr>
          <w:rFonts w:ascii="Arial" w:hAnsi="Arial" w:cs="Arial"/>
        </w:rPr>
        <w:t>.3</w:t>
      </w:r>
      <w:r w:rsidRPr="008F305F">
        <w:rPr>
          <w:rFonts w:ascii="Arial" w:hAnsi="Arial" w:cs="Arial"/>
        </w:rPr>
        <w:t>%</w:t>
      </w:r>
      <w:r>
        <w:rPr>
          <w:rFonts w:ascii="Arial" w:hAnsi="Arial" w:cs="Arial"/>
        </w:rPr>
        <w:t>, twice</w:t>
      </w:r>
      <w:r w:rsidRPr="008F305F">
        <w:rPr>
          <w:rFonts w:ascii="Arial" w:hAnsi="Arial" w:cs="Arial"/>
        </w:rPr>
        <w:t xml:space="preserve"> </w:t>
      </w:r>
      <w:r>
        <w:rPr>
          <w:rFonts w:ascii="Arial" w:hAnsi="Arial" w:cs="Arial"/>
        </w:rPr>
        <w:t xml:space="preserve">the level </w:t>
      </w:r>
      <w:r w:rsidRPr="00CB5CE8">
        <w:rPr>
          <w:rFonts w:ascii="Arial" w:hAnsi="Arial" w:cs="Arial"/>
        </w:rPr>
        <w:t xml:space="preserve">of FY 19/20. </w:t>
      </w:r>
      <w:r w:rsidR="00901EE8">
        <w:rPr>
          <w:rFonts w:ascii="Arial" w:hAnsi="Arial"/>
        </w:rPr>
        <w:t xml:space="preserve">Ambition of </w:t>
      </w:r>
      <w:r w:rsidRPr="00CD09A1">
        <w:rPr>
          <w:rFonts w:ascii="Arial" w:hAnsi="Arial"/>
        </w:rPr>
        <w:t>25% sales penetration</w:t>
      </w:r>
    </w:p>
    <w:p w14:paraId="3015190E" w14:textId="77777777" w:rsidR="00C1353A" w:rsidRPr="00CB5CE8" w:rsidRDefault="00C1353A" w:rsidP="00C1353A">
      <w:pPr>
        <w:pStyle w:val="ListParagraph"/>
        <w:numPr>
          <w:ilvl w:val="1"/>
          <w:numId w:val="2"/>
        </w:numPr>
        <w:ind w:left="709"/>
        <w:jc w:val="left"/>
        <w:rPr>
          <w:rFonts w:ascii="Arial" w:hAnsi="Arial" w:cs="Arial"/>
          <w:bCs/>
        </w:rPr>
      </w:pPr>
      <w:r w:rsidRPr="00CB5CE8">
        <w:rPr>
          <w:rFonts w:ascii="Arial" w:hAnsi="Arial" w:cs="Arial"/>
          <w:bCs/>
        </w:rPr>
        <w:t>91% of all e-commerce orders picked in store</w:t>
      </w:r>
    </w:p>
    <w:p w14:paraId="346EFAAA" w14:textId="77777777" w:rsidR="00C1353A" w:rsidRDefault="00C1353A" w:rsidP="00C1353A">
      <w:pPr>
        <w:pStyle w:val="ListParagraph"/>
        <w:numPr>
          <w:ilvl w:val="1"/>
          <w:numId w:val="2"/>
        </w:numPr>
        <w:ind w:left="709"/>
        <w:jc w:val="left"/>
        <w:rPr>
          <w:rFonts w:ascii="Arial" w:hAnsi="Arial" w:cs="Arial"/>
          <w:bCs/>
        </w:rPr>
      </w:pPr>
      <w:r>
        <w:rPr>
          <w:rFonts w:ascii="Arial" w:hAnsi="Arial" w:cs="Arial"/>
          <w:bCs/>
        </w:rPr>
        <w:t xml:space="preserve">More options for </w:t>
      </w:r>
      <w:r w:rsidRPr="001F20BE">
        <w:rPr>
          <w:rFonts w:ascii="Arial" w:hAnsi="Arial" w:cs="Arial"/>
          <w:bCs/>
        </w:rPr>
        <w:t>click &amp; collect (C&amp;C)</w:t>
      </w:r>
      <w:r>
        <w:rPr>
          <w:rFonts w:ascii="Arial" w:hAnsi="Arial" w:cs="Arial"/>
          <w:bCs/>
        </w:rPr>
        <w:t xml:space="preserve"> through </w:t>
      </w:r>
      <w:r w:rsidRPr="001F20BE">
        <w:rPr>
          <w:rFonts w:ascii="Arial" w:hAnsi="Arial" w:cs="Arial"/>
          <w:bCs/>
        </w:rPr>
        <w:t>roll-out of lockers in Poland</w:t>
      </w:r>
      <w:r>
        <w:rPr>
          <w:rFonts w:ascii="Arial" w:hAnsi="Arial" w:cs="Arial"/>
          <w:bCs/>
        </w:rPr>
        <w:t xml:space="preserve">; </w:t>
      </w:r>
      <w:r w:rsidRPr="001F20BE">
        <w:rPr>
          <w:rFonts w:ascii="Arial" w:hAnsi="Arial" w:cs="Arial"/>
          <w:bCs/>
        </w:rPr>
        <w:t>being tested at B&amp;Q</w:t>
      </w:r>
    </w:p>
    <w:p w14:paraId="209317AA" w14:textId="77777777" w:rsidR="00C1353A" w:rsidRDefault="00C1353A" w:rsidP="00C1353A">
      <w:pPr>
        <w:pStyle w:val="ListParagraph"/>
        <w:numPr>
          <w:ilvl w:val="1"/>
          <w:numId w:val="2"/>
        </w:numPr>
        <w:ind w:left="709"/>
        <w:jc w:val="left"/>
        <w:rPr>
          <w:rFonts w:ascii="Arial" w:hAnsi="Arial" w:cs="Arial"/>
          <w:bCs/>
        </w:rPr>
      </w:pPr>
      <w:r>
        <w:rPr>
          <w:rFonts w:ascii="Arial" w:hAnsi="Arial" w:cs="Arial"/>
          <w:bCs/>
        </w:rPr>
        <w:t xml:space="preserve">Adopting more </w:t>
      </w:r>
      <w:r w:rsidRPr="001F20BE">
        <w:rPr>
          <w:rFonts w:ascii="Arial" w:hAnsi="Arial" w:cs="Arial"/>
          <w:bCs/>
        </w:rPr>
        <w:t>last-mile delivery</w:t>
      </w:r>
      <w:r>
        <w:rPr>
          <w:rFonts w:ascii="Arial" w:hAnsi="Arial" w:cs="Arial"/>
          <w:bCs/>
        </w:rPr>
        <w:t xml:space="preserve"> options</w:t>
      </w:r>
      <w:r w:rsidRPr="001F20BE">
        <w:rPr>
          <w:rFonts w:ascii="Arial" w:hAnsi="Arial" w:cs="Arial"/>
          <w:bCs/>
        </w:rPr>
        <w:t xml:space="preserve">, including successful roll-out of one-hour delivery </w:t>
      </w:r>
      <w:r>
        <w:rPr>
          <w:rFonts w:ascii="Arial" w:hAnsi="Arial" w:cs="Arial"/>
          <w:bCs/>
        </w:rPr>
        <w:t>(</w:t>
      </w:r>
      <w:r w:rsidRPr="001F20BE">
        <w:rPr>
          <w:rFonts w:ascii="Arial" w:hAnsi="Arial" w:cs="Arial"/>
          <w:bCs/>
        </w:rPr>
        <w:t xml:space="preserve">Screwfix </w:t>
      </w:r>
      <w:r w:rsidRPr="00691B7F">
        <w:rPr>
          <w:rFonts w:ascii="Arial" w:hAnsi="Arial" w:cs="Arial"/>
          <w:bCs/>
          <w:i/>
          <w:iCs/>
        </w:rPr>
        <w:t>Sprint</w:t>
      </w:r>
      <w:r>
        <w:rPr>
          <w:rFonts w:ascii="Arial" w:hAnsi="Arial" w:cs="Arial"/>
          <w:bCs/>
        </w:rPr>
        <w:t>) and optimised carrier management (being tested at B&amp;Q and in France)</w:t>
      </w:r>
    </w:p>
    <w:p w14:paraId="45FF884F" w14:textId="77777777" w:rsidR="00C1353A" w:rsidRDefault="00C1353A" w:rsidP="00C1353A">
      <w:pPr>
        <w:pStyle w:val="ListParagraph"/>
        <w:numPr>
          <w:ilvl w:val="1"/>
          <w:numId w:val="2"/>
        </w:numPr>
        <w:ind w:left="709"/>
        <w:jc w:val="left"/>
        <w:rPr>
          <w:rFonts w:ascii="Arial" w:hAnsi="Arial" w:cs="Arial"/>
          <w:bCs/>
        </w:rPr>
      </w:pPr>
      <w:r>
        <w:rPr>
          <w:rFonts w:ascii="Arial" w:hAnsi="Arial" w:cs="Arial"/>
          <w:bCs/>
        </w:rPr>
        <w:t xml:space="preserve">Improved e-commerce </w:t>
      </w:r>
      <w:r w:rsidRPr="001F20BE">
        <w:rPr>
          <w:rFonts w:ascii="Arial" w:hAnsi="Arial" w:cs="Arial"/>
          <w:bCs/>
        </w:rPr>
        <w:t xml:space="preserve">order management through </w:t>
      </w:r>
      <w:r>
        <w:rPr>
          <w:rFonts w:ascii="Arial" w:hAnsi="Arial" w:cs="Arial"/>
          <w:bCs/>
        </w:rPr>
        <w:t xml:space="preserve">use of </w:t>
      </w:r>
      <w:r w:rsidRPr="001F20BE">
        <w:rPr>
          <w:rFonts w:ascii="Arial" w:hAnsi="Arial" w:cs="Arial"/>
          <w:bCs/>
        </w:rPr>
        <w:t>‘digital hub’ stores</w:t>
      </w:r>
      <w:r>
        <w:rPr>
          <w:rFonts w:ascii="Arial" w:hAnsi="Arial" w:cs="Arial"/>
          <w:bCs/>
        </w:rPr>
        <w:t xml:space="preserve"> and better visibility of available SKUs*</w:t>
      </w:r>
    </w:p>
    <w:p w14:paraId="4CA02A03" w14:textId="058C5F8C" w:rsidR="00404E87" w:rsidRPr="00483833" w:rsidRDefault="00C1353A" w:rsidP="00D17E4B">
      <w:pPr>
        <w:pStyle w:val="ListParagraph"/>
        <w:numPr>
          <w:ilvl w:val="1"/>
          <w:numId w:val="2"/>
        </w:numPr>
        <w:ind w:left="709"/>
        <w:jc w:val="left"/>
        <w:rPr>
          <w:rFonts w:ascii="Arial" w:hAnsi="Arial" w:cs="Arial"/>
          <w:bCs/>
        </w:rPr>
      </w:pPr>
      <w:r w:rsidRPr="00483833">
        <w:rPr>
          <w:rFonts w:ascii="Arial" w:hAnsi="Arial" w:cs="Arial"/>
          <w:bCs/>
        </w:rPr>
        <w:t xml:space="preserve">New e-commerce marketplace model successfully launched at B&amp;Q, Spain and Portugal (reaching </w:t>
      </w:r>
      <w:r w:rsidR="001653EA">
        <w:rPr>
          <w:rFonts w:ascii="Arial" w:hAnsi="Arial" w:cs="Arial"/>
          <w:bCs/>
        </w:rPr>
        <w:t>2</w:t>
      </w:r>
      <w:r w:rsidR="00D136B8">
        <w:rPr>
          <w:rFonts w:ascii="Arial" w:hAnsi="Arial" w:cs="Arial"/>
          <w:bCs/>
        </w:rPr>
        <w:t>4</w:t>
      </w:r>
      <w:r w:rsidRPr="00483833">
        <w:rPr>
          <w:rFonts w:ascii="Arial" w:hAnsi="Arial" w:cs="Arial"/>
          <w:bCs/>
        </w:rPr>
        <w:t>% marketplace participation</w:t>
      </w:r>
      <w:r w:rsidR="009A3DB7" w:rsidRPr="00483833">
        <w:rPr>
          <w:rFonts w:ascii="Arial" w:hAnsi="Arial" w:cs="Arial"/>
          <w:bCs/>
        </w:rPr>
        <w:t>*</w:t>
      </w:r>
      <w:r w:rsidRPr="00483833">
        <w:rPr>
          <w:rFonts w:ascii="Arial" w:hAnsi="Arial" w:cs="Arial"/>
          <w:bCs/>
        </w:rPr>
        <w:t xml:space="preserve"> at B&amp;Q i</w:t>
      </w:r>
      <w:r w:rsidRPr="001653EA">
        <w:rPr>
          <w:rFonts w:ascii="Arial" w:hAnsi="Arial" w:cs="Arial"/>
          <w:bCs/>
        </w:rPr>
        <w:t xml:space="preserve">n </w:t>
      </w:r>
      <w:r w:rsidR="004D0903" w:rsidRPr="005C2EAC">
        <w:rPr>
          <w:rFonts w:ascii="Arial" w:hAnsi="Arial"/>
        </w:rPr>
        <w:t>February</w:t>
      </w:r>
      <w:r w:rsidR="004D0903" w:rsidRPr="001653EA">
        <w:rPr>
          <w:rFonts w:ascii="Arial" w:hAnsi="Arial" w:cs="Arial"/>
          <w:bCs/>
        </w:rPr>
        <w:t xml:space="preserve"> </w:t>
      </w:r>
      <w:r w:rsidRPr="001653EA">
        <w:rPr>
          <w:rFonts w:ascii="Arial" w:hAnsi="Arial" w:cs="Arial"/>
          <w:bCs/>
        </w:rPr>
        <w:t>2023</w:t>
      </w:r>
      <w:r w:rsidR="005B6B2D" w:rsidRPr="00483833">
        <w:rPr>
          <w:rFonts w:ascii="Arial" w:hAnsi="Arial" w:cs="Arial"/>
          <w:bCs/>
        </w:rPr>
        <w:t>, after just 1</w:t>
      </w:r>
      <w:r w:rsidR="004D0903" w:rsidRPr="00483833">
        <w:rPr>
          <w:rFonts w:ascii="Arial" w:hAnsi="Arial" w:cs="Arial"/>
          <w:bCs/>
        </w:rPr>
        <w:t>1</w:t>
      </w:r>
      <w:r w:rsidR="005B6B2D" w:rsidRPr="00483833">
        <w:rPr>
          <w:rFonts w:ascii="Arial" w:hAnsi="Arial" w:cs="Arial"/>
          <w:bCs/>
        </w:rPr>
        <w:t xml:space="preserve"> months</w:t>
      </w:r>
      <w:r w:rsidRPr="00483833">
        <w:rPr>
          <w:rFonts w:ascii="Arial" w:hAnsi="Arial" w:cs="Arial"/>
          <w:bCs/>
        </w:rPr>
        <w:t>); preparing roll-out of marketplaces in Poland and France</w:t>
      </w:r>
      <w:r w:rsidR="00404E87" w:rsidRPr="00483833">
        <w:rPr>
          <w:rFonts w:ascii="Arial" w:hAnsi="Arial" w:cs="Arial"/>
          <w:bCs/>
        </w:rPr>
        <w:br w:type="page"/>
      </w:r>
    </w:p>
    <w:p w14:paraId="321539E0" w14:textId="77777777" w:rsidR="00C1353A" w:rsidRPr="00983AE2" w:rsidRDefault="00C1353A" w:rsidP="00C1353A">
      <w:pPr>
        <w:pStyle w:val="ListParagraph"/>
        <w:numPr>
          <w:ilvl w:val="0"/>
          <w:numId w:val="2"/>
        </w:numPr>
        <w:jc w:val="left"/>
        <w:rPr>
          <w:rFonts w:ascii="Arial" w:hAnsi="Arial"/>
          <w:b/>
        </w:rPr>
      </w:pPr>
      <w:r w:rsidRPr="00983AE2">
        <w:rPr>
          <w:rFonts w:ascii="Arial" w:hAnsi="Arial"/>
          <w:b/>
        </w:rPr>
        <w:lastRenderedPageBreak/>
        <w:t>Build a data-led customer experience:</w:t>
      </w:r>
    </w:p>
    <w:p w14:paraId="735A151F" w14:textId="5EBB0798" w:rsidR="00C1353A" w:rsidRDefault="00C1353A" w:rsidP="00C1353A">
      <w:pPr>
        <w:pStyle w:val="ListParagraph"/>
        <w:numPr>
          <w:ilvl w:val="1"/>
          <w:numId w:val="2"/>
        </w:numPr>
        <w:ind w:left="709"/>
        <w:jc w:val="left"/>
        <w:rPr>
          <w:rFonts w:ascii="Arial" w:hAnsi="Arial" w:cs="Arial"/>
          <w:bCs/>
        </w:rPr>
      </w:pPr>
      <w:r>
        <w:rPr>
          <w:rFonts w:ascii="Arial" w:hAnsi="Arial" w:cs="Arial"/>
        </w:rPr>
        <w:t>E</w:t>
      </w:r>
      <w:r w:rsidRPr="00EB53AD">
        <w:rPr>
          <w:rFonts w:ascii="Arial" w:hAnsi="Arial" w:cs="Arial"/>
        </w:rPr>
        <w:t xml:space="preserve">stablished </w:t>
      </w:r>
      <w:r>
        <w:rPr>
          <w:rFonts w:ascii="Arial" w:hAnsi="Arial" w:cs="Arial"/>
        </w:rPr>
        <w:t>‘</w:t>
      </w:r>
      <w:r w:rsidRPr="00EB53AD">
        <w:rPr>
          <w:rFonts w:ascii="Arial" w:hAnsi="Arial" w:cs="Arial"/>
        </w:rPr>
        <w:t>Centre of Excellence</w:t>
      </w:r>
      <w:r>
        <w:rPr>
          <w:rFonts w:ascii="Arial" w:hAnsi="Arial" w:cs="Arial"/>
        </w:rPr>
        <w:t xml:space="preserve">’ </w:t>
      </w:r>
      <w:r w:rsidR="00402E15">
        <w:rPr>
          <w:rFonts w:ascii="Arial" w:hAnsi="Arial" w:cs="Arial"/>
        </w:rPr>
        <w:t xml:space="preserve">in data </w:t>
      </w:r>
      <w:r>
        <w:rPr>
          <w:rFonts w:ascii="Arial" w:hAnsi="Arial" w:cs="Arial"/>
        </w:rPr>
        <w:t xml:space="preserve">at Kingfisher with expertise </w:t>
      </w:r>
      <w:r w:rsidRPr="00EB53AD">
        <w:rPr>
          <w:rFonts w:ascii="Arial" w:hAnsi="Arial" w:cs="Arial"/>
        </w:rPr>
        <w:t>in artificial intelligence</w:t>
      </w:r>
      <w:r>
        <w:rPr>
          <w:rFonts w:ascii="Arial" w:hAnsi="Arial" w:cs="Arial"/>
        </w:rPr>
        <w:t xml:space="preserve"> (AI), </w:t>
      </w:r>
      <w:r w:rsidRPr="00EB53AD">
        <w:rPr>
          <w:rFonts w:ascii="Arial" w:hAnsi="Arial" w:cs="Arial"/>
        </w:rPr>
        <w:t>machine learning, advanced analytics and data platform engineering</w:t>
      </w:r>
    </w:p>
    <w:p w14:paraId="61E942CA" w14:textId="77777777" w:rsidR="00C1353A" w:rsidRPr="00602060" w:rsidRDefault="00C1353A" w:rsidP="00C1353A">
      <w:pPr>
        <w:pStyle w:val="ListParagraph"/>
        <w:numPr>
          <w:ilvl w:val="1"/>
          <w:numId w:val="2"/>
        </w:numPr>
        <w:ind w:left="709"/>
        <w:jc w:val="left"/>
        <w:rPr>
          <w:rFonts w:ascii="Arial" w:hAnsi="Arial" w:cs="Arial"/>
          <w:bCs/>
        </w:rPr>
      </w:pPr>
      <w:r>
        <w:rPr>
          <w:rFonts w:ascii="Arial" w:eastAsia="Arial" w:hAnsi="Arial" w:cs="Arial"/>
        </w:rPr>
        <w:t xml:space="preserve">New Group-developed </w:t>
      </w:r>
      <w:r w:rsidRPr="00EB53AD">
        <w:rPr>
          <w:rFonts w:ascii="Arial" w:eastAsia="Arial" w:hAnsi="Arial" w:cs="Arial"/>
        </w:rPr>
        <w:t xml:space="preserve">recommendation engine </w:t>
      </w:r>
      <w:r>
        <w:rPr>
          <w:rFonts w:ascii="Arial" w:eastAsia="Arial" w:hAnsi="Arial" w:cs="Arial"/>
        </w:rPr>
        <w:t xml:space="preserve">implemented at B&amp;Q and Screwfix, driving higher </w:t>
      </w:r>
      <w:r w:rsidRPr="00EB53AD">
        <w:rPr>
          <w:rFonts w:ascii="Arial" w:eastAsia="Arial" w:hAnsi="Arial" w:cs="Arial"/>
        </w:rPr>
        <w:t xml:space="preserve">click-through </w:t>
      </w:r>
      <w:r>
        <w:rPr>
          <w:rFonts w:ascii="Arial" w:eastAsia="Arial" w:hAnsi="Arial" w:cs="Arial"/>
        </w:rPr>
        <w:t xml:space="preserve">and </w:t>
      </w:r>
      <w:r w:rsidRPr="00EB53AD">
        <w:rPr>
          <w:rFonts w:ascii="Arial" w:eastAsia="Arial" w:hAnsi="Arial" w:cs="Arial"/>
        </w:rPr>
        <w:t>add-to-basket rate</w:t>
      </w:r>
      <w:r>
        <w:rPr>
          <w:rFonts w:ascii="Arial" w:eastAsia="Arial" w:hAnsi="Arial" w:cs="Arial"/>
        </w:rPr>
        <w:t>s</w:t>
      </w:r>
      <w:r w:rsidRPr="00EB53AD">
        <w:rPr>
          <w:rFonts w:ascii="Arial" w:eastAsia="Arial" w:hAnsi="Arial" w:cs="Arial"/>
        </w:rPr>
        <w:t xml:space="preserve"> </w:t>
      </w:r>
      <w:r>
        <w:rPr>
          <w:rFonts w:ascii="Arial" w:eastAsia="Arial" w:hAnsi="Arial" w:cs="Arial"/>
        </w:rPr>
        <w:t xml:space="preserve">as well as </w:t>
      </w:r>
      <w:r w:rsidRPr="00EB53AD">
        <w:rPr>
          <w:rFonts w:ascii="Arial" w:eastAsia="Arial" w:hAnsi="Arial" w:cs="Arial"/>
        </w:rPr>
        <w:t>faster response times</w:t>
      </w:r>
    </w:p>
    <w:p w14:paraId="4CB43B64" w14:textId="77777777" w:rsidR="00C1353A" w:rsidRDefault="00C1353A" w:rsidP="00C1353A">
      <w:pPr>
        <w:pStyle w:val="ListParagraph"/>
        <w:numPr>
          <w:ilvl w:val="1"/>
          <w:numId w:val="2"/>
        </w:numPr>
        <w:ind w:left="709"/>
        <w:jc w:val="left"/>
        <w:rPr>
          <w:rFonts w:ascii="Arial" w:hAnsi="Arial" w:cs="Arial"/>
          <w:bCs/>
        </w:rPr>
      </w:pPr>
      <w:r>
        <w:rPr>
          <w:rFonts w:ascii="Arial" w:hAnsi="Arial" w:cs="Arial"/>
          <w:bCs/>
        </w:rPr>
        <w:t>Signed partnership with Google Cloud for infrastructure, platform services and AI solutions</w:t>
      </w:r>
    </w:p>
    <w:p w14:paraId="39573668" w14:textId="498719D5" w:rsidR="00C1353A" w:rsidRDefault="00C1353A" w:rsidP="00C1353A">
      <w:pPr>
        <w:pStyle w:val="ListParagraph"/>
        <w:numPr>
          <w:ilvl w:val="1"/>
          <w:numId w:val="2"/>
        </w:numPr>
        <w:ind w:left="709"/>
        <w:jc w:val="left"/>
        <w:rPr>
          <w:rFonts w:ascii="Arial" w:hAnsi="Arial" w:cs="Arial"/>
          <w:bCs/>
        </w:rPr>
      </w:pPr>
      <w:r>
        <w:rPr>
          <w:rFonts w:ascii="Arial" w:hAnsi="Arial" w:cs="Arial"/>
          <w:bCs/>
        </w:rPr>
        <w:t xml:space="preserve">Utilising data analytics and AI to develop tools </w:t>
      </w:r>
      <w:r w:rsidRPr="003579BF">
        <w:rPr>
          <w:rFonts w:ascii="Arial" w:hAnsi="Arial" w:cs="Arial"/>
          <w:bCs/>
        </w:rPr>
        <w:t xml:space="preserve">to support </w:t>
      </w:r>
      <w:r>
        <w:rPr>
          <w:rFonts w:ascii="Arial" w:hAnsi="Arial" w:cs="Arial"/>
          <w:bCs/>
        </w:rPr>
        <w:t xml:space="preserve">better </w:t>
      </w:r>
      <w:r w:rsidRPr="003579BF">
        <w:rPr>
          <w:rFonts w:ascii="Arial" w:hAnsi="Arial" w:cs="Arial"/>
          <w:bCs/>
        </w:rPr>
        <w:t>pricing decisions</w:t>
      </w:r>
      <w:r>
        <w:rPr>
          <w:rFonts w:ascii="Arial" w:hAnsi="Arial" w:cs="Arial"/>
          <w:bCs/>
        </w:rPr>
        <w:t>,</w:t>
      </w:r>
      <w:r w:rsidR="00C64B43">
        <w:rPr>
          <w:rFonts w:ascii="Arial" w:hAnsi="Arial" w:cs="Arial"/>
          <w:bCs/>
        </w:rPr>
        <w:t xml:space="preserve"> </w:t>
      </w:r>
      <w:r w:rsidR="000B6872">
        <w:rPr>
          <w:rFonts w:ascii="Arial" w:hAnsi="Arial" w:cs="Arial"/>
          <w:bCs/>
        </w:rPr>
        <w:t xml:space="preserve">better </w:t>
      </w:r>
      <w:r w:rsidR="00AC5FBF">
        <w:rPr>
          <w:rFonts w:ascii="Arial" w:hAnsi="Arial" w:cs="Arial"/>
          <w:bCs/>
        </w:rPr>
        <w:t xml:space="preserve">promotional and </w:t>
      </w:r>
      <w:r w:rsidR="000B6872">
        <w:rPr>
          <w:rFonts w:ascii="Arial" w:hAnsi="Arial" w:cs="Arial"/>
          <w:bCs/>
        </w:rPr>
        <w:t>markdown</w:t>
      </w:r>
      <w:r w:rsidR="000B3692">
        <w:rPr>
          <w:rFonts w:ascii="Arial" w:hAnsi="Arial" w:cs="Arial"/>
          <w:bCs/>
        </w:rPr>
        <w:t xml:space="preserve"> </w:t>
      </w:r>
      <w:r w:rsidRPr="003579BF">
        <w:rPr>
          <w:rFonts w:ascii="Arial" w:hAnsi="Arial" w:cs="Arial"/>
          <w:bCs/>
        </w:rPr>
        <w:t xml:space="preserve">effectiveness, </w:t>
      </w:r>
      <w:r>
        <w:rPr>
          <w:rFonts w:ascii="Arial" w:hAnsi="Arial" w:cs="Arial"/>
          <w:bCs/>
        </w:rPr>
        <w:t xml:space="preserve">and </w:t>
      </w:r>
      <w:r w:rsidRPr="003579BF">
        <w:rPr>
          <w:rFonts w:ascii="Arial" w:hAnsi="Arial" w:cs="Arial"/>
          <w:bCs/>
        </w:rPr>
        <w:t>enhanced visibility of our end-to-end supply chain</w:t>
      </w:r>
    </w:p>
    <w:p w14:paraId="61CF0DC5" w14:textId="6D6530AB" w:rsidR="00C1353A" w:rsidRDefault="00C1353A" w:rsidP="00C1353A">
      <w:pPr>
        <w:pStyle w:val="ListParagraph"/>
        <w:numPr>
          <w:ilvl w:val="1"/>
          <w:numId w:val="2"/>
        </w:numPr>
        <w:ind w:left="709"/>
        <w:jc w:val="left"/>
        <w:rPr>
          <w:rFonts w:ascii="Arial" w:hAnsi="Arial" w:cs="Arial"/>
          <w:bCs/>
        </w:rPr>
      </w:pPr>
      <w:r>
        <w:rPr>
          <w:rFonts w:ascii="Arial" w:hAnsi="Arial" w:cs="Arial"/>
          <w:bCs/>
        </w:rPr>
        <w:t xml:space="preserve">Developing </w:t>
      </w:r>
      <w:r w:rsidRPr="003579BF">
        <w:rPr>
          <w:rFonts w:ascii="Arial" w:hAnsi="Arial" w:cs="Arial"/>
          <w:bCs/>
        </w:rPr>
        <w:t xml:space="preserve">opportunities to </w:t>
      </w:r>
      <w:r w:rsidR="00FF0B80">
        <w:rPr>
          <w:rFonts w:ascii="Arial" w:hAnsi="Arial" w:cs="Arial"/>
          <w:bCs/>
        </w:rPr>
        <w:t xml:space="preserve">quickly </w:t>
      </w:r>
      <w:r w:rsidRPr="003579BF">
        <w:rPr>
          <w:rFonts w:ascii="Arial" w:hAnsi="Arial" w:cs="Arial"/>
          <w:bCs/>
        </w:rPr>
        <w:t>monetis</w:t>
      </w:r>
      <w:r>
        <w:rPr>
          <w:rFonts w:ascii="Arial" w:hAnsi="Arial" w:cs="Arial"/>
          <w:bCs/>
        </w:rPr>
        <w:t>e</w:t>
      </w:r>
      <w:r w:rsidRPr="003579BF">
        <w:rPr>
          <w:rFonts w:ascii="Arial" w:hAnsi="Arial" w:cs="Arial"/>
          <w:bCs/>
        </w:rPr>
        <w:t xml:space="preserve"> our data capabilities through </w:t>
      </w:r>
      <w:r>
        <w:rPr>
          <w:rFonts w:ascii="Arial" w:hAnsi="Arial" w:cs="Arial"/>
          <w:bCs/>
        </w:rPr>
        <w:t xml:space="preserve">retail media, including </w:t>
      </w:r>
      <w:r w:rsidRPr="003579BF">
        <w:rPr>
          <w:rFonts w:ascii="Arial" w:hAnsi="Arial" w:cs="Arial"/>
          <w:bCs/>
        </w:rPr>
        <w:t>advertising placed within our e-commerce platforms and apps</w:t>
      </w:r>
    </w:p>
    <w:p w14:paraId="5F501E2C" w14:textId="77777777" w:rsidR="00C1353A" w:rsidRPr="00983AE2" w:rsidRDefault="00C1353A" w:rsidP="00C1353A">
      <w:pPr>
        <w:pStyle w:val="ListParagraph"/>
        <w:numPr>
          <w:ilvl w:val="0"/>
          <w:numId w:val="2"/>
        </w:numPr>
        <w:jc w:val="left"/>
        <w:rPr>
          <w:rFonts w:ascii="Arial" w:hAnsi="Arial"/>
          <w:b/>
        </w:rPr>
      </w:pPr>
      <w:r w:rsidRPr="00983AE2">
        <w:rPr>
          <w:rFonts w:ascii="Arial" w:hAnsi="Arial"/>
          <w:b/>
        </w:rPr>
        <w:t>Differentiate and win through own exclusive brands (OEB):</w:t>
      </w:r>
    </w:p>
    <w:p w14:paraId="1FA2757F" w14:textId="0AA8FC30" w:rsidR="00C1353A" w:rsidRDefault="00C1353A" w:rsidP="00C1353A">
      <w:pPr>
        <w:pStyle w:val="ListParagraph"/>
        <w:numPr>
          <w:ilvl w:val="1"/>
          <w:numId w:val="2"/>
        </w:numPr>
        <w:ind w:left="709"/>
        <w:jc w:val="left"/>
        <w:rPr>
          <w:rFonts w:ascii="Arial" w:hAnsi="Arial" w:cs="Arial"/>
          <w:bCs/>
        </w:rPr>
      </w:pPr>
      <w:r>
        <w:rPr>
          <w:rFonts w:ascii="Arial" w:hAnsi="Arial" w:cs="Arial"/>
          <w:bCs/>
        </w:rPr>
        <w:t xml:space="preserve">OEB continuing to drive affordability, product innovation and </w:t>
      </w:r>
      <w:r w:rsidR="00707DFD">
        <w:rPr>
          <w:rFonts w:ascii="Arial" w:hAnsi="Arial" w:cs="Arial"/>
          <w:bCs/>
        </w:rPr>
        <w:t>reduced environmental impact</w:t>
      </w:r>
      <w:r>
        <w:rPr>
          <w:rFonts w:ascii="Arial" w:hAnsi="Arial" w:cs="Arial"/>
          <w:bCs/>
        </w:rPr>
        <w:t>, and carrying a higher gross margin % on average than branded products</w:t>
      </w:r>
    </w:p>
    <w:p w14:paraId="3682581D" w14:textId="10970946" w:rsidR="00C1353A" w:rsidRDefault="00C1353A" w:rsidP="00C1353A">
      <w:pPr>
        <w:pStyle w:val="ListParagraph"/>
        <w:numPr>
          <w:ilvl w:val="1"/>
          <w:numId w:val="2"/>
        </w:numPr>
        <w:ind w:left="709"/>
        <w:jc w:val="left"/>
        <w:rPr>
          <w:rFonts w:ascii="Arial" w:hAnsi="Arial" w:cs="Arial"/>
          <w:bCs/>
        </w:rPr>
      </w:pPr>
      <w:r w:rsidRPr="00EB53AD">
        <w:rPr>
          <w:rFonts w:ascii="Arial" w:hAnsi="Arial" w:cs="Arial"/>
        </w:rPr>
        <w:t xml:space="preserve">Total OEB </w:t>
      </w:r>
      <w:r w:rsidR="00F90CE3">
        <w:rPr>
          <w:rFonts w:ascii="Arial" w:hAnsi="Arial" w:cs="Arial"/>
        </w:rPr>
        <w:t xml:space="preserve">product </w:t>
      </w:r>
      <w:r w:rsidRPr="00EB53AD">
        <w:rPr>
          <w:rFonts w:ascii="Arial" w:hAnsi="Arial" w:cs="Arial"/>
        </w:rPr>
        <w:t xml:space="preserve">sales </w:t>
      </w:r>
      <w:r>
        <w:rPr>
          <w:rFonts w:ascii="Arial" w:hAnsi="Arial" w:cs="Arial"/>
        </w:rPr>
        <w:t>of</w:t>
      </w:r>
      <w:r w:rsidRPr="00EB53AD">
        <w:rPr>
          <w:rFonts w:ascii="Arial" w:hAnsi="Arial" w:cs="Arial"/>
        </w:rPr>
        <w:t xml:space="preserve"> £5.8bn, up 15.4% on a 3-year </w:t>
      </w:r>
      <w:r w:rsidR="00253967">
        <w:rPr>
          <w:rFonts w:ascii="Arial" w:hAnsi="Arial" w:cs="Arial"/>
        </w:rPr>
        <w:t xml:space="preserve">LFL </w:t>
      </w:r>
      <w:r w:rsidRPr="00EB53AD">
        <w:rPr>
          <w:rFonts w:ascii="Arial" w:hAnsi="Arial" w:cs="Arial"/>
        </w:rPr>
        <w:t xml:space="preserve">basis </w:t>
      </w:r>
      <w:r>
        <w:rPr>
          <w:rFonts w:ascii="Arial" w:hAnsi="Arial" w:cs="Arial"/>
        </w:rPr>
        <w:t xml:space="preserve">and </w:t>
      </w:r>
      <w:r w:rsidRPr="00EB53AD">
        <w:rPr>
          <w:rFonts w:ascii="Arial" w:hAnsi="Arial" w:cs="Arial"/>
        </w:rPr>
        <w:t>representing 45% of Group sales (FY 21/22: 45%)</w:t>
      </w:r>
    </w:p>
    <w:p w14:paraId="417B153F" w14:textId="77777777" w:rsidR="00C1353A" w:rsidRPr="007E771E" w:rsidRDefault="00C1353A" w:rsidP="00C1353A">
      <w:pPr>
        <w:pStyle w:val="ListParagraph"/>
        <w:numPr>
          <w:ilvl w:val="1"/>
          <w:numId w:val="2"/>
        </w:numPr>
        <w:ind w:left="709"/>
        <w:jc w:val="left"/>
        <w:rPr>
          <w:rFonts w:ascii="Arial" w:hAnsi="Arial" w:cs="Arial"/>
          <w:bCs/>
        </w:rPr>
      </w:pPr>
      <w:r>
        <w:rPr>
          <w:rFonts w:ascii="Arial" w:hAnsi="Arial" w:cs="Arial"/>
          <w:bCs/>
        </w:rPr>
        <w:t>Good performance in k</w:t>
      </w:r>
      <w:r w:rsidRPr="007E771E">
        <w:rPr>
          <w:rFonts w:ascii="Arial" w:hAnsi="Arial" w:cs="Arial"/>
          <w:bCs/>
        </w:rPr>
        <w:t>itchen, bathroom &amp; storage and EPHC (electricals, plumbing, heating &amp; cooling) categories</w:t>
      </w:r>
      <w:r>
        <w:rPr>
          <w:rFonts w:ascii="Arial" w:hAnsi="Arial" w:cs="Arial"/>
          <w:bCs/>
        </w:rPr>
        <w:t>,</w:t>
      </w:r>
      <w:r w:rsidRPr="007E771E">
        <w:rPr>
          <w:rFonts w:ascii="Arial" w:hAnsi="Arial" w:cs="Arial"/>
          <w:bCs/>
        </w:rPr>
        <w:t xml:space="preserve"> all showing YoY growth</w:t>
      </w:r>
      <w:r>
        <w:rPr>
          <w:rFonts w:ascii="Arial" w:hAnsi="Arial" w:cs="Arial"/>
          <w:bCs/>
        </w:rPr>
        <w:t>. All categories up on a 3-year LFL basis</w:t>
      </w:r>
    </w:p>
    <w:p w14:paraId="29EADB05" w14:textId="2CA6D275" w:rsidR="00C1353A" w:rsidRDefault="00C1353A" w:rsidP="00C1353A">
      <w:pPr>
        <w:pStyle w:val="ListParagraph"/>
        <w:numPr>
          <w:ilvl w:val="1"/>
          <w:numId w:val="2"/>
        </w:numPr>
        <w:ind w:left="709"/>
        <w:jc w:val="left"/>
        <w:rPr>
          <w:rFonts w:ascii="Arial" w:hAnsi="Arial" w:cs="Arial"/>
          <w:bCs/>
        </w:rPr>
      </w:pPr>
      <w:r>
        <w:rPr>
          <w:rFonts w:ascii="Arial" w:hAnsi="Arial" w:cs="Arial"/>
          <w:bCs/>
        </w:rPr>
        <w:t xml:space="preserve">Completed roll-out of </w:t>
      </w:r>
      <w:r w:rsidRPr="00E45449">
        <w:rPr>
          <w:rFonts w:ascii="Arial" w:hAnsi="Arial" w:cs="Arial"/>
          <w:bCs/>
        </w:rPr>
        <w:t>32 new and redeveloped OEB brands</w:t>
      </w:r>
      <w:r>
        <w:rPr>
          <w:rFonts w:ascii="Arial" w:hAnsi="Arial" w:cs="Arial"/>
          <w:bCs/>
        </w:rPr>
        <w:t xml:space="preserve"> to drive differentiation between </w:t>
      </w:r>
      <w:r w:rsidRPr="00E45449">
        <w:rPr>
          <w:rFonts w:ascii="Arial" w:hAnsi="Arial" w:cs="Arial"/>
          <w:bCs/>
        </w:rPr>
        <w:t xml:space="preserve">retail banners and </w:t>
      </w:r>
      <w:r w:rsidR="00A60D18">
        <w:rPr>
          <w:rFonts w:ascii="Arial" w:hAnsi="Arial" w:cs="Arial"/>
          <w:bCs/>
        </w:rPr>
        <w:t xml:space="preserve">support </w:t>
      </w:r>
      <w:r w:rsidRPr="00E45449">
        <w:rPr>
          <w:rFonts w:ascii="Arial" w:hAnsi="Arial" w:cs="Arial"/>
          <w:bCs/>
        </w:rPr>
        <w:t>extend</w:t>
      </w:r>
      <w:r>
        <w:rPr>
          <w:rFonts w:ascii="Arial" w:hAnsi="Arial" w:cs="Arial"/>
          <w:bCs/>
        </w:rPr>
        <w:t>ed</w:t>
      </w:r>
      <w:r w:rsidRPr="00E45449">
        <w:rPr>
          <w:rFonts w:ascii="Arial" w:hAnsi="Arial" w:cs="Arial"/>
          <w:bCs/>
        </w:rPr>
        <w:t xml:space="preserve"> ranges</w:t>
      </w:r>
    </w:p>
    <w:p w14:paraId="31E10D15" w14:textId="77777777" w:rsidR="00C1353A" w:rsidRPr="00983AE2" w:rsidRDefault="00C1353A" w:rsidP="00C1353A">
      <w:pPr>
        <w:pStyle w:val="ListParagraph"/>
        <w:numPr>
          <w:ilvl w:val="0"/>
          <w:numId w:val="2"/>
        </w:numPr>
        <w:jc w:val="left"/>
        <w:rPr>
          <w:rFonts w:ascii="Arial" w:hAnsi="Arial"/>
          <w:b/>
        </w:rPr>
      </w:pPr>
      <w:r w:rsidRPr="00983AE2">
        <w:rPr>
          <w:rFonts w:ascii="Arial" w:hAnsi="Arial"/>
          <w:b/>
        </w:rPr>
        <w:t>Develop our trade business:</w:t>
      </w:r>
    </w:p>
    <w:p w14:paraId="21BFB64C" w14:textId="77777777" w:rsidR="00C1353A" w:rsidRDefault="00C1353A" w:rsidP="00C1353A">
      <w:pPr>
        <w:pStyle w:val="ListParagraph"/>
        <w:numPr>
          <w:ilvl w:val="1"/>
          <w:numId w:val="2"/>
        </w:numPr>
        <w:ind w:left="709"/>
        <w:jc w:val="left"/>
        <w:rPr>
          <w:rFonts w:ascii="Arial" w:hAnsi="Arial" w:cs="Arial"/>
          <w:bCs/>
        </w:rPr>
      </w:pPr>
      <w:r>
        <w:rPr>
          <w:rFonts w:ascii="Arial" w:hAnsi="Arial" w:cs="Arial"/>
          <w:bCs/>
        </w:rPr>
        <w:t>Accelerated Screwfix openings in the UK &amp; Ireland, and strong progress in developing the proposition in France</w:t>
      </w:r>
    </w:p>
    <w:p w14:paraId="52C14904" w14:textId="0FDF6C45" w:rsidR="00C1353A" w:rsidRDefault="00C1353A" w:rsidP="00C1353A">
      <w:pPr>
        <w:pStyle w:val="ListParagraph"/>
        <w:numPr>
          <w:ilvl w:val="1"/>
          <w:numId w:val="2"/>
        </w:numPr>
        <w:ind w:left="709"/>
        <w:jc w:val="left"/>
        <w:rPr>
          <w:rFonts w:ascii="Arial" w:hAnsi="Arial" w:cs="Arial"/>
        </w:rPr>
      </w:pPr>
      <w:r>
        <w:rPr>
          <w:rFonts w:ascii="Arial" w:hAnsi="Arial" w:cs="Arial"/>
        </w:rPr>
        <w:t>TradePoint (in B&amp;Q) 3-</w:t>
      </w:r>
      <w:r w:rsidRPr="00716B95">
        <w:rPr>
          <w:rFonts w:ascii="Arial" w:hAnsi="Arial" w:cs="Arial"/>
        </w:rPr>
        <w:t>year LFL sales growth of +</w:t>
      </w:r>
      <w:r w:rsidRPr="00214D4E">
        <w:rPr>
          <w:rFonts w:ascii="Arial" w:hAnsi="Arial" w:cs="Arial"/>
        </w:rPr>
        <w:t>31.5</w:t>
      </w:r>
      <w:r w:rsidRPr="00716B95">
        <w:rPr>
          <w:rFonts w:ascii="Arial" w:hAnsi="Arial" w:cs="Arial"/>
        </w:rPr>
        <w:t xml:space="preserve">%, outperforming core B&amp;Q and reaching </w:t>
      </w:r>
      <w:r w:rsidRPr="00214D4E">
        <w:rPr>
          <w:rFonts w:ascii="Arial" w:hAnsi="Arial" w:cs="Arial"/>
        </w:rPr>
        <w:t>22</w:t>
      </w:r>
      <w:r w:rsidRPr="00716B95">
        <w:rPr>
          <w:rFonts w:ascii="Arial" w:hAnsi="Arial" w:cs="Arial"/>
        </w:rPr>
        <w:t>% sales penetration</w:t>
      </w:r>
      <w:r>
        <w:rPr>
          <w:rFonts w:ascii="Arial" w:hAnsi="Arial" w:cs="Arial"/>
        </w:rPr>
        <w:t xml:space="preserve"> </w:t>
      </w:r>
      <w:r w:rsidRPr="00EB53AD">
        <w:rPr>
          <w:rFonts w:ascii="Arial" w:hAnsi="Arial" w:cs="Arial"/>
        </w:rPr>
        <w:t xml:space="preserve">(FY 21/22: </w:t>
      </w:r>
      <w:r w:rsidR="00E058CF">
        <w:rPr>
          <w:rFonts w:ascii="Arial" w:hAnsi="Arial" w:cs="Arial"/>
        </w:rPr>
        <w:t>20</w:t>
      </w:r>
      <w:r w:rsidRPr="00EB53AD">
        <w:rPr>
          <w:rFonts w:ascii="Arial" w:hAnsi="Arial" w:cs="Arial"/>
        </w:rPr>
        <w:t>%)</w:t>
      </w:r>
    </w:p>
    <w:p w14:paraId="5C1AFC43" w14:textId="09C1CA53" w:rsidR="00C1353A" w:rsidRDefault="00C1353A" w:rsidP="00C1353A">
      <w:pPr>
        <w:pStyle w:val="ListParagraph"/>
        <w:numPr>
          <w:ilvl w:val="1"/>
          <w:numId w:val="2"/>
        </w:numPr>
        <w:ind w:left="709"/>
        <w:jc w:val="left"/>
        <w:rPr>
          <w:rFonts w:ascii="Arial" w:hAnsi="Arial" w:cs="Arial"/>
        </w:rPr>
      </w:pPr>
      <w:r>
        <w:rPr>
          <w:rFonts w:ascii="Arial" w:hAnsi="Arial" w:cs="Arial"/>
        </w:rPr>
        <w:t xml:space="preserve">Opened </w:t>
      </w:r>
      <w:r w:rsidR="00741D62">
        <w:rPr>
          <w:rFonts w:ascii="Arial" w:hAnsi="Arial" w:cs="Arial"/>
        </w:rPr>
        <w:t>18</w:t>
      </w:r>
      <w:r>
        <w:rPr>
          <w:rFonts w:ascii="Arial" w:hAnsi="Arial" w:cs="Arial"/>
        </w:rPr>
        <w:t xml:space="preserve"> new TradePoint counters in the UK and </w:t>
      </w:r>
      <w:r w:rsidR="00741D62">
        <w:rPr>
          <w:rFonts w:ascii="Arial" w:hAnsi="Arial" w:cs="Arial"/>
        </w:rPr>
        <w:t xml:space="preserve">first 8 </w:t>
      </w:r>
      <w:r>
        <w:rPr>
          <w:rFonts w:ascii="Arial" w:hAnsi="Arial" w:cs="Arial"/>
        </w:rPr>
        <w:t>counters in Ireland</w:t>
      </w:r>
    </w:p>
    <w:p w14:paraId="124C8011" w14:textId="77777777" w:rsidR="00C1353A" w:rsidRPr="00E45449" w:rsidRDefault="00C1353A" w:rsidP="00C1353A">
      <w:pPr>
        <w:pStyle w:val="ListParagraph"/>
        <w:numPr>
          <w:ilvl w:val="1"/>
          <w:numId w:val="2"/>
        </w:numPr>
        <w:ind w:left="709"/>
        <w:jc w:val="left"/>
        <w:rPr>
          <w:rFonts w:ascii="Arial" w:hAnsi="Arial" w:cs="Arial"/>
          <w:bCs/>
        </w:rPr>
      </w:pPr>
      <w:r w:rsidRPr="003F3F45">
        <w:rPr>
          <w:rFonts w:ascii="Arial" w:hAnsi="Arial" w:cs="Arial"/>
          <w:bCs/>
        </w:rPr>
        <w:t>Launched plan to grow trade customer penetration across</w:t>
      </w:r>
      <w:r w:rsidRPr="00E45449">
        <w:rPr>
          <w:rFonts w:ascii="Arial" w:hAnsi="Arial" w:cs="Arial"/>
          <w:bCs/>
        </w:rPr>
        <w:t xml:space="preserve"> all </w:t>
      </w:r>
      <w:r>
        <w:rPr>
          <w:rFonts w:ascii="Arial" w:hAnsi="Arial" w:cs="Arial"/>
          <w:bCs/>
        </w:rPr>
        <w:t xml:space="preserve">other </w:t>
      </w:r>
      <w:r w:rsidRPr="00E45449">
        <w:rPr>
          <w:rFonts w:ascii="Arial" w:hAnsi="Arial" w:cs="Arial"/>
          <w:bCs/>
        </w:rPr>
        <w:t xml:space="preserve">banners, including new trade loyalty programmes in Poland and Iberia, and </w:t>
      </w:r>
      <w:r>
        <w:rPr>
          <w:rFonts w:ascii="Arial" w:hAnsi="Arial" w:cs="Arial"/>
          <w:bCs/>
        </w:rPr>
        <w:t xml:space="preserve">the </w:t>
      </w:r>
      <w:r w:rsidRPr="00E45449">
        <w:rPr>
          <w:rFonts w:ascii="Arial" w:hAnsi="Arial" w:cs="Arial"/>
          <w:bCs/>
        </w:rPr>
        <w:t xml:space="preserve">introduction of new trade-focused </w:t>
      </w:r>
      <w:r>
        <w:rPr>
          <w:rFonts w:ascii="Arial" w:hAnsi="Arial" w:cs="Arial"/>
          <w:bCs/>
        </w:rPr>
        <w:t xml:space="preserve">services and </w:t>
      </w:r>
      <w:r w:rsidRPr="00E45449">
        <w:rPr>
          <w:rFonts w:ascii="Arial" w:hAnsi="Arial" w:cs="Arial"/>
          <w:bCs/>
        </w:rPr>
        <w:t xml:space="preserve">OEB </w:t>
      </w:r>
      <w:r>
        <w:rPr>
          <w:rFonts w:ascii="Arial" w:hAnsi="Arial" w:cs="Arial"/>
          <w:bCs/>
        </w:rPr>
        <w:t xml:space="preserve">&amp; </w:t>
      </w:r>
      <w:r w:rsidRPr="00E45449">
        <w:rPr>
          <w:rFonts w:ascii="Arial" w:hAnsi="Arial" w:cs="Arial"/>
          <w:bCs/>
        </w:rPr>
        <w:t xml:space="preserve">branded </w:t>
      </w:r>
      <w:r>
        <w:rPr>
          <w:rFonts w:ascii="Arial" w:hAnsi="Arial" w:cs="Arial"/>
          <w:bCs/>
        </w:rPr>
        <w:t xml:space="preserve">product </w:t>
      </w:r>
      <w:r w:rsidRPr="00E45449">
        <w:rPr>
          <w:rFonts w:ascii="Arial" w:hAnsi="Arial" w:cs="Arial"/>
          <w:bCs/>
        </w:rPr>
        <w:t>ranges</w:t>
      </w:r>
    </w:p>
    <w:p w14:paraId="1BD9CAF8" w14:textId="77777777" w:rsidR="00C1353A" w:rsidRPr="00983AE2" w:rsidRDefault="00C1353A" w:rsidP="00C1353A">
      <w:pPr>
        <w:pStyle w:val="ListParagraph"/>
        <w:numPr>
          <w:ilvl w:val="0"/>
          <w:numId w:val="2"/>
        </w:numPr>
        <w:jc w:val="left"/>
        <w:rPr>
          <w:rFonts w:ascii="Arial" w:hAnsi="Arial"/>
          <w:b/>
        </w:rPr>
      </w:pPr>
      <w:r w:rsidRPr="00983AE2">
        <w:rPr>
          <w:rFonts w:ascii="Arial" w:hAnsi="Arial"/>
          <w:b/>
        </w:rPr>
        <w:t>Roll out compact store formats:</w:t>
      </w:r>
    </w:p>
    <w:p w14:paraId="0D4C47D1" w14:textId="09495AB4" w:rsidR="00C1353A" w:rsidRDefault="00C1353A" w:rsidP="00C1353A">
      <w:pPr>
        <w:pStyle w:val="ListParagraph"/>
        <w:numPr>
          <w:ilvl w:val="1"/>
          <w:numId w:val="2"/>
        </w:numPr>
        <w:ind w:left="709"/>
        <w:jc w:val="left"/>
        <w:rPr>
          <w:rFonts w:ascii="Arial" w:hAnsi="Arial" w:cs="Arial"/>
          <w:bCs/>
        </w:rPr>
      </w:pPr>
      <w:r>
        <w:rPr>
          <w:rFonts w:ascii="Arial" w:hAnsi="Arial" w:cs="Arial"/>
          <w:bCs/>
        </w:rPr>
        <w:t xml:space="preserve">Accelerated </w:t>
      </w:r>
      <w:r w:rsidRPr="00E45449">
        <w:rPr>
          <w:rFonts w:ascii="Arial" w:hAnsi="Arial" w:cs="Arial"/>
          <w:bCs/>
        </w:rPr>
        <w:t xml:space="preserve">compact store </w:t>
      </w:r>
      <w:r>
        <w:rPr>
          <w:rFonts w:ascii="Arial" w:hAnsi="Arial" w:cs="Arial"/>
          <w:bCs/>
        </w:rPr>
        <w:t>tests;</w:t>
      </w:r>
      <w:r w:rsidRPr="00E45449">
        <w:rPr>
          <w:rFonts w:ascii="Arial" w:hAnsi="Arial" w:cs="Arial"/>
          <w:bCs/>
        </w:rPr>
        <w:t xml:space="preserve"> open</w:t>
      </w:r>
      <w:r>
        <w:rPr>
          <w:rFonts w:ascii="Arial" w:hAnsi="Arial" w:cs="Arial"/>
          <w:bCs/>
        </w:rPr>
        <w:t>ed</w:t>
      </w:r>
      <w:r w:rsidRPr="00E45449">
        <w:rPr>
          <w:rFonts w:ascii="Arial" w:hAnsi="Arial" w:cs="Arial"/>
          <w:bCs/>
        </w:rPr>
        <w:t xml:space="preserve"> </w:t>
      </w:r>
      <w:r>
        <w:rPr>
          <w:rFonts w:ascii="Arial" w:hAnsi="Arial" w:cs="Arial"/>
          <w:bCs/>
        </w:rPr>
        <w:t>1</w:t>
      </w:r>
      <w:r w:rsidR="004206B6">
        <w:rPr>
          <w:rFonts w:ascii="Arial" w:hAnsi="Arial" w:cs="Arial"/>
          <w:bCs/>
        </w:rPr>
        <w:t>7</w:t>
      </w:r>
      <w:r>
        <w:rPr>
          <w:rFonts w:ascii="Arial" w:hAnsi="Arial" w:cs="Arial"/>
          <w:bCs/>
        </w:rPr>
        <w:t xml:space="preserve"> </w:t>
      </w:r>
      <w:r w:rsidRPr="00E45449">
        <w:rPr>
          <w:rFonts w:ascii="Arial" w:hAnsi="Arial" w:cs="Arial"/>
          <w:bCs/>
        </w:rPr>
        <w:t>new compact stores in the UK, France and Poland</w:t>
      </w:r>
    </w:p>
    <w:p w14:paraId="426BC77C" w14:textId="77777777" w:rsidR="00C1353A" w:rsidRDefault="00C1353A" w:rsidP="00C1353A">
      <w:pPr>
        <w:pStyle w:val="ListParagraph"/>
        <w:numPr>
          <w:ilvl w:val="1"/>
          <w:numId w:val="2"/>
        </w:numPr>
        <w:ind w:left="709"/>
        <w:jc w:val="left"/>
        <w:rPr>
          <w:rFonts w:ascii="Arial" w:hAnsi="Arial" w:cs="Arial"/>
          <w:bCs/>
        </w:rPr>
      </w:pPr>
      <w:r>
        <w:rPr>
          <w:rFonts w:ascii="Arial" w:hAnsi="Arial" w:cs="Arial"/>
        </w:rPr>
        <w:t>H</w:t>
      </w:r>
      <w:r w:rsidRPr="00EB53AD">
        <w:rPr>
          <w:rFonts w:ascii="Arial" w:hAnsi="Arial" w:cs="Arial"/>
        </w:rPr>
        <w:t>igh street concept tests (</w:t>
      </w:r>
      <w:r w:rsidRPr="00D35F88">
        <w:rPr>
          <w:rFonts w:ascii="Arial" w:hAnsi="Arial" w:cs="Arial"/>
          <w:i/>
          <w:iCs/>
        </w:rPr>
        <w:t>B&amp;Q Local</w:t>
      </w:r>
      <w:r>
        <w:rPr>
          <w:rFonts w:ascii="Arial" w:hAnsi="Arial" w:cs="Arial"/>
        </w:rPr>
        <w:t xml:space="preserve"> in the UK, </w:t>
      </w:r>
      <w:r w:rsidRPr="00D35F88">
        <w:rPr>
          <w:rFonts w:ascii="Arial" w:hAnsi="Arial" w:cs="Arial"/>
          <w:i/>
          <w:iCs/>
        </w:rPr>
        <w:t>Casto</w:t>
      </w:r>
      <w:r>
        <w:rPr>
          <w:rFonts w:ascii="Arial" w:hAnsi="Arial" w:cs="Arial"/>
        </w:rPr>
        <w:t xml:space="preserve"> in France and </w:t>
      </w:r>
      <w:r w:rsidRPr="00D35F88">
        <w:rPr>
          <w:rFonts w:ascii="Arial" w:hAnsi="Arial" w:cs="Arial"/>
          <w:i/>
          <w:iCs/>
        </w:rPr>
        <w:t>Castorama Express</w:t>
      </w:r>
      <w:r>
        <w:rPr>
          <w:rFonts w:ascii="Arial" w:hAnsi="Arial" w:cs="Arial"/>
        </w:rPr>
        <w:t xml:space="preserve"> in Poland</w:t>
      </w:r>
      <w:r w:rsidRPr="00EB53AD">
        <w:rPr>
          <w:rFonts w:ascii="Arial" w:hAnsi="Arial" w:cs="Arial"/>
        </w:rPr>
        <w:t>) continue to deliver encouraging learnings and results</w:t>
      </w:r>
      <w:r>
        <w:rPr>
          <w:rFonts w:ascii="Arial" w:hAnsi="Arial" w:cs="Arial"/>
          <w:bCs/>
        </w:rPr>
        <w:t xml:space="preserve"> </w:t>
      </w:r>
    </w:p>
    <w:p w14:paraId="3BD0C07B" w14:textId="77777777" w:rsidR="00C1353A" w:rsidRDefault="00C1353A" w:rsidP="00C1353A">
      <w:pPr>
        <w:pStyle w:val="ListParagraph"/>
        <w:numPr>
          <w:ilvl w:val="1"/>
          <w:numId w:val="2"/>
        </w:numPr>
        <w:ind w:left="709"/>
        <w:jc w:val="left"/>
        <w:rPr>
          <w:rFonts w:ascii="Arial" w:hAnsi="Arial" w:cs="Arial"/>
          <w:bCs/>
        </w:rPr>
      </w:pPr>
      <w:r>
        <w:rPr>
          <w:rFonts w:ascii="Arial" w:hAnsi="Arial" w:cs="Arial"/>
          <w:bCs/>
        </w:rPr>
        <w:t>Small retail park concepts also showing positive results</w:t>
      </w:r>
    </w:p>
    <w:p w14:paraId="5274FFC1" w14:textId="77777777" w:rsidR="00C1353A" w:rsidRDefault="00C1353A" w:rsidP="00C1353A">
      <w:pPr>
        <w:pStyle w:val="ListParagraph"/>
        <w:numPr>
          <w:ilvl w:val="1"/>
          <w:numId w:val="2"/>
        </w:numPr>
        <w:ind w:left="709"/>
        <w:jc w:val="left"/>
        <w:rPr>
          <w:rFonts w:ascii="Arial" w:hAnsi="Arial" w:cs="Arial"/>
          <w:bCs/>
        </w:rPr>
      </w:pPr>
      <w:r>
        <w:rPr>
          <w:rFonts w:ascii="Arial" w:hAnsi="Arial" w:cs="Arial"/>
        </w:rPr>
        <w:t>E</w:t>
      </w:r>
      <w:r w:rsidRPr="00EB53AD">
        <w:rPr>
          <w:rFonts w:ascii="Arial" w:hAnsi="Arial" w:cs="Arial"/>
        </w:rPr>
        <w:t>ntering final testing phase for</w:t>
      </w:r>
      <w:r w:rsidRPr="005C6359">
        <w:rPr>
          <w:rFonts w:ascii="Arial" w:hAnsi="Arial" w:cs="Arial"/>
        </w:rPr>
        <w:t xml:space="preserve"> </w:t>
      </w:r>
      <w:r>
        <w:rPr>
          <w:rFonts w:ascii="Arial" w:hAnsi="Arial" w:cs="Arial"/>
        </w:rPr>
        <w:t xml:space="preserve">Screwfix </w:t>
      </w:r>
      <w:r w:rsidRPr="00EB53AD">
        <w:rPr>
          <w:rFonts w:ascii="Arial" w:hAnsi="Arial" w:cs="Arial"/>
        </w:rPr>
        <w:t>ultra-compact ‘XSR’ store format</w:t>
      </w:r>
    </w:p>
    <w:p w14:paraId="6D847D7B" w14:textId="77777777" w:rsidR="00C1353A" w:rsidRDefault="00C1353A" w:rsidP="00C1353A">
      <w:pPr>
        <w:pStyle w:val="ListParagraph"/>
        <w:numPr>
          <w:ilvl w:val="1"/>
          <w:numId w:val="2"/>
        </w:numPr>
        <w:ind w:left="709"/>
        <w:jc w:val="left"/>
        <w:rPr>
          <w:rFonts w:ascii="Arial" w:hAnsi="Arial" w:cs="Arial"/>
          <w:bCs/>
        </w:rPr>
      </w:pPr>
      <w:r>
        <w:rPr>
          <w:rFonts w:ascii="Arial" w:hAnsi="Arial" w:cs="Arial"/>
        </w:rPr>
        <w:t>P</w:t>
      </w:r>
      <w:r w:rsidRPr="00EB53AD">
        <w:rPr>
          <w:rFonts w:ascii="Arial" w:hAnsi="Arial" w:cs="Arial"/>
        </w:rPr>
        <w:t>lanning to launch first test of a new Brico Dépôt France 1,000 sqm format in FY 23/24</w:t>
      </w:r>
    </w:p>
    <w:p w14:paraId="0ECEC6E1" w14:textId="77777777" w:rsidR="00C1353A" w:rsidRPr="00983AE2" w:rsidRDefault="00C1353A" w:rsidP="00C1353A">
      <w:pPr>
        <w:pStyle w:val="ListParagraph"/>
        <w:numPr>
          <w:ilvl w:val="0"/>
          <w:numId w:val="2"/>
        </w:numPr>
        <w:jc w:val="left"/>
        <w:rPr>
          <w:rFonts w:ascii="Arial" w:hAnsi="Arial"/>
          <w:b/>
        </w:rPr>
      </w:pPr>
      <w:r w:rsidRPr="00983AE2">
        <w:rPr>
          <w:rFonts w:ascii="Arial" w:hAnsi="Arial"/>
          <w:b/>
        </w:rPr>
        <w:t>Lead the industry in Responsible Business and energy efficiency:</w:t>
      </w:r>
    </w:p>
    <w:p w14:paraId="2DB06E7F" w14:textId="5E295161" w:rsidR="00C1353A" w:rsidRDefault="00C1353A" w:rsidP="00C1353A">
      <w:pPr>
        <w:pStyle w:val="ListParagraph"/>
        <w:numPr>
          <w:ilvl w:val="1"/>
          <w:numId w:val="2"/>
        </w:numPr>
        <w:ind w:left="709"/>
        <w:jc w:val="left"/>
        <w:rPr>
          <w:rFonts w:ascii="Arial" w:hAnsi="Arial" w:cs="Arial"/>
          <w:bCs/>
        </w:rPr>
      </w:pPr>
      <w:r>
        <w:rPr>
          <w:rFonts w:ascii="Arial" w:hAnsi="Arial" w:cs="Arial"/>
          <w:bCs/>
        </w:rPr>
        <w:t>Brought forward pay awards and support for colleagues to help manage higher costs of living</w:t>
      </w:r>
    </w:p>
    <w:p w14:paraId="34BFEC47" w14:textId="131B47BB" w:rsidR="00671F91" w:rsidRPr="001653EA" w:rsidRDefault="00671F91" w:rsidP="00C1353A">
      <w:pPr>
        <w:pStyle w:val="ListParagraph"/>
        <w:numPr>
          <w:ilvl w:val="1"/>
          <w:numId w:val="2"/>
        </w:numPr>
        <w:ind w:left="709"/>
        <w:jc w:val="left"/>
        <w:rPr>
          <w:rFonts w:ascii="Arial" w:hAnsi="Arial" w:cs="Arial"/>
          <w:bCs/>
        </w:rPr>
      </w:pPr>
      <w:r w:rsidRPr="005C2EAC">
        <w:rPr>
          <w:rFonts w:ascii="Arial" w:hAnsi="Arial"/>
        </w:rPr>
        <w:t xml:space="preserve">Exceeded </w:t>
      </w:r>
      <w:r w:rsidR="00EE7B17">
        <w:rPr>
          <w:rFonts w:ascii="Arial" w:hAnsi="Arial"/>
        </w:rPr>
        <w:t>target</w:t>
      </w:r>
      <w:r w:rsidR="00331FA5">
        <w:rPr>
          <w:rFonts w:ascii="Arial" w:hAnsi="Arial"/>
        </w:rPr>
        <w:t xml:space="preserve"> for </w:t>
      </w:r>
      <w:r w:rsidRPr="005C2EAC">
        <w:rPr>
          <w:rFonts w:ascii="Arial" w:hAnsi="Arial"/>
        </w:rPr>
        <w:t>1.5°C aligned science-based scope 1 and 2 carbon reduction</w:t>
      </w:r>
      <w:r w:rsidR="00CF7274" w:rsidRPr="005C2EAC">
        <w:rPr>
          <w:rFonts w:ascii="Arial" w:hAnsi="Arial"/>
        </w:rPr>
        <w:t>, reducing emissions by 5</w:t>
      </w:r>
      <w:r w:rsidR="0083238F" w:rsidRPr="005C2EAC">
        <w:rPr>
          <w:rFonts w:ascii="Arial" w:hAnsi="Arial"/>
        </w:rPr>
        <w:t>2</w:t>
      </w:r>
      <w:r w:rsidR="00CF7274" w:rsidRPr="005C2EAC">
        <w:rPr>
          <w:rFonts w:ascii="Arial" w:hAnsi="Arial"/>
        </w:rPr>
        <w:t>.</w:t>
      </w:r>
      <w:r w:rsidR="00757C94">
        <w:rPr>
          <w:rFonts w:ascii="Arial" w:hAnsi="Arial"/>
        </w:rPr>
        <w:t>7</w:t>
      </w:r>
      <w:r w:rsidR="00CF7274" w:rsidRPr="005C2EAC">
        <w:rPr>
          <w:rFonts w:ascii="Arial" w:hAnsi="Arial"/>
        </w:rPr>
        <w:t xml:space="preserve">% </w:t>
      </w:r>
      <w:r w:rsidR="006970AE" w:rsidRPr="005C2EAC">
        <w:rPr>
          <w:rFonts w:ascii="Arial" w:hAnsi="Arial"/>
        </w:rPr>
        <w:t>against a FY 16/17 base year</w:t>
      </w:r>
    </w:p>
    <w:p w14:paraId="648BBFEC" w14:textId="77777777" w:rsidR="00C1353A" w:rsidRPr="001653EA" w:rsidRDefault="00C1353A" w:rsidP="00C1353A">
      <w:pPr>
        <w:pStyle w:val="ListParagraph"/>
        <w:numPr>
          <w:ilvl w:val="1"/>
          <w:numId w:val="2"/>
        </w:numPr>
        <w:ind w:left="709"/>
        <w:jc w:val="left"/>
        <w:rPr>
          <w:rFonts w:ascii="Arial" w:hAnsi="Arial" w:cs="Arial"/>
          <w:bCs/>
        </w:rPr>
      </w:pPr>
      <w:r w:rsidRPr="001653EA">
        <w:rPr>
          <w:rFonts w:ascii="Arial" w:hAnsi="Arial" w:cs="Arial"/>
          <w:bCs/>
        </w:rPr>
        <w:t>Announced new net-zero emissions target for our operations (scope 1 and 2) by the end of 2040</w:t>
      </w:r>
    </w:p>
    <w:p w14:paraId="604EAD01" w14:textId="6F4C9D75" w:rsidR="00C1353A" w:rsidRDefault="00C1353A" w:rsidP="00C1353A">
      <w:pPr>
        <w:pStyle w:val="ListParagraph"/>
        <w:numPr>
          <w:ilvl w:val="1"/>
          <w:numId w:val="2"/>
        </w:numPr>
        <w:ind w:left="709"/>
        <w:jc w:val="left"/>
        <w:rPr>
          <w:rFonts w:ascii="Arial" w:hAnsi="Arial" w:cs="Arial"/>
          <w:bCs/>
        </w:rPr>
      </w:pPr>
      <w:r w:rsidRPr="001653EA">
        <w:rPr>
          <w:rFonts w:ascii="Arial" w:hAnsi="Arial" w:cs="Arial"/>
          <w:bCs/>
        </w:rPr>
        <w:t>Sustainable Home Products (SHP) sales of £6.</w:t>
      </w:r>
      <w:r w:rsidR="0031241F" w:rsidRPr="001653EA">
        <w:rPr>
          <w:rFonts w:ascii="Arial" w:hAnsi="Arial" w:cs="Arial"/>
          <w:bCs/>
        </w:rPr>
        <w:t>2</w:t>
      </w:r>
      <w:r w:rsidRPr="001653EA">
        <w:rPr>
          <w:rFonts w:ascii="Arial" w:hAnsi="Arial" w:cs="Arial"/>
          <w:bCs/>
        </w:rPr>
        <w:t>bn, representing 4</w:t>
      </w:r>
      <w:r w:rsidR="0031241F" w:rsidRPr="001653EA">
        <w:rPr>
          <w:rFonts w:ascii="Arial" w:hAnsi="Arial" w:cs="Arial"/>
          <w:bCs/>
        </w:rPr>
        <w:t>7</w:t>
      </w:r>
      <w:r w:rsidRPr="001653EA">
        <w:rPr>
          <w:rFonts w:ascii="Arial" w:hAnsi="Arial" w:cs="Arial"/>
          <w:bCs/>
        </w:rPr>
        <w:t>% of Group sales (FY 21/22:</w:t>
      </w:r>
      <w:r w:rsidRPr="00EB53AD">
        <w:rPr>
          <w:rFonts w:ascii="Arial" w:hAnsi="Arial" w:cs="Arial"/>
          <w:bCs/>
        </w:rPr>
        <w:t xml:space="preserve"> 44%)</w:t>
      </w:r>
      <w:r>
        <w:rPr>
          <w:rFonts w:ascii="Arial" w:hAnsi="Arial" w:cs="Arial"/>
          <w:bCs/>
        </w:rPr>
        <w:t xml:space="preserve">. Raised </w:t>
      </w:r>
      <w:r w:rsidRPr="00BA4811">
        <w:rPr>
          <w:rFonts w:ascii="Arial" w:hAnsi="Arial" w:cs="Arial"/>
          <w:bCs/>
        </w:rPr>
        <w:t xml:space="preserve">target for growth of </w:t>
      </w:r>
      <w:r>
        <w:rPr>
          <w:rFonts w:ascii="Arial" w:hAnsi="Arial" w:cs="Arial"/>
          <w:bCs/>
        </w:rPr>
        <w:t xml:space="preserve">SHP to </w:t>
      </w:r>
      <w:r w:rsidRPr="001C26C2">
        <w:rPr>
          <w:rFonts w:ascii="Arial" w:hAnsi="Arial" w:cs="Arial"/>
          <w:bCs/>
        </w:rPr>
        <w:t>60% by FY 25/26</w:t>
      </w:r>
    </w:p>
    <w:p w14:paraId="454FEB43" w14:textId="1436B8D5" w:rsidR="00C1353A" w:rsidRPr="00765E2A" w:rsidRDefault="00D814FB" w:rsidP="00C1353A">
      <w:pPr>
        <w:pStyle w:val="ListParagraph"/>
        <w:numPr>
          <w:ilvl w:val="1"/>
          <w:numId w:val="2"/>
        </w:numPr>
        <w:ind w:left="709"/>
        <w:jc w:val="left"/>
        <w:rPr>
          <w:rFonts w:ascii="Arial" w:hAnsi="Arial" w:cs="Arial"/>
          <w:bCs/>
        </w:rPr>
      </w:pPr>
      <w:r w:rsidRPr="009759B8">
        <w:rPr>
          <w:rFonts w:ascii="Arial" w:hAnsi="Arial" w:cs="Arial"/>
          <w:bCs/>
        </w:rPr>
        <w:t>11</w:t>
      </w:r>
      <w:r w:rsidR="00C1353A" w:rsidRPr="009759B8">
        <w:rPr>
          <w:rFonts w:ascii="Arial" w:hAnsi="Arial"/>
        </w:rPr>
        <w:t>% of Group sales from energy and water-saving products</w:t>
      </w:r>
    </w:p>
    <w:p w14:paraId="26013266" w14:textId="77777777" w:rsidR="00C1353A" w:rsidRPr="00042EB2" w:rsidRDefault="00C1353A" w:rsidP="00C1353A">
      <w:pPr>
        <w:pStyle w:val="ListParagraph"/>
        <w:numPr>
          <w:ilvl w:val="1"/>
          <w:numId w:val="2"/>
        </w:numPr>
        <w:ind w:left="709"/>
        <w:jc w:val="left"/>
        <w:rPr>
          <w:rFonts w:ascii="Arial" w:hAnsi="Arial" w:cs="Arial"/>
          <w:bCs/>
        </w:rPr>
      </w:pPr>
      <w:r>
        <w:rPr>
          <w:rFonts w:ascii="Arial" w:hAnsi="Arial" w:cs="Arial"/>
          <w:bCs/>
        </w:rPr>
        <w:t>Developed i</w:t>
      </w:r>
      <w:r w:rsidRPr="00042EB2">
        <w:rPr>
          <w:rFonts w:ascii="Arial" w:hAnsi="Arial" w:cs="Arial"/>
          <w:bCs/>
        </w:rPr>
        <w:t>nnovative end-to-end solution</w:t>
      </w:r>
      <w:r>
        <w:rPr>
          <w:rFonts w:ascii="Arial" w:hAnsi="Arial" w:cs="Arial"/>
          <w:bCs/>
        </w:rPr>
        <w:t>s</w:t>
      </w:r>
      <w:r w:rsidRPr="00042EB2">
        <w:rPr>
          <w:rFonts w:ascii="Arial" w:hAnsi="Arial" w:cs="Arial"/>
          <w:bCs/>
        </w:rPr>
        <w:t xml:space="preserve"> </w:t>
      </w:r>
      <w:r>
        <w:rPr>
          <w:rFonts w:ascii="Arial" w:hAnsi="Arial" w:cs="Arial"/>
          <w:bCs/>
        </w:rPr>
        <w:t xml:space="preserve">at B&amp;Q, Castorama France and Brico Dépôt France </w:t>
      </w:r>
      <w:r w:rsidRPr="00042EB2">
        <w:rPr>
          <w:rFonts w:ascii="Arial" w:hAnsi="Arial" w:cs="Arial"/>
          <w:bCs/>
        </w:rPr>
        <w:t>to help customers create personalised energy efficiency action plan</w:t>
      </w:r>
      <w:r>
        <w:rPr>
          <w:rFonts w:ascii="Arial" w:hAnsi="Arial" w:cs="Arial"/>
          <w:bCs/>
        </w:rPr>
        <w:t>s</w:t>
      </w:r>
      <w:r w:rsidRPr="00042EB2">
        <w:rPr>
          <w:rFonts w:ascii="Arial" w:hAnsi="Arial" w:cs="Arial"/>
          <w:bCs/>
        </w:rPr>
        <w:t xml:space="preserve"> for their homes</w:t>
      </w:r>
      <w:r>
        <w:rPr>
          <w:rFonts w:ascii="Arial" w:hAnsi="Arial" w:cs="Arial"/>
          <w:bCs/>
        </w:rPr>
        <w:t>, including access to relevant products and services</w:t>
      </w:r>
    </w:p>
    <w:p w14:paraId="16F72A5B" w14:textId="77777777" w:rsidR="00C1353A" w:rsidRPr="00983AE2" w:rsidRDefault="00C1353A" w:rsidP="00C1353A">
      <w:pPr>
        <w:pStyle w:val="ListParagraph"/>
        <w:numPr>
          <w:ilvl w:val="0"/>
          <w:numId w:val="2"/>
        </w:numPr>
        <w:jc w:val="left"/>
        <w:rPr>
          <w:rFonts w:ascii="Arial" w:hAnsi="Arial"/>
          <w:b/>
        </w:rPr>
      </w:pPr>
      <w:r w:rsidRPr="00983AE2">
        <w:rPr>
          <w:rFonts w:ascii="Arial" w:hAnsi="Arial"/>
          <w:b/>
        </w:rPr>
        <w:t>Human, agile and lean:</w:t>
      </w:r>
    </w:p>
    <w:p w14:paraId="23209A7C" w14:textId="77777777" w:rsidR="00C1353A" w:rsidRPr="00CA700C" w:rsidRDefault="00C1353A" w:rsidP="00C1353A">
      <w:pPr>
        <w:pStyle w:val="ListParagraph"/>
        <w:numPr>
          <w:ilvl w:val="1"/>
          <w:numId w:val="2"/>
        </w:numPr>
        <w:ind w:left="709"/>
        <w:jc w:val="left"/>
        <w:rPr>
          <w:rFonts w:ascii="Arial" w:hAnsi="Arial" w:cs="Arial"/>
          <w:bCs/>
        </w:rPr>
      </w:pPr>
      <w:r>
        <w:rPr>
          <w:rFonts w:ascii="Arial" w:hAnsi="Arial" w:cs="Arial"/>
        </w:rPr>
        <w:t>E</w:t>
      </w:r>
      <w:r w:rsidRPr="00EB53AD">
        <w:rPr>
          <w:rFonts w:ascii="Arial" w:hAnsi="Arial" w:cs="Arial"/>
        </w:rPr>
        <w:t>mbed</w:t>
      </w:r>
      <w:r>
        <w:rPr>
          <w:rFonts w:ascii="Arial" w:hAnsi="Arial" w:cs="Arial"/>
        </w:rPr>
        <w:t>ding</w:t>
      </w:r>
      <w:r w:rsidRPr="00EB53AD">
        <w:rPr>
          <w:rFonts w:ascii="Arial" w:hAnsi="Arial" w:cs="Arial"/>
        </w:rPr>
        <w:t xml:space="preserve"> </w:t>
      </w:r>
      <w:r>
        <w:rPr>
          <w:rFonts w:ascii="Arial" w:hAnsi="Arial" w:cs="Arial"/>
        </w:rPr>
        <w:t>‘test and learn’ culture across the Group, alongside key leadership behaviours to support delivery of our strategy</w:t>
      </w:r>
    </w:p>
    <w:p w14:paraId="34D34E14" w14:textId="37A18DC7" w:rsidR="00C1353A" w:rsidRDefault="00C1353A" w:rsidP="00C1353A">
      <w:pPr>
        <w:pStyle w:val="ListParagraph"/>
        <w:numPr>
          <w:ilvl w:val="1"/>
          <w:numId w:val="2"/>
        </w:numPr>
        <w:ind w:left="709"/>
        <w:jc w:val="left"/>
        <w:rPr>
          <w:rFonts w:ascii="Arial" w:hAnsi="Arial" w:cs="Arial"/>
          <w:bCs/>
        </w:rPr>
      </w:pPr>
      <w:r>
        <w:rPr>
          <w:rFonts w:ascii="Arial" w:hAnsi="Arial" w:cs="Arial"/>
        </w:rPr>
        <w:t>S</w:t>
      </w:r>
      <w:r w:rsidRPr="00EB53AD">
        <w:rPr>
          <w:rFonts w:ascii="Arial" w:hAnsi="Arial" w:cs="Arial"/>
        </w:rPr>
        <w:t>trengthen</w:t>
      </w:r>
      <w:r>
        <w:rPr>
          <w:rFonts w:ascii="Arial" w:hAnsi="Arial" w:cs="Arial"/>
        </w:rPr>
        <w:t>ed</w:t>
      </w:r>
      <w:r w:rsidRPr="00EB53AD">
        <w:rPr>
          <w:rFonts w:ascii="Arial" w:hAnsi="Arial" w:cs="Arial"/>
        </w:rPr>
        <w:t xml:space="preserve"> </w:t>
      </w:r>
      <w:r>
        <w:rPr>
          <w:rFonts w:ascii="Arial" w:hAnsi="Arial" w:cs="Arial"/>
        </w:rPr>
        <w:t xml:space="preserve">talent and </w:t>
      </w:r>
      <w:r w:rsidRPr="00EB53AD">
        <w:rPr>
          <w:rFonts w:ascii="Arial" w:hAnsi="Arial" w:cs="Arial"/>
        </w:rPr>
        <w:t>capability in key area</w:t>
      </w:r>
      <w:r>
        <w:rPr>
          <w:rFonts w:ascii="Arial" w:hAnsi="Arial" w:cs="Arial"/>
        </w:rPr>
        <w:t>s</w:t>
      </w:r>
      <w:r w:rsidR="000944A6">
        <w:rPr>
          <w:rFonts w:ascii="Arial" w:hAnsi="Arial" w:cs="Arial"/>
        </w:rPr>
        <w:t>,</w:t>
      </w:r>
      <w:r>
        <w:rPr>
          <w:rFonts w:ascii="Arial" w:hAnsi="Arial" w:cs="Arial"/>
        </w:rPr>
        <w:t xml:space="preserve"> including technology, data and trade</w:t>
      </w:r>
    </w:p>
    <w:p w14:paraId="29673699" w14:textId="77777777" w:rsidR="00C1353A" w:rsidRDefault="00C1353A" w:rsidP="00C1353A">
      <w:pPr>
        <w:pStyle w:val="ListParagraph"/>
        <w:numPr>
          <w:ilvl w:val="1"/>
          <w:numId w:val="2"/>
        </w:numPr>
        <w:ind w:left="709"/>
        <w:jc w:val="left"/>
        <w:rPr>
          <w:rFonts w:ascii="Arial" w:hAnsi="Arial" w:cs="Arial"/>
          <w:bCs/>
        </w:rPr>
      </w:pPr>
      <w:r w:rsidRPr="00E45449">
        <w:rPr>
          <w:rFonts w:ascii="Arial" w:hAnsi="Arial" w:cs="Arial"/>
          <w:bCs/>
        </w:rPr>
        <w:t xml:space="preserve">Multi-year cost reduction programmes </w:t>
      </w:r>
      <w:r>
        <w:rPr>
          <w:rFonts w:ascii="Arial" w:hAnsi="Arial" w:cs="Arial"/>
          <w:bCs/>
        </w:rPr>
        <w:t xml:space="preserve">continue to help offset </w:t>
      </w:r>
      <w:r w:rsidRPr="00E45449">
        <w:rPr>
          <w:rFonts w:ascii="Arial" w:hAnsi="Arial" w:cs="Arial"/>
          <w:bCs/>
        </w:rPr>
        <w:t>inflation</w:t>
      </w:r>
      <w:r>
        <w:rPr>
          <w:rFonts w:ascii="Arial" w:hAnsi="Arial" w:cs="Arial"/>
          <w:bCs/>
        </w:rPr>
        <w:t>ary</w:t>
      </w:r>
      <w:r w:rsidRPr="00E45449">
        <w:rPr>
          <w:rFonts w:ascii="Arial" w:hAnsi="Arial" w:cs="Arial"/>
          <w:bCs/>
        </w:rPr>
        <w:t xml:space="preserve"> pressures</w:t>
      </w:r>
      <w:r>
        <w:rPr>
          <w:rFonts w:ascii="Arial" w:hAnsi="Arial" w:cs="Arial"/>
          <w:bCs/>
        </w:rPr>
        <w:t xml:space="preserve"> </w:t>
      </w:r>
    </w:p>
    <w:p w14:paraId="77A6638B" w14:textId="36F7E6EF" w:rsidR="00C1353A" w:rsidRDefault="009C1973" w:rsidP="00C1353A">
      <w:pPr>
        <w:pStyle w:val="ListParagraph"/>
        <w:numPr>
          <w:ilvl w:val="1"/>
          <w:numId w:val="2"/>
        </w:numPr>
        <w:ind w:left="709"/>
        <w:jc w:val="left"/>
        <w:rPr>
          <w:rFonts w:ascii="Arial" w:hAnsi="Arial" w:cs="Arial"/>
          <w:bCs/>
        </w:rPr>
      </w:pPr>
      <w:r>
        <w:rPr>
          <w:rFonts w:ascii="Arial" w:hAnsi="Arial" w:cs="Arial"/>
          <w:bCs/>
        </w:rPr>
        <w:t xml:space="preserve">Four </w:t>
      </w:r>
      <w:r w:rsidR="00C1353A">
        <w:rPr>
          <w:rFonts w:ascii="Arial" w:hAnsi="Arial" w:cs="Arial"/>
          <w:bCs/>
        </w:rPr>
        <w:t xml:space="preserve">further store </w:t>
      </w:r>
      <w:r w:rsidR="00C1353A" w:rsidRPr="00E45449">
        <w:rPr>
          <w:rFonts w:ascii="Arial" w:hAnsi="Arial" w:cs="Arial"/>
          <w:bCs/>
        </w:rPr>
        <w:t>rightsiz</w:t>
      </w:r>
      <w:r w:rsidR="00C1353A">
        <w:rPr>
          <w:rFonts w:ascii="Arial" w:hAnsi="Arial" w:cs="Arial"/>
          <w:bCs/>
        </w:rPr>
        <w:t>ings</w:t>
      </w:r>
      <w:r w:rsidR="00C1353A" w:rsidRPr="00E45449">
        <w:rPr>
          <w:rFonts w:ascii="Arial" w:hAnsi="Arial" w:cs="Arial"/>
          <w:bCs/>
        </w:rPr>
        <w:t xml:space="preserve"> </w:t>
      </w:r>
      <w:r w:rsidR="00C1353A">
        <w:rPr>
          <w:rFonts w:ascii="Arial" w:hAnsi="Arial" w:cs="Arial"/>
          <w:bCs/>
        </w:rPr>
        <w:t xml:space="preserve">completed </w:t>
      </w:r>
      <w:r w:rsidR="00C1353A" w:rsidRPr="00E45449">
        <w:rPr>
          <w:rFonts w:ascii="Arial" w:hAnsi="Arial" w:cs="Arial"/>
          <w:bCs/>
        </w:rPr>
        <w:t>in the UK</w:t>
      </w:r>
      <w:r w:rsidR="00C1353A">
        <w:rPr>
          <w:rFonts w:ascii="Arial" w:hAnsi="Arial" w:cs="Arial"/>
          <w:bCs/>
        </w:rPr>
        <w:t>, with improved sales densities at all locations</w:t>
      </w:r>
    </w:p>
    <w:p w14:paraId="4545D524" w14:textId="11471595" w:rsidR="00C1353A" w:rsidRPr="00CB0A70" w:rsidRDefault="00C1353A" w:rsidP="00C1353A">
      <w:pPr>
        <w:pStyle w:val="ListParagraph"/>
        <w:numPr>
          <w:ilvl w:val="1"/>
          <w:numId w:val="2"/>
        </w:numPr>
        <w:ind w:left="709"/>
        <w:jc w:val="left"/>
        <w:rPr>
          <w:rFonts w:ascii="Arial" w:hAnsi="Arial" w:cs="Arial"/>
          <w:bCs/>
        </w:rPr>
      </w:pPr>
      <w:r>
        <w:rPr>
          <w:rFonts w:ascii="Arial" w:hAnsi="Arial" w:cs="Arial"/>
          <w:bCs/>
        </w:rPr>
        <w:t xml:space="preserve">Increase in net </w:t>
      </w:r>
      <w:r w:rsidRPr="005064E0">
        <w:rPr>
          <w:rFonts w:ascii="Arial" w:hAnsi="Arial" w:cs="Arial"/>
          <w:bCs/>
        </w:rPr>
        <w:t xml:space="preserve">inventory </w:t>
      </w:r>
      <w:r>
        <w:rPr>
          <w:rFonts w:ascii="Arial" w:hAnsi="Arial" w:cs="Arial"/>
          <w:bCs/>
        </w:rPr>
        <w:t xml:space="preserve">YoY </w:t>
      </w:r>
      <w:r w:rsidRPr="005064E0">
        <w:rPr>
          <w:rFonts w:ascii="Arial" w:hAnsi="Arial" w:cs="Arial"/>
          <w:bCs/>
        </w:rPr>
        <w:t>driven</w:t>
      </w:r>
      <w:r>
        <w:rPr>
          <w:rFonts w:ascii="Arial" w:hAnsi="Arial" w:cs="Arial"/>
          <w:bCs/>
        </w:rPr>
        <w:t xml:space="preserve"> by inflation</w:t>
      </w:r>
      <w:r>
        <w:rPr>
          <w:rFonts w:ascii="Arial" w:hAnsi="Arial"/>
        </w:rPr>
        <w:t>; inventory in units (volume) down</w:t>
      </w:r>
    </w:p>
    <w:p w14:paraId="230E937B" w14:textId="5F17027B" w:rsidR="00C1353A" w:rsidRPr="00781F24" w:rsidRDefault="004A0A59" w:rsidP="00C1353A">
      <w:pPr>
        <w:pStyle w:val="ListParagraph"/>
        <w:numPr>
          <w:ilvl w:val="1"/>
          <w:numId w:val="2"/>
        </w:numPr>
        <w:ind w:left="709"/>
        <w:jc w:val="left"/>
        <w:rPr>
          <w:rFonts w:ascii="Arial" w:hAnsi="Arial" w:cs="Arial"/>
          <w:bCs/>
        </w:rPr>
      </w:pPr>
      <w:r>
        <w:rPr>
          <w:rFonts w:ascii="Arial" w:hAnsi="Arial" w:cs="Arial"/>
          <w:bCs/>
        </w:rPr>
        <w:t>S</w:t>
      </w:r>
      <w:r w:rsidR="00C1353A" w:rsidRPr="00E40B03">
        <w:rPr>
          <w:rFonts w:ascii="Arial" w:hAnsi="Arial" w:cs="Arial"/>
          <w:bCs/>
        </w:rPr>
        <w:t>tock</w:t>
      </w:r>
      <w:r w:rsidR="00C1353A">
        <w:rPr>
          <w:rFonts w:ascii="Arial" w:hAnsi="Arial" w:cs="Arial"/>
          <w:bCs/>
        </w:rPr>
        <w:t xml:space="preserve"> provisioning </w:t>
      </w:r>
      <w:r>
        <w:rPr>
          <w:rFonts w:ascii="Arial" w:hAnsi="Arial" w:cs="Arial"/>
          <w:bCs/>
        </w:rPr>
        <w:t xml:space="preserve">and de-listed stock </w:t>
      </w:r>
      <w:r w:rsidR="00C1353A">
        <w:rPr>
          <w:rFonts w:ascii="Arial" w:hAnsi="Arial" w:cs="Arial"/>
          <w:bCs/>
        </w:rPr>
        <w:t>rates</w:t>
      </w:r>
      <w:r w:rsidR="00C1353A" w:rsidRPr="00E40B03">
        <w:rPr>
          <w:rFonts w:ascii="Arial" w:hAnsi="Arial" w:cs="Arial"/>
          <w:bCs/>
        </w:rPr>
        <w:t xml:space="preserve"> </w:t>
      </w:r>
      <w:r>
        <w:rPr>
          <w:rFonts w:ascii="Arial" w:hAnsi="Arial" w:cs="Arial"/>
          <w:bCs/>
        </w:rPr>
        <w:t xml:space="preserve">remain </w:t>
      </w:r>
      <w:r w:rsidR="00C1353A">
        <w:rPr>
          <w:rFonts w:ascii="Arial" w:hAnsi="Arial" w:cs="Arial"/>
          <w:bCs/>
        </w:rPr>
        <w:t xml:space="preserve">below </w:t>
      </w:r>
      <w:r w:rsidR="00C1353A" w:rsidRPr="00E40B03">
        <w:rPr>
          <w:rFonts w:ascii="Arial" w:hAnsi="Arial" w:cs="Arial"/>
          <w:bCs/>
        </w:rPr>
        <w:t>pre-pandemic levels</w:t>
      </w:r>
    </w:p>
    <w:p w14:paraId="5346BC3E" w14:textId="12B9545A" w:rsidR="001F6546" w:rsidRPr="00196CDC" w:rsidRDefault="00C1353A" w:rsidP="00196CDC">
      <w:pPr>
        <w:pStyle w:val="ListParagraph"/>
        <w:numPr>
          <w:ilvl w:val="1"/>
          <w:numId w:val="2"/>
        </w:numPr>
        <w:ind w:left="709"/>
        <w:jc w:val="left"/>
        <w:rPr>
          <w:rFonts w:ascii="Arial" w:hAnsi="Arial" w:cs="Arial"/>
        </w:rPr>
      </w:pPr>
      <w:r w:rsidRPr="00196CDC">
        <w:rPr>
          <w:rFonts w:ascii="Arial" w:hAnsi="Arial" w:cs="Arial"/>
          <w:bCs/>
        </w:rPr>
        <w:t>Actions underway to further optimise supply chain, inventory management and sourcing footprint</w:t>
      </w:r>
    </w:p>
    <w:p w14:paraId="1F10A917" w14:textId="5BB06772" w:rsidR="004523A7" w:rsidRDefault="004523A7" w:rsidP="00CD09A1">
      <w:pPr>
        <w:pStyle w:val="ListParagraph"/>
        <w:rPr>
          <w:rFonts w:ascii="Arial" w:hAnsi="Arial" w:cs="Arial"/>
        </w:rPr>
      </w:pPr>
      <w:r>
        <w:rPr>
          <w:rFonts w:ascii="Arial" w:hAnsi="Arial" w:cs="Arial"/>
        </w:rPr>
        <w:br w:type="page"/>
      </w:r>
    </w:p>
    <w:bookmarkEnd w:id="1"/>
    <w:bookmarkEnd w:id="6"/>
    <w:bookmarkEnd w:id="7"/>
    <w:p w14:paraId="3331F342" w14:textId="77777777" w:rsidR="00C52B32" w:rsidRPr="004839A6" w:rsidRDefault="00C52B32" w:rsidP="00C52B32">
      <w:pPr>
        <w:jc w:val="left"/>
        <w:rPr>
          <w:rFonts w:ascii="Arial" w:hAnsi="Arial" w:cs="Arial"/>
          <w:b/>
          <w:bCs/>
          <w:sz w:val="19"/>
          <w:szCs w:val="19"/>
        </w:rPr>
      </w:pPr>
      <w:r w:rsidRPr="004839A6">
        <w:rPr>
          <w:rFonts w:ascii="Arial" w:hAnsi="Arial" w:cs="Arial"/>
          <w:b/>
          <w:bCs/>
          <w:sz w:val="19"/>
          <w:szCs w:val="19"/>
        </w:rPr>
        <w:lastRenderedPageBreak/>
        <w:t>Footnotes</w:t>
      </w:r>
    </w:p>
    <w:p w14:paraId="3CC16697" w14:textId="6BFA2994" w:rsidR="00351AA7" w:rsidRPr="00F22BFF" w:rsidRDefault="00351AA7" w:rsidP="00351AA7">
      <w:pPr>
        <w:jc w:val="left"/>
        <w:rPr>
          <w:rFonts w:ascii="Arial" w:hAnsi="Arial" w:cs="Arial"/>
          <w:sz w:val="19"/>
          <w:szCs w:val="19"/>
        </w:rPr>
      </w:pPr>
      <w:r w:rsidRPr="004839A6">
        <w:rPr>
          <w:rFonts w:ascii="Arial" w:hAnsi="Arial" w:cs="Arial"/>
          <w:sz w:val="19"/>
          <w:szCs w:val="19"/>
          <w:vertAlign w:val="superscript"/>
        </w:rPr>
        <w:t>(1)</w:t>
      </w:r>
      <w:r w:rsidRPr="004839A6">
        <w:rPr>
          <w:rFonts w:ascii="Arial" w:hAnsi="Arial" w:cs="Arial"/>
          <w:sz w:val="19"/>
          <w:szCs w:val="19"/>
        </w:rPr>
        <w:t xml:space="preserve"> </w:t>
      </w:r>
      <w:bookmarkStart w:id="13" w:name="_Hlk65942856"/>
      <w:r w:rsidRPr="004839A6">
        <w:rPr>
          <w:rFonts w:ascii="Arial" w:hAnsi="Arial" w:cs="Arial"/>
          <w:sz w:val="19"/>
          <w:szCs w:val="19"/>
        </w:rPr>
        <w:t xml:space="preserve">The Board has proposed a final dividend per share of </w:t>
      </w:r>
      <w:r w:rsidRPr="00F854C7">
        <w:rPr>
          <w:rFonts w:ascii="Arial" w:hAnsi="Arial" w:cs="Arial"/>
          <w:sz w:val="19"/>
          <w:szCs w:val="19"/>
        </w:rPr>
        <w:t>8.60p</w:t>
      </w:r>
      <w:r w:rsidRPr="004839A6">
        <w:rPr>
          <w:rFonts w:ascii="Arial" w:hAnsi="Arial" w:cs="Arial"/>
          <w:sz w:val="19"/>
          <w:szCs w:val="19"/>
        </w:rPr>
        <w:t xml:space="preserve"> (FY 2</w:t>
      </w:r>
      <w:r>
        <w:rPr>
          <w:rFonts w:ascii="Arial" w:hAnsi="Arial" w:cs="Arial"/>
          <w:sz w:val="19"/>
          <w:szCs w:val="19"/>
        </w:rPr>
        <w:t>1</w:t>
      </w:r>
      <w:r w:rsidRPr="004839A6">
        <w:rPr>
          <w:rFonts w:ascii="Arial" w:hAnsi="Arial" w:cs="Arial"/>
          <w:sz w:val="19"/>
          <w:szCs w:val="19"/>
        </w:rPr>
        <w:t>/2</w:t>
      </w:r>
      <w:r>
        <w:rPr>
          <w:rFonts w:ascii="Arial" w:hAnsi="Arial" w:cs="Arial"/>
          <w:sz w:val="19"/>
          <w:szCs w:val="19"/>
        </w:rPr>
        <w:t>2</w:t>
      </w:r>
      <w:r w:rsidRPr="004839A6">
        <w:rPr>
          <w:rFonts w:ascii="Arial" w:hAnsi="Arial" w:cs="Arial"/>
          <w:sz w:val="19"/>
          <w:szCs w:val="19"/>
        </w:rPr>
        <w:t xml:space="preserve"> final dividend: </w:t>
      </w:r>
      <w:r>
        <w:rPr>
          <w:rFonts w:ascii="Arial" w:hAnsi="Arial" w:cs="Arial"/>
          <w:sz w:val="19"/>
          <w:szCs w:val="19"/>
        </w:rPr>
        <w:t>8</w:t>
      </w:r>
      <w:r w:rsidRPr="004839A6">
        <w:rPr>
          <w:rFonts w:ascii="Arial" w:hAnsi="Arial" w:cs="Arial"/>
          <w:sz w:val="19"/>
          <w:szCs w:val="19"/>
        </w:rPr>
        <w:t>.</w:t>
      </w:r>
      <w:r>
        <w:rPr>
          <w:rFonts w:ascii="Arial" w:hAnsi="Arial" w:cs="Arial"/>
          <w:sz w:val="19"/>
          <w:szCs w:val="19"/>
        </w:rPr>
        <w:t>6</w:t>
      </w:r>
      <w:r w:rsidRPr="004839A6">
        <w:rPr>
          <w:rFonts w:ascii="Arial" w:hAnsi="Arial" w:cs="Arial"/>
          <w:sz w:val="19"/>
          <w:szCs w:val="19"/>
        </w:rPr>
        <w:t xml:space="preserve">0p), resulting in a proposed total dividend per share of </w:t>
      </w:r>
      <w:r w:rsidRPr="00F854C7">
        <w:rPr>
          <w:rFonts w:ascii="Arial" w:hAnsi="Arial" w:cs="Arial"/>
          <w:sz w:val="19"/>
          <w:szCs w:val="19"/>
        </w:rPr>
        <w:t>12.40p</w:t>
      </w:r>
      <w:r w:rsidRPr="004839A6">
        <w:rPr>
          <w:rFonts w:ascii="Arial" w:hAnsi="Arial" w:cs="Arial"/>
          <w:sz w:val="19"/>
          <w:szCs w:val="19"/>
        </w:rPr>
        <w:t xml:space="preserve"> in respect of FY 2</w:t>
      </w:r>
      <w:r>
        <w:rPr>
          <w:rFonts w:ascii="Arial" w:hAnsi="Arial" w:cs="Arial"/>
          <w:sz w:val="19"/>
          <w:szCs w:val="19"/>
        </w:rPr>
        <w:t>2</w:t>
      </w:r>
      <w:r w:rsidRPr="004839A6">
        <w:rPr>
          <w:rFonts w:ascii="Arial" w:hAnsi="Arial" w:cs="Arial"/>
          <w:sz w:val="19"/>
          <w:szCs w:val="19"/>
        </w:rPr>
        <w:t>/2</w:t>
      </w:r>
      <w:r>
        <w:rPr>
          <w:rFonts w:ascii="Arial" w:hAnsi="Arial" w:cs="Arial"/>
          <w:sz w:val="19"/>
          <w:szCs w:val="19"/>
        </w:rPr>
        <w:t>3</w:t>
      </w:r>
      <w:r w:rsidRPr="004839A6">
        <w:rPr>
          <w:rFonts w:ascii="Arial" w:hAnsi="Arial" w:cs="Arial"/>
          <w:sz w:val="19"/>
          <w:szCs w:val="19"/>
        </w:rPr>
        <w:t xml:space="preserve"> (FY 2</w:t>
      </w:r>
      <w:r>
        <w:rPr>
          <w:rFonts w:ascii="Arial" w:hAnsi="Arial" w:cs="Arial"/>
          <w:sz w:val="19"/>
          <w:szCs w:val="19"/>
        </w:rPr>
        <w:t>1</w:t>
      </w:r>
      <w:r w:rsidRPr="004839A6">
        <w:rPr>
          <w:rFonts w:ascii="Arial" w:hAnsi="Arial" w:cs="Arial"/>
          <w:sz w:val="19"/>
          <w:szCs w:val="19"/>
        </w:rPr>
        <w:t>/2</w:t>
      </w:r>
      <w:r>
        <w:rPr>
          <w:rFonts w:ascii="Arial" w:hAnsi="Arial" w:cs="Arial"/>
          <w:sz w:val="19"/>
          <w:szCs w:val="19"/>
        </w:rPr>
        <w:t>2</w:t>
      </w:r>
      <w:r w:rsidRPr="004839A6">
        <w:rPr>
          <w:rFonts w:ascii="Arial" w:hAnsi="Arial" w:cs="Arial"/>
          <w:sz w:val="19"/>
          <w:szCs w:val="19"/>
        </w:rPr>
        <w:t xml:space="preserve">: </w:t>
      </w:r>
      <w:r>
        <w:rPr>
          <w:rFonts w:ascii="Arial" w:hAnsi="Arial" w:cs="Arial"/>
          <w:sz w:val="19"/>
          <w:szCs w:val="19"/>
        </w:rPr>
        <w:t>12.40</w:t>
      </w:r>
      <w:r w:rsidRPr="004839A6">
        <w:rPr>
          <w:rFonts w:ascii="Arial" w:hAnsi="Arial" w:cs="Arial"/>
          <w:sz w:val="19"/>
          <w:szCs w:val="19"/>
        </w:rPr>
        <w:t>p). The final dividend is subject to the approval of shareholders at the Annual General</w:t>
      </w:r>
      <w:r w:rsidRPr="00F22BFF">
        <w:rPr>
          <w:rFonts w:ascii="Arial" w:hAnsi="Arial" w:cs="Arial"/>
          <w:sz w:val="19"/>
          <w:szCs w:val="19"/>
        </w:rPr>
        <w:t xml:space="preserve"> Meeting on 2</w:t>
      </w:r>
      <w:r w:rsidR="008119EB">
        <w:rPr>
          <w:rFonts w:ascii="Arial" w:hAnsi="Arial" w:cs="Arial"/>
          <w:sz w:val="19"/>
          <w:szCs w:val="19"/>
        </w:rPr>
        <w:t>7</w:t>
      </w:r>
      <w:r w:rsidRPr="00F22BFF">
        <w:rPr>
          <w:rFonts w:ascii="Arial" w:hAnsi="Arial" w:cs="Arial"/>
          <w:sz w:val="19"/>
          <w:szCs w:val="19"/>
        </w:rPr>
        <w:t xml:space="preserve"> June 202</w:t>
      </w:r>
      <w:r w:rsidR="008119EB">
        <w:rPr>
          <w:rFonts w:ascii="Arial" w:hAnsi="Arial" w:cs="Arial"/>
          <w:sz w:val="19"/>
          <w:szCs w:val="19"/>
        </w:rPr>
        <w:t>3</w:t>
      </w:r>
      <w:r w:rsidRPr="00F22BFF">
        <w:rPr>
          <w:rFonts w:ascii="Arial" w:hAnsi="Arial" w:cs="Arial"/>
          <w:sz w:val="19"/>
          <w:szCs w:val="19"/>
        </w:rPr>
        <w:t>.</w:t>
      </w:r>
      <w:bookmarkEnd w:id="13"/>
    </w:p>
    <w:p w14:paraId="1E4DF190" w14:textId="1D5F1DAA" w:rsidR="00C52B32" w:rsidRDefault="00C52B32" w:rsidP="00C52B32">
      <w:pPr>
        <w:jc w:val="left"/>
        <w:rPr>
          <w:rFonts w:ascii="Arial" w:hAnsi="Arial" w:cs="Arial"/>
          <w:sz w:val="19"/>
          <w:szCs w:val="19"/>
        </w:rPr>
      </w:pPr>
      <w:r w:rsidRPr="00F22BFF">
        <w:rPr>
          <w:rFonts w:ascii="Arial" w:hAnsi="Arial" w:cs="Arial"/>
          <w:sz w:val="19"/>
          <w:szCs w:val="19"/>
          <w:vertAlign w:val="superscript"/>
        </w:rPr>
        <w:t>(</w:t>
      </w:r>
      <w:r w:rsidR="00351AA7">
        <w:rPr>
          <w:rFonts w:ascii="Arial" w:hAnsi="Arial" w:cs="Arial"/>
          <w:sz w:val="19"/>
          <w:szCs w:val="19"/>
          <w:vertAlign w:val="superscript"/>
        </w:rPr>
        <w:t>2</w:t>
      </w:r>
      <w:r w:rsidRPr="00F22BFF">
        <w:rPr>
          <w:rFonts w:ascii="Arial" w:hAnsi="Arial" w:cs="Arial"/>
          <w:sz w:val="19"/>
          <w:szCs w:val="19"/>
          <w:vertAlign w:val="superscript"/>
        </w:rPr>
        <w:t>)</w:t>
      </w:r>
      <w:r w:rsidRPr="00F22BFF">
        <w:rPr>
          <w:rFonts w:ascii="Arial" w:hAnsi="Arial" w:cs="Arial"/>
          <w:sz w:val="19"/>
          <w:szCs w:val="19"/>
        </w:rPr>
        <w:t xml:space="preserve"> Net debt includes </w:t>
      </w:r>
      <w:r w:rsidRPr="00106598">
        <w:rPr>
          <w:rFonts w:ascii="Arial" w:hAnsi="Arial" w:cs="Arial"/>
          <w:sz w:val="19"/>
          <w:szCs w:val="19"/>
        </w:rPr>
        <w:t>£</w:t>
      </w:r>
      <w:r w:rsidRPr="004914A9">
        <w:rPr>
          <w:rFonts w:ascii="Arial" w:hAnsi="Arial" w:cs="Arial"/>
          <w:sz w:val="19"/>
          <w:szCs w:val="19"/>
        </w:rPr>
        <w:t>2</w:t>
      </w:r>
      <w:r w:rsidR="00E460D1">
        <w:rPr>
          <w:rFonts w:ascii="Arial" w:hAnsi="Arial" w:cs="Arial"/>
          <w:sz w:val="19"/>
          <w:szCs w:val="19"/>
        </w:rPr>
        <w:t>,444m</w:t>
      </w:r>
      <w:r w:rsidRPr="00106598">
        <w:rPr>
          <w:rFonts w:ascii="Arial" w:hAnsi="Arial" w:cs="Arial"/>
          <w:sz w:val="19"/>
          <w:szCs w:val="19"/>
        </w:rPr>
        <w:t xml:space="preserve"> lease</w:t>
      </w:r>
      <w:r w:rsidRPr="00F22BFF">
        <w:rPr>
          <w:rFonts w:ascii="Arial" w:hAnsi="Arial" w:cs="Arial"/>
          <w:sz w:val="19"/>
          <w:szCs w:val="19"/>
        </w:rPr>
        <w:t xml:space="preserve"> liabilities under IFRS 16 in </w:t>
      </w:r>
      <w:r w:rsidR="00F372E5">
        <w:rPr>
          <w:rFonts w:ascii="Arial" w:hAnsi="Arial" w:cs="Arial"/>
          <w:sz w:val="19"/>
          <w:szCs w:val="19"/>
        </w:rPr>
        <w:t>FY</w:t>
      </w:r>
      <w:r w:rsidR="00F372E5" w:rsidRPr="00F22BFF">
        <w:rPr>
          <w:rFonts w:ascii="Arial" w:hAnsi="Arial" w:cs="Arial"/>
          <w:sz w:val="19"/>
          <w:szCs w:val="19"/>
        </w:rPr>
        <w:t xml:space="preserve"> </w:t>
      </w:r>
      <w:r w:rsidRPr="00F22BFF">
        <w:rPr>
          <w:rFonts w:ascii="Arial" w:hAnsi="Arial" w:cs="Arial"/>
          <w:sz w:val="19"/>
          <w:szCs w:val="19"/>
        </w:rPr>
        <w:t>2</w:t>
      </w:r>
      <w:r w:rsidR="0047631D">
        <w:rPr>
          <w:rFonts w:ascii="Arial" w:hAnsi="Arial" w:cs="Arial"/>
          <w:sz w:val="19"/>
          <w:szCs w:val="19"/>
        </w:rPr>
        <w:t>2</w:t>
      </w:r>
      <w:r w:rsidRPr="00F22BFF">
        <w:rPr>
          <w:rFonts w:ascii="Arial" w:hAnsi="Arial" w:cs="Arial"/>
          <w:sz w:val="19"/>
          <w:szCs w:val="19"/>
        </w:rPr>
        <w:t>/2</w:t>
      </w:r>
      <w:r w:rsidR="0047631D">
        <w:rPr>
          <w:rFonts w:ascii="Arial" w:hAnsi="Arial" w:cs="Arial"/>
          <w:sz w:val="19"/>
          <w:szCs w:val="19"/>
        </w:rPr>
        <w:t>3</w:t>
      </w:r>
      <w:r w:rsidRPr="00F22BFF">
        <w:rPr>
          <w:rFonts w:ascii="Arial" w:hAnsi="Arial" w:cs="Arial"/>
          <w:sz w:val="19"/>
          <w:szCs w:val="19"/>
        </w:rPr>
        <w:t xml:space="preserve"> (</w:t>
      </w:r>
      <w:r w:rsidR="00563E9A">
        <w:rPr>
          <w:rFonts w:ascii="Arial" w:hAnsi="Arial" w:cs="Arial"/>
          <w:sz w:val="19"/>
          <w:szCs w:val="19"/>
        </w:rPr>
        <w:t>FY</w:t>
      </w:r>
      <w:r w:rsidR="00563E9A" w:rsidRPr="00F22BFF">
        <w:rPr>
          <w:rFonts w:ascii="Arial" w:hAnsi="Arial" w:cs="Arial"/>
          <w:sz w:val="19"/>
          <w:szCs w:val="19"/>
        </w:rPr>
        <w:t xml:space="preserve"> </w:t>
      </w:r>
      <w:r w:rsidRPr="00F22BFF">
        <w:rPr>
          <w:rFonts w:ascii="Arial" w:hAnsi="Arial" w:cs="Arial"/>
          <w:sz w:val="19"/>
          <w:szCs w:val="19"/>
        </w:rPr>
        <w:t>2</w:t>
      </w:r>
      <w:r w:rsidR="0047631D">
        <w:rPr>
          <w:rFonts w:ascii="Arial" w:hAnsi="Arial" w:cs="Arial"/>
          <w:sz w:val="19"/>
          <w:szCs w:val="19"/>
        </w:rPr>
        <w:t>1</w:t>
      </w:r>
      <w:r w:rsidRPr="00F22BFF">
        <w:rPr>
          <w:rFonts w:ascii="Arial" w:hAnsi="Arial" w:cs="Arial"/>
          <w:sz w:val="19"/>
          <w:szCs w:val="19"/>
        </w:rPr>
        <w:t>/2</w:t>
      </w:r>
      <w:r w:rsidR="0047631D">
        <w:rPr>
          <w:rFonts w:ascii="Arial" w:hAnsi="Arial" w:cs="Arial"/>
          <w:sz w:val="19"/>
          <w:szCs w:val="19"/>
        </w:rPr>
        <w:t>2</w:t>
      </w:r>
      <w:r w:rsidRPr="00F22BFF">
        <w:rPr>
          <w:rFonts w:ascii="Arial" w:hAnsi="Arial" w:cs="Arial"/>
          <w:sz w:val="19"/>
          <w:szCs w:val="19"/>
        </w:rPr>
        <w:t>: £2</w:t>
      </w:r>
      <w:r w:rsidR="00E460D1">
        <w:rPr>
          <w:rFonts w:ascii="Arial" w:hAnsi="Arial" w:cs="Arial"/>
          <w:sz w:val="19"/>
          <w:szCs w:val="19"/>
        </w:rPr>
        <w:t>,</w:t>
      </w:r>
      <w:r w:rsidR="00123A92">
        <w:rPr>
          <w:rFonts w:ascii="Arial" w:hAnsi="Arial" w:cs="Arial"/>
          <w:sz w:val="19"/>
          <w:szCs w:val="19"/>
        </w:rPr>
        <w:t>376m</w:t>
      </w:r>
      <w:r w:rsidRPr="00F22BFF">
        <w:rPr>
          <w:rFonts w:ascii="Arial" w:hAnsi="Arial" w:cs="Arial"/>
          <w:sz w:val="19"/>
          <w:szCs w:val="19"/>
        </w:rPr>
        <w:t>).</w:t>
      </w:r>
    </w:p>
    <w:p w14:paraId="26DC5A1D" w14:textId="79B46957" w:rsidR="00C0371D" w:rsidRPr="00F22BFF" w:rsidRDefault="00C0371D" w:rsidP="00C0371D">
      <w:pPr>
        <w:jc w:val="left"/>
        <w:rPr>
          <w:rFonts w:ascii="Arial" w:hAnsi="Arial" w:cs="Arial"/>
          <w:sz w:val="19"/>
          <w:szCs w:val="19"/>
        </w:rPr>
      </w:pPr>
      <w:r w:rsidRPr="00F22BFF">
        <w:rPr>
          <w:rFonts w:ascii="Arial" w:hAnsi="Arial" w:cs="Arial"/>
          <w:sz w:val="19"/>
          <w:szCs w:val="19"/>
          <w:vertAlign w:val="superscript"/>
        </w:rPr>
        <w:t>(</w:t>
      </w:r>
      <w:r>
        <w:rPr>
          <w:rFonts w:ascii="Arial" w:hAnsi="Arial" w:cs="Arial"/>
          <w:sz w:val="19"/>
          <w:szCs w:val="19"/>
          <w:vertAlign w:val="superscript"/>
        </w:rPr>
        <w:t>3</w:t>
      </w:r>
      <w:r w:rsidRPr="00F22BFF">
        <w:rPr>
          <w:rFonts w:ascii="Arial" w:hAnsi="Arial" w:cs="Arial"/>
          <w:sz w:val="19"/>
          <w:szCs w:val="19"/>
          <w:vertAlign w:val="superscript"/>
        </w:rPr>
        <w:t>)</w:t>
      </w:r>
      <w:r w:rsidRPr="00F22BFF">
        <w:rPr>
          <w:rFonts w:ascii="Arial" w:hAnsi="Arial" w:cs="Arial"/>
          <w:sz w:val="19"/>
          <w:szCs w:val="19"/>
        </w:rPr>
        <w:t xml:space="preserve"> </w:t>
      </w:r>
      <w:r w:rsidR="00EA13C3" w:rsidRPr="00EA13C3">
        <w:rPr>
          <w:rFonts w:ascii="Arial" w:hAnsi="Arial" w:cs="Arial"/>
          <w:sz w:val="19"/>
          <w:szCs w:val="19"/>
        </w:rPr>
        <w:t xml:space="preserve">Represents </w:t>
      </w:r>
      <w:r w:rsidR="0030174B">
        <w:rPr>
          <w:rFonts w:ascii="Arial" w:hAnsi="Arial" w:cs="Arial"/>
          <w:sz w:val="19"/>
          <w:szCs w:val="19"/>
        </w:rPr>
        <w:t xml:space="preserve">the </w:t>
      </w:r>
      <w:r w:rsidR="0030174B" w:rsidRPr="00EA13C3">
        <w:rPr>
          <w:rFonts w:ascii="Arial" w:hAnsi="Arial" w:cs="Arial"/>
          <w:sz w:val="19"/>
          <w:szCs w:val="19"/>
        </w:rPr>
        <w:t xml:space="preserve">compound annual growth rate (CAGR) </w:t>
      </w:r>
      <w:r w:rsidR="0030174B">
        <w:rPr>
          <w:rFonts w:ascii="Arial" w:hAnsi="Arial" w:cs="Arial"/>
          <w:sz w:val="19"/>
          <w:szCs w:val="19"/>
        </w:rPr>
        <w:t xml:space="preserve">of </w:t>
      </w:r>
      <w:r w:rsidR="005C2C8E">
        <w:rPr>
          <w:rFonts w:ascii="Arial" w:hAnsi="Arial" w:cs="Arial"/>
          <w:sz w:val="19"/>
          <w:szCs w:val="19"/>
        </w:rPr>
        <w:t xml:space="preserve">total sales for the UK, France and Poland </w:t>
      </w:r>
      <w:r w:rsidR="00EA13C3" w:rsidRPr="00EA13C3">
        <w:rPr>
          <w:rFonts w:ascii="Arial" w:hAnsi="Arial" w:cs="Arial"/>
          <w:sz w:val="19"/>
          <w:szCs w:val="19"/>
        </w:rPr>
        <w:t>between FY 19/20 and FY 2</w:t>
      </w:r>
      <w:r w:rsidR="0030174B">
        <w:rPr>
          <w:rFonts w:ascii="Arial" w:hAnsi="Arial" w:cs="Arial"/>
          <w:sz w:val="19"/>
          <w:szCs w:val="19"/>
        </w:rPr>
        <w:t>2</w:t>
      </w:r>
      <w:r w:rsidR="00EA13C3" w:rsidRPr="00EA13C3">
        <w:rPr>
          <w:rFonts w:ascii="Arial" w:hAnsi="Arial" w:cs="Arial"/>
          <w:sz w:val="19"/>
          <w:szCs w:val="19"/>
        </w:rPr>
        <w:t>/2</w:t>
      </w:r>
      <w:r w:rsidR="0030174B">
        <w:rPr>
          <w:rFonts w:ascii="Arial" w:hAnsi="Arial" w:cs="Arial"/>
          <w:sz w:val="19"/>
          <w:szCs w:val="19"/>
        </w:rPr>
        <w:t>3</w:t>
      </w:r>
      <w:r w:rsidR="00EA13C3" w:rsidRPr="00EA13C3">
        <w:rPr>
          <w:rFonts w:ascii="Arial" w:hAnsi="Arial" w:cs="Arial"/>
          <w:sz w:val="19"/>
          <w:szCs w:val="19"/>
        </w:rPr>
        <w:t xml:space="preserve"> (in constant currency)</w:t>
      </w:r>
      <w:r w:rsidR="0030174B">
        <w:rPr>
          <w:rFonts w:ascii="Arial" w:hAnsi="Arial" w:cs="Arial"/>
          <w:sz w:val="19"/>
          <w:szCs w:val="19"/>
        </w:rPr>
        <w:t>.</w:t>
      </w:r>
    </w:p>
    <w:p w14:paraId="3EBBB808" w14:textId="28EA4744" w:rsidR="00C0371D" w:rsidRPr="00F22BFF" w:rsidRDefault="00C0371D" w:rsidP="00C0371D">
      <w:pPr>
        <w:jc w:val="left"/>
        <w:rPr>
          <w:rFonts w:ascii="Arial" w:hAnsi="Arial" w:cs="Arial"/>
          <w:sz w:val="19"/>
          <w:szCs w:val="19"/>
        </w:rPr>
      </w:pPr>
      <w:r w:rsidRPr="00F22BFF">
        <w:rPr>
          <w:rFonts w:ascii="Arial" w:hAnsi="Arial" w:cs="Arial"/>
          <w:sz w:val="19"/>
          <w:szCs w:val="19"/>
          <w:vertAlign w:val="superscript"/>
        </w:rPr>
        <w:t>(</w:t>
      </w:r>
      <w:r>
        <w:rPr>
          <w:rFonts w:ascii="Arial" w:hAnsi="Arial" w:cs="Arial"/>
          <w:sz w:val="19"/>
          <w:szCs w:val="19"/>
          <w:vertAlign w:val="superscript"/>
        </w:rPr>
        <w:t>4</w:t>
      </w:r>
      <w:r w:rsidRPr="00F22BFF">
        <w:rPr>
          <w:rFonts w:ascii="Arial" w:hAnsi="Arial" w:cs="Arial"/>
          <w:sz w:val="19"/>
          <w:szCs w:val="19"/>
          <w:vertAlign w:val="superscript"/>
        </w:rPr>
        <w:t>)</w:t>
      </w:r>
      <w:r w:rsidRPr="00F22BFF">
        <w:rPr>
          <w:rFonts w:ascii="Arial" w:hAnsi="Arial" w:cs="Arial"/>
          <w:sz w:val="19"/>
          <w:szCs w:val="19"/>
        </w:rPr>
        <w:t xml:space="preserve"> </w:t>
      </w:r>
      <w:r w:rsidR="00AE0069" w:rsidRPr="00AE0069">
        <w:rPr>
          <w:rFonts w:ascii="Arial" w:hAnsi="Arial" w:cs="Arial"/>
          <w:sz w:val="19"/>
          <w:szCs w:val="19"/>
        </w:rPr>
        <w:t xml:space="preserve">Market </w:t>
      </w:r>
      <w:r w:rsidR="00AE0069" w:rsidRPr="00627D5A">
        <w:rPr>
          <w:rFonts w:ascii="Arial" w:hAnsi="Arial" w:cs="Arial"/>
          <w:sz w:val="19"/>
          <w:szCs w:val="19"/>
        </w:rPr>
        <w:t xml:space="preserve">growth (in constant currency) </w:t>
      </w:r>
      <w:r w:rsidR="009B6EFD" w:rsidRPr="00627D5A">
        <w:rPr>
          <w:rFonts w:ascii="Arial" w:hAnsi="Arial" w:cs="Arial"/>
          <w:sz w:val="19"/>
          <w:szCs w:val="19"/>
        </w:rPr>
        <w:t xml:space="preserve">for the UK, France and Poland </w:t>
      </w:r>
      <w:r w:rsidR="00AE0069" w:rsidRPr="00627D5A">
        <w:rPr>
          <w:rFonts w:ascii="Arial" w:hAnsi="Arial" w:cs="Arial"/>
          <w:sz w:val="19"/>
          <w:szCs w:val="19"/>
        </w:rPr>
        <w:t xml:space="preserve">based on </w:t>
      </w:r>
      <w:r w:rsidR="009B6EFD" w:rsidRPr="00627D5A">
        <w:rPr>
          <w:rFonts w:ascii="Arial" w:hAnsi="Arial" w:cs="Arial"/>
          <w:sz w:val="19"/>
          <w:szCs w:val="19"/>
        </w:rPr>
        <w:t xml:space="preserve">a </w:t>
      </w:r>
      <w:r w:rsidR="00AE0069" w:rsidRPr="00627D5A">
        <w:rPr>
          <w:rFonts w:ascii="Arial" w:hAnsi="Arial" w:cs="Arial"/>
          <w:sz w:val="19"/>
          <w:szCs w:val="19"/>
        </w:rPr>
        <w:t>Kingfisher internal analysis</w:t>
      </w:r>
      <w:r w:rsidR="009B6EFD" w:rsidRPr="00627D5A">
        <w:rPr>
          <w:rFonts w:ascii="Arial" w:hAnsi="Arial" w:cs="Arial"/>
          <w:sz w:val="19"/>
          <w:szCs w:val="19"/>
        </w:rPr>
        <w:t xml:space="preserve"> covering </w:t>
      </w:r>
      <w:r w:rsidR="00EB5DFA" w:rsidRPr="006F1217">
        <w:rPr>
          <w:rFonts w:ascii="Arial" w:hAnsi="Arial" w:cs="Arial"/>
          <w:sz w:val="19"/>
          <w:szCs w:val="19"/>
        </w:rPr>
        <w:t>2</w:t>
      </w:r>
      <w:r w:rsidR="00AE0069" w:rsidRPr="006F1217">
        <w:rPr>
          <w:rFonts w:ascii="Arial" w:hAnsi="Arial" w:cs="Arial"/>
          <w:sz w:val="19"/>
          <w:szCs w:val="19"/>
        </w:rPr>
        <w:t>,</w:t>
      </w:r>
      <w:r w:rsidR="00EB5DFA" w:rsidRPr="006F1217">
        <w:rPr>
          <w:rFonts w:ascii="Arial" w:hAnsi="Arial" w:cs="Arial"/>
          <w:sz w:val="19"/>
          <w:szCs w:val="19"/>
        </w:rPr>
        <w:t>225</w:t>
      </w:r>
      <w:r w:rsidR="00AE0069" w:rsidRPr="00627D5A">
        <w:rPr>
          <w:rFonts w:ascii="Arial" w:hAnsi="Arial" w:cs="Arial"/>
          <w:sz w:val="19"/>
          <w:szCs w:val="19"/>
        </w:rPr>
        <w:t xml:space="preserve"> retailer</w:t>
      </w:r>
      <w:r w:rsidR="00AE0069" w:rsidRPr="00AE0069">
        <w:rPr>
          <w:rFonts w:ascii="Arial" w:hAnsi="Arial" w:cs="Arial"/>
          <w:sz w:val="19"/>
          <w:szCs w:val="19"/>
        </w:rPr>
        <w:t>s (on a calendar year basis)</w:t>
      </w:r>
      <w:r w:rsidR="00AE0069">
        <w:rPr>
          <w:rFonts w:ascii="Arial" w:hAnsi="Arial" w:cs="Arial"/>
          <w:sz w:val="19"/>
          <w:szCs w:val="19"/>
        </w:rPr>
        <w:t>.</w:t>
      </w:r>
    </w:p>
    <w:p w14:paraId="2F38D8D6" w14:textId="2257B923" w:rsidR="00C52B32" w:rsidRPr="00F22BFF" w:rsidRDefault="00C52B32" w:rsidP="00C52B32">
      <w:pPr>
        <w:jc w:val="left"/>
        <w:rPr>
          <w:rFonts w:ascii="Arial" w:hAnsi="Arial" w:cs="Arial"/>
          <w:sz w:val="19"/>
          <w:szCs w:val="19"/>
        </w:rPr>
      </w:pPr>
      <w:bookmarkStart w:id="14" w:name="_Hlk96706153"/>
      <w:r w:rsidRPr="00F22BFF">
        <w:rPr>
          <w:rFonts w:ascii="Arial" w:hAnsi="Arial" w:cs="Arial"/>
          <w:sz w:val="19"/>
          <w:szCs w:val="19"/>
          <w:vertAlign w:val="superscript"/>
        </w:rPr>
        <w:t>(</w:t>
      </w:r>
      <w:r w:rsidR="00C0371D">
        <w:rPr>
          <w:rFonts w:ascii="Arial" w:hAnsi="Arial" w:cs="Arial"/>
          <w:sz w:val="19"/>
          <w:szCs w:val="19"/>
          <w:vertAlign w:val="superscript"/>
        </w:rPr>
        <w:t>5</w:t>
      </w:r>
      <w:r w:rsidRPr="00F22BFF">
        <w:rPr>
          <w:rFonts w:ascii="Arial" w:hAnsi="Arial" w:cs="Arial"/>
          <w:sz w:val="19"/>
          <w:szCs w:val="19"/>
          <w:vertAlign w:val="superscript"/>
        </w:rPr>
        <w:t>)</w:t>
      </w:r>
      <w:r w:rsidRPr="00F22BFF">
        <w:rPr>
          <w:rFonts w:ascii="Arial" w:hAnsi="Arial" w:cs="Arial"/>
          <w:sz w:val="19"/>
          <w:szCs w:val="19"/>
        </w:rPr>
        <w:t xml:space="preserve"> </w:t>
      </w:r>
      <w:r w:rsidR="00A939BC">
        <w:rPr>
          <w:rFonts w:ascii="Arial" w:hAnsi="Arial" w:cs="Arial"/>
          <w:sz w:val="19"/>
          <w:szCs w:val="19"/>
        </w:rPr>
        <w:t xml:space="preserve">February </w:t>
      </w:r>
      <w:r w:rsidRPr="00F22BFF">
        <w:rPr>
          <w:rFonts w:ascii="Arial" w:hAnsi="Arial" w:cs="Arial"/>
          <w:sz w:val="19"/>
          <w:szCs w:val="19"/>
        </w:rPr>
        <w:t>2</w:t>
      </w:r>
      <w:r w:rsidR="00BB52F1">
        <w:rPr>
          <w:rFonts w:ascii="Arial" w:hAnsi="Arial" w:cs="Arial"/>
          <w:sz w:val="19"/>
          <w:szCs w:val="19"/>
        </w:rPr>
        <w:t>3</w:t>
      </w:r>
      <w:r w:rsidRPr="00F22BFF">
        <w:rPr>
          <w:rFonts w:ascii="Arial" w:hAnsi="Arial" w:cs="Arial"/>
          <w:sz w:val="19"/>
          <w:szCs w:val="19"/>
        </w:rPr>
        <w:t>/2</w:t>
      </w:r>
      <w:r w:rsidR="00BB52F1">
        <w:rPr>
          <w:rFonts w:ascii="Arial" w:hAnsi="Arial" w:cs="Arial"/>
          <w:sz w:val="19"/>
          <w:szCs w:val="19"/>
        </w:rPr>
        <w:t>4</w:t>
      </w:r>
      <w:r w:rsidRPr="00F22BFF">
        <w:rPr>
          <w:rFonts w:ascii="Arial" w:hAnsi="Arial" w:cs="Arial"/>
          <w:sz w:val="19"/>
          <w:szCs w:val="19"/>
        </w:rPr>
        <w:t xml:space="preserve"> </w:t>
      </w:r>
      <w:r w:rsidR="00BB1490">
        <w:rPr>
          <w:rFonts w:ascii="Arial" w:hAnsi="Arial" w:cs="Arial"/>
          <w:sz w:val="19"/>
          <w:szCs w:val="19"/>
        </w:rPr>
        <w:t xml:space="preserve">total and </w:t>
      </w:r>
      <w:r w:rsidRPr="00F22BFF">
        <w:rPr>
          <w:rFonts w:ascii="Arial" w:hAnsi="Arial" w:cs="Arial"/>
          <w:sz w:val="19"/>
          <w:szCs w:val="19"/>
        </w:rPr>
        <w:t>LFL sales represent</w:t>
      </w:r>
      <w:r w:rsidR="00A939BC">
        <w:rPr>
          <w:rFonts w:ascii="Arial" w:hAnsi="Arial" w:cs="Arial"/>
          <w:sz w:val="19"/>
          <w:szCs w:val="19"/>
        </w:rPr>
        <w:t>s</w:t>
      </w:r>
      <w:r w:rsidRPr="00F22BFF">
        <w:rPr>
          <w:rFonts w:ascii="Arial" w:hAnsi="Arial" w:cs="Arial"/>
          <w:sz w:val="19"/>
          <w:szCs w:val="19"/>
        </w:rPr>
        <w:t xml:space="preserve"> the </w:t>
      </w:r>
      <w:r w:rsidR="00A939BC">
        <w:rPr>
          <w:rFonts w:ascii="Arial" w:hAnsi="Arial" w:cs="Arial"/>
          <w:sz w:val="19"/>
          <w:szCs w:val="19"/>
        </w:rPr>
        <w:t xml:space="preserve">calendar month February </w:t>
      </w:r>
      <w:r w:rsidR="00B76AD9" w:rsidRPr="00B76AD9">
        <w:rPr>
          <w:rFonts w:ascii="Arial" w:hAnsi="Arial" w:cs="Arial"/>
          <w:sz w:val="19"/>
          <w:szCs w:val="19"/>
        </w:rPr>
        <w:t>202</w:t>
      </w:r>
      <w:r w:rsidR="007F35DD">
        <w:rPr>
          <w:rFonts w:ascii="Arial" w:hAnsi="Arial" w:cs="Arial"/>
          <w:sz w:val="19"/>
          <w:szCs w:val="19"/>
        </w:rPr>
        <w:t>3</w:t>
      </w:r>
      <w:r w:rsidR="00B76AD9" w:rsidRPr="00B76AD9">
        <w:rPr>
          <w:rFonts w:ascii="Arial" w:hAnsi="Arial" w:cs="Arial"/>
          <w:sz w:val="19"/>
          <w:szCs w:val="19"/>
        </w:rPr>
        <w:t xml:space="preserve"> compared against </w:t>
      </w:r>
      <w:r w:rsidR="00A939BC">
        <w:rPr>
          <w:rFonts w:ascii="Arial" w:hAnsi="Arial" w:cs="Arial"/>
          <w:sz w:val="19"/>
          <w:szCs w:val="19"/>
        </w:rPr>
        <w:t>February 2022</w:t>
      </w:r>
      <w:r w:rsidR="004D6560">
        <w:rPr>
          <w:rFonts w:ascii="Arial" w:hAnsi="Arial" w:cs="Arial"/>
          <w:sz w:val="19"/>
          <w:szCs w:val="19"/>
        </w:rPr>
        <w:t>, in constant currency</w:t>
      </w:r>
      <w:r w:rsidR="00B76AD9" w:rsidRPr="00B76AD9">
        <w:rPr>
          <w:rFonts w:ascii="Arial" w:hAnsi="Arial" w:cs="Arial"/>
          <w:sz w:val="19"/>
          <w:szCs w:val="19"/>
        </w:rPr>
        <w:t>. The figure</w:t>
      </w:r>
      <w:r w:rsidR="007F2C81">
        <w:rPr>
          <w:rFonts w:ascii="Arial" w:hAnsi="Arial" w:cs="Arial"/>
          <w:sz w:val="19"/>
          <w:szCs w:val="19"/>
        </w:rPr>
        <w:t>s</w:t>
      </w:r>
      <w:r w:rsidR="00B76AD9" w:rsidRPr="00B76AD9">
        <w:rPr>
          <w:rFonts w:ascii="Arial" w:hAnsi="Arial" w:cs="Arial"/>
          <w:sz w:val="19"/>
          <w:szCs w:val="19"/>
        </w:rPr>
        <w:t xml:space="preserve"> </w:t>
      </w:r>
      <w:r w:rsidR="007F2C81">
        <w:rPr>
          <w:rFonts w:ascii="Arial" w:hAnsi="Arial" w:cs="Arial"/>
          <w:sz w:val="19"/>
          <w:szCs w:val="19"/>
        </w:rPr>
        <w:t xml:space="preserve">are </w:t>
      </w:r>
      <w:r w:rsidR="00B76AD9" w:rsidRPr="00B76AD9">
        <w:rPr>
          <w:rFonts w:ascii="Arial" w:hAnsi="Arial" w:cs="Arial"/>
          <w:sz w:val="19"/>
          <w:szCs w:val="19"/>
        </w:rPr>
        <w:t>provisional.</w:t>
      </w:r>
    </w:p>
    <w:p w14:paraId="057C4CB7" w14:textId="682E74AA" w:rsidR="00600699" w:rsidRDefault="00600699" w:rsidP="00C52B32">
      <w:pPr>
        <w:jc w:val="left"/>
        <w:rPr>
          <w:rFonts w:ascii="Arial" w:hAnsi="Arial" w:cs="Arial"/>
          <w:sz w:val="19"/>
          <w:szCs w:val="19"/>
        </w:rPr>
      </w:pPr>
      <w:bookmarkStart w:id="15" w:name="_Hlk96704308"/>
      <w:bookmarkStart w:id="16" w:name="_Hlk96778332"/>
      <w:bookmarkEnd w:id="14"/>
      <w:r w:rsidRPr="00F33A20">
        <w:rPr>
          <w:rFonts w:ascii="Arial" w:hAnsi="Arial" w:cs="Arial"/>
          <w:sz w:val="19"/>
          <w:szCs w:val="19"/>
          <w:vertAlign w:val="superscript"/>
        </w:rPr>
        <w:t>(</w:t>
      </w:r>
      <w:r w:rsidR="00C0371D">
        <w:rPr>
          <w:rFonts w:ascii="Arial" w:hAnsi="Arial" w:cs="Arial"/>
          <w:sz w:val="19"/>
          <w:szCs w:val="19"/>
          <w:vertAlign w:val="superscript"/>
        </w:rPr>
        <w:t>6</w:t>
      </w:r>
      <w:r w:rsidRPr="00F33A20">
        <w:rPr>
          <w:rFonts w:ascii="Arial" w:hAnsi="Arial" w:cs="Arial"/>
          <w:sz w:val="19"/>
          <w:szCs w:val="19"/>
          <w:vertAlign w:val="superscript"/>
        </w:rPr>
        <w:t>)</w:t>
      </w:r>
      <w:r w:rsidRPr="00F33A20">
        <w:rPr>
          <w:rFonts w:ascii="Arial" w:hAnsi="Arial" w:cs="Arial"/>
          <w:sz w:val="19"/>
          <w:szCs w:val="19"/>
        </w:rPr>
        <w:t xml:space="preserve"> </w:t>
      </w:r>
      <w:r w:rsidR="00C64059" w:rsidRPr="00F33A20">
        <w:rPr>
          <w:rFonts w:ascii="Arial" w:hAnsi="Arial" w:cs="Arial"/>
          <w:sz w:val="19"/>
          <w:szCs w:val="19"/>
        </w:rPr>
        <w:t>Guidance assumes current exchange rates.</w:t>
      </w:r>
      <w:r w:rsidR="00464D20">
        <w:rPr>
          <w:rFonts w:ascii="Arial" w:hAnsi="Arial" w:cs="Arial"/>
          <w:sz w:val="19"/>
          <w:szCs w:val="19"/>
        </w:rPr>
        <w:t xml:space="preserve"> </w:t>
      </w:r>
      <w:bookmarkStart w:id="17" w:name="_Hlk127362125"/>
      <w:r w:rsidR="00464D20" w:rsidRPr="00F33A20">
        <w:rPr>
          <w:rFonts w:ascii="Arial" w:hAnsi="Arial" w:cs="Arial"/>
          <w:sz w:val="19"/>
          <w:szCs w:val="19"/>
        </w:rPr>
        <w:t>According to Company-</w:t>
      </w:r>
      <w:r w:rsidR="00464D20" w:rsidRPr="00313D52">
        <w:rPr>
          <w:rFonts w:ascii="Arial" w:hAnsi="Arial" w:cs="Arial"/>
          <w:sz w:val="19"/>
          <w:szCs w:val="19"/>
        </w:rPr>
        <w:t xml:space="preserve">compiled consensus estimates as of </w:t>
      </w:r>
      <w:r w:rsidR="00313D52" w:rsidRPr="005B1D34">
        <w:rPr>
          <w:rFonts w:ascii="Arial" w:hAnsi="Arial"/>
          <w:sz w:val="19"/>
        </w:rPr>
        <w:t>14</w:t>
      </w:r>
      <w:r w:rsidR="00464D20" w:rsidRPr="00313D52">
        <w:rPr>
          <w:rFonts w:ascii="Arial" w:hAnsi="Arial" w:cs="Arial"/>
          <w:sz w:val="19"/>
          <w:szCs w:val="19"/>
        </w:rPr>
        <w:t xml:space="preserve"> March 202</w:t>
      </w:r>
      <w:r w:rsidR="001A2CBA" w:rsidRPr="00313D52">
        <w:rPr>
          <w:rFonts w:ascii="Arial" w:hAnsi="Arial" w:cs="Arial"/>
          <w:sz w:val="19"/>
          <w:szCs w:val="19"/>
        </w:rPr>
        <w:t>3</w:t>
      </w:r>
      <w:r w:rsidR="00464D20" w:rsidRPr="00313D52">
        <w:rPr>
          <w:rFonts w:ascii="Arial" w:hAnsi="Arial" w:cs="Arial"/>
          <w:sz w:val="19"/>
          <w:szCs w:val="19"/>
        </w:rPr>
        <w:t>, the current consensus of sell-side analyst expectations for FY 2</w:t>
      </w:r>
      <w:r w:rsidR="001A2CBA" w:rsidRPr="00313D52">
        <w:rPr>
          <w:rFonts w:ascii="Arial" w:hAnsi="Arial" w:cs="Arial"/>
          <w:sz w:val="19"/>
          <w:szCs w:val="19"/>
        </w:rPr>
        <w:t>3</w:t>
      </w:r>
      <w:r w:rsidR="00464D20" w:rsidRPr="00313D52">
        <w:rPr>
          <w:rFonts w:ascii="Arial" w:hAnsi="Arial" w:cs="Arial"/>
          <w:sz w:val="19"/>
          <w:szCs w:val="19"/>
        </w:rPr>
        <w:t>/2</w:t>
      </w:r>
      <w:r w:rsidR="001A2CBA" w:rsidRPr="00313D52">
        <w:rPr>
          <w:rFonts w:ascii="Arial" w:hAnsi="Arial" w:cs="Arial"/>
          <w:sz w:val="19"/>
          <w:szCs w:val="19"/>
        </w:rPr>
        <w:t>4</w:t>
      </w:r>
      <w:r w:rsidR="00464D20" w:rsidRPr="00313D52">
        <w:rPr>
          <w:rFonts w:ascii="Arial" w:hAnsi="Arial" w:cs="Arial"/>
          <w:sz w:val="19"/>
          <w:szCs w:val="19"/>
        </w:rPr>
        <w:t xml:space="preserve"> adjusted </w:t>
      </w:r>
      <w:r w:rsidR="003831EE" w:rsidRPr="00313D52">
        <w:rPr>
          <w:rFonts w:ascii="Arial" w:hAnsi="Arial" w:cs="Arial"/>
          <w:sz w:val="19"/>
          <w:szCs w:val="19"/>
        </w:rPr>
        <w:t xml:space="preserve">pre-tax </w:t>
      </w:r>
      <w:r w:rsidR="00464D20" w:rsidRPr="00313D52">
        <w:rPr>
          <w:rFonts w:ascii="Arial" w:hAnsi="Arial" w:cs="Arial"/>
          <w:sz w:val="19"/>
          <w:szCs w:val="19"/>
        </w:rPr>
        <w:t>profit is £</w:t>
      </w:r>
      <w:r w:rsidR="00980ADC" w:rsidRPr="005B1D34">
        <w:rPr>
          <w:rFonts w:ascii="Arial" w:hAnsi="Arial"/>
          <w:sz w:val="19"/>
        </w:rPr>
        <w:t>63</w:t>
      </w:r>
      <w:r w:rsidR="00313D52" w:rsidRPr="005B1D34">
        <w:rPr>
          <w:rFonts w:ascii="Arial" w:hAnsi="Arial"/>
          <w:sz w:val="19"/>
        </w:rPr>
        <w:t>3</w:t>
      </w:r>
      <w:r w:rsidR="00464D20" w:rsidRPr="00313D52">
        <w:rPr>
          <w:rFonts w:ascii="Arial" w:hAnsi="Arial" w:cs="Arial"/>
          <w:sz w:val="19"/>
          <w:szCs w:val="19"/>
        </w:rPr>
        <w:t>m.</w:t>
      </w:r>
      <w:bookmarkEnd w:id="17"/>
    </w:p>
    <w:bookmarkEnd w:id="15"/>
    <w:bookmarkEnd w:id="16"/>
    <w:p w14:paraId="5DF96C29" w14:textId="77777777" w:rsidR="003D1FAA" w:rsidRPr="00CC1C66" w:rsidRDefault="003D1FAA" w:rsidP="00C52B32">
      <w:pPr>
        <w:jc w:val="left"/>
        <w:rPr>
          <w:rFonts w:ascii="Arial" w:hAnsi="Arial" w:cs="Arial"/>
          <w:bCs/>
          <w:sz w:val="19"/>
          <w:szCs w:val="19"/>
        </w:rPr>
      </w:pPr>
    </w:p>
    <w:p w14:paraId="561D1792" w14:textId="77777777" w:rsidR="00C52B32" w:rsidRPr="00CC1C66" w:rsidRDefault="00C52B32" w:rsidP="00C52B32">
      <w:pPr>
        <w:jc w:val="left"/>
        <w:rPr>
          <w:rFonts w:ascii="Arial" w:hAnsi="Arial" w:cs="Arial"/>
          <w:b/>
          <w:bCs/>
          <w:sz w:val="19"/>
          <w:szCs w:val="19"/>
        </w:rPr>
      </w:pPr>
      <w:r w:rsidRPr="00CC1C66">
        <w:rPr>
          <w:rFonts w:ascii="Arial" w:hAnsi="Arial" w:cs="Arial"/>
          <w:b/>
          <w:bCs/>
          <w:sz w:val="19"/>
          <w:szCs w:val="19"/>
        </w:rPr>
        <w:t>Non-GAAP measures and other terms</w:t>
      </w:r>
    </w:p>
    <w:p w14:paraId="351E1E7F" w14:textId="62AF3145" w:rsidR="00C52B32" w:rsidRPr="00CC1C66" w:rsidRDefault="00C52B32" w:rsidP="00C52B32">
      <w:pPr>
        <w:jc w:val="left"/>
        <w:rPr>
          <w:rFonts w:ascii="Arial" w:hAnsi="Arial" w:cs="Arial"/>
          <w:bCs/>
          <w:sz w:val="19"/>
          <w:szCs w:val="19"/>
        </w:rPr>
      </w:pPr>
      <w:r w:rsidRPr="00CC1C66">
        <w:rPr>
          <w:rFonts w:ascii="Arial" w:hAnsi="Arial" w:cs="Arial"/>
          <w:sz w:val="19"/>
          <w:szCs w:val="19"/>
        </w:rPr>
        <w:t xml:space="preserve">Throughout this release ‘*’ </w:t>
      </w:r>
      <w:bookmarkStart w:id="18" w:name="_Hlk113629735"/>
      <w:r w:rsidRPr="00CC1C66">
        <w:rPr>
          <w:rFonts w:ascii="Arial" w:hAnsi="Arial" w:cs="Arial"/>
          <w:sz w:val="19"/>
          <w:szCs w:val="19"/>
        </w:rPr>
        <w:t xml:space="preserve">indicates the first instance of a term defined and explained in the Glossary (Section 6). Not all the figures and ratios used are readily available from the unaudited </w:t>
      </w:r>
      <w:r w:rsidR="00BE2100">
        <w:rPr>
          <w:rFonts w:ascii="Arial" w:hAnsi="Arial" w:cs="Arial"/>
          <w:sz w:val="19"/>
          <w:szCs w:val="19"/>
        </w:rPr>
        <w:t xml:space="preserve">final </w:t>
      </w:r>
      <w:r w:rsidRPr="00CC1C66">
        <w:rPr>
          <w:rFonts w:ascii="Arial" w:hAnsi="Arial" w:cs="Arial"/>
          <w:sz w:val="19"/>
          <w:szCs w:val="19"/>
        </w:rPr>
        <w:t xml:space="preserve">results included in part 2 of this announcement. Management </w:t>
      </w:r>
      <w:r w:rsidR="008B5720" w:rsidRPr="00CC1C66">
        <w:rPr>
          <w:rFonts w:ascii="Arial" w:hAnsi="Arial" w:cs="Arial"/>
          <w:sz w:val="19"/>
          <w:szCs w:val="19"/>
        </w:rPr>
        <w:t>believes</w:t>
      </w:r>
      <w:r w:rsidRPr="00CC1C66">
        <w:rPr>
          <w:rFonts w:ascii="Arial" w:hAnsi="Arial" w:cs="Arial"/>
          <w:sz w:val="19"/>
          <w:szCs w:val="19"/>
        </w:rPr>
        <w:t xml:space="preserve"> that these non-GAAP measures (</w:t>
      </w:r>
      <w:r w:rsidR="0007689A" w:rsidRPr="00CC1C66">
        <w:rPr>
          <w:rFonts w:ascii="Arial" w:hAnsi="Arial" w:cs="Arial"/>
          <w:sz w:val="19"/>
          <w:szCs w:val="19"/>
        </w:rPr>
        <w:t>or</w:t>
      </w:r>
      <w:r w:rsidRPr="00CC1C66">
        <w:rPr>
          <w:rFonts w:ascii="Arial" w:hAnsi="Arial" w:cs="Arial"/>
          <w:sz w:val="19"/>
          <w:szCs w:val="19"/>
        </w:rPr>
        <w:t xml:space="preserve"> </w:t>
      </w:r>
      <w:r w:rsidR="0007689A" w:rsidRPr="00CC1C66">
        <w:rPr>
          <w:rFonts w:ascii="Arial" w:hAnsi="Arial" w:cs="Arial"/>
          <w:sz w:val="19"/>
          <w:szCs w:val="19"/>
        </w:rPr>
        <w:t>‘A</w:t>
      </w:r>
      <w:r w:rsidRPr="00CC1C66">
        <w:rPr>
          <w:rFonts w:ascii="Arial" w:hAnsi="Arial" w:cs="Arial"/>
          <w:sz w:val="19"/>
          <w:szCs w:val="19"/>
        </w:rPr>
        <w:t xml:space="preserve">lternative </w:t>
      </w:r>
      <w:r w:rsidR="0007689A" w:rsidRPr="00CC1C66">
        <w:rPr>
          <w:rFonts w:ascii="Arial" w:hAnsi="Arial" w:cs="Arial"/>
          <w:sz w:val="19"/>
          <w:szCs w:val="19"/>
        </w:rPr>
        <w:t>P</w:t>
      </w:r>
      <w:r w:rsidRPr="00CC1C66">
        <w:rPr>
          <w:rFonts w:ascii="Arial" w:hAnsi="Arial" w:cs="Arial"/>
          <w:sz w:val="19"/>
          <w:szCs w:val="19"/>
        </w:rPr>
        <w:t xml:space="preserve">erformance </w:t>
      </w:r>
      <w:r w:rsidR="0007689A" w:rsidRPr="00CC1C66">
        <w:rPr>
          <w:rFonts w:ascii="Arial" w:hAnsi="Arial" w:cs="Arial"/>
          <w:sz w:val="19"/>
          <w:szCs w:val="19"/>
        </w:rPr>
        <w:t>M</w:t>
      </w:r>
      <w:r w:rsidRPr="00CC1C66">
        <w:rPr>
          <w:rFonts w:ascii="Arial" w:hAnsi="Arial" w:cs="Arial"/>
          <w:sz w:val="19"/>
          <w:szCs w:val="19"/>
        </w:rPr>
        <w:t>easures</w:t>
      </w:r>
      <w:r w:rsidR="0007689A" w:rsidRPr="00CC1C66">
        <w:rPr>
          <w:rFonts w:ascii="Arial" w:hAnsi="Arial" w:cs="Arial"/>
          <w:sz w:val="19"/>
          <w:szCs w:val="19"/>
        </w:rPr>
        <w:t>’</w:t>
      </w:r>
      <w:r w:rsidRPr="00CC1C66">
        <w:rPr>
          <w:rFonts w:ascii="Arial" w:hAnsi="Arial" w:cs="Arial"/>
          <w:sz w:val="19"/>
          <w:szCs w:val="19"/>
        </w:rPr>
        <w:t xml:space="preserve">), including adjusted profit measures, constant currency and like-for-like </w:t>
      </w:r>
      <w:r w:rsidR="0073476B">
        <w:rPr>
          <w:rFonts w:ascii="Arial" w:hAnsi="Arial" w:cs="Arial"/>
          <w:sz w:val="19"/>
          <w:szCs w:val="19"/>
        </w:rPr>
        <w:t xml:space="preserve">(LFL) </w:t>
      </w:r>
      <w:r w:rsidRPr="00CC1C66">
        <w:rPr>
          <w:rFonts w:ascii="Arial" w:hAnsi="Arial" w:cs="Arial"/>
          <w:sz w:val="19"/>
          <w:szCs w:val="19"/>
        </w:rPr>
        <w:t>sales growth, are useful and necessary to assist the understanding of the Group’s results. Where required, a reconciliation to statutory amounts is set out in the Financial Review (Section 5).</w:t>
      </w:r>
      <w:bookmarkEnd w:id="18"/>
    </w:p>
    <w:p w14:paraId="116D03B0" w14:textId="77777777" w:rsidR="00DC0341" w:rsidRPr="00CC1C66" w:rsidRDefault="00DC0341" w:rsidP="00C52B32">
      <w:pPr>
        <w:autoSpaceDE w:val="0"/>
        <w:autoSpaceDN w:val="0"/>
        <w:adjustRightInd w:val="0"/>
        <w:jc w:val="left"/>
        <w:rPr>
          <w:rFonts w:ascii="Arial" w:hAnsi="Arial" w:cs="Arial"/>
          <w:bCs/>
          <w:sz w:val="19"/>
          <w:szCs w:val="19"/>
        </w:rPr>
      </w:pPr>
    </w:p>
    <w:p w14:paraId="021B68F7" w14:textId="77777777" w:rsidR="00C52B32" w:rsidRPr="00CC1C66" w:rsidRDefault="00C52B32" w:rsidP="00C52B32">
      <w:pPr>
        <w:jc w:val="left"/>
        <w:rPr>
          <w:rFonts w:ascii="Arial" w:hAnsi="Arial" w:cs="Arial"/>
          <w:b/>
          <w:bCs/>
          <w:sz w:val="19"/>
          <w:szCs w:val="19"/>
        </w:rPr>
      </w:pPr>
      <w:r w:rsidRPr="00CC1C66">
        <w:rPr>
          <w:rFonts w:ascii="Arial" w:hAnsi="Arial" w:cs="Arial"/>
          <w:b/>
          <w:bCs/>
          <w:sz w:val="19"/>
          <w:szCs w:val="19"/>
        </w:rPr>
        <w:t>Contacts</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2721"/>
        <w:gridCol w:w="3515"/>
      </w:tblGrid>
      <w:tr w:rsidR="00C52B32" w:rsidRPr="00CC1C66" w14:paraId="4536A526" w14:textId="77777777" w:rsidTr="008718F6">
        <w:trPr>
          <w:trHeight w:val="253"/>
        </w:trPr>
        <w:tc>
          <w:tcPr>
            <w:tcW w:w="2494" w:type="dxa"/>
            <w:vAlign w:val="center"/>
          </w:tcPr>
          <w:p w14:paraId="7096784F" w14:textId="77777777" w:rsidR="00C52B32" w:rsidRPr="00CC1C66" w:rsidRDefault="00C52B32" w:rsidP="003D1FAA">
            <w:pPr>
              <w:jc w:val="left"/>
              <w:rPr>
                <w:rFonts w:ascii="Arial" w:hAnsi="Arial" w:cs="Arial"/>
                <w:sz w:val="19"/>
                <w:szCs w:val="19"/>
              </w:rPr>
            </w:pPr>
          </w:p>
        </w:tc>
        <w:tc>
          <w:tcPr>
            <w:tcW w:w="2721" w:type="dxa"/>
            <w:vAlign w:val="center"/>
          </w:tcPr>
          <w:p w14:paraId="579271D3" w14:textId="77777777" w:rsidR="00C52B32" w:rsidRPr="00CC1C66" w:rsidRDefault="00C52B32" w:rsidP="003D1FAA">
            <w:pPr>
              <w:jc w:val="left"/>
              <w:rPr>
                <w:rFonts w:ascii="Arial" w:hAnsi="Arial" w:cs="Arial"/>
                <w:sz w:val="19"/>
                <w:szCs w:val="19"/>
                <w:highlight w:val="yellow"/>
              </w:rPr>
            </w:pPr>
            <w:r w:rsidRPr="00CC1C66">
              <w:rPr>
                <w:rFonts w:ascii="Arial" w:hAnsi="Arial" w:cs="Arial"/>
                <w:b/>
                <w:sz w:val="19"/>
                <w:szCs w:val="19"/>
              </w:rPr>
              <w:t>Tel:</w:t>
            </w:r>
          </w:p>
        </w:tc>
        <w:tc>
          <w:tcPr>
            <w:tcW w:w="3515" w:type="dxa"/>
            <w:vAlign w:val="center"/>
          </w:tcPr>
          <w:p w14:paraId="282597A0" w14:textId="77777777" w:rsidR="00C52B32" w:rsidRPr="00CC1C66" w:rsidRDefault="00C52B32" w:rsidP="003D1FAA">
            <w:pPr>
              <w:jc w:val="left"/>
              <w:rPr>
                <w:rFonts w:ascii="Arial" w:hAnsi="Arial" w:cs="Arial"/>
                <w:b/>
                <w:sz w:val="19"/>
                <w:szCs w:val="19"/>
              </w:rPr>
            </w:pPr>
            <w:r w:rsidRPr="00CC1C66">
              <w:rPr>
                <w:rFonts w:ascii="Arial" w:hAnsi="Arial" w:cs="Arial"/>
                <w:b/>
                <w:sz w:val="19"/>
                <w:szCs w:val="19"/>
              </w:rPr>
              <w:t>Email:</w:t>
            </w:r>
          </w:p>
        </w:tc>
      </w:tr>
      <w:tr w:rsidR="00C52B32" w:rsidRPr="00CC1C66" w14:paraId="40705216" w14:textId="77777777" w:rsidTr="00270090">
        <w:trPr>
          <w:trHeight w:val="227"/>
        </w:trPr>
        <w:tc>
          <w:tcPr>
            <w:tcW w:w="2494" w:type="dxa"/>
            <w:vAlign w:val="center"/>
          </w:tcPr>
          <w:p w14:paraId="5C6A7C58" w14:textId="77777777" w:rsidR="00C52B32" w:rsidRPr="00CC1C66" w:rsidRDefault="00C52B32" w:rsidP="003D1FAA">
            <w:pPr>
              <w:ind w:firstLine="30"/>
              <w:jc w:val="left"/>
              <w:rPr>
                <w:rFonts w:ascii="Arial" w:hAnsi="Arial" w:cs="Arial"/>
                <w:sz w:val="19"/>
                <w:szCs w:val="19"/>
              </w:rPr>
            </w:pPr>
            <w:r w:rsidRPr="00CC1C66">
              <w:rPr>
                <w:rFonts w:ascii="Arial" w:hAnsi="Arial" w:cs="Arial"/>
                <w:sz w:val="19"/>
                <w:szCs w:val="19"/>
              </w:rPr>
              <w:t>Investor Relations</w:t>
            </w:r>
          </w:p>
        </w:tc>
        <w:tc>
          <w:tcPr>
            <w:tcW w:w="2721" w:type="dxa"/>
            <w:vAlign w:val="center"/>
          </w:tcPr>
          <w:p w14:paraId="7C311821" w14:textId="77777777" w:rsidR="00C52B32" w:rsidRPr="00CC1C66" w:rsidRDefault="00C52B32" w:rsidP="003D1FAA">
            <w:pPr>
              <w:jc w:val="left"/>
              <w:rPr>
                <w:rFonts w:ascii="Arial" w:hAnsi="Arial" w:cs="Arial"/>
                <w:sz w:val="19"/>
                <w:szCs w:val="19"/>
                <w:highlight w:val="yellow"/>
              </w:rPr>
            </w:pPr>
            <w:r w:rsidRPr="00CC1C66">
              <w:rPr>
                <w:rFonts w:ascii="Arial" w:hAnsi="Arial" w:cs="Arial"/>
                <w:sz w:val="19"/>
                <w:szCs w:val="19"/>
              </w:rPr>
              <w:t>+44 (0) 20 7644 1082</w:t>
            </w:r>
          </w:p>
        </w:tc>
        <w:tc>
          <w:tcPr>
            <w:tcW w:w="3515" w:type="dxa"/>
            <w:vAlign w:val="center"/>
          </w:tcPr>
          <w:p w14:paraId="027793DE" w14:textId="045C96B4" w:rsidR="00C52B32" w:rsidRPr="00CC1C66" w:rsidRDefault="002103A3" w:rsidP="003D1FAA">
            <w:pPr>
              <w:jc w:val="left"/>
              <w:rPr>
                <w:rFonts w:ascii="Arial" w:hAnsi="Arial" w:cs="Arial"/>
                <w:sz w:val="19"/>
                <w:szCs w:val="19"/>
                <w:highlight w:val="yellow"/>
              </w:rPr>
            </w:pPr>
            <w:hyperlink r:id="rId8" w:history="1">
              <w:r w:rsidR="00E77C41" w:rsidRPr="00CC1C66">
                <w:rPr>
                  <w:rStyle w:val="Hyperlink"/>
                  <w:rFonts w:ascii="Arial" w:hAnsi="Arial" w:cs="Arial"/>
                  <w:sz w:val="19"/>
                  <w:szCs w:val="19"/>
                </w:rPr>
                <w:t>investorenquiries@kingfisher.com</w:t>
              </w:r>
            </w:hyperlink>
          </w:p>
        </w:tc>
      </w:tr>
      <w:tr w:rsidR="00C52B32" w:rsidRPr="00CC1C66" w14:paraId="2376720E" w14:textId="77777777" w:rsidTr="00270090">
        <w:trPr>
          <w:trHeight w:val="227"/>
        </w:trPr>
        <w:tc>
          <w:tcPr>
            <w:tcW w:w="2494" w:type="dxa"/>
            <w:vAlign w:val="center"/>
          </w:tcPr>
          <w:p w14:paraId="3009F6CE" w14:textId="77777777" w:rsidR="00C52B32" w:rsidRPr="00CC1C66" w:rsidRDefault="00C52B32" w:rsidP="003D1FAA">
            <w:pPr>
              <w:ind w:firstLine="30"/>
              <w:jc w:val="left"/>
              <w:rPr>
                <w:rFonts w:ascii="Arial" w:hAnsi="Arial" w:cs="Arial"/>
                <w:sz w:val="19"/>
                <w:szCs w:val="19"/>
              </w:rPr>
            </w:pPr>
            <w:r w:rsidRPr="00CC1C66">
              <w:rPr>
                <w:rFonts w:ascii="Arial" w:hAnsi="Arial" w:cs="Arial"/>
                <w:sz w:val="19"/>
                <w:szCs w:val="19"/>
              </w:rPr>
              <w:t>Media Relations</w:t>
            </w:r>
          </w:p>
        </w:tc>
        <w:tc>
          <w:tcPr>
            <w:tcW w:w="2721" w:type="dxa"/>
            <w:vAlign w:val="center"/>
          </w:tcPr>
          <w:p w14:paraId="094DFB08" w14:textId="77777777" w:rsidR="00C52B32" w:rsidRPr="00CC1C66" w:rsidRDefault="00C52B32" w:rsidP="003D1FAA">
            <w:pPr>
              <w:jc w:val="left"/>
              <w:rPr>
                <w:rFonts w:ascii="Arial" w:hAnsi="Arial" w:cs="Arial"/>
                <w:sz w:val="19"/>
                <w:szCs w:val="19"/>
              </w:rPr>
            </w:pPr>
            <w:r w:rsidRPr="00CC1C66">
              <w:rPr>
                <w:rFonts w:ascii="Arial" w:hAnsi="Arial" w:cs="Arial"/>
                <w:sz w:val="19"/>
                <w:szCs w:val="19"/>
              </w:rPr>
              <w:t>+44 (0) 20 7644 1030</w:t>
            </w:r>
          </w:p>
        </w:tc>
        <w:tc>
          <w:tcPr>
            <w:tcW w:w="3515" w:type="dxa"/>
            <w:vAlign w:val="center"/>
          </w:tcPr>
          <w:p w14:paraId="0FA40C3E" w14:textId="6AFC3361" w:rsidR="00C52B32" w:rsidRPr="00CC1C66" w:rsidRDefault="002103A3" w:rsidP="003D1FAA">
            <w:pPr>
              <w:jc w:val="left"/>
              <w:rPr>
                <w:rFonts w:ascii="Arial" w:hAnsi="Arial" w:cs="Arial"/>
                <w:sz w:val="19"/>
                <w:szCs w:val="19"/>
              </w:rPr>
            </w:pPr>
            <w:hyperlink r:id="rId9" w:history="1">
              <w:r w:rsidR="00E77C41" w:rsidRPr="00CC1C66">
                <w:rPr>
                  <w:rStyle w:val="Hyperlink"/>
                  <w:rFonts w:ascii="Arial" w:hAnsi="Arial" w:cs="Arial"/>
                  <w:sz w:val="19"/>
                  <w:szCs w:val="19"/>
                </w:rPr>
                <w:t>corpcomms@kingfisher.com</w:t>
              </w:r>
            </w:hyperlink>
          </w:p>
        </w:tc>
      </w:tr>
      <w:tr w:rsidR="00C52B32" w:rsidRPr="00CC1C66" w14:paraId="41D7D638" w14:textId="77777777" w:rsidTr="00270090">
        <w:trPr>
          <w:trHeight w:val="227"/>
        </w:trPr>
        <w:tc>
          <w:tcPr>
            <w:tcW w:w="2494" w:type="dxa"/>
            <w:vAlign w:val="center"/>
          </w:tcPr>
          <w:p w14:paraId="12023A29" w14:textId="77777777" w:rsidR="00C52B32" w:rsidRPr="00CC1C66" w:rsidRDefault="00C52B32" w:rsidP="003D1FAA">
            <w:pPr>
              <w:ind w:firstLine="30"/>
              <w:jc w:val="left"/>
              <w:rPr>
                <w:rFonts w:ascii="Arial" w:hAnsi="Arial" w:cs="Arial"/>
                <w:sz w:val="19"/>
                <w:szCs w:val="19"/>
              </w:rPr>
            </w:pPr>
            <w:r w:rsidRPr="00CC1C66">
              <w:rPr>
                <w:rFonts w:ascii="Arial" w:hAnsi="Arial" w:cs="Arial"/>
                <w:sz w:val="19"/>
                <w:szCs w:val="19"/>
              </w:rPr>
              <w:t>Teneo</w:t>
            </w:r>
          </w:p>
        </w:tc>
        <w:tc>
          <w:tcPr>
            <w:tcW w:w="2721" w:type="dxa"/>
            <w:vAlign w:val="center"/>
          </w:tcPr>
          <w:p w14:paraId="7A7DFDC6" w14:textId="77777777" w:rsidR="00C52B32" w:rsidRPr="00CC1C66" w:rsidRDefault="00C52B32" w:rsidP="003D1FAA">
            <w:pPr>
              <w:jc w:val="left"/>
              <w:rPr>
                <w:rFonts w:ascii="Arial" w:hAnsi="Arial" w:cs="Arial"/>
                <w:sz w:val="19"/>
                <w:szCs w:val="19"/>
              </w:rPr>
            </w:pPr>
            <w:r w:rsidRPr="00CC1C66">
              <w:rPr>
                <w:rFonts w:ascii="Arial" w:hAnsi="Arial" w:cs="Arial"/>
                <w:sz w:val="19"/>
                <w:szCs w:val="19"/>
              </w:rPr>
              <w:t>+44 (0) 20 7420 3184</w:t>
            </w:r>
          </w:p>
        </w:tc>
        <w:tc>
          <w:tcPr>
            <w:tcW w:w="3515" w:type="dxa"/>
            <w:vAlign w:val="center"/>
          </w:tcPr>
          <w:p w14:paraId="4E7D8EB0" w14:textId="3CC2B707" w:rsidR="00C52B32" w:rsidRPr="00CC1C66" w:rsidRDefault="002103A3" w:rsidP="003D1FAA">
            <w:pPr>
              <w:jc w:val="left"/>
              <w:rPr>
                <w:rFonts w:ascii="Arial" w:hAnsi="Arial" w:cs="Arial"/>
                <w:sz w:val="19"/>
                <w:szCs w:val="19"/>
              </w:rPr>
            </w:pPr>
            <w:hyperlink r:id="rId10" w:history="1">
              <w:r w:rsidR="00E77C41" w:rsidRPr="00CC1C66">
                <w:rPr>
                  <w:rStyle w:val="Hyperlink"/>
                  <w:rFonts w:ascii="Arial" w:hAnsi="Arial" w:cs="Arial"/>
                  <w:sz w:val="19"/>
                  <w:szCs w:val="19"/>
                </w:rPr>
                <w:t>Kfteam@teneo.com</w:t>
              </w:r>
            </w:hyperlink>
          </w:p>
        </w:tc>
      </w:tr>
    </w:tbl>
    <w:p w14:paraId="10420BD9" w14:textId="77777777" w:rsidR="00C52B32" w:rsidRPr="00CC1C66" w:rsidRDefault="00C52B32" w:rsidP="00C52B32">
      <w:pPr>
        <w:jc w:val="left"/>
        <w:rPr>
          <w:rFonts w:ascii="Arial" w:hAnsi="Arial" w:cs="Arial"/>
          <w:bCs/>
          <w:sz w:val="19"/>
          <w:szCs w:val="19"/>
        </w:rPr>
      </w:pPr>
    </w:p>
    <w:p w14:paraId="50CD2DB7" w14:textId="1B1E5E5B" w:rsidR="00C52B32" w:rsidRPr="00CC1C66" w:rsidRDefault="00786416" w:rsidP="00C52B32">
      <w:pPr>
        <w:jc w:val="left"/>
        <w:rPr>
          <w:rFonts w:ascii="Arial" w:hAnsi="Arial" w:cs="Arial"/>
          <w:b/>
          <w:bCs/>
          <w:sz w:val="19"/>
          <w:szCs w:val="19"/>
        </w:rPr>
      </w:pPr>
      <w:r>
        <w:rPr>
          <w:rFonts w:ascii="Arial" w:hAnsi="Arial" w:cs="Arial"/>
          <w:b/>
          <w:bCs/>
          <w:sz w:val="19"/>
          <w:szCs w:val="19"/>
        </w:rPr>
        <w:t xml:space="preserve">Final </w:t>
      </w:r>
      <w:r w:rsidR="00C52B32" w:rsidRPr="00CC1C66">
        <w:rPr>
          <w:rFonts w:ascii="Arial" w:hAnsi="Arial" w:cs="Arial"/>
          <w:b/>
          <w:bCs/>
          <w:sz w:val="19"/>
          <w:szCs w:val="19"/>
        </w:rPr>
        <w:t>results announcement</w:t>
      </w:r>
      <w:r w:rsidR="00776EE1">
        <w:rPr>
          <w:rFonts w:ascii="Arial" w:hAnsi="Arial" w:cs="Arial"/>
          <w:b/>
          <w:bCs/>
          <w:sz w:val="19"/>
          <w:szCs w:val="19"/>
        </w:rPr>
        <w:t xml:space="preserve"> and data tables</w:t>
      </w:r>
    </w:p>
    <w:p w14:paraId="72A0AC31" w14:textId="05C7ECCC" w:rsidR="00FF5970" w:rsidRPr="00CC1C66" w:rsidRDefault="00C52B32" w:rsidP="00C52B32">
      <w:pPr>
        <w:autoSpaceDE w:val="0"/>
        <w:autoSpaceDN w:val="0"/>
        <w:adjustRightInd w:val="0"/>
        <w:jc w:val="left"/>
        <w:rPr>
          <w:rFonts w:ascii="Arial" w:hAnsi="Arial" w:cs="Arial"/>
          <w:bCs/>
          <w:sz w:val="19"/>
          <w:szCs w:val="19"/>
        </w:rPr>
      </w:pPr>
      <w:r w:rsidRPr="00CC1C66">
        <w:rPr>
          <w:rFonts w:ascii="Arial" w:hAnsi="Arial" w:cs="Arial"/>
          <w:bCs/>
          <w:sz w:val="19"/>
          <w:szCs w:val="19"/>
        </w:rPr>
        <w:t xml:space="preserve">This announcement </w:t>
      </w:r>
      <w:r w:rsidR="00776EE1">
        <w:rPr>
          <w:rFonts w:ascii="Arial" w:hAnsi="Arial" w:cs="Arial"/>
          <w:bCs/>
          <w:sz w:val="19"/>
          <w:szCs w:val="19"/>
        </w:rPr>
        <w:t xml:space="preserve">and data tables for FY 22/23 </w:t>
      </w:r>
      <w:r w:rsidRPr="00CC1C66">
        <w:rPr>
          <w:rFonts w:ascii="Arial" w:hAnsi="Arial" w:cs="Arial"/>
          <w:bCs/>
          <w:sz w:val="19"/>
          <w:szCs w:val="19"/>
        </w:rPr>
        <w:t>can be downloaded from</w:t>
      </w:r>
      <w:r w:rsidR="0007689A" w:rsidRPr="00CC1C66">
        <w:rPr>
          <w:rFonts w:ascii="Arial" w:hAnsi="Arial" w:cs="Arial"/>
          <w:bCs/>
          <w:sz w:val="19"/>
          <w:szCs w:val="19"/>
        </w:rPr>
        <w:t xml:space="preserve"> the Investors section of our website at</w:t>
      </w:r>
      <w:r w:rsidRPr="00CC1C66">
        <w:rPr>
          <w:rFonts w:ascii="Arial" w:hAnsi="Arial" w:cs="Arial"/>
          <w:bCs/>
          <w:sz w:val="19"/>
          <w:szCs w:val="19"/>
        </w:rPr>
        <w:t xml:space="preserve"> </w:t>
      </w:r>
      <w:hyperlink r:id="rId11" w:history="1">
        <w:r w:rsidR="00807D78" w:rsidRPr="006E0E6F">
          <w:rPr>
            <w:rStyle w:val="Hyperlink"/>
            <w:rFonts w:ascii="Arial" w:hAnsi="Arial" w:cs="Arial"/>
            <w:bCs/>
            <w:sz w:val="19"/>
            <w:szCs w:val="19"/>
          </w:rPr>
          <w:t>www.kingfisher.com/investors</w:t>
        </w:r>
      </w:hyperlink>
      <w:r w:rsidR="00807D78">
        <w:rPr>
          <w:rFonts w:ascii="Arial" w:hAnsi="Arial" w:cs="Arial"/>
          <w:bCs/>
          <w:sz w:val="19"/>
          <w:szCs w:val="19"/>
        </w:rPr>
        <w:t>.</w:t>
      </w:r>
      <w:r w:rsidR="001F6546">
        <w:rPr>
          <w:rFonts w:ascii="Arial" w:hAnsi="Arial" w:cs="Arial"/>
          <w:bCs/>
          <w:sz w:val="19"/>
          <w:szCs w:val="19"/>
        </w:rPr>
        <w:t xml:space="preserve"> </w:t>
      </w:r>
      <w:r w:rsidR="00EB2C0B">
        <w:rPr>
          <w:rFonts w:ascii="Arial" w:hAnsi="Arial" w:cs="Arial"/>
          <w:bCs/>
          <w:sz w:val="19"/>
          <w:szCs w:val="19"/>
        </w:rPr>
        <w:t xml:space="preserve">You can </w:t>
      </w:r>
      <w:r w:rsidR="00FF5970" w:rsidRPr="00FF5970">
        <w:rPr>
          <w:rFonts w:ascii="Arial" w:hAnsi="Arial" w:cs="Arial"/>
          <w:bCs/>
          <w:sz w:val="19"/>
          <w:szCs w:val="19"/>
        </w:rPr>
        <w:t>follow</w:t>
      </w:r>
      <w:r w:rsidR="00EB2C0B">
        <w:rPr>
          <w:rFonts w:ascii="Arial" w:hAnsi="Arial" w:cs="Arial"/>
          <w:bCs/>
          <w:sz w:val="19"/>
          <w:szCs w:val="19"/>
        </w:rPr>
        <w:t xml:space="preserve"> us</w:t>
      </w:r>
      <w:r w:rsidR="00FF5970" w:rsidRPr="00FF5970">
        <w:rPr>
          <w:rFonts w:ascii="Arial" w:hAnsi="Arial" w:cs="Arial"/>
          <w:bCs/>
          <w:sz w:val="19"/>
          <w:szCs w:val="19"/>
        </w:rPr>
        <w:t xml:space="preserve"> on </w:t>
      </w:r>
      <w:r w:rsidR="00753354">
        <w:rPr>
          <w:rFonts w:ascii="Arial" w:hAnsi="Arial" w:cs="Arial"/>
          <w:bCs/>
          <w:sz w:val="19"/>
          <w:szCs w:val="19"/>
        </w:rPr>
        <w:t xml:space="preserve">LinkedIn and </w:t>
      </w:r>
      <w:r w:rsidR="00FF5970" w:rsidRPr="00FF5970">
        <w:rPr>
          <w:rFonts w:ascii="Arial" w:hAnsi="Arial" w:cs="Arial"/>
          <w:bCs/>
          <w:sz w:val="19"/>
          <w:szCs w:val="19"/>
        </w:rPr>
        <w:t>Twitter (@kingfisherplc) with the results tag #KingfisherResults</w:t>
      </w:r>
      <w:r w:rsidR="00753354">
        <w:rPr>
          <w:rFonts w:ascii="Arial" w:hAnsi="Arial" w:cs="Arial"/>
          <w:bCs/>
          <w:sz w:val="19"/>
          <w:szCs w:val="19"/>
        </w:rPr>
        <w:t>.</w:t>
      </w:r>
    </w:p>
    <w:p w14:paraId="74865AE5" w14:textId="77777777" w:rsidR="00C52B32" w:rsidRPr="00CC1C66" w:rsidRDefault="00C52B32" w:rsidP="00C52B32">
      <w:pPr>
        <w:autoSpaceDE w:val="0"/>
        <w:autoSpaceDN w:val="0"/>
        <w:adjustRightInd w:val="0"/>
        <w:jc w:val="left"/>
        <w:rPr>
          <w:rFonts w:ascii="Arial" w:hAnsi="Arial" w:cs="Arial"/>
          <w:bCs/>
          <w:sz w:val="19"/>
          <w:szCs w:val="19"/>
        </w:rPr>
      </w:pPr>
    </w:p>
    <w:p w14:paraId="6159EE30" w14:textId="77777777" w:rsidR="00C52B32" w:rsidRPr="00CC1C66" w:rsidRDefault="00C52B32" w:rsidP="00C52B32">
      <w:pPr>
        <w:jc w:val="left"/>
        <w:rPr>
          <w:rFonts w:ascii="Arial" w:hAnsi="Arial" w:cs="Arial"/>
          <w:b/>
          <w:bCs/>
          <w:sz w:val="19"/>
          <w:szCs w:val="19"/>
        </w:rPr>
      </w:pPr>
      <w:r w:rsidRPr="00CC1C66">
        <w:rPr>
          <w:rFonts w:ascii="Arial" w:hAnsi="Arial" w:cs="Arial"/>
          <w:b/>
          <w:bCs/>
          <w:sz w:val="19"/>
          <w:szCs w:val="19"/>
        </w:rPr>
        <w:t>Results presentation</w:t>
      </w:r>
    </w:p>
    <w:p w14:paraId="66DE2A45" w14:textId="617DA986" w:rsidR="008B210B" w:rsidRDefault="00C52B32" w:rsidP="00C52B32">
      <w:pPr>
        <w:autoSpaceDE w:val="0"/>
        <w:autoSpaceDN w:val="0"/>
        <w:adjustRightInd w:val="0"/>
        <w:jc w:val="left"/>
        <w:rPr>
          <w:rFonts w:ascii="Arial" w:hAnsi="Arial" w:cs="Arial"/>
          <w:bCs/>
          <w:sz w:val="19"/>
          <w:szCs w:val="19"/>
        </w:rPr>
      </w:pPr>
      <w:r w:rsidRPr="00CC1C66">
        <w:rPr>
          <w:rFonts w:ascii="Arial" w:hAnsi="Arial" w:cs="Arial"/>
          <w:bCs/>
          <w:sz w:val="19"/>
          <w:szCs w:val="19"/>
        </w:rPr>
        <w:t xml:space="preserve">We will host an in-person results presentation for pre-registered analysts and investors today at 09.00 (UK time) at the London Stock Exchange, 10 Paternoster Square, London, EC4M 7LS. A simultaneous live video webcast of the presentation and Q&amp;A will also be available via the Investors section of our website at </w:t>
      </w:r>
      <w:hyperlink r:id="rId12" w:history="1">
        <w:r w:rsidR="002336F7" w:rsidRPr="00D8581E">
          <w:rPr>
            <w:rStyle w:val="Hyperlink"/>
            <w:rFonts w:ascii="Arial" w:hAnsi="Arial" w:cs="Arial"/>
            <w:bCs/>
            <w:sz w:val="19"/>
            <w:szCs w:val="19"/>
          </w:rPr>
          <w:t>www.kingfisher</w:t>
        </w:r>
      </w:hyperlink>
      <w:r w:rsidRPr="00CC1C66">
        <w:rPr>
          <w:rFonts w:ascii="Arial" w:hAnsi="Arial" w:cs="Arial"/>
          <w:bCs/>
          <w:sz w:val="19"/>
          <w:szCs w:val="19"/>
        </w:rPr>
        <w:t>.com, and subsequently available on demand.</w:t>
      </w:r>
      <w:r w:rsidR="00C74C0F" w:rsidRPr="00CC1C66">
        <w:rPr>
          <w:rFonts w:ascii="Arial" w:hAnsi="Arial" w:cs="Arial"/>
          <w:bCs/>
          <w:sz w:val="19"/>
          <w:szCs w:val="19"/>
        </w:rPr>
        <w:t xml:space="preserve"> </w:t>
      </w:r>
    </w:p>
    <w:p w14:paraId="4FCE12F5" w14:textId="77777777" w:rsidR="008B210B" w:rsidRDefault="008B210B" w:rsidP="00C52B32">
      <w:pPr>
        <w:autoSpaceDE w:val="0"/>
        <w:autoSpaceDN w:val="0"/>
        <w:adjustRightInd w:val="0"/>
        <w:jc w:val="left"/>
        <w:rPr>
          <w:rFonts w:ascii="Arial" w:hAnsi="Arial" w:cs="Arial"/>
          <w:bCs/>
          <w:sz w:val="19"/>
          <w:szCs w:val="19"/>
        </w:rPr>
      </w:pPr>
    </w:p>
    <w:p w14:paraId="02C94EFD" w14:textId="292371B6" w:rsidR="00C52B32" w:rsidRPr="00CC1C66" w:rsidRDefault="00C52B32" w:rsidP="00C52B32">
      <w:pPr>
        <w:autoSpaceDE w:val="0"/>
        <w:autoSpaceDN w:val="0"/>
        <w:adjustRightInd w:val="0"/>
        <w:jc w:val="left"/>
        <w:rPr>
          <w:rFonts w:ascii="Arial" w:hAnsi="Arial" w:cs="Arial"/>
          <w:bCs/>
          <w:sz w:val="19"/>
          <w:szCs w:val="19"/>
        </w:rPr>
      </w:pPr>
      <w:r w:rsidRPr="00CC1C66">
        <w:rPr>
          <w:rFonts w:ascii="Arial" w:hAnsi="Arial" w:cs="Arial"/>
          <w:bCs/>
          <w:sz w:val="19"/>
          <w:szCs w:val="19"/>
        </w:rPr>
        <w:t xml:space="preserve">For enquiries, please email </w:t>
      </w:r>
      <w:hyperlink r:id="rId13" w:history="1">
        <w:r w:rsidRPr="00CC1C66">
          <w:rPr>
            <w:rStyle w:val="Hyperlink"/>
            <w:rFonts w:ascii="Arial" w:hAnsi="Arial" w:cs="Arial"/>
            <w:bCs/>
            <w:sz w:val="19"/>
            <w:szCs w:val="19"/>
          </w:rPr>
          <w:t>investorenquiries@kingfisher.com</w:t>
        </w:r>
      </w:hyperlink>
      <w:r w:rsidRPr="00CC1C66">
        <w:rPr>
          <w:rFonts w:ascii="Arial" w:hAnsi="Arial" w:cs="Arial"/>
          <w:bCs/>
          <w:sz w:val="19"/>
          <w:szCs w:val="19"/>
        </w:rPr>
        <w:t>.</w:t>
      </w:r>
    </w:p>
    <w:p w14:paraId="14EF2D2A" w14:textId="561A2E8D" w:rsidR="00C52B32" w:rsidRPr="00CC1C66" w:rsidRDefault="00C52B32" w:rsidP="00C52B32">
      <w:pPr>
        <w:autoSpaceDE w:val="0"/>
        <w:autoSpaceDN w:val="0"/>
        <w:adjustRightInd w:val="0"/>
        <w:jc w:val="left"/>
        <w:rPr>
          <w:rFonts w:ascii="Arial" w:hAnsi="Arial" w:cs="Arial"/>
          <w:bCs/>
          <w:sz w:val="19"/>
          <w:szCs w:val="19"/>
        </w:rPr>
      </w:pPr>
    </w:p>
    <w:p w14:paraId="36A462C0" w14:textId="5EED3E28" w:rsidR="00C52B32" w:rsidRPr="00CC1C66" w:rsidRDefault="00C52B32" w:rsidP="00C52B32">
      <w:pPr>
        <w:autoSpaceDE w:val="0"/>
        <w:autoSpaceDN w:val="0"/>
        <w:adjustRightInd w:val="0"/>
        <w:jc w:val="left"/>
        <w:rPr>
          <w:rFonts w:ascii="Arial" w:hAnsi="Arial" w:cs="Arial"/>
          <w:i/>
          <w:iCs/>
          <w:sz w:val="19"/>
          <w:szCs w:val="19"/>
        </w:rPr>
      </w:pPr>
      <w:r w:rsidRPr="00CC1C66">
        <w:rPr>
          <w:rFonts w:ascii="Arial" w:hAnsi="Arial" w:cs="Arial"/>
          <w:b/>
          <w:bCs/>
          <w:sz w:val="19"/>
          <w:szCs w:val="19"/>
        </w:rPr>
        <w:t>Financial calendar</w:t>
      </w:r>
      <w:r w:rsidR="00D40B66" w:rsidRPr="00CC1C66">
        <w:rPr>
          <w:rFonts w:ascii="Arial" w:hAnsi="Arial" w:cs="Arial"/>
          <w:b/>
          <w:bCs/>
          <w:sz w:val="19"/>
          <w:szCs w:val="19"/>
        </w:rPr>
        <w:t xml:space="preserve"> </w:t>
      </w:r>
      <w:r w:rsidR="00D40B66" w:rsidRPr="00CC1C66">
        <w:rPr>
          <w:rFonts w:ascii="Arial" w:hAnsi="Arial" w:cs="Arial"/>
          <w:i/>
          <w:iCs/>
          <w:sz w:val="19"/>
          <w:szCs w:val="19"/>
        </w:rPr>
        <w:t>(</w:t>
      </w:r>
      <w:r w:rsidR="00D40B66" w:rsidRPr="00CC1C66">
        <w:rPr>
          <w:rFonts w:ascii="Arial" w:hAnsi="Arial" w:cs="Arial"/>
          <w:i/>
          <w:iCs/>
          <w:sz w:val="19"/>
          <w:szCs w:val="19"/>
          <w:vertAlign w:val="superscript"/>
        </w:rPr>
        <w:t>±</w:t>
      </w:r>
      <w:r w:rsidR="00D40B66" w:rsidRPr="00CC1C66">
        <w:rPr>
          <w:rFonts w:ascii="Arial" w:hAnsi="Arial" w:cs="Arial"/>
          <w:i/>
          <w:iCs/>
          <w:sz w:val="19"/>
          <w:szCs w:val="19"/>
        </w:rPr>
        <w:t xml:space="preserve"> Dates are provisional and may be subject to change)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721"/>
      </w:tblGrid>
      <w:tr w:rsidR="003B10FC" w:rsidRPr="00CC1C66" w14:paraId="142C6CAD" w14:textId="77777777" w:rsidTr="00810FD1">
        <w:tc>
          <w:tcPr>
            <w:tcW w:w="3118" w:type="dxa"/>
          </w:tcPr>
          <w:p w14:paraId="08C881B6" w14:textId="59B07E4A" w:rsidR="003B10FC" w:rsidRPr="00CC1C66" w:rsidRDefault="003B10FC" w:rsidP="003B10FC">
            <w:pPr>
              <w:ind w:firstLine="30"/>
              <w:jc w:val="left"/>
              <w:rPr>
                <w:rFonts w:ascii="Arial" w:hAnsi="Arial" w:cs="Arial"/>
                <w:sz w:val="19"/>
                <w:szCs w:val="19"/>
              </w:rPr>
            </w:pPr>
            <w:r w:rsidRPr="00CC1C66">
              <w:rPr>
                <w:rFonts w:ascii="Arial" w:hAnsi="Arial" w:cs="Arial"/>
                <w:sz w:val="19"/>
                <w:szCs w:val="19"/>
              </w:rPr>
              <w:t>Q</w:t>
            </w:r>
            <w:r w:rsidR="005A0DAD">
              <w:rPr>
                <w:rFonts w:ascii="Arial" w:hAnsi="Arial" w:cs="Arial"/>
                <w:sz w:val="19"/>
                <w:szCs w:val="19"/>
              </w:rPr>
              <w:t>1</w:t>
            </w:r>
            <w:r w:rsidRPr="00CC1C66">
              <w:rPr>
                <w:rFonts w:ascii="Arial" w:hAnsi="Arial" w:cs="Arial"/>
                <w:sz w:val="19"/>
                <w:szCs w:val="19"/>
              </w:rPr>
              <w:t xml:space="preserve"> </w:t>
            </w:r>
            <w:r w:rsidR="00C00D48">
              <w:rPr>
                <w:rFonts w:ascii="Arial" w:hAnsi="Arial" w:cs="Arial"/>
                <w:sz w:val="19"/>
                <w:szCs w:val="19"/>
              </w:rPr>
              <w:t>2</w:t>
            </w:r>
            <w:r w:rsidR="005A0DAD">
              <w:rPr>
                <w:rFonts w:ascii="Arial" w:hAnsi="Arial" w:cs="Arial"/>
                <w:sz w:val="19"/>
                <w:szCs w:val="19"/>
              </w:rPr>
              <w:t>3</w:t>
            </w:r>
            <w:r w:rsidR="00C00D48">
              <w:rPr>
                <w:rFonts w:ascii="Arial" w:hAnsi="Arial" w:cs="Arial"/>
                <w:sz w:val="19"/>
                <w:szCs w:val="19"/>
              </w:rPr>
              <w:t>/2</w:t>
            </w:r>
            <w:r w:rsidR="005A0DAD">
              <w:rPr>
                <w:rFonts w:ascii="Arial" w:hAnsi="Arial" w:cs="Arial"/>
                <w:sz w:val="19"/>
                <w:szCs w:val="19"/>
              </w:rPr>
              <w:t>4</w:t>
            </w:r>
            <w:r w:rsidR="00C00D48">
              <w:rPr>
                <w:rFonts w:ascii="Arial" w:hAnsi="Arial" w:cs="Arial"/>
                <w:sz w:val="19"/>
                <w:szCs w:val="19"/>
              </w:rPr>
              <w:t xml:space="preserve"> </w:t>
            </w:r>
            <w:r w:rsidRPr="00CC1C66">
              <w:rPr>
                <w:rFonts w:ascii="Arial" w:hAnsi="Arial" w:cs="Arial"/>
                <w:sz w:val="19"/>
                <w:szCs w:val="19"/>
              </w:rPr>
              <w:t>trading update</w:t>
            </w:r>
          </w:p>
        </w:tc>
        <w:tc>
          <w:tcPr>
            <w:tcW w:w="2721" w:type="dxa"/>
          </w:tcPr>
          <w:p w14:paraId="0F24DC84" w14:textId="7344BDF1" w:rsidR="003B10FC" w:rsidRPr="00CC1C66" w:rsidRDefault="003B10FC" w:rsidP="003B10FC">
            <w:pPr>
              <w:jc w:val="left"/>
              <w:rPr>
                <w:rFonts w:ascii="Arial" w:hAnsi="Arial" w:cs="Arial"/>
                <w:sz w:val="19"/>
                <w:szCs w:val="19"/>
              </w:rPr>
            </w:pPr>
            <w:r w:rsidRPr="00CC1C66">
              <w:rPr>
                <w:rFonts w:ascii="Arial" w:hAnsi="Arial" w:cs="Arial"/>
                <w:sz w:val="19"/>
                <w:szCs w:val="19"/>
              </w:rPr>
              <w:t>2</w:t>
            </w:r>
            <w:r w:rsidR="00ED3408">
              <w:rPr>
                <w:rFonts w:ascii="Arial" w:hAnsi="Arial" w:cs="Arial"/>
                <w:sz w:val="19"/>
                <w:szCs w:val="19"/>
              </w:rPr>
              <w:t>4</w:t>
            </w:r>
            <w:r w:rsidRPr="00CC1C66">
              <w:rPr>
                <w:rFonts w:ascii="Arial" w:hAnsi="Arial" w:cs="Arial"/>
                <w:sz w:val="19"/>
                <w:szCs w:val="19"/>
              </w:rPr>
              <w:t xml:space="preserve"> </w:t>
            </w:r>
            <w:r w:rsidR="00653B16">
              <w:rPr>
                <w:rFonts w:ascii="Arial" w:hAnsi="Arial" w:cs="Arial"/>
                <w:sz w:val="19"/>
                <w:szCs w:val="19"/>
              </w:rPr>
              <w:t xml:space="preserve">May </w:t>
            </w:r>
            <w:r w:rsidRPr="00CC1C66">
              <w:rPr>
                <w:rFonts w:ascii="Arial" w:hAnsi="Arial" w:cs="Arial"/>
                <w:sz w:val="19"/>
                <w:szCs w:val="19"/>
              </w:rPr>
              <w:t>202</w:t>
            </w:r>
            <w:r w:rsidR="00653B16">
              <w:rPr>
                <w:rFonts w:ascii="Arial" w:hAnsi="Arial" w:cs="Arial"/>
                <w:sz w:val="19"/>
                <w:szCs w:val="19"/>
              </w:rPr>
              <w:t>3</w:t>
            </w:r>
          </w:p>
        </w:tc>
      </w:tr>
      <w:tr w:rsidR="008126EA" w:rsidRPr="00CC1C66" w14:paraId="3ADEBDA9" w14:textId="77777777" w:rsidTr="00810FD1">
        <w:tc>
          <w:tcPr>
            <w:tcW w:w="3118" w:type="dxa"/>
          </w:tcPr>
          <w:p w14:paraId="1F256C64" w14:textId="08F635B1" w:rsidR="008126EA" w:rsidRPr="00CC1C66" w:rsidRDefault="00243B68" w:rsidP="008126EA">
            <w:pPr>
              <w:ind w:firstLine="30"/>
              <w:jc w:val="left"/>
              <w:rPr>
                <w:rFonts w:ascii="Arial" w:hAnsi="Arial" w:cs="Arial"/>
                <w:sz w:val="19"/>
                <w:szCs w:val="19"/>
              </w:rPr>
            </w:pPr>
            <w:r>
              <w:rPr>
                <w:rFonts w:ascii="Arial" w:hAnsi="Arial" w:cs="Arial"/>
                <w:sz w:val="19"/>
                <w:szCs w:val="19"/>
              </w:rPr>
              <w:t>Annual General Meeting</w:t>
            </w:r>
          </w:p>
        </w:tc>
        <w:tc>
          <w:tcPr>
            <w:tcW w:w="2721" w:type="dxa"/>
          </w:tcPr>
          <w:p w14:paraId="79BBF624" w14:textId="5E29B1EF" w:rsidR="008126EA" w:rsidRPr="00CC1C66" w:rsidRDefault="00653B16" w:rsidP="008126EA">
            <w:pPr>
              <w:jc w:val="left"/>
              <w:rPr>
                <w:rFonts w:ascii="Arial" w:hAnsi="Arial" w:cs="Arial"/>
                <w:sz w:val="19"/>
                <w:szCs w:val="19"/>
              </w:rPr>
            </w:pPr>
            <w:r>
              <w:rPr>
                <w:rFonts w:ascii="Arial" w:hAnsi="Arial" w:cs="Arial"/>
                <w:sz w:val="19"/>
                <w:szCs w:val="19"/>
              </w:rPr>
              <w:t xml:space="preserve">27 June </w:t>
            </w:r>
            <w:r w:rsidR="008126EA" w:rsidRPr="00CC1C66">
              <w:rPr>
                <w:rFonts w:ascii="Arial" w:hAnsi="Arial" w:cs="Arial"/>
                <w:sz w:val="19"/>
                <w:szCs w:val="19"/>
              </w:rPr>
              <w:t>202</w:t>
            </w:r>
            <w:r w:rsidR="00CA0360">
              <w:rPr>
                <w:rFonts w:ascii="Arial" w:hAnsi="Arial" w:cs="Arial"/>
                <w:sz w:val="19"/>
                <w:szCs w:val="19"/>
              </w:rPr>
              <w:t>3</w:t>
            </w:r>
            <w:r w:rsidR="008126EA" w:rsidRPr="00CC1C66">
              <w:rPr>
                <w:rFonts w:ascii="Arial" w:hAnsi="Arial" w:cs="Arial"/>
                <w:sz w:val="19"/>
                <w:szCs w:val="19"/>
                <w:vertAlign w:val="superscript"/>
              </w:rPr>
              <w:t>±</w:t>
            </w:r>
          </w:p>
        </w:tc>
      </w:tr>
      <w:tr w:rsidR="008126EA" w:rsidRPr="00CC1C66" w14:paraId="3A611EF1" w14:textId="77777777" w:rsidTr="00810FD1">
        <w:tc>
          <w:tcPr>
            <w:tcW w:w="3118" w:type="dxa"/>
          </w:tcPr>
          <w:p w14:paraId="0751EF95" w14:textId="46F6DBE0" w:rsidR="008126EA" w:rsidRPr="00CC1C66" w:rsidRDefault="008126EA" w:rsidP="008126EA">
            <w:pPr>
              <w:ind w:firstLine="30"/>
              <w:jc w:val="left"/>
              <w:rPr>
                <w:rFonts w:ascii="Arial" w:hAnsi="Arial" w:cs="Arial"/>
                <w:sz w:val="19"/>
                <w:szCs w:val="19"/>
              </w:rPr>
            </w:pPr>
            <w:r w:rsidRPr="00CC1C66">
              <w:rPr>
                <w:rFonts w:ascii="Arial" w:hAnsi="Arial" w:cs="Arial"/>
                <w:sz w:val="19"/>
                <w:szCs w:val="19"/>
              </w:rPr>
              <w:t>Half year results</w:t>
            </w:r>
          </w:p>
        </w:tc>
        <w:tc>
          <w:tcPr>
            <w:tcW w:w="2721" w:type="dxa"/>
          </w:tcPr>
          <w:p w14:paraId="6D60EC96" w14:textId="39B92A1C" w:rsidR="008126EA" w:rsidRPr="00CC1C66" w:rsidRDefault="00966F8D" w:rsidP="008126EA">
            <w:pPr>
              <w:jc w:val="left"/>
              <w:rPr>
                <w:rFonts w:ascii="Arial" w:hAnsi="Arial" w:cs="Arial"/>
                <w:sz w:val="19"/>
                <w:szCs w:val="19"/>
              </w:rPr>
            </w:pPr>
            <w:r>
              <w:rPr>
                <w:rFonts w:ascii="Arial" w:hAnsi="Arial" w:cs="Arial"/>
                <w:sz w:val="19"/>
                <w:szCs w:val="19"/>
              </w:rPr>
              <w:t xml:space="preserve">19 </w:t>
            </w:r>
            <w:r w:rsidR="008126EA" w:rsidRPr="00CC1C66">
              <w:rPr>
                <w:rFonts w:ascii="Arial" w:hAnsi="Arial" w:cs="Arial"/>
                <w:sz w:val="19"/>
                <w:szCs w:val="19"/>
              </w:rPr>
              <w:t>September 202</w:t>
            </w:r>
            <w:r w:rsidR="00CA0360">
              <w:rPr>
                <w:rFonts w:ascii="Arial" w:hAnsi="Arial" w:cs="Arial"/>
                <w:sz w:val="19"/>
                <w:szCs w:val="19"/>
              </w:rPr>
              <w:t>3</w:t>
            </w:r>
            <w:r w:rsidR="008126EA" w:rsidRPr="00CC1C66">
              <w:rPr>
                <w:rFonts w:ascii="Arial" w:hAnsi="Arial" w:cs="Arial"/>
                <w:sz w:val="19"/>
                <w:szCs w:val="19"/>
                <w:vertAlign w:val="superscript"/>
              </w:rPr>
              <w:t>±</w:t>
            </w:r>
          </w:p>
        </w:tc>
      </w:tr>
      <w:tr w:rsidR="00447B5A" w:rsidRPr="00CC1C66" w14:paraId="61CA8179" w14:textId="77777777" w:rsidTr="00810FD1">
        <w:tc>
          <w:tcPr>
            <w:tcW w:w="3118" w:type="dxa"/>
          </w:tcPr>
          <w:p w14:paraId="2CF1B34F" w14:textId="170CE125" w:rsidR="00447B5A" w:rsidRPr="00CC1C66" w:rsidRDefault="00447B5A" w:rsidP="00810FD1">
            <w:pPr>
              <w:ind w:firstLine="30"/>
              <w:jc w:val="left"/>
              <w:rPr>
                <w:rFonts w:ascii="Arial" w:hAnsi="Arial" w:cs="Arial"/>
                <w:sz w:val="19"/>
                <w:szCs w:val="19"/>
              </w:rPr>
            </w:pPr>
            <w:r w:rsidRPr="00CC1C66">
              <w:rPr>
                <w:rFonts w:ascii="Arial" w:hAnsi="Arial" w:cs="Arial"/>
                <w:sz w:val="19"/>
                <w:szCs w:val="19"/>
              </w:rPr>
              <w:t xml:space="preserve">Q3 </w:t>
            </w:r>
            <w:r w:rsidR="00C00D48">
              <w:rPr>
                <w:rFonts w:ascii="Arial" w:hAnsi="Arial" w:cs="Arial"/>
                <w:sz w:val="19"/>
                <w:szCs w:val="19"/>
              </w:rPr>
              <w:t xml:space="preserve">23/24 </w:t>
            </w:r>
            <w:r w:rsidRPr="00CC1C66">
              <w:rPr>
                <w:rFonts w:ascii="Arial" w:hAnsi="Arial" w:cs="Arial"/>
                <w:sz w:val="19"/>
                <w:szCs w:val="19"/>
              </w:rPr>
              <w:t>trading update</w:t>
            </w:r>
          </w:p>
        </w:tc>
        <w:tc>
          <w:tcPr>
            <w:tcW w:w="2721" w:type="dxa"/>
          </w:tcPr>
          <w:p w14:paraId="4F78A122" w14:textId="50CA2489" w:rsidR="00447B5A" w:rsidRPr="00CC1C66" w:rsidRDefault="00447B5A" w:rsidP="00810FD1">
            <w:pPr>
              <w:jc w:val="left"/>
              <w:rPr>
                <w:rFonts w:ascii="Arial" w:hAnsi="Arial" w:cs="Arial"/>
                <w:sz w:val="19"/>
                <w:szCs w:val="19"/>
              </w:rPr>
            </w:pPr>
            <w:r w:rsidRPr="00CC1C66">
              <w:rPr>
                <w:rFonts w:ascii="Arial" w:hAnsi="Arial" w:cs="Arial"/>
                <w:sz w:val="19"/>
                <w:szCs w:val="19"/>
              </w:rPr>
              <w:t>2</w:t>
            </w:r>
            <w:r w:rsidR="00966F8D">
              <w:rPr>
                <w:rFonts w:ascii="Arial" w:hAnsi="Arial" w:cs="Arial"/>
                <w:sz w:val="19"/>
                <w:szCs w:val="19"/>
              </w:rPr>
              <w:t>2</w:t>
            </w:r>
            <w:r w:rsidRPr="00CC1C66">
              <w:rPr>
                <w:rFonts w:ascii="Arial" w:hAnsi="Arial" w:cs="Arial"/>
                <w:sz w:val="19"/>
                <w:szCs w:val="19"/>
              </w:rPr>
              <w:t xml:space="preserve"> November 202</w:t>
            </w:r>
            <w:r w:rsidR="00CA0360">
              <w:rPr>
                <w:rFonts w:ascii="Arial" w:hAnsi="Arial" w:cs="Arial"/>
                <w:sz w:val="19"/>
                <w:szCs w:val="19"/>
              </w:rPr>
              <w:t>3</w:t>
            </w:r>
            <w:r w:rsidRPr="00CC1C66">
              <w:rPr>
                <w:rFonts w:ascii="Arial" w:hAnsi="Arial" w:cs="Arial"/>
                <w:sz w:val="19"/>
                <w:szCs w:val="19"/>
                <w:vertAlign w:val="superscript"/>
              </w:rPr>
              <w:t>±</w:t>
            </w:r>
          </w:p>
        </w:tc>
      </w:tr>
    </w:tbl>
    <w:p w14:paraId="2091E095" w14:textId="6B4AE24F" w:rsidR="00C52B32" w:rsidRPr="00CC1C66" w:rsidRDefault="00C52B32" w:rsidP="00C52B32">
      <w:pPr>
        <w:autoSpaceDE w:val="0"/>
        <w:autoSpaceDN w:val="0"/>
        <w:adjustRightInd w:val="0"/>
        <w:jc w:val="left"/>
        <w:rPr>
          <w:rFonts w:ascii="Arial" w:hAnsi="Arial" w:cs="Arial"/>
          <w:bCs/>
          <w:sz w:val="19"/>
          <w:szCs w:val="19"/>
        </w:rPr>
      </w:pPr>
    </w:p>
    <w:p w14:paraId="17618474" w14:textId="77777777" w:rsidR="00C52B32" w:rsidRPr="00CC1C66" w:rsidRDefault="00C52B32" w:rsidP="00F44AF3">
      <w:pPr>
        <w:autoSpaceDE w:val="0"/>
        <w:autoSpaceDN w:val="0"/>
        <w:adjustRightInd w:val="0"/>
        <w:jc w:val="left"/>
        <w:rPr>
          <w:rFonts w:ascii="Arial" w:hAnsi="Arial" w:cs="Arial"/>
          <w:b/>
          <w:bCs/>
          <w:sz w:val="19"/>
          <w:szCs w:val="19"/>
        </w:rPr>
      </w:pPr>
      <w:r w:rsidRPr="00CC1C66">
        <w:rPr>
          <w:rFonts w:ascii="Arial" w:hAnsi="Arial" w:cs="Arial"/>
          <w:b/>
          <w:bCs/>
          <w:sz w:val="19"/>
          <w:szCs w:val="19"/>
        </w:rPr>
        <w:t>American Depository Receipts</w:t>
      </w:r>
    </w:p>
    <w:p w14:paraId="70CE710E" w14:textId="18D24D3A" w:rsidR="00CF6968" w:rsidRDefault="00C52B32" w:rsidP="00CF6968">
      <w:pPr>
        <w:jc w:val="left"/>
        <w:rPr>
          <w:rFonts w:ascii="Arial" w:hAnsi="Arial" w:cs="Arial"/>
          <w:sz w:val="19"/>
          <w:szCs w:val="19"/>
        </w:rPr>
      </w:pPr>
      <w:r w:rsidRPr="00CC1C66">
        <w:rPr>
          <w:rFonts w:ascii="Arial" w:hAnsi="Arial" w:cs="Arial"/>
          <w:sz w:val="19"/>
          <w:szCs w:val="19"/>
        </w:rPr>
        <w:t xml:space="preserve">Kingfisher American Depository Receipts are traded in the US on the OTCQX platform: (OTCQX: KGFHY) </w:t>
      </w:r>
      <w:hyperlink r:id="rId14" w:history="1">
        <w:r w:rsidR="00D77DE2" w:rsidRPr="00D77DE2">
          <w:rPr>
            <w:rStyle w:val="Hyperlink"/>
            <w:rFonts w:ascii="Arial" w:hAnsi="Arial" w:cs="Arial"/>
            <w:sz w:val="19"/>
            <w:szCs w:val="19"/>
          </w:rPr>
          <w:t>www.otcmarkets.com/stock/KGFHY/quote</w:t>
        </w:r>
      </w:hyperlink>
      <w:r w:rsidRPr="00CC1C66">
        <w:rPr>
          <w:rFonts w:ascii="Arial" w:hAnsi="Arial" w:cs="Arial"/>
          <w:sz w:val="19"/>
          <w:szCs w:val="19"/>
        </w:rPr>
        <w:t>.</w:t>
      </w:r>
      <w:r w:rsidR="00CF6968">
        <w:rPr>
          <w:rFonts w:ascii="Arial" w:hAnsi="Arial" w:cs="Arial"/>
          <w:sz w:val="19"/>
          <w:szCs w:val="19"/>
        </w:rPr>
        <w:br w:type="page"/>
      </w:r>
    </w:p>
    <w:p w14:paraId="2BB30129" w14:textId="77777777" w:rsidR="00D04AA1" w:rsidRPr="00EB4495" w:rsidRDefault="00D04AA1" w:rsidP="00D04AA1">
      <w:pPr>
        <w:jc w:val="left"/>
        <w:rPr>
          <w:rFonts w:ascii="Arial" w:hAnsi="Arial" w:cs="Arial"/>
          <w:b/>
          <w:bCs/>
        </w:rPr>
      </w:pPr>
      <w:r w:rsidRPr="00EB4495">
        <w:rPr>
          <w:rFonts w:ascii="Arial" w:hAnsi="Arial" w:cs="Arial"/>
          <w:b/>
          <w:bCs/>
        </w:rPr>
        <w:lastRenderedPageBreak/>
        <w:t>The remainder of this release consists of seven main sections:</w:t>
      </w:r>
    </w:p>
    <w:p w14:paraId="0D4054D8" w14:textId="529183A1" w:rsidR="00D04AA1" w:rsidRPr="00EB4495" w:rsidRDefault="008D6925" w:rsidP="00D04AA1">
      <w:pPr>
        <w:numPr>
          <w:ilvl w:val="0"/>
          <w:numId w:val="1"/>
        </w:numPr>
        <w:ind w:left="426" w:hanging="426"/>
        <w:jc w:val="left"/>
        <w:rPr>
          <w:rFonts w:ascii="Arial" w:hAnsi="Arial" w:cs="Arial"/>
        </w:rPr>
      </w:pPr>
      <w:r>
        <w:rPr>
          <w:rFonts w:ascii="Arial" w:hAnsi="Arial" w:cs="Arial"/>
        </w:rPr>
        <w:t>FY</w:t>
      </w:r>
      <w:r w:rsidRPr="00EB4495">
        <w:rPr>
          <w:rFonts w:ascii="Arial" w:hAnsi="Arial" w:cs="Arial"/>
        </w:rPr>
        <w:t xml:space="preserve"> </w:t>
      </w:r>
      <w:r w:rsidR="00D04AA1" w:rsidRPr="00EB4495">
        <w:rPr>
          <w:rFonts w:ascii="Arial" w:hAnsi="Arial" w:cs="Arial"/>
        </w:rPr>
        <w:t>202</w:t>
      </w:r>
      <w:r w:rsidR="00D04AA1">
        <w:rPr>
          <w:rFonts w:ascii="Arial" w:hAnsi="Arial" w:cs="Arial"/>
        </w:rPr>
        <w:t>2</w:t>
      </w:r>
      <w:r w:rsidR="00D04AA1" w:rsidRPr="00EB4495">
        <w:rPr>
          <w:rFonts w:ascii="Arial" w:hAnsi="Arial" w:cs="Arial"/>
        </w:rPr>
        <w:t>/2</w:t>
      </w:r>
      <w:r w:rsidR="00D04AA1">
        <w:rPr>
          <w:rFonts w:ascii="Arial" w:hAnsi="Arial" w:cs="Arial"/>
        </w:rPr>
        <w:t>3</w:t>
      </w:r>
      <w:r w:rsidR="00D04AA1" w:rsidRPr="00EB4495">
        <w:rPr>
          <w:rFonts w:ascii="Arial" w:hAnsi="Arial" w:cs="Arial"/>
        </w:rPr>
        <w:t xml:space="preserve"> Financial performance summary</w:t>
      </w:r>
      <w:r w:rsidR="00D04AA1">
        <w:rPr>
          <w:rFonts w:ascii="Arial" w:hAnsi="Arial" w:cs="Arial"/>
        </w:rPr>
        <w:t xml:space="preserve"> and </w:t>
      </w:r>
      <w:r w:rsidR="00D04AA1" w:rsidRPr="00EB4495">
        <w:rPr>
          <w:rFonts w:ascii="Arial" w:hAnsi="Arial" w:cs="Arial"/>
        </w:rPr>
        <w:t>current trading</w:t>
      </w:r>
    </w:p>
    <w:p w14:paraId="780398DD" w14:textId="77777777" w:rsidR="00D04AA1" w:rsidRPr="00EB4495" w:rsidRDefault="00D04AA1" w:rsidP="00D04AA1">
      <w:pPr>
        <w:numPr>
          <w:ilvl w:val="0"/>
          <w:numId w:val="1"/>
        </w:numPr>
        <w:ind w:left="426" w:hanging="426"/>
        <w:jc w:val="left"/>
        <w:rPr>
          <w:rFonts w:ascii="Arial" w:hAnsi="Arial" w:cs="Arial"/>
        </w:rPr>
      </w:pPr>
      <w:r w:rsidRPr="00EB4495">
        <w:rPr>
          <w:rFonts w:ascii="Arial" w:hAnsi="Arial" w:cs="Arial"/>
        </w:rPr>
        <w:t xml:space="preserve">Group update </w:t>
      </w:r>
      <w:r w:rsidRPr="00EB4495">
        <w:rPr>
          <w:rFonts w:ascii="Arial" w:hAnsi="Arial" w:cs="Arial"/>
          <w:bCs/>
        </w:rPr>
        <w:t xml:space="preserve">(including </w:t>
      </w:r>
      <w:r w:rsidRPr="00EB4495">
        <w:rPr>
          <w:rFonts w:ascii="Arial" w:hAnsi="Arial" w:cs="Arial"/>
          <w:b/>
        </w:rPr>
        <w:t xml:space="preserve">‘Powered by Kingfisher’ </w:t>
      </w:r>
      <w:r w:rsidRPr="00EB4495">
        <w:rPr>
          <w:rFonts w:ascii="Arial" w:hAnsi="Arial" w:cs="Arial"/>
          <w:bCs/>
        </w:rPr>
        <w:t>strategic plan)</w:t>
      </w:r>
    </w:p>
    <w:p w14:paraId="3D0C518B" w14:textId="77777777" w:rsidR="00D04AA1" w:rsidRPr="00EB4495" w:rsidRDefault="00D04AA1" w:rsidP="00D04AA1">
      <w:pPr>
        <w:numPr>
          <w:ilvl w:val="0"/>
          <w:numId w:val="1"/>
        </w:numPr>
        <w:ind w:left="426" w:hanging="426"/>
        <w:jc w:val="left"/>
        <w:rPr>
          <w:rFonts w:ascii="Arial" w:hAnsi="Arial" w:cs="Arial"/>
        </w:rPr>
      </w:pPr>
      <w:r w:rsidRPr="00EB4495">
        <w:rPr>
          <w:rFonts w:ascii="Arial" w:hAnsi="Arial" w:cs="Arial"/>
        </w:rPr>
        <w:t>Trading review by division</w:t>
      </w:r>
    </w:p>
    <w:p w14:paraId="1CA113B2" w14:textId="5A2AB3A1" w:rsidR="00D04AA1" w:rsidRPr="00EB4495" w:rsidRDefault="00D04AA1" w:rsidP="00D04AA1">
      <w:pPr>
        <w:numPr>
          <w:ilvl w:val="0"/>
          <w:numId w:val="1"/>
        </w:numPr>
        <w:ind w:left="426" w:hanging="426"/>
        <w:jc w:val="left"/>
        <w:rPr>
          <w:rFonts w:ascii="Arial" w:hAnsi="Arial" w:cs="Arial"/>
        </w:rPr>
      </w:pPr>
      <w:r w:rsidRPr="00EB4495">
        <w:rPr>
          <w:rFonts w:ascii="Arial" w:hAnsi="Arial" w:cs="Arial"/>
        </w:rPr>
        <w:t>FY 202</w:t>
      </w:r>
      <w:r w:rsidR="00B42F9A">
        <w:rPr>
          <w:rFonts w:ascii="Arial" w:hAnsi="Arial" w:cs="Arial"/>
        </w:rPr>
        <w:t>3</w:t>
      </w:r>
      <w:r w:rsidRPr="00EB4495">
        <w:rPr>
          <w:rFonts w:ascii="Arial" w:hAnsi="Arial" w:cs="Arial"/>
        </w:rPr>
        <w:t>/2</w:t>
      </w:r>
      <w:r w:rsidR="00B42F9A">
        <w:rPr>
          <w:rFonts w:ascii="Arial" w:hAnsi="Arial" w:cs="Arial"/>
        </w:rPr>
        <w:t>4</w:t>
      </w:r>
      <w:r w:rsidRPr="00EB4495">
        <w:rPr>
          <w:rFonts w:ascii="Arial" w:hAnsi="Arial" w:cs="Arial"/>
        </w:rPr>
        <w:t xml:space="preserve"> Technical guidance</w:t>
      </w:r>
    </w:p>
    <w:p w14:paraId="6A7D511A" w14:textId="2B082239" w:rsidR="00D04AA1" w:rsidRPr="00EB4495" w:rsidRDefault="00B42F9A" w:rsidP="00D04AA1">
      <w:pPr>
        <w:numPr>
          <w:ilvl w:val="0"/>
          <w:numId w:val="1"/>
        </w:numPr>
        <w:ind w:left="426" w:hanging="426"/>
        <w:jc w:val="left"/>
        <w:rPr>
          <w:rFonts w:ascii="Arial" w:hAnsi="Arial" w:cs="Arial"/>
        </w:rPr>
      </w:pPr>
      <w:r>
        <w:rPr>
          <w:rFonts w:ascii="Arial" w:hAnsi="Arial" w:cs="Arial"/>
        </w:rPr>
        <w:t>FY</w:t>
      </w:r>
      <w:r w:rsidRPr="00EB4495">
        <w:rPr>
          <w:rFonts w:ascii="Arial" w:hAnsi="Arial" w:cs="Arial"/>
        </w:rPr>
        <w:t xml:space="preserve"> </w:t>
      </w:r>
      <w:r w:rsidR="00D04AA1" w:rsidRPr="00EB4495">
        <w:rPr>
          <w:rFonts w:ascii="Arial" w:hAnsi="Arial" w:cs="Arial"/>
        </w:rPr>
        <w:t>202</w:t>
      </w:r>
      <w:r w:rsidR="00D04AA1">
        <w:rPr>
          <w:rFonts w:ascii="Arial" w:hAnsi="Arial" w:cs="Arial"/>
        </w:rPr>
        <w:t>2</w:t>
      </w:r>
      <w:r w:rsidR="00D04AA1" w:rsidRPr="00EB4495">
        <w:rPr>
          <w:rFonts w:ascii="Arial" w:hAnsi="Arial" w:cs="Arial"/>
        </w:rPr>
        <w:t>/2</w:t>
      </w:r>
      <w:r w:rsidR="00D04AA1">
        <w:rPr>
          <w:rFonts w:ascii="Arial" w:hAnsi="Arial" w:cs="Arial"/>
        </w:rPr>
        <w:t>3</w:t>
      </w:r>
      <w:r w:rsidR="00D04AA1" w:rsidRPr="00EB4495">
        <w:rPr>
          <w:rFonts w:ascii="Arial" w:hAnsi="Arial" w:cs="Arial"/>
        </w:rPr>
        <w:t xml:space="preserve"> Financial review and, in part 2 of this announcement, the condensed financial statements</w:t>
      </w:r>
    </w:p>
    <w:p w14:paraId="649D508C" w14:textId="77777777" w:rsidR="00D04AA1" w:rsidRPr="00EB4495" w:rsidRDefault="00D04AA1" w:rsidP="00D04AA1">
      <w:pPr>
        <w:numPr>
          <w:ilvl w:val="0"/>
          <w:numId w:val="1"/>
        </w:numPr>
        <w:ind w:left="426" w:hanging="426"/>
        <w:jc w:val="left"/>
        <w:rPr>
          <w:rFonts w:ascii="Arial" w:hAnsi="Arial" w:cs="Arial"/>
        </w:rPr>
      </w:pPr>
      <w:r w:rsidRPr="00EB4495">
        <w:rPr>
          <w:rFonts w:ascii="Arial" w:hAnsi="Arial" w:cs="Arial"/>
        </w:rPr>
        <w:t>Glossary</w:t>
      </w:r>
    </w:p>
    <w:p w14:paraId="0227FF9A" w14:textId="77777777" w:rsidR="00D04AA1" w:rsidRPr="00EB4495" w:rsidRDefault="00D04AA1" w:rsidP="00D04AA1">
      <w:pPr>
        <w:numPr>
          <w:ilvl w:val="0"/>
          <w:numId w:val="1"/>
        </w:numPr>
        <w:ind w:left="426" w:hanging="426"/>
        <w:jc w:val="left"/>
        <w:rPr>
          <w:rFonts w:ascii="Arial" w:hAnsi="Arial" w:cs="Arial"/>
          <w:b/>
        </w:rPr>
      </w:pPr>
      <w:r w:rsidRPr="00EB4495">
        <w:rPr>
          <w:rFonts w:ascii="Arial" w:hAnsi="Arial" w:cs="Arial"/>
        </w:rPr>
        <w:t>Forward-looking statements</w:t>
      </w:r>
    </w:p>
    <w:p w14:paraId="53856A45" w14:textId="77777777" w:rsidR="00D04AA1" w:rsidRDefault="00D04AA1" w:rsidP="00D04AA1">
      <w:pPr>
        <w:jc w:val="left"/>
        <w:rPr>
          <w:rFonts w:ascii="Arial" w:hAnsi="Arial" w:cs="Arial"/>
          <w:b/>
          <w:bCs/>
        </w:rPr>
      </w:pPr>
    </w:p>
    <w:p w14:paraId="404AC32B" w14:textId="77777777" w:rsidR="00D04AA1" w:rsidRDefault="00D04AA1" w:rsidP="00D04AA1">
      <w:pPr>
        <w:jc w:val="left"/>
        <w:rPr>
          <w:rFonts w:ascii="Arial" w:hAnsi="Arial" w:cs="Arial"/>
          <w:b/>
          <w:bCs/>
        </w:rPr>
      </w:pPr>
    </w:p>
    <w:p w14:paraId="0F2E1AE5" w14:textId="77B802D4" w:rsidR="00D04AA1" w:rsidRPr="00EB4495" w:rsidRDefault="00D04AA1" w:rsidP="00D04AA1">
      <w:pPr>
        <w:pBdr>
          <w:top w:val="single" w:sz="4" w:space="1" w:color="auto"/>
          <w:left w:val="single" w:sz="4" w:space="4" w:color="auto"/>
          <w:bottom w:val="single" w:sz="4" w:space="1" w:color="auto"/>
          <w:right w:val="single" w:sz="4" w:space="4" w:color="auto"/>
        </w:pBdr>
        <w:shd w:val="clear" w:color="auto" w:fill="0070C0"/>
        <w:jc w:val="left"/>
        <w:rPr>
          <w:rFonts w:ascii="Arial" w:hAnsi="Arial" w:cs="Arial"/>
          <w:b/>
          <w:bCs/>
          <w:color w:val="FFFFFF" w:themeColor="background1"/>
        </w:rPr>
      </w:pPr>
      <w:r w:rsidRPr="00EB4495">
        <w:rPr>
          <w:rFonts w:ascii="Arial" w:hAnsi="Arial" w:cs="Arial"/>
          <w:b/>
          <w:bCs/>
          <w:color w:val="FFFFFF" w:themeColor="background1"/>
        </w:rPr>
        <w:t xml:space="preserve">Section 1: </w:t>
      </w:r>
      <w:r w:rsidR="00AA7A02">
        <w:rPr>
          <w:rFonts w:ascii="Arial" w:hAnsi="Arial" w:cs="Arial"/>
          <w:b/>
          <w:bCs/>
          <w:color w:val="FFFFFF" w:themeColor="background1"/>
        </w:rPr>
        <w:t>FY</w:t>
      </w:r>
      <w:r w:rsidR="00AA7A02" w:rsidRPr="00EB4495">
        <w:rPr>
          <w:rFonts w:ascii="Arial" w:hAnsi="Arial" w:cs="Arial"/>
          <w:b/>
          <w:bCs/>
          <w:color w:val="FFFFFF" w:themeColor="background1"/>
        </w:rPr>
        <w:t xml:space="preserve"> </w:t>
      </w:r>
      <w:r w:rsidRPr="00EB4495">
        <w:rPr>
          <w:rFonts w:ascii="Arial" w:hAnsi="Arial" w:cs="Arial"/>
          <w:b/>
          <w:bCs/>
          <w:color w:val="FFFFFF" w:themeColor="background1"/>
        </w:rPr>
        <w:t>202</w:t>
      </w:r>
      <w:r>
        <w:rPr>
          <w:rFonts w:ascii="Arial" w:hAnsi="Arial" w:cs="Arial"/>
          <w:b/>
          <w:bCs/>
          <w:color w:val="FFFFFF" w:themeColor="background1"/>
        </w:rPr>
        <w:t>2</w:t>
      </w:r>
      <w:r w:rsidRPr="00EB4495">
        <w:rPr>
          <w:rFonts w:ascii="Arial" w:hAnsi="Arial" w:cs="Arial"/>
          <w:b/>
          <w:bCs/>
          <w:color w:val="FFFFFF" w:themeColor="background1"/>
        </w:rPr>
        <w:t>/2</w:t>
      </w:r>
      <w:r>
        <w:rPr>
          <w:rFonts w:ascii="Arial" w:hAnsi="Arial" w:cs="Arial"/>
          <w:b/>
          <w:bCs/>
          <w:color w:val="FFFFFF" w:themeColor="background1"/>
        </w:rPr>
        <w:t>3</w:t>
      </w:r>
      <w:r w:rsidRPr="00EB4495">
        <w:rPr>
          <w:rFonts w:ascii="Arial" w:hAnsi="Arial" w:cs="Arial"/>
          <w:b/>
          <w:bCs/>
          <w:color w:val="FFFFFF" w:themeColor="background1"/>
        </w:rPr>
        <w:t xml:space="preserve"> Financial performance summary</w:t>
      </w:r>
      <w:r>
        <w:rPr>
          <w:rFonts w:ascii="Arial" w:hAnsi="Arial" w:cs="Arial"/>
          <w:b/>
          <w:bCs/>
          <w:color w:val="FFFFFF" w:themeColor="background1"/>
        </w:rPr>
        <w:t xml:space="preserve"> and </w:t>
      </w:r>
      <w:r w:rsidRPr="00EB4495">
        <w:rPr>
          <w:rFonts w:ascii="Arial" w:hAnsi="Arial" w:cs="Arial"/>
          <w:b/>
          <w:bCs/>
          <w:color w:val="FFFFFF" w:themeColor="background1"/>
        </w:rPr>
        <w:t>current trading</w:t>
      </w:r>
    </w:p>
    <w:p w14:paraId="76CA8799" w14:textId="77777777" w:rsidR="00D04AA1" w:rsidRPr="00EB4495" w:rsidRDefault="00D04AA1" w:rsidP="00D04AA1">
      <w:pPr>
        <w:jc w:val="left"/>
        <w:rPr>
          <w:rFonts w:ascii="Arial" w:hAnsi="Arial" w:cs="Arial"/>
          <w:b/>
          <w:bCs/>
        </w:rPr>
      </w:pPr>
    </w:p>
    <w:p w14:paraId="52C0F291" w14:textId="77777777" w:rsidR="00D04AA1" w:rsidRPr="00EB4495" w:rsidRDefault="00D04AA1" w:rsidP="00D04AA1">
      <w:pPr>
        <w:jc w:val="left"/>
        <w:rPr>
          <w:rFonts w:ascii="Arial" w:hAnsi="Arial" w:cs="Arial"/>
          <w:b/>
          <w:u w:val="single"/>
        </w:rPr>
      </w:pPr>
      <w:r w:rsidRPr="00EB4495">
        <w:rPr>
          <w:rFonts w:ascii="Arial" w:hAnsi="Arial" w:cs="Arial"/>
          <w:b/>
          <w:u w:val="single"/>
        </w:rPr>
        <w:t>Income statement summary</w:t>
      </w:r>
    </w:p>
    <w:p w14:paraId="4F26736D" w14:textId="77777777" w:rsidR="00D04AA1" w:rsidRPr="00EB4495" w:rsidRDefault="00D04AA1" w:rsidP="00D04AA1">
      <w:pPr>
        <w:jc w:val="left"/>
        <w:rPr>
          <w:rFonts w:ascii="Arial" w:hAnsi="Arial" w:cs="Arial"/>
          <w:bCs/>
        </w:rPr>
      </w:pPr>
    </w:p>
    <w:tbl>
      <w:tblPr>
        <w:tblW w:w="9753" w:type="dxa"/>
        <w:tblLayout w:type="fixed"/>
        <w:tblLook w:val="0420" w:firstRow="1" w:lastRow="0" w:firstColumn="0" w:lastColumn="0" w:noHBand="0" w:noVBand="1"/>
      </w:tblPr>
      <w:tblGrid>
        <w:gridCol w:w="3061"/>
        <w:gridCol w:w="737"/>
        <w:gridCol w:w="1191"/>
        <w:gridCol w:w="1191"/>
        <w:gridCol w:w="1191"/>
        <w:gridCol w:w="1191"/>
        <w:gridCol w:w="1191"/>
      </w:tblGrid>
      <w:tr w:rsidR="00D04AA1" w:rsidRPr="00EB4495" w14:paraId="122EDB5D" w14:textId="77777777" w:rsidTr="00F42B07">
        <w:trPr>
          <w:trHeight w:val="539"/>
        </w:trPr>
        <w:tc>
          <w:tcPr>
            <w:tcW w:w="3061" w:type="dxa"/>
            <w:tcBorders>
              <w:top w:val="single" w:sz="4" w:space="0" w:color="auto"/>
              <w:left w:val="nil"/>
              <w:right w:val="nil"/>
            </w:tcBorders>
            <w:shd w:val="clear" w:color="auto" w:fill="FFFFFF" w:themeFill="background1"/>
            <w:tcMar>
              <w:top w:w="15" w:type="dxa"/>
              <w:left w:w="113" w:type="dxa"/>
              <w:bottom w:w="0" w:type="dxa"/>
              <w:right w:w="15" w:type="dxa"/>
            </w:tcMar>
            <w:vAlign w:val="center"/>
          </w:tcPr>
          <w:p w14:paraId="1126F2C5" w14:textId="77777777" w:rsidR="00D04AA1" w:rsidRPr="00EB4495" w:rsidRDefault="00D04AA1" w:rsidP="00F42B07">
            <w:pPr>
              <w:jc w:val="left"/>
              <w:rPr>
                <w:rFonts w:ascii="Arial" w:eastAsia="Times New Roman" w:hAnsi="Arial" w:cs="Arial"/>
                <w:b/>
                <w:bCs/>
              </w:rPr>
            </w:pPr>
            <w:r w:rsidRPr="00EB4495">
              <w:rPr>
                <w:rFonts w:ascii="Arial" w:eastAsiaTheme="minorEastAsia" w:hAnsi="Arial" w:cs="Arial"/>
                <w:b/>
                <w:bCs/>
                <w:color w:val="000000" w:themeColor="text1"/>
                <w:kern w:val="24"/>
                <w:lang w:val="en-US"/>
              </w:rPr>
              <w:t>£m</w:t>
            </w:r>
          </w:p>
        </w:tc>
        <w:tc>
          <w:tcPr>
            <w:tcW w:w="737"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1E3C1EB3" w14:textId="77777777" w:rsidR="00D04AA1" w:rsidRPr="00EB4495" w:rsidRDefault="00D04AA1" w:rsidP="00F42B07">
            <w:pPr>
              <w:jc w:val="right"/>
              <w:textAlignment w:val="bottom"/>
              <w:rPr>
                <w:rFonts w:ascii="Arial" w:eastAsia="Times New Roman" w:hAnsi="Arial" w:cs="Arial"/>
                <w:b/>
                <w:bCs/>
              </w:rPr>
            </w:pPr>
          </w:p>
        </w:tc>
        <w:tc>
          <w:tcPr>
            <w:tcW w:w="1191" w:type="dxa"/>
            <w:tcBorders>
              <w:top w:val="single" w:sz="4" w:space="0" w:color="auto"/>
              <w:left w:val="nil"/>
              <w:bottom w:val="single" w:sz="4" w:space="0" w:color="auto"/>
              <w:right w:val="nil"/>
            </w:tcBorders>
            <w:shd w:val="clear" w:color="auto" w:fill="FFFFFF" w:themeFill="background1"/>
            <w:vAlign w:val="center"/>
          </w:tcPr>
          <w:p w14:paraId="0372762C" w14:textId="77777777" w:rsidR="00D04AA1" w:rsidRPr="00EB4495" w:rsidRDefault="00D04AA1" w:rsidP="00F42B07">
            <w:pPr>
              <w:jc w:val="right"/>
              <w:textAlignment w:val="bottom"/>
              <w:rPr>
                <w:rFonts w:ascii="Arial" w:eastAsia="Times New Roman" w:hAnsi="Arial" w:cs="Arial"/>
                <w:b/>
                <w:bCs/>
              </w:rPr>
            </w:pPr>
          </w:p>
        </w:tc>
        <w:tc>
          <w:tcPr>
            <w:tcW w:w="1191" w:type="dxa"/>
            <w:tcBorders>
              <w:top w:val="single" w:sz="4" w:space="0" w:color="auto"/>
              <w:left w:val="nil"/>
              <w:bottom w:val="single" w:sz="4" w:space="0" w:color="auto"/>
              <w:right w:val="nil"/>
            </w:tcBorders>
            <w:shd w:val="clear" w:color="auto" w:fill="FFFFFF" w:themeFill="background1"/>
            <w:vAlign w:val="center"/>
          </w:tcPr>
          <w:p w14:paraId="592C31DA" w14:textId="77777777" w:rsidR="00D04AA1" w:rsidRPr="00EB4495" w:rsidRDefault="00D04AA1" w:rsidP="00F42B07">
            <w:pPr>
              <w:jc w:val="right"/>
              <w:textAlignment w:val="bottom"/>
              <w:rPr>
                <w:rFonts w:ascii="Arial" w:eastAsia="Times New Roman" w:hAnsi="Arial" w:cs="Arial"/>
                <w:b/>
                <w:bCs/>
                <w:color w:val="FF0000"/>
              </w:rPr>
            </w:pPr>
          </w:p>
        </w:tc>
        <w:tc>
          <w:tcPr>
            <w:tcW w:w="1191"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0F81570F" w14:textId="77777777" w:rsidR="00D04AA1" w:rsidRPr="00EB4495" w:rsidRDefault="00D04AA1" w:rsidP="00F42B07">
            <w:pPr>
              <w:jc w:val="right"/>
              <w:textAlignment w:val="bottom"/>
              <w:rPr>
                <w:rFonts w:ascii="Arial" w:eastAsia="Times New Roman" w:hAnsi="Arial" w:cs="Arial"/>
                <w:b/>
                <w:bCs/>
              </w:rPr>
            </w:pPr>
            <w:r w:rsidRPr="00EB4495">
              <w:rPr>
                <w:rFonts w:ascii="Arial" w:hAnsi="Arial" w:cs="Arial"/>
                <w:b/>
                <w:bCs/>
              </w:rPr>
              <w:t>% Total Change</w:t>
            </w:r>
          </w:p>
        </w:tc>
        <w:tc>
          <w:tcPr>
            <w:tcW w:w="1191"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6FF58C46" w14:textId="77777777" w:rsidR="00D04AA1" w:rsidRPr="00EB4495" w:rsidRDefault="00D04AA1" w:rsidP="00F42B07">
            <w:pPr>
              <w:jc w:val="right"/>
              <w:textAlignment w:val="bottom"/>
              <w:rPr>
                <w:rFonts w:ascii="Arial" w:eastAsia="Times New Roman" w:hAnsi="Arial" w:cs="Arial"/>
                <w:b/>
                <w:bCs/>
              </w:rPr>
            </w:pPr>
            <w:r w:rsidRPr="00EB4495">
              <w:rPr>
                <w:rFonts w:ascii="Arial" w:hAnsi="Arial" w:cs="Arial"/>
                <w:b/>
                <w:bCs/>
              </w:rPr>
              <w:t>% Total Change</w:t>
            </w:r>
          </w:p>
        </w:tc>
        <w:tc>
          <w:tcPr>
            <w:tcW w:w="1191" w:type="dxa"/>
            <w:tcBorders>
              <w:top w:val="single" w:sz="4" w:space="0" w:color="auto"/>
              <w:left w:val="nil"/>
              <w:bottom w:val="single" w:sz="4" w:space="0" w:color="auto"/>
              <w:right w:val="nil"/>
            </w:tcBorders>
            <w:shd w:val="clear" w:color="auto" w:fill="FFFFFF" w:themeFill="background1"/>
            <w:vAlign w:val="center"/>
          </w:tcPr>
          <w:p w14:paraId="3A13519E" w14:textId="77777777" w:rsidR="00D04AA1" w:rsidRPr="00EB4495" w:rsidRDefault="00D04AA1" w:rsidP="00F42B07">
            <w:pPr>
              <w:jc w:val="right"/>
              <w:textAlignment w:val="bottom"/>
              <w:rPr>
                <w:rFonts w:ascii="Arial" w:eastAsia="Times New Roman" w:hAnsi="Arial" w:cs="Arial"/>
                <w:b/>
                <w:bCs/>
              </w:rPr>
            </w:pPr>
            <w:r w:rsidRPr="00EB4495">
              <w:rPr>
                <w:rFonts w:ascii="Arial" w:hAnsi="Arial" w:cs="Arial"/>
                <w:b/>
                <w:bCs/>
              </w:rPr>
              <w:t>% LFL Change</w:t>
            </w:r>
          </w:p>
        </w:tc>
      </w:tr>
      <w:tr w:rsidR="00D04AA1" w:rsidRPr="00EB4495" w14:paraId="2F60D1E9" w14:textId="77777777" w:rsidTr="00F42B07">
        <w:trPr>
          <w:trHeight w:val="539"/>
        </w:trPr>
        <w:tc>
          <w:tcPr>
            <w:tcW w:w="3061" w:type="dxa"/>
            <w:tcBorders>
              <w:left w:val="nil"/>
              <w:bottom w:val="single" w:sz="4" w:space="0" w:color="auto"/>
              <w:right w:val="nil"/>
            </w:tcBorders>
            <w:shd w:val="clear" w:color="auto" w:fill="FFFFFF" w:themeFill="background1"/>
            <w:tcMar>
              <w:top w:w="15" w:type="dxa"/>
              <w:left w:w="113" w:type="dxa"/>
              <w:bottom w:w="0" w:type="dxa"/>
              <w:right w:w="15" w:type="dxa"/>
            </w:tcMar>
            <w:vAlign w:val="center"/>
          </w:tcPr>
          <w:p w14:paraId="2AA244C5" w14:textId="77777777" w:rsidR="00D04AA1" w:rsidRPr="00EB4495" w:rsidRDefault="00D04AA1" w:rsidP="00F42B07">
            <w:pPr>
              <w:jc w:val="left"/>
              <w:rPr>
                <w:rFonts w:ascii="Arial" w:eastAsiaTheme="minorEastAsia" w:hAnsi="Arial" w:cs="Arial"/>
                <w:b/>
                <w:bCs/>
                <w:color w:val="000000" w:themeColor="text1"/>
                <w:kern w:val="24"/>
              </w:rPr>
            </w:pPr>
          </w:p>
        </w:tc>
        <w:tc>
          <w:tcPr>
            <w:tcW w:w="737" w:type="dxa"/>
            <w:tcBorders>
              <w:left w:val="nil"/>
              <w:bottom w:val="single" w:sz="4" w:space="0" w:color="auto"/>
              <w:right w:val="nil"/>
            </w:tcBorders>
            <w:shd w:val="clear" w:color="auto" w:fill="FFFFFF" w:themeFill="background1"/>
            <w:tcMar>
              <w:top w:w="15" w:type="dxa"/>
              <w:left w:w="15" w:type="dxa"/>
              <w:bottom w:w="0" w:type="dxa"/>
              <w:right w:w="15" w:type="dxa"/>
            </w:tcMar>
            <w:vAlign w:val="center"/>
          </w:tcPr>
          <w:p w14:paraId="2E350612" w14:textId="77777777" w:rsidR="00D04AA1" w:rsidRPr="00EB4495" w:rsidRDefault="00D04AA1" w:rsidP="00F42B07">
            <w:pPr>
              <w:jc w:val="right"/>
              <w:textAlignment w:val="bottom"/>
              <w:rPr>
                <w:rFonts w:ascii="Arial" w:eastAsia="Times New Roman" w:hAnsi="Arial" w:cs="Arial"/>
                <w:b/>
                <w:bCs/>
              </w:rPr>
            </w:pPr>
          </w:p>
        </w:tc>
        <w:tc>
          <w:tcPr>
            <w:tcW w:w="1191" w:type="dxa"/>
            <w:tcBorders>
              <w:top w:val="single" w:sz="4" w:space="0" w:color="auto"/>
              <w:left w:val="nil"/>
              <w:bottom w:val="single" w:sz="4" w:space="0" w:color="auto"/>
              <w:right w:val="nil"/>
            </w:tcBorders>
            <w:shd w:val="clear" w:color="auto" w:fill="FFFFFF" w:themeFill="background1"/>
            <w:vAlign w:val="center"/>
          </w:tcPr>
          <w:p w14:paraId="4336A579" w14:textId="77777777" w:rsidR="00D04AA1" w:rsidRPr="00EB4495" w:rsidRDefault="00D04AA1" w:rsidP="00F42B07">
            <w:pPr>
              <w:jc w:val="right"/>
              <w:textAlignment w:val="bottom"/>
              <w:rPr>
                <w:rFonts w:ascii="Arial" w:eastAsia="Times New Roman" w:hAnsi="Arial" w:cs="Arial"/>
                <w:b/>
                <w:bCs/>
              </w:rPr>
            </w:pPr>
            <w:r w:rsidRPr="00EB4495">
              <w:rPr>
                <w:rFonts w:ascii="Arial" w:hAnsi="Arial" w:cs="Arial"/>
                <w:b/>
                <w:bCs/>
              </w:rPr>
              <w:t>202</w:t>
            </w:r>
            <w:r>
              <w:rPr>
                <w:rFonts w:ascii="Arial" w:hAnsi="Arial" w:cs="Arial"/>
                <w:b/>
                <w:bCs/>
              </w:rPr>
              <w:t>2</w:t>
            </w:r>
            <w:r w:rsidRPr="00EB4495">
              <w:rPr>
                <w:rFonts w:ascii="Arial" w:hAnsi="Arial" w:cs="Arial"/>
                <w:b/>
                <w:bCs/>
              </w:rPr>
              <w:t>/2</w:t>
            </w:r>
            <w:r>
              <w:rPr>
                <w:rFonts w:ascii="Arial" w:hAnsi="Arial" w:cs="Arial"/>
                <w:b/>
                <w:bCs/>
              </w:rPr>
              <w:t>3</w:t>
            </w:r>
          </w:p>
        </w:tc>
        <w:tc>
          <w:tcPr>
            <w:tcW w:w="1191" w:type="dxa"/>
            <w:tcBorders>
              <w:top w:val="single" w:sz="4" w:space="0" w:color="auto"/>
              <w:left w:val="nil"/>
              <w:bottom w:val="single" w:sz="4" w:space="0" w:color="auto"/>
              <w:right w:val="nil"/>
            </w:tcBorders>
            <w:shd w:val="clear" w:color="auto" w:fill="FFFFFF" w:themeFill="background1"/>
            <w:vAlign w:val="center"/>
          </w:tcPr>
          <w:p w14:paraId="2276F0FF" w14:textId="77777777" w:rsidR="00D04AA1" w:rsidRPr="00EB4495" w:rsidRDefault="00D04AA1" w:rsidP="00F42B07">
            <w:pPr>
              <w:jc w:val="right"/>
              <w:textAlignment w:val="bottom"/>
              <w:rPr>
                <w:rFonts w:ascii="Arial" w:eastAsia="Times New Roman" w:hAnsi="Arial" w:cs="Arial"/>
                <w:b/>
                <w:bCs/>
              </w:rPr>
            </w:pPr>
            <w:r w:rsidRPr="00EB4495">
              <w:rPr>
                <w:rFonts w:ascii="Arial" w:hAnsi="Arial" w:cs="Arial"/>
                <w:b/>
                <w:bCs/>
              </w:rPr>
              <w:t>202</w:t>
            </w:r>
            <w:r>
              <w:rPr>
                <w:rFonts w:ascii="Arial" w:hAnsi="Arial" w:cs="Arial"/>
                <w:b/>
                <w:bCs/>
              </w:rPr>
              <w:t>1</w:t>
            </w:r>
            <w:r w:rsidRPr="00EB4495">
              <w:rPr>
                <w:rFonts w:ascii="Arial" w:hAnsi="Arial" w:cs="Arial"/>
                <w:b/>
                <w:bCs/>
              </w:rPr>
              <w:t>/2</w:t>
            </w:r>
            <w:r>
              <w:rPr>
                <w:rFonts w:ascii="Arial" w:hAnsi="Arial" w:cs="Arial"/>
                <w:b/>
                <w:bCs/>
              </w:rPr>
              <w:t>2</w:t>
            </w:r>
          </w:p>
        </w:tc>
        <w:tc>
          <w:tcPr>
            <w:tcW w:w="1191"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4808188A" w14:textId="77777777" w:rsidR="00D04AA1" w:rsidRPr="00EB4495" w:rsidRDefault="00D04AA1" w:rsidP="00F42B07">
            <w:pPr>
              <w:jc w:val="right"/>
              <w:textAlignment w:val="bottom"/>
              <w:rPr>
                <w:rFonts w:ascii="Arial" w:eastAsia="Times New Roman" w:hAnsi="Arial" w:cs="Arial"/>
                <w:b/>
                <w:bCs/>
              </w:rPr>
            </w:pPr>
            <w:r w:rsidRPr="00EB4495">
              <w:rPr>
                <w:rFonts w:ascii="Arial" w:hAnsi="Arial" w:cs="Arial"/>
                <w:b/>
                <w:bCs/>
              </w:rPr>
              <w:t>Reported</w:t>
            </w:r>
          </w:p>
        </w:tc>
        <w:tc>
          <w:tcPr>
            <w:tcW w:w="1191"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79A23EEB" w14:textId="77777777" w:rsidR="00D04AA1" w:rsidRPr="00EB4495" w:rsidRDefault="00D04AA1" w:rsidP="00F42B07">
            <w:pPr>
              <w:jc w:val="right"/>
              <w:textAlignment w:val="bottom"/>
              <w:rPr>
                <w:rFonts w:ascii="Arial" w:eastAsia="Times New Roman" w:hAnsi="Arial" w:cs="Arial"/>
                <w:b/>
                <w:bCs/>
              </w:rPr>
            </w:pPr>
            <w:r w:rsidRPr="00EB4495">
              <w:rPr>
                <w:rFonts w:ascii="Arial" w:hAnsi="Arial" w:cs="Arial"/>
                <w:b/>
                <w:bCs/>
              </w:rPr>
              <w:t>Constant currency</w:t>
            </w:r>
          </w:p>
        </w:tc>
        <w:tc>
          <w:tcPr>
            <w:tcW w:w="1191" w:type="dxa"/>
            <w:tcBorders>
              <w:top w:val="single" w:sz="4" w:space="0" w:color="auto"/>
              <w:left w:val="nil"/>
              <w:bottom w:val="single" w:sz="4" w:space="0" w:color="auto"/>
              <w:right w:val="nil"/>
            </w:tcBorders>
            <w:shd w:val="clear" w:color="auto" w:fill="FFFFFF" w:themeFill="background1"/>
            <w:vAlign w:val="center"/>
          </w:tcPr>
          <w:p w14:paraId="6054C6F0" w14:textId="77777777" w:rsidR="00D04AA1" w:rsidRPr="00EB4495" w:rsidRDefault="00D04AA1" w:rsidP="00F42B07">
            <w:pPr>
              <w:jc w:val="right"/>
              <w:textAlignment w:val="bottom"/>
              <w:rPr>
                <w:rFonts w:ascii="Arial" w:eastAsia="Times New Roman" w:hAnsi="Arial" w:cs="Arial"/>
                <w:b/>
                <w:bCs/>
              </w:rPr>
            </w:pPr>
            <w:r w:rsidRPr="00EB4495">
              <w:rPr>
                <w:rFonts w:ascii="Arial" w:hAnsi="Arial" w:cs="Arial"/>
                <w:b/>
                <w:bCs/>
              </w:rPr>
              <w:t>Constant currency</w:t>
            </w:r>
          </w:p>
        </w:tc>
      </w:tr>
      <w:tr w:rsidR="00E04EA7" w:rsidRPr="00EB4495" w14:paraId="18F204E2" w14:textId="77777777" w:rsidTr="00F42B07">
        <w:trPr>
          <w:trHeight w:val="255"/>
        </w:trPr>
        <w:tc>
          <w:tcPr>
            <w:tcW w:w="3061" w:type="dxa"/>
            <w:tcBorders>
              <w:top w:val="single" w:sz="4" w:space="0" w:color="auto"/>
              <w:left w:val="nil"/>
              <w:right w:val="nil"/>
            </w:tcBorders>
            <w:shd w:val="clear" w:color="auto" w:fill="FFFFFF" w:themeFill="background1"/>
            <w:tcMar>
              <w:top w:w="15" w:type="dxa"/>
              <w:left w:w="113" w:type="dxa"/>
              <w:bottom w:w="0" w:type="dxa"/>
              <w:right w:w="15" w:type="dxa"/>
            </w:tcMar>
            <w:vAlign w:val="center"/>
          </w:tcPr>
          <w:p w14:paraId="3061A0A0" w14:textId="77777777" w:rsidR="00E04EA7" w:rsidRPr="00EB4495" w:rsidRDefault="00E04EA7" w:rsidP="00E04EA7">
            <w:pPr>
              <w:jc w:val="left"/>
              <w:rPr>
                <w:rFonts w:ascii="Arial" w:eastAsiaTheme="minorEastAsia" w:hAnsi="Arial" w:cs="Arial"/>
                <w:b/>
                <w:bCs/>
                <w:color w:val="000000" w:themeColor="text1"/>
                <w:kern w:val="24"/>
              </w:rPr>
            </w:pPr>
            <w:r w:rsidRPr="00EB4495">
              <w:rPr>
                <w:rFonts w:ascii="Arial" w:eastAsiaTheme="minorEastAsia" w:hAnsi="Arial" w:cs="Arial"/>
                <w:b/>
                <w:bCs/>
                <w:color w:val="000000" w:themeColor="text1"/>
                <w:kern w:val="24"/>
              </w:rPr>
              <w:t xml:space="preserve">Sales </w:t>
            </w:r>
          </w:p>
        </w:tc>
        <w:tc>
          <w:tcPr>
            <w:tcW w:w="737"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2C5BF0D2" w14:textId="77777777" w:rsidR="00E04EA7" w:rsidRPr="00EB4495" w:rsidRDefault="00E04EA7" w:rsidP="00E04EA7">
            <w:pPr>
              <w:jc w:val="left"/>
              <w:textAlignment w:val="bottom"/>
              <w:rPr>
                <w:rFonts w:ascii="Arial" w:eastAsia="Times New Roman" w:hAnsi="Arial" w:cs="Arial"/>
                <w:b/>
                <w:bCs/>
              </w:rPr>
            </w:pPr>
          </w:p>
        </w:tc>
        <w:tc>
          <w:tcPr>
            <w:tcW w:w="1191" w:type="dxa"/>
            <w:tcBorders>
              <w:top w:val="single" w:sz="4" w:space="0" w:color="auto"/>
              <w:left w:val="nil"/>
              <w:right w:val="nil"/>
            </w:tcBorders>
            <w:shd w:val="clear" w:color="auto" w:fill="FFFFFF" w:themeFill="background1"/>
            <w:vAlign w:val="center"/>
          </w:tcPr>
          <w:p w14:paraId="5E3261D5" w14:textId="79449C76" w:rsidR="00E04EA7" w:rsidRPr="0028727A" w:rsidRDefault="00A41DED" w:rsidP="00E04EA7">
            <w:pPr>
              <w:jc w:val="right"/>
              <w:textAlignment w:val="bottom"/>
              <w:rPr>
                <w:rFonts w:ascii="Arial" w:eastAsia="Times New Roman" w:hAnsi="Arial" w:cs="Arial"/>
                <w:b/>
                <w:bCs/>
              </w:rPr>
            </w:pPr>
            <w:r w:rsidRPr="0028727A">
              <w:rPr>
                <w:rFonts w:ascii="Arial" w:eastAsia="Times New Roman" w:hAnsi="Arial" w:cs="Arial"/>
                <w:b/>
                <w:bCs/>
              </w:rPr>
              <w:t>13</w:t>
            </w:r>
            <w:r w:rsidR="00E04EA7" w:rsidRPr="0028727A">
              <w:rPr>
                <w:rFonts w:ascii="Arial" w:eastAsia="Times New Roman" w:hAnsi="Arial" w:cs="Arial"/>
                <w:b/>
                <w:bCs/>
              </w:rPr>
              <w:t>,</w:t>
            </w:r>
            <w:r w:rsidRPr="0028727A">
              <w:rPr>
                <w:rFonts w:ascii="Arial" w:eastAsia="Times New Roman" w:hAnsi="Arial" w:cs="Arial"/>
                <w:b/>
                <w:bCs/>
              </w:rPr>
              <w:t>059</w:t>
            </w:r>
          </w:p>
        </w:tc>
        <w:tc>
          <w:tcPr>
            <w:tcW w:w="1191" w:type="dxa"/>
            <w:tcBorders>
              <w:top w:val="single" w:sz="4" w:space="0" w:color="auto"/>
              <w:left w:val="nil"/>
              <w:right w:val="nil"/>
            </w:tcBorders>
            <w:shd w:val="clear" w:color="auto" w:fill="FFFFFF" w:themeFill="background1"/>
            <w:vAlign w:val="center"/>
          </w:tcPr>
          <w:p w14:paraId="4DE01566" w14:textId="58335A2B" w:rsidR="00E04EA7" w:rsidRPr="0028727A" w:rsidRDefault="00E04EA7" w:rsidP="00E04EA7">
            <w:pPr>
              <w:jc w:val="right"/>
              <w:textAlignment w:val="bottom"/>
              <w:rPr>
                <w:rFonts w:ascii="Arial" w:eastAsia="Times New Roman" w:hAnsi="Arial" w:cs="Arial"/>
                <w:b/>
                <w:bCs/>
              </w:rPr>
            </w:pPr>
            <w:r w:rsidRPr="0028727A">
              <w:rPr>
                <w:rFonts w:ascii="Arial" w:eastAsia="Times New Roman" w:hAnsi="Arial" w:cs="Arial"/>
                <w:b/>
                <w:bCs/>
              </w:rPr>
              <w:t>13,183</w:t>
            </w:r>
          </w:p>
        </w:tc>
        <w:tc>
          <w:tcPr>
            <w:tcW w:w="1191" w:type="dxa"/>
            <w:tcBorders>
              <w:top w:val="single" w:sz="4" w:space="0" w:color="auto"/>
              <w:left w:val="nil"/>
              <w:right w:val="nil"/>
            </w:tcBorders>
            <w:shd w:val="clear" w:color="auto" w:fill="FFFFFF" w:themeFill="background1"/>
            <w:tcMar>
              <w:top w:w="15" w:type="dxa"/>
              <w:left w:w="15" w:type="dxa"/>
              <w:bottom w:w="0" w:type="dxa"/>
              <w:right w:w="15" w:type="dxa"/>
            </w:tcMar>
          </w:tcPr>
          <w:p w14:paraId="28A1CEE9" w14:textId="451714D6" w:rsidR="00E04EA7" w:rsidRPr="0028727A" w:rsidRDefault="00E04EA7" w:rsidP="00E04EA7">
            <w:pPr>
              <w:jc w:val="right"/>
              <w:textAlignment w:val="bottom"/>
              <w:rPr>
                <w:rFonts w:ascii="Arial" w:eastAsia="Times New Roman" w:hAnsi="Arial" w:cs="Arial"/>
                <w:b/>
                <w:bCs/>
              </w:rPr>
            </w:pPr>
            <w:r w:rsidRPr="0028727A">
              <w:rPr>
                <w:rFonts w:ascii="Arial" w:hAnsi="Arial" w:cs="Arial"/>
              </w:rPr>
              <w:t>(</w:t>
            </w:r>
            <w:r w:rsidR="005A041B" w:rsidRPr="0028727A">
              <w:rPr>
                <w:rFonts w:ascii="Arial" w:hAnsi="Arial" w:cs="Arial"/>
              </w:rPr>
              <w:t>0.9</w:t>
            </w:r>
            <w:r w:rsidRPr="0028727A">
              <w:rPr>
                <w:rFonts w:ascii="Arial" w:hAnsi="Arial" w:cs="Arial"/>
              </w:rPr>
              <w:t>)%</w:t>
            </w:r>
          </w:p>
        </w:tc>
        <w:tc>
          <w:tcPr>
            <w:tcW w:w="1191" w:type="dxa"/>
            <w:tcBorders>
              <w:top w:val="single" w:sz="4" w:space="0" w:color="auto"/>
              <w:left w:val="nil"/>
              <w:right w:val="nil"/>
            </w:tcBorders>
            <w:shd w:val="clear" w:color="auto" w:fill="FFFFFF" w:themeFill="background1"/>
            <w:tcMar>
              <w:top w:w="15" w:type="dxa"/>
              <w:left w:w="15" w:type="dxa"/>
              <w:bottom w:w="0" w:type="dxa"/>
              <w:right w:w="15" w:type="dxa"/>
            </w:tcMar>
          </w:tcPr>
          <w:p w14:paraId="628B86DA" w14:textId="21874131" w:rsidR="00E04EA7" w:rsidRPr="0028727A" w:rsidRDefault="00E04EA7" w:rsidP="00E04EA7">
            <w:pPr>
              <w:jc w:val="right"/>
              <w:textAlignment w:val="bottom"/>
              <w:rPr>
                <w:rFonts w:ascii="Arial" w:eastAsia="Times New Roman" w:hAnsi="Arial" w:cs="Arial"/>
                <w:b/>
                <w:bCs/>
              </w:rPr>
            </w:pPr>
            <w:r w:rsidRPr="0028727A">
              <w:rPr>
                <w:rFonts w:ascii="Arial" w:hAnsi="Arial" w:cs="Arial"/>
              </w:rPr>
              <w:t>(</w:t>
            </w:r>
            <w:r w:rsidR="005A041B" w:rsidRPr="0028727A">
              <w:rPr>
                <w:rFonts w:ascii="Arial" w:hAnsi="Arial" w:cs="Arial"/>
              </w:rPr>
              <w:t>0.7</w:t>
            </w:r>
            <w:r w:rsidRPr="0028727A">
              <w:rPr>
                <w:rFonts w:ascii="Arial" w:hAnsi="Arial" w:cs="Arial"/>
              </w:rPr>
              <w:t>)%</w:t>
            </w:r>
          </w:p>
        </w:tc>
        <w:tc>
          <w:tcPr>
            <w:tcW w:w="1191" w:type="dxa"/>
            <w:tcBorders>
              <w:top w:val="single" w:sz="4" w:space="0" w:color="auto"/>
              <w:left w:val="nil"/>
              <w:right w:val="nil"/>
            </w:tcBorders>
            <w:shd w:val="clear" w:color="auto" w:fill="FFFFFF" w:themeFill="background1"/>
            <w:vAlign w:val="center"/>
          </w:tcPr>
          <w:p w14:paraId="1DC13A9B" w14:textId="5CDCBA68" w:rsidR="00E04EA7" w:rsidRPr="0028727A" w:rsidRDefault="00E04EA7" w:rsidP="00E04EA7">
            <w:pPr>
              <w:jc w:val="right"/>
              <w:textAlignment w:val="bottom"/>
              <w:rPr>
                <w:rFonts w:ascii="Arial" w:eastAsia="Times New Roman" w:hAnsi="Arial" w:cs="Arial"/>
                <w:b/>
                <w:bCs/>
              </w:rPr>
            </w:pPr>
            <w:r w:rsidRPr="0028727A">
              <w:rPr>
                <w:rFonts w:ascii="Arial" w:hAnsi="Arial" w:cs="Arial"/>
              </w:rPr>
              <w:t>(</w:t>
            </w:r>
            <w:r w:rsidR="005A041B" w:rsidRPr="0028727A">
              <w:rPr>
                <w:rFonts w:ascii="Arial" w:hAnsi="Arial" w:cs="Arial"/>
              </w:rPr>
              <w:t>2</w:t>
            </w:r>
            <w:r w:rsidRPr="0028727A">
              <w:rPr>
                <w:rFonts w:ascii="Arial" w:hAnsi="Arial" w:cs="Arial"/>
              </w:rPr>
              <w:t>.1)%</w:t>
            </w:r>
          </w:p>
        </w:tc>
      </w:tr>
      <w:tr w:rsidR="00E04EA7" w:rsidRPr="00EB4495" w14:paraId="490D4098" w14:textId="77777777" w:rsidTr="00F42B07">
        <w:trPr>
          <w:trHeight w:val="255"/>
        </w:trPr>
        <w:tc>
          <w:tcPr>
            <w:tcW w:w="3061" w:type="dxa"/>
            <w:tcBorders>
              <w:left w:val="nil"/>
              <w:right w:val="nil"/>
            </w:tcBorders>
            <w:shd w:val="clear" w:color="auto" w:fill="FFFFFF" w:themeFill="background1"/>
            <w:tcMar>
              <w:top w:w="15" w:type="dxa"/>
              <w:left w:w="113" w:type="dxa"/>
              <w:bottom w:w="0" w:type="dxa"/>
              <w:right w:w="15" w:type="dxa"/>
            </w:tcMar>
            <w:vAlign w:val="center"/>
          </w:tcPr>
          <w:p w14:paraId="17B20AE6" w14:textId="77777777" w:rsidR="00E04EA7" w:rsidRPr="00EB4495" w:rsidRDefault="00E04EA7" w:rsidP="00E04EA7">
            <w:pPr>
              <w:jc w:val="left"/>
              <w:rPr>
                <w:rFonts w:ascii="Arial" w:eastAsiaTheme="minorEastAsia" w:hAnsi="Arial" w:cs="Arial"/>
                <w:b/>
                <w:bCs/>
                <w:color w:val="000000" w:themeColor="text1"/>
                <w:kern w:val="24"/>
              </w:rPr>
            </w:pPr>
            <w:r w:rsidRPr="00EB4495">
              <w:rPr>
                <w:rFonts w:ascii="Arial" w:eastAsiaTheme="minorEastAsia" w:hAnsi="Arial" w:cs="Arial"/>
                <w:b/>
                <w:bCs/>
                <w:color w:val="000000" w:themeColor="text1"/>
                <w:kern w:val="24"/>
              </w:rPr>
              <w:t>Gross profit</w:t>
            </w:r>
          </w:p>
        </w:tc>
        <w:tc>
          <w:tcPr>
            <w:tcW w:w="737" w:type="dxa"/>
            <w:tcBorders>
              <w:left w:val="nil"/>
              <w:right w:val="nil"/>
            </w:tcBorders>
            <w:shd w:val="clear" w:color="auto" w:fill="FFFFFF" w:themeFill="background1"/>
            <w:tcMar>
              <w:top w:w="15" w:type="dxa"/>
              <w:left w:w="15" w:type="dxa"/>
              <w:bottom w:w="0" w:type="dxa"/>
              <w:right w:w="15" w:type="dxa"/>
            </w:tcMar>
            <w:vAlign w:val="center"/>
          </w:tcPr>
          <w:p w14:paraId="2458E742" w14:textId="77777777" w:rsidR="00E04EA7" w:rsidRPr="00EB4495" w:rsidRDefault="00E04EA7" w:rsidP="00E04EA7">
            <w:pPr>
              <w:jc w:val="left"/>
              <w:textAlignment w:val="bottom"/>
              <w:rPr>
                <w:rFonts w:ascii="Arial" w:eastAsia="Times New Roman" w:hAnsi="Arial" w:cs="Arial"/>
                <w:b/>
                <w:bCs/>
              </w:rPr>
            </w:pPr>
          </w:p>
        </w:tc>
        <w:tc>
          <w:tcPr>
            <w:tcW w:w="1191" w:type="dxa"/>
            <w:tcBorders>
              <w:left w:val="nil"/>
              <w:right w:val="nil"/>
            </w:tcBorders>
            <w:shd w:val="clear" w:color="auto" w:fill="FFFFFF" w:themeFill="background1"/>
            <w:vAlign w:val="center"/>
          </w:tcPr>
          <w:p w14:paraId="01AC9051" w14:textId="402D067F" w:rsidR="00E04EA7" w:rsidRPr="00F40106" w:rsidRDefault="003473CB" w:rsidP="00E04EA7">
            <w:pPr>
              <w:jc w:val="right"/>
              <w:textAlignment w:val="bottom"/>
              <w:rPr>
                <w:rFonts w:ascii="Arial" w:eastAsia="Times New Roman" w:hAnsi="Arial" w:cs="Arial"/>
                <w:b/>
                <w:bCs/>
              </w:rPr>
            </w:pPr>
            <w:r w:rsidRPr="00F40106">
              <w:rPr>
                <w:rFonts w:ascii="Arial" w:hAnsi="Arial" w:cs="Arial"/>
                <w:b/>
                <w:bCs/>
              </w:rPr>
              <w:t>4,795</w:t>
            </w:r>
          </w:p>
        </w:tc>
        <w:tc>
          <w:tcPr>
            <w:tcW w:w="1191" w:type="dxa"/>
            <w:tcBorders>
              <w:left w:val="nil"/>
              <w:right w:val="nil"/>
            </w:tcBorders>
            <w:shd w:val="clear" w:color="auto" w:fill="FFFFFF" w:themeFill="background1"/>
            <w:vAlign w:val="center"/>
          </w:tcPr>
          <w:p w14:paraId="542935E3" w14:textId="55DA3129" w:rsidR="00E04EA7" w:rsidRPr="0028727A" w:rsidRDefault="00E04EA7" w:rsidP="00E04EA7">
            <w:pPr>
              <w:jc w:val="right"/>
              <w:textAlignment w:val="bottom"/>
              <w:rPr>
                <w:rFonts w:ascii="Arial" w:eastAsia="Times New Roman" w:hAnsi="Arial" w:cs="Arial"/>
                <w:b/>
                <w:bCs/>
              </w:rPr>
            </w:pPr>
            <w:r w:rsidRPr="0028727A">
              <w:rPr>
                <w:rFonts w:ascii="Arial" w:hAnsi="Arial" w:cs="Arial"/>
                <w:b/>
                <w:bCs/>
              </w:rPr>
              <w:t>4,935</w:t>
            </w:r>
          </w:p>
        </w:tc>
        <w:tc>
          <w:tcPr>
            <w:tcW w:w="1191" w:type="dxa"/>
            <w:tcBorders>
              <w:left w:val="nil"/>
              <w:right w:val="nil"/>
            </w:tcBorders>
            <w:shd w:val="clear" w:color="auto" w:fill="FFFFFF" w:themeFill="background1"/>
            <w:tcMar>
              <w:top w:w="15" w:type="dxa"/>
              <w:left w:w="15" w:type="dxa"/>
              <w:bottom w:w="0" w:type="dxa"/>
              <w:right w:w="15" w:type="dxa"/>
            </w:tcMar>
          </w:tcPr>
          <w:p w14:paraId="4C0523BA" w14:textId="1E60B2DF" w:rsidR="00E04EA7" w:rsidRPr="0028727A" w:rsidRDefault="00E04EA7" w:rsidP="00E04EA7">
            <w:pPr>
              <w:jc w:val="right"/>
              <w:textAlignment w:val="bottom"/>
              <w:rPr>
                <w:rFonts w:ascii="Arial" w:eastAsia="Times New Roman" w:hAnsi="Arial" w:cs="Arial"/>
                <w:b/>
                <w:bCs/>
              </w:rPr>
            </w:pPr>
            <w:r w:rsidRPr="0028727A">
              <w:rPr>
                <w:rFonts w:ascii="Arial" w:hAnsi="Arial" w:cs="Arial"/>
              </w:rPr>
              <w:t>(</w:t>
            </w:r>
            <w:r w:rsidR="00DC1AA7" w:rsidRPr="0028727A">
              <w:rPr>
                <w:rFonts w:ascii="Arial" w:hAnsi="Arial" w:cs="Arial"/>
              </w:rPr>
              <w:t>2.8</w:t>
            </w:r>
            <w:r w:rsidRPr="0028727A">
              <w:rPr>
                <w:rFonts w:ascii="Arial" w:hAnsi="Arial" w:cs="Arial"/>
              </w:rPr>
              <w:t>)%</w:t>
            </w:r>
          </w:p>
        </w:tc>
        <w:tc>
          <w:tcPr>
            <w:tcW w:w="1191" w:type="dxa"/>
            <w:tcBorders>
              <w:left w:val="nil"/>
              <w:right w:val="nil"/>
            </w:tcBorders>
            <w:shd w:val="clear" w:color="auto" w:fill="FFFFFF" w:themeFill="background1"/>
            <w:tcMar>
              <w:top w:w="15" w:type="dxa"/>
              <w:left w:w="15" w:type="dxa"/>
              <w:bottom w:w="0" w:type="dxa"/>
              <w:right w:w="15" w:type="dxa"/>
            </w:tcMar>
          </w:tcPr>
          <w:p w14:paraId="7C387461" w14:textId="77E23CDE" w:rsidR="00E04EA7" w:rsidRPr="0028727A" w:rsidRDefault="00E04EA7" w:rsidP="00E04EA7">
            <w:pPr>
              <w:jc w:val="right"/>
              <w:textAlignment w:val="bottom"/>
              <w:rPr>
                <w:rFonts w:ascii="Arial" w:eastAsia="Times New Roman" w:hAnsi="Arial" w:cs="Arial"/>
                <w:b/>
                <w:bCs/>
              </w:rPr>
            </w:pPr>
            <w:r w:rsidRPr="0028727A">
              <w:rPr>
                <w:rFonts w:ascii="Arial" w:hAnsi="Arial" w:cs="Arial"/>
              </w:rPr>
              <w:t>(</w:t>
            </w:r>
            <w:r w:rsidR="00DC1AA7" w:rsidRPr="0028727A">
              <w:rPr>
                <w:rFonts w:ascii="Arial" w:hAnsi="Arial" w:cs="Arial"/>
              </w:rPr>
              <w:t>2.6</w:t>
            </w:r>
            <w:r w:rsidRPr="0028727A">
              <w:rPr>
                <w:rFonts w:ascii="Arial" w:hAnsi="Arial" w:cs="Arial"/>
              </w:rPr>
              <w:t>)%</w:t>
            </w:r>
          </w:p>
        </w:tc>
        <w:tc>
          <w:tcPr>
            <w:tcW w:w="1191" w:type="dxa"/>
            <w:tcBorders>
              <w:left w:val="nil"/>
              <w:right w:val="nil"/>
            </w:tcBorders>
            <w:shd w:val="clear" w:color="auto" w:fill="FFFFFF" w:themeFill="background1"/>
            <w:vAlign w:val="center"/>
          </w:tcPr>
          <w:p w14:paraId="1CD596F7" w14:textId="77777777" w:rsidR="00E04EA7" w:rsidRPr="0028727A" w:rsidRDefault="00E04EA7" w:rsidP="00E04EA7">
            <w:pPr>
              <w:jc w:val="right"/>
              <w:textAlignment w:val="bottom"/>
              <w:rPr>
                <w:rFonts w:ascii="Arial" w:eastAsia="Times New Roman" w:hAnsi="Arial" w:cs="Arial"/>
                <w:b/>
                <w:bCs/>
              </w:rPr>
            </w:pPr>
          </w:p>
        </w:tc>
      </w:tr>
      <w:tr w:rsidR="00E04EA7" w:rsidRPr="00EB4495" w14:paraId="65D36406" w14:textId="77777777" w:rsidTr="00F42B07">
        <w:trPr>
          <w:trHeight w:val="255"/>
        </w:trPr>
        <w:tc>
          <w:tcPr>
            <w:tcW w:w="3061" w:type="dxa"/>
            <w:tcBorders>
              <w:left w:val="nil"/>
              <w:right w:val="nil"/>
            </w:tcBorders>
            <w:shd w:val="clear" w:color="auto" w:fill="FFFFFF" w:themeFill="background1"/>
            <w:tcMar>
              <w:top w:w="15" w:type="dxa"/>
              <w:left w:w="113" w:type="dxa"/>
              <w:bottom w:w="0" w:type="dxa"/>
              <w:right w:w="15" w:type="dxa"/>
            </w:tcMar>
            <w:vAlign w:val="center"/>
          </w:tcPr>
          <w:p w14:paraId="1C73F045" w14:textId="77777777" w:rsidR="00E04EA7" w:rsidRPr="00EB4495" w:rsidRDefault="00E04EA7" w:rsidP="00E04EA7">
            <w:pPr>
              <w:jc w:val="left"/>
              <w:rPr>
                <w:rFonts w:ascii="Arial" w:eastAsiaTheme="minorEastAsia" w:hAnsi="Arial" w:cs="Arial"/>
                <w:color w:val="000000" w:themeColor="text1"/>
                <w:kern w:val="24"/>
                <w:u w:val="single"/>
              </w:rPr>
            </w:pPr>
            <w:r w:rsidRPr="00EB4495">
              <w:rPr>
                <w:rFonts w:ascii="Arial" w:eastAsiaTheme="minorEastAsia" w:hAnsi="Arial" w:cs="Arial"/>
                <w:color w:val="000000" w:themeColor="text1"/>
                <w:kern w:val="24"/>
                <w:u w:val="single"/>
              </w:rPr>
              <w:t>Retail profit:</w:t>
            </w:r>
          </w:p>
        </w:tc>
        <w:tc>
          <w:tcPr>
            <w:tcW w:w="737" w:type="dxa"/>
            <w:tcBorders>
              <w:left w:val="nil"/>
              <w:right w:val="nil"/>
            </w:tcBorders>
            <w:shd w:val="clear" w:color="auto" w:fill="FFFFFF" w:themeFill="background1"/>
            <w:tcMar>
              <w:top w:w="15" w:type="dxa"/>
              <w:left w:w="15" w:type="dxa"/>
              <w:bottom w:w="0" w:type="dxa"/>
              <w:right w:w="15" w:type="dxa"/>
            </w:tcMar>
            <w:vAlign w:val="center"/>
          </w:tcPr>
          <w:p w14:paraId="26D553DF" w14:textId="77777777" w:rsidR="00E04EA7" w:rsidRPr="00EB4495" w:rsidRDefault="00E04EA7" w:rsidP="00E04EA7">
            <w:pPr>
              <w:jc w:val="left"/>
              <w:textAlignment w:val="bottom"/>
              <w:rPr>
                <w:rFonts w:ascii="Arial" w:eastAsia="Times New Roman" w:hAnsi="Arial" w:cs="Arial"/>
                <w:b/>
                <w:bCs/>
              </w:rPr>
            </w:pPr>
          </w:p>
        </w:tc>
        <w:tc>
          <w:tcPr>
            <w:tcW w:w="1191" w:type="dxa"/>
            <w:tcBorders>
              <w:left w:val="nil"/>
              <w:right w:val="nil"/>
            </w:tcBorders>
            <w:shd w:val="clear" w:color="auto" w:fill="FFFFFF" w:themeFill="background1"/>
            <w:vAlign w:val="center"/>
          </w:tcPr>
          <w:p w14:paraId="60FF4C74" w14:textId="77777777" w:rsidR="00E04EA7" w:rsidRPr="00F40106" w:rsidRDefault="00E04EA7" w:rsidP="00E04EA7">
            <w:pPr>
              <w:jc w:val="right"/>
              <w:textAlignment w:val="bottom"/>
              <w:rPr>
                <w:rFonts w:ascii="Arial" w:eastAsia="Times New Roman" w:hAnsi="Arial" w:cs="Arial"/>
                <w:b/>
                <w:bCs/>
              </w:rPr>
            </w:pPr>
          </w:p>
        </w:tc>
        <w:tc>
          <w:tcPr>
            <w:tcW w:w="1191" w:type="dxa"/>
            <w:tcBorders>
              <w:left w:val="nil"/>
              <w:right w:val="nil"/>
            </w:tcBorders>
            <w:shd w:val="clear" w:color="auto" w:fill="FFFFFF" w:themeFill="background1"/>
            <w:vAlign w:val="center"/>
          </w:tcPr>
          <w:p w14:paraId="3D24F20E" w14:textId="77777777" w:rsidR="00E04EA7" w:rsidRPr="0028727A" w:rsidRDefault="00E04EA7" w:rsidP="00E04EA7">
            <w:pPr>
              <w:jc w:val="right"/>
              <w:textAlignment w:val="bottom"/>
              <w:rPr>
                <w:rFonts w:ascii="Arial" w:eastAsia="Times New Roman" w:hAnsi="Arial" w:cs="Arial"/>
                <w:b/>
                <w:bCs/>
              </w:rPr>
            </w:pP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4D66DCD9" w14:textId="77777777" w:rsidR="00E04EA7" w:rsidRPr="0028727A" w:rsidRDefault="00E04EA7" w:rsidP="00E04EA7">
            <w:pPr>
              <w:jc w:val="right"/>
              <w:textAlignment w:val="bottom"/>
              <w:rPr>
                <w:rFonts w:ascii="Arial" w:eastAsia="Times New Roman" w:hAnsi="Arial" w:cs="Arial"/>
                <w:b/>
                <w:bCs/>
              </w:rPr>
            </w:pP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7E3361E5" w14:textId="77777777" w:rsidR="00E04EA7" w:rsidRPr="0028727A" w:rsidRDefault="00E04EA7" w:rsidP="00E04EA7">
            <w:pPr>
              <w:jc w:val="right"/>
              <w:textAlignment w:val="bottom"/>
              <w:rPr>
                <w:rFonts w:ascii="Arial" w:eastAsia="Times New Roman" w:hAnsi="Arial" w:cs="Arial"/>
                <w:b/>
                <w:bCs/>
              </w:rPr>
            </w:pPr>
          </w:p>
        </w:tc>
        <w:tc>
          <w:tcPr>
            <w:tcW w:w="1191" w:type="dxa"/>
            <w:tcBorders>
              <w:left w:val="nil"/>
              <w:right w:val="nil"/>
            </w:tcBorders>
            <w:shd w:val="clear" w:color="auto" w:fill="FFFFFF" w:themeFill="background1"/>
            <w:vAlign w:val="center"/>
          </w:tcPr>
          <w:p w14:paraId="143F9211" w14:textId="77777777" w:rsidR="00E04EA7" w:rsidRPr="0028727A" w:rsidRDefault="00E04EA7" w:rsidP="00E04EA7">
            <w:pPr>
              <w:jc w:val="right"/>
              <w:textAlignment w:val="bottom"/>
              <w:rPr>
                <w:rFonts w:ascii="Arial" w:eastAsia="Times New Roman" w:hAnsi="Arial" w:cs="Arial"/>
                <w:b/>
                <w:bCs/>
              </w:rPr>
            </w:pPr>
          </w:p>
        </w:tc>
      </w:tr>
      <w:tr w:rsidR="00E04EA7" w:rsidRPr="00EB4495" w14:paraId="5A423A31" w14:textId="77777777" w:rsidTr="00F42B07">
        <w:trPr>
          <w:trHeight w:val="255"/>
        </w:trPr>
        <w:tc>
          <w:tcPr>
            <w:tcW w:w="3061" w:type="dxa"/>
            <w:tcBorders>
              <w:right w:val="nil"/>
            </w:tcBorders>
            <w:shd w:val="clear" w:color="auto" w:fill="FFFFFF" w:themeFill="background1"/>
            <w:tcMar>
              <w:top w:w="15" w:type="dxa"/>
              <w:left w:w="113" w:type="dxa"/>
              <w:bottom w:w="0" w:type="dxa"/>
              <w:right w:w="15" w:type="dxa"/>
            </w:tcMar>
            <w:vAlign w:val="center"/>
          </w:tcPr>
          <w:p w14:paraId="79B12FD0" w14:textId="77777777" w:rsidR="00E04EA7" w:rsidRPr="00EB4495" w:rsidRDefault="00E04EA7" w:rsidP="00E04EA7">
            <w:pPr>
              <w:jc w:val="left"/>
              <w:rPr>
                <w:rFonts w:ascii="Arial" w:eastAsiaTheme="minorEastAsia" w:hAnsi="Arial" w:cs="Arial"/>
                <w:b/>
                <w:bCs/>
                <w:color w:val="000000" w:themeColor="text1"/>
                <w:kern w:val="24"/>
              </w:rPr>
            </w:pPr>
            <w:r w:rsidRPr="00EB4495">
              <w:rPr>
                <w:rFonts w:ascii="Arial" w:eastAsiaTheme="minorEastAsia" w:hAnsi="Arial" w:cs="Arial"/>
                <w:b/>
                <w:bCs/>
                <w:color w:val="000000" w:themeColor="text1"/>
                <w:kern w:val="24"/>
              </w:rPr>
              <w:t xml:space="preserve">UK &amp; Ireland </w:t>
            </w:r>
          </w:p>
        </w:tc>
        <w:tc>
          <w:tcPr>
            <w:tcW w:w="737" w:type="dxa"/>
            <w:tcBorders>
              <w:left w:val="nil"/>
              <w:right w:val="nil"/>
            </w:tcBorders>
            <w:shd w:val="clear" w:color="auto" w:fill="FFFFFF" w:themeFill="background1"/>
            <w:tcMar>
              <w:top w:w="15" w:type="dxa"/>
              <w:left w:w="15" w:type="dxa"/>
              <w:bottom w:w="0" w:type="dxa"/>
              <w:right w:w="15" w:type="dxa"/>
            </w:tcMar>
            <w:vAlign w:val="center"/>
          </w:tcPr>
          <w:p w14:paraId="1D844583" w14:textId="77777777" w:rsidR="00E04EA7" w:rsidRPr="00EB4495" w:rsidRDefault="00E04EA7" w:rsidP="00E04EA7">
            <w:pPr>
              <w:jc w:val="left"/>
              <w:textAlignment w:val="bottom"/>
              <w:rPr>
                <w:rFonts w:ascii="Arial" w:eastAsia="Times New Roman" w:hAnsi="Arial" w:cs="Arial"/>
                <w:b/>
                <w:bCs/>
              </w:rPr>
            </w:pPr>
          </w:p>
        </w:tc>
        <w:tc>
          <w:tcPr>
            <w:tcW w:w="1191" w:type="dxa"/>
            <w:tcBorders>
              <w:left w:val="nil"/>
              <w:right w:val="nil"/>
            </w:tcBorders>
            <w:shd w:val="clear" w:color="auto" w:fill="FFFFFF" w:themeFill="background1"/>
            <w:vAlign w:val="center"/>
          </w:tcPr>
          <w:p w14:paraId="766B6B4F" w14:textId="44B98BD6" w:rsidR="00E04EA7" w:rsidRPr="00F40106" w:rsidRDefault="009226F9" w:rsidP="00E04EA7">
            <w:pPr>
              <w:jc w:val="right"/>
              <w:textAlignment w:val="bottom"/>
              <w:rPr>
                <w:rFonts w:ascii="Arial" w:eastAsia="Times New Roman" w:hAnsi="Arial" w:cs="Arial"/>
                <w:b/>
                <w:bCs/>
              </w:rPr>
            </w:pPr>
            <w:r w:rsidRPr="00F40106">
              <w:rPr>
                <w:rFonts w:ascii="Arial" w:eastAsia="Times New Roman" w:hAnsi="Arial" w:cs="Arial"/>
                <w:b/>
                <w:bCs/>
              </w:rPr>
              <w:t>603</w:t>
            </w:r>
          </w:p>
        </w:tc>
        <w:tc>
          <w:tcPr>
            <w:tcW w:w="1191" w:type="dxa"/>
            <w:tcBorders>
              <w:left w:val="nil"/>
              <w:right w:val="nil"/>
            </w:tcBorders>
            <w:shd w:val="clear" w:color="auto" w:fill="FFFFFF" w:themeFill="background1"/>
            <w:vAlign w:val="center"/>
          </w:tcPr>
          <w:p w14:paraId="1200A2CC" w14:textId="6099CC8E" w:rsidR="00E04EA7" w:rsidRPr="0028727A" w:rsidRDefault="00E04EA7" w:rsidP="00E04EA7">
            <w:pPr>
              <w:jc w:val="right"/>
              <w:textAlignment w:val="bottom"/>
              <w:rPr>
                <w:rFonts w:ascii="Arial" w:eastAsia="Times New Roman" w:hAnsi="Arial" w:cs="Arial"/>
                <w:b/>
                <w:bCs/>
              </w:rPr>
            </w:pPr>
            <w:r w:rsidRPr="0028727A">
              <w:rPr>
                <w:rFonts w:ascii="Arial" w:eastAsia="Times New Roman" w:hAnsi="Arial" w:cs="Arial"/>
                <w:b/>
                <w:bCs/>
              </w:rPr>
              <w:t>794</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3D723192" w14:textId="3A6AF9B1" w:rsidR="00E04EA7" w:rsidRPr="0028727A" w:rsidRDefault="00E04EA7" w:rsidP="00E04EA7">
            <w:pPr>
              <w:jc w:val="right"/>
              <w:textAlignment w:val="bottom"/>
              <w:rPr>
                <w:rFonts w:ascii="Arial" w:eastAsia="Times New Roman" w:hAnsi="Arial" w:cs="Arial"/>
                <w:b/>
                <w:bCs/>
              </w:rPr>
            </w:pPr>
            <w:r w:rsidRPr="0028727A">
              <w:rPr>
                <w:rFonts w:ascii="Arial" w:hAnsi="Arial" w:cs="Arial"/>
              </w:rPr>
              <w:t>(</w:t>
            </w:r>
            <w:r w:rsidR="00470F2D" w:rsidRPr="0028727A">
              <w:rPr>
                <w:rFonts w:ascii="Arial" w:hAnsi="Arial" w:cs="Arial"/>
              </w:rPr>
              <w:t>24.0</w:t>
            </w:r>
            <w:r w:rsidRPr="0028727A">
              <w:rPr>
                <w:rFonts w:ascii="Arial" w:hAnsi="Arial" w:cs="Arial"/>
              </w:rPr>
              <w:t>)%</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60E47020" w14:textId="02C422F8" w:rsidR="00E04EA7" w:rsidRPr="0028727A" w:rsidRDefault="00E04EA7" w:rsidP="00E04EA7">
            <w:pPr>
              <w:jc w:val="right"/>
              <w:textAlignment w:val="bottom"/>
              <w:rPr>
                <w:rFonts w:ascii="Arial" w:eastAsia="Times New Roman" w:hAnsi="Arial" w:cs="Arial"/>
                <w:b/>
                <w:bCs/>
              </w:rPr>
            </w:pPr>
            <w:r w:rsidRPr="0028727A">
              <w:rPr>
                <w:rFonts w:ascii="Arial" w:hAnsi="Arial" w:cs="Arial"/>
              </w:rPr>
              <w:t>(</w:t>
            </w:r>
            <w:r w:rsidR="00470F2D" w:rsidRPr="0028727A">
              <w:rPr>
                <w:rFonts w:ascii="Arial" w:hAnsi="Arial" w:cs="Arial"/>
              </w:rPr>
              <w:t>24.0</w:t>
            </w:r>
            <w:r w:rsidRPr="0028727A">
              <w:rPr>
                <w:rFonts w:ascii="Arial" w:hAnsi="Arial" w:cs="Arial"/>
              </w:rPr>
              <w:t>)%</w:t>
            </w:r>
          </w:p>
        </w:tc>
        <w:tc>
          <w:tcPr>
            <w:tcW w:w="1191" w:type="dxa"/>
            <w:tcBorders>
              <w:left w:val="nil"/>
            </w:tcBorders>
            <w:shd w:val="clear" w:color="auto" w:fill="FFFFFF" w:themeFill="background1"/>
            <w:vAlign w:val="center"/>
          </w:tcPr>
          <w:p w14:paraId="36AE5D68" w14:textId="77777777" w:rsidR="00E04EA7" w:rsidRPr="0028727A" w:rsidRDefault="00E04EA7" w:rsidP="00E04EA7">
            <w:pPr>
              <w:jc w:val="right"/>
              <w:textAlignment w:val="bottom"/>
              <w:rPr>
                <w:rFonts w:ascii="Arial" w:eastAsia="Times New Roman" w:hAnsi="Arial" w:cs="Arial"/>
                <w:b/>
                <w:bCs/>
              </w:rPr>
            </w:pPr>
          </w:p>
        </w:tc>
      </w:tr>
      <w:tr w:rsidR="00E04EA7" w:rsidRPr="00EB4495" w14:paraId="07FD39B3" w14:textId="77777777" w:rsidTr="00F42B07">
        <w:trPr>
          <w:trHeight w:val="255"/>
        </w:trPr>
        <w:tc>
          <w:tcPr>
            <w:tcW w:w="3061" w:type="dxa"/>
            <w:tcBorders>
              <w:bottom w:val="single" w:sz="4" w:space="0" w:color="auto"/>
              <w:right w:val="nil"/>
            </w:tcBorders>
            <w:shd w:val="clear" w:color="auto" w:fill="FFFFFF" w:themeFill="background1"/>
            <w:tcMar>
              <w:top w:w="15" w:type="dxa"/>
              <w:left w:w="113" w:type="dxa"/>
              <w:bottom w:w="0" w:type="dxa"/>
              <w:right w:w="15" w:type="dxa"/>
            </w:tcMar>
            <w:vAlign w:val="center"/>
            <w:hideMark/>
          </w:tcPr>
          <w:p w14:paraId="39BF5AB8" w14:textId="77777777" w:rsidR="00E04EA7" w:rsidRPr="00EB4495" w:rsidRDefault="00E04EA7" w:rsidP="00E04EA7">
            <w:pPr>
              <w:jc w:val="left"/>
              <w:rPr>
                <w:rFonts w:ascii="Arial" w:eastAsia="Times New Roman" w:hAnsi="Arial" w:cs="Arial"/>
                <w:b/>
                <w:bCs/>
              </w:rPr>
            </w:pPr>
            <w:r w:rsidRPr="00EB4495">
              <w:rPr>
                <w:rFonts w:ascii="Arial" w:eastAsiaTheme="minorEastAsia" w:hAnsi="Arial" w:cs="Arial"/>
                <w:b/>
                <w:bCs/>
                <w:color w:val="000000" w:themeColor="text1"/>
                <w:kern w:val="24"/>
              </w:rPr>
              <w:t>France</w:t>
            </w:r>
          </w:p>
        </w:tc>
        <w:tc>
          <w:tcPr>
            <w:tcW w:w="737" w:type="dxa"/>
            <w:tcBorders>
              <w:left w:val="nil"/>
              <w:bottom w:val="single" w:sz="4" w:space="0" w:color="auto"/>
              <w:right w:val="nil"/>
            </w:tcBorders>
            <w:shd w:val="clear" w:color="auto" w:fill="FFFFFF" w:themeFill="background1"/>
            <w:tcMar>
              <w:top w:w="15" w:type="dxa"/>
              <w:left w:w="15" w:type="dxa"/>
              <w:bottom w:w="0" w:type="dxa"/>
              <w:right w:w="15" w:type="dxa"/>
            </w:tcMar>
            <w:vAlign w:val="center"/>
          </w:tcPr>
          <w:p w14:paraId="7D08146A" w14:textId="77777777" w:rsidR="00E04EA7" w:rsidRPr="00EB4495" w:rsidRDefault="00E04EA7" w:rsidP="00E04EA7">
            <w:pPr>
              <w:jc w:val="left"/>
              <w:textAlignment w:val="bottom"/>
              <w:rPr>
                <w:rFonts w:ascii="Arial" w:eastAsia="Times New Roman" w:hAnsi="Arial" w:cs="Arial"/>
                <w:b/>
                <w:bCs/>
              </w:rPr>
            </w:pPr>
          </w:p>
        </w:tc>
        <w:tc>
          <w:tcPr>
            <w:tcW w:w="1191" w:type="dxa"/>
            <w:tcBorders>
              <w:left w:val="nil"/>
              <w:bottom w:val="single" w:sz="4" w:space="0" w:color="auto"/>
              <w:right w:val="nil"/>
            </w:tcBorders>
            <w:shd w:val="clear" w:color="auto" w:fill="FFFFFF" w:themeFill="background1"/>
            <w:vAlign w:val="center"/>
          </w:tcPr>
          <w:p w14:paraId="3A0422F7" w14:textId="23543AD5" w:rsidR="00E04EA7" w:rsidRPr="00F40106" w:rsidRDefault="009226F9" w:rsidP="00E04EA7">
            <w:pPr>
              <w:jc w:val="right"/>
              <w:textAlignment w:val="bottom"/>
              <w:rPr>
                <w:rFonts w:ascii="Arial" w:eastAsia="Times New Roman" w:hAnsi="Arial" w:cs="Arial"/>
                <w:b/>
                <w:bCs/>
              </w:rPr>
            </w:pPr>
            <w:r w:rsidRPr="00F40106">
              <w:rPr>
                <w:rFonts w:ascii="Arial" w:eastAsia="Times New Roman" w:hAnsi="Arial" w:cs="Arial"/>
                <w:b/>
                <w:bCs/>
              </w:rPr>
              <w:t>195</w:t>
            </w:r>
          </w:p>
        </w:tc>
        <w:tc>
          <w:tcPr>
            <w:tcW w:w="1191" w:type="dxa"/>
            <w:tcBorders>
              <w:left w:val="nil"/>
              <w:bottom w:val="single" w:sz="4" w:space="0" w:color="auto"/>
              <w:right w:val="nil"/>
            </w:tcBorders>
            <w:shd w:val="clear" w:color="auto" w:fill="FFFFFF" w:themeFill="background1"/>
            <w:vAlign w:val="center"/>
          </w:tcPr>
          <w:p w14:paraId="4BBE2C54" w14:textId="6B2E1622" w:rsidR="00E04EA7" w:rsidRPr="0028727A" w:rsidRDefault="00E04EA7" w:rsidP="00E04EA7">
            <w:pPr>
              <w:jc w:val="right"/>
              <w:textAlignment w:val="bottom"/>
              <w:rPr>
                <w:rFonts w:ascii="Arial" w:eastAsia="Times New Roman" w:hAnsi="Arial" w:cs="Arial"/>
                <w:b/>
                <w:bCs/>
                <w:color w:val="FF0000"/>
              </w:rPr>
            </w:pPr>
            <w:r w:rsidRPr="0028727A">
              <w:rPr>
                <w:rFonts w:ascii="Arial" w:eastAsia="Times New Roman" w:hAnsi="Arial" w:cs="Arial"/>
                <w:b/>
                <w:bCs/>
              </w:rPr>
              <w:t>221</w:t>
            </w:r>
          </w:p>
        </w:tc>
        <w:tc>
          <w:tcPr>
            <w:tcW w:w="1191" w:type="dxa"/>
            <w:tcBorders>
              <w:left w:val="nil"/>
              <w:bottom w:val="single" w:sz="4" w:space="0" w:color="auto"/>
              <w:right w:val="nil"/>
            </w:tcBorders>
            <w:shd w:val="clear" w:color="auto" w:fill="FFFFFF" w:themeFill="background1"/>
            <w:tcMar>
              <w:top w:w="15" w:type="dxa"/>
              <w:left w:w="15" w:type="dxa"/>
              <w:bottom w:w="0" w:type="dxa"/>
              <w:right w:w="15" w:type="dxa"/>
            </w:tcMar>
            <w:vAlign w:val="center"/>
          </w:tcPr>
          <w:p w14:paraId="59B7811C" w14:textId="7B80F629" w:rsidR="00E04EA7" w:rsidRPr="0028727A" w:rsidRDefault="005A041B" w:rsidP="00E04EA7">
            <w:pPr>
              <w:jc w:val="right"/>
              <w:textAlignment w:val="bottom"/>
              <w:rPr>
                <w:rFonts w:ascii="Arial" w:eastAsia="Times New Roman" w:hAnsi="Arial" w:cs="Arial"/>
                <w:b/>
                <w:bCs/>
              </w:rPr>
            </w:pPr>
            <w:r w:rsidRPr="0028727A">
              <w:rPr>
                <w:rFonts w:ascii="Arial" w:hAnsi="Arial" w:cs="Arial"/>
              </w:rPr>
              <w:t>(</w:t>
            </w:r>
            <w:r w:rsidR="000205C1" w:rsidRPr="0028727A">
              <w:rPr>
                <w:rFonts w:ascii="Arial" w:hAnsi="Arial" w:cs="Arial"/>
              </w:rPr>
              <w:t>11.9</w:t>
            </w:r>
            <w:r w:rsidRPr="0028727A">
              <w:rPr>
                <w:rFonts w:ascii="Arial" w:hAnsi="Arial" w:cs="Arial"/>
              </w:rPr>
              <w:t>)</w:t>
            </w:r>
            <w:r w:rsidR="00E04EA7" w:rsidRPr="0028727A">
              <w:rPr>
                <w:rFonts w:ascii="Arial" w:hAnsi="Arial" w:cs="Arial"/>
              </w:rPr>
              <w:t>%</w:t>
            </w:r>
          </w:p>
        </w:tc>
        <w:tc>
          <w:tcPr>
            <w:tcW w:w="1191" w:type="dxa"/>
            <w:tcBorders>
              <w:left w:val="nil"/>
              <w:bottom w:val="single" w:sz="4" w:space="0" w:color="auto"/>
              <w:right w:val="nil"/>
            </w:tcBorders>
            <w:shd w:val="clear" w:color="auto" w:fill="FFFFFF" w:themeFill="background1"/>
            <w:tcMar>
              <w:top w:w="15" w:type="dxa"/>
              <w:left w:w="15" w:type="dxa"/>
              <w:bottom w:w="0" w:type="dxa"/>
              <w:right w:w="15" w:type="dxa"/>
            </w:tcMar>
            <w:vAlign w:val="center"/>
          </w:tcPr>
          <w:p w14:paraId="6FE0ECE8" w14:textId="557181DD" w:rsidR="00E04EA7" w:rsidRPr="0028727A" w:rsidRDefault="008834FE" w:rsidP="00E04EA7">
            <w:pPr>
              <w:jc w:val="right"/>
              <w:textAlignment w:val="bottom"/>
              <w:rPr>
                <w:rFonts w:ascii="Arial" w:eastAsia="Times New Roman" w:hAnsi="Arial" w:cs="Arial"/>
                <w:b/>
                <w:bCs/>
              </w:rPr>
            </w:pPr>
            <w:r w:rsidRPr="0028727A">
              <w:rPr>
                <w:rFonts w:ascii="Arial" w:hAnsi="Arial" w:cs="Arial"/>
              </w:rPr>
              <w:t>(</w:t>
            </w:r>
            <w:r w:rsidR="00C45B62" w:rsidRPr="0028727A">
              <w:rPr>
                <w:rFonts w:ascii="Arial" w:hAnsi="Arial" w:cs="Arial"/>
              </w:rPr>
              <w:t>12.0</w:t>
            </w:r>
            <w:r w:rsidRPr="0028727A">
              <w:rPr>
                <w:rFonts w:ascii="Arial" w:hAnsi="Arial" w:cs="Arial"/>
              </w:rPr>
              <w:t>)</w:t>
            </w:r>
            <w:r w:rsidR="00E04EA7" w:rsidRPr="0028727A">
              <w:rPr>
                <w:rFonts w:ascii="Arial" w:hAnsi="Arial" w:cs="Arial"/>
              </w:rPr>
              <w:t>%</w:t>
            </w:r>
          </w:p>
        </w:tc>
        <w:tc>
          <w:tcPr>
            <w:tcW w:w="1191" w:type="dxa"/>
            <w:tcBorders>
              <w:left w:val="nil"/>
            </w:tcBorders>
            <w:shd w:val="clear" w:color="auto" w:fill="FFFFFF" w:themeFill="background1"/>
            <w:vAlign w:val="center"/>
          </w:tcPr>
          <w:p w14:paraId="22ED630A" w14:textId="77777777" w:rsidR="00E04EA7" w:rsidRPr="0028727A" w:rsidRDefault="00E04EA7" w:rsidP="00E04EA7">
            <w:pPr>
              <w:jc w:val="right"/>
              <w:textAlignment w:val="bottom"/>
              <w:rPr>
                <w:rFonts w:ascii="Arial" w:eastAsia="Times New Roman" w:hAnsi="Arial" w:cs="Arial"/>
                <w:b/>
                <w:bCs/>
              </w:rPr>
            </w:pPr>
          </w:p>
        </w:tc>
      </w:tr>
      <w:tr w:rsidR="00E04EA7" w:rsidRPr="00EB4495" w14:paraId="664CE62F" w14:textId="77777777" w:rsidTr="00F42B07">
        <w:trPr>
          <w:trHeight w:val="255"/>
        </w:trPr>
        <w:tc>
          <w:tcPr>
            <w:tcW w:w="3061" w:type="dxa"/>
            <w:tcBorders>
              <w:top w:val="single" w:sz="4" w:space="0" w:color="auto"/>
              <w:left w:val="single" w:sz="4" w:space="0" w:color="auto"/>
              <w:right w:val="nil"/>
            </w:tcBorders>
            <w:shd w:val="clear" w:color="auto" w:fill="FFFFFF" w:themeFill="background1"/>
            <w:tcMar>
              <w:top w:w="15" w:type="dxa"/>
              <w:left w:w="113" w:type="dxa"/>
              <w:bottom w:w="0" w:type="dxa"/>
              <w:right w:w="15" w:type="dxa"/>
            </w:tcMar>
            <w:vAlign w:val="center"/>
            <w:hideMark/>
          </w:tcPr>
          <w:p w14:paraId="189B2AF2" w14:textId="77777777" w:rsidR="00E04EA7" w:rsidRPr="00EB4495" w:rsidRDefault="00E04EA7" w:rsidP="00E04EA7">
            <w:pPr>
              <w:jc w:val="left"/>
              <w:rPr>
                <w:rFonts w:ascii="Arial" w:eastAsia="Times New Roman" w:hAnsi="Arial" w:cs="Arial"/>
              </w:rPr>
            </w:pPr>
            <w:r w:rsidRPr="00EB4495">
              <w:rPr>
                <w:rFonts w:ascii="Arial" w:eastAsiaTheme="minorEastAsia" w:hAnsi="Arial" w:cs="Arial"/>
                <w:color w:val="000000" w:themeColor="text1"/>
                <w:kern w:val="24"/>
              </w:rPr>
              <w:t xml:space="preserve">Poland </w:t>
            </w:r>
          </w:p>
        </w:tc>
        <w:tc>
          <w:tcPr>
            <w:tcW w:w="737"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13CB521F" w14:textId="77777777" w:rsidR="00E04EA7" w:rsidRPr="00EB4495" w:rsidRDefault="00E04EA7" w:rsidP="00E04EA7">
            <w:pPr>
              <w:jc w:val="left"/>
              <w:textAlignment w:val="bottom"/>
              <w:rPr>
                <w:rFonts w:ascii="Arial" w:eastAsia="Times New Roman" w:hAnsi="Arial" w:cs="Arial"/>
              </w:rPr>
            </w:pPr>
          </w:p>
        </w:tc>
        <w:tc>
          <w:tcPr>
            <w:tcW w:w="1191" w:type="dxa"/>
            <w:tcBorders>
              <w:top w:val="single" w:sz="4" w:space="0" w:color="auto"/>
              <w:left w:val="nil"/>
              <w:right w:val="nil"/>
            </w:tcBorders>
            <w:shd w:val="clear" w:color="auto" w:fill="FFFFFF" w:themeFill="background1"/>
            <w:vAlign w:val="center"/>
          </w:tcPr>
          <w:p w14:paraId="7A1A1852" w14:textId="1EC7718B" w:rsidR="00E04EA7" w:rsidRPr="00F40106" w:rsidRDefault="00B43DA6" w:rsidP="00E04EA7">
            <w:pPr>
              <w:jc w:val="right"/>
              <w:textAlignment w:val="bottom"/>
              <w:rPr>
                <w:rFonts w:ascii="Arial" w:eastAsia="Times New Roman" w:hAnsi="Arial" w:cs="Arial"/>
              </w:rPr>
            </w:pPr>
            <w:r w:rsidRPr="00F40106">
              <w:rPr>
                <w:rFonts w:ascii="Arial" w:eastAsia="Times New Roman" w:hAnsi="Arial" w:cs="Arial"/>
              </w:rPr>
              <w:t>148</w:t>
            </w:r>
          </w:p>
        </w:tc>
        <w:tc>
          <w:tcPr>
            <w:tcW w:w="1191" w:type="dxa"/>
            <w:tcBorders>
              <w:top w:val="single" w:sz="4" w:space="0" w:color="auto"/>
              <w:left w:val="nil"/>
              <w:right w:val="nil"/>
            </w:tcBorders>
            <w:shd w:val="clear" w:color="auto" w:fill="FFFFFF" w:themeFill="background1"/>
            <w:vAlign w:val="center"/>
          </w:tcPr>
          <w:p w14:paraId="5623F04F" w14:textId="7D4B5312" w:rsidR="00E04EA7" w:rsidRPr="0028727A" w:rsidRDefault="00E04EA7" w:rsidP="00E04EA7">
            <w:pPr>
              <w:jc w:val="right"/>
              <w:textAlignment w:val="bottom"/>
              <w:rPr>
                <w:rFonts w:ascii="Arial" w:eastAsia="Times New Roman" w:hAnsi="Arial" w:cs="Arial"/>
                <w:color w:val="FF0000"/>
              </w:rPr>
            </w:pPr>
            <w:r w:rsidRPr="0028727A">
              <w:rPr>
                <w:rFonts w:ascii="Arial" w:eastAsia="Times New Roman" w:hAnsi="Arial" w:cs="Arial"/>
              </w:rPr>
              <w:t>135</w:t>
            </w:r>
          </w:p>
        </w:tc>
        <w:tc>
          <w:tcPr>
            <w:tcW w:w="1191"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3BC6DD8B" w14:textId="431B50E1" w:rsidR="00E04EA7" w:rsidRPr="0028727A" w:rsidRDefault="00E04EA7" w:rsidP="00E04EA7">
            <w:pPr>
              <w:jc w:val="right"/>
              <w:textAlignment w:val="bottom"/>
              <w:rPr>
                <w:rFonts w:ascii="Arial" w:eastAsia="Times New Roman" w:hAnsi="Arial" w:cs="Arial"/>
              </w:rPr>
            </w:pPr>
            <w:r w:rsidRPr="0028727A">
              <w:rPr>
                <w:rFonts w:ascii="Arial" w:hAnsi="Arial" w:cs="Arial"/>
              </w:rPr>
              <w:t>+</w:t>
            </w:r>
            <w:r w:rsidR="00530AAC" w:rsidRPr="0028727A">
              <w:rPr>
                <w:rFonts w:ascii="Arial" w:hAnsi="Arial" w:cs="Arial"/>
              </w:rPr>
              <w:t>9.</w:t>
            </w:r>
            <w:r w:rsidR="00591E9C">
              <w:rPr>
                <w:rFonts w:ascii="Arial" w:hAnsi="Arial" w:cs="Arial"/>
              </w:rPr>
              <w:t>4</w:t>
            </w:r>
            <w:r w:rsidRPr="0028727A">
              <w:rPr>
                <w:rFonts w:ascii="Arial" w:hAnsi="Arial" w:cs="Arial"/>
              </w:rPr>
              <w:t>%</w:t>
            </w:r>
          </w:p>
        </w:tc>
        <w:tc>
          <w:tcPr>
            <w:tcW w:w="1191" w:type="dxa"/>
            <w:tcBorders>
              <w:top w:val="single" w:sz="4" w:space="0" w:color="auto"/>
              <w:left w:val="nil"/>
              <w:right w:val="single" w:sz="4" w:space="0" w:color="auto"/>
            </w:tcBorders>
            <w:shd w:val="clear" w:color="auto" w:fill="FFFFFF" w:themeFill="background1"/>
            <w:tcMar>
              <w:top w:w="15" w:type="dxa"/>
              <w:left w:w="15" w:type="dxa"/>
              <w:bottom w:w="0" w:type="dxa"/>
              <w:right w:w="15" w:type="dxa"/>
            </w:tcMar>
            <w:vAlign w:val="center"/>
          </w:tcPr>
          <w:p w14:paraId="572DE4FA" w14:textId="09FA95F8" w:rsidR="00E04EA7" w:rsidRPr="0028727A" w:rsidRDefault="00E04EA7" w:rsidP="00E04EA7">
            <w:pPr>
              <w:jc w:val="right"/>
              <w:textAlignment w:val="bottom"/>
              <w:rPr>
                <w:rFonts w:ascii="Arial" w:eastAsia="Times New Roman" w:hAnsi="Arial" w:cs="Arial"/>
              </w:rPr>
            </w:pPr>
            <w:r w:rsidRPr="0028727A">
              <w:rPr>
                <w:rFonts w:ascii="Arial" w:hAnsi="Arial" w:cs="Arial"/>
              </w:rPr>
              <w:t>+</w:t>
            </w:r>
            <w:r w:rsidR="001C6997" w:rsidRPr="0028727A">
              <w:rPr>
                <w:rFonts w:ascii="Arial" w:hAnsi="Arial" w:cs="Arial"/>
              </w:rPr>
              <w:t>12.</w:t>
            </w:r>
            <w:r w:rsidR="00591E9C">
              <w:rPr>
                <w:rFonts w:ascii="Arial" w:hAnsi="Arial" w:cs="Arial"/>
              </w:rPr>
              <w:t>4</w:t>
            </w:r>
            <w:r w:rsidRPr="0028727A">
              <w:rPr>
                <w:rFonts w:ascii="Arial" w:hAnsi="Arial" w:cs="Arial"/>
              </w:rPr>
              <w:t>%</w:t>
            </w:r>
          </w:p>
        </w:tc>
        <w:tc>
          <w:tcPr>
            <w:tcW w:w="1191" w:type="dxa"/>
            <w:tcBorders>
              <w:left w:val="single" w:sz="4" w:space="0" w:color="auto"/>
            </w:tcBorders>
            <w:shd w:val="clear" w:color="auto" w:fill="FFFFFF" w:themeFill="background1"/>
            <w:vAlign w:val="center"/>
          </w:tcPr>
          <w:p w14:paraId="16B62F9A" w14:textId="77777777" w:rsidR="00E04EA7" w:rsidRPr="0028727A" w:rsidRDefault="00E04EA7" w:rsidP="00E04EA7">
            <w:pPr>
              <w:jc w:val="right"/>
              <w:textAlignment w:val="bottom"/>
              <w:rPr>
                <w:rFonts w:ascii="Arial" w:eastAsia="Times New Roman" w:hAnsi="Arial" w:cs="Arial"/>
              </w:rPr>
            </w:pPr>
          </w:p>
        </w:tc>
      </w:tr>
      <w:tr w:rsidR="00E04EA7" w:rsidRPr="00EB4495" w14:paraId="1130309C" w14:textId="77777777" w:rsidTr="009732CE">
        <w:trPr>
          <w:trHeight w:val="255"/>
        </w:trPr>
        <w:tc>
          <w:tcPr>
            <w:tcW w:w="3061" w:type="dxa"/>
            <w:tcBorders>
              <w:left w:val="single" w:sz="4" w:space="0" w:color="auto"/>
              <w:right w:val="nil"/>
            </w:tcBorders>
            <w:shd w:val="clear" w:color="auto" w:fill="FFFFFF" w:themeFill="background1"/>
            <w:tcMar>
              <w:top w:w="15" w:type="dxa"/>
              <w:left w:w="113" w:type="dxa"/>
              <w:bottom w:w="0" w:type="dxa"/>
              <w:right w:w="15" w:type="dxa"/>
            </w:tcMar>
            <w:vAlign w:val="center"/>
            <w:hideMark/>
          </w:tcPr>
          <w:p w14:paraId="2F277E9A" w14:textId="77777777" w:rsidR="00E04EA7" w:rsidRPr="00EB4495" w:rsidRDefault="00E04EA7" w:rsidP="00E04EA7">
            <w:pPr>
              <w:jc w:val="left"/>
              <w:rPr>
                <w:rFonts w:ascii="Arial" w:eastAsia="Times New Roman" w:hAnsi="Arial" w:cs="Arial"/>
              </w:rPr>
            </w:pPr>
            <w:r w:rsidRPr="00EB4495">
              <w:rPr>
                <w:rFonts w:ascii="Arial" w:eastAsiaTheme="minorEastAsia" w:hAnsi="Arial" w:cs="Arial"/>
                <w:color w:val="000000" w:themeColor="text1"/>
                <w:kern w:val="24"/>
              </w:rPr>
              <w:t>Iberia</w:t>
            </w:r>
          </w:p>
        </w:tc>
        <w:tc>
          <w:tcPr>
            <w:tcW w:w="737" w:type="dxa"/>
            <w:tcBorders>
              <w:left w:val="nil"/>
              <w:right w:val="nil"/>
            </w:tcBorders>
            <w:shd w:val="clear" w:color="auto" w:fill="FFFFFF" w:themeFill="background1"/>
            <w:tcMar>
              <w:top w:w="15" w:type="dxa"/>
              <w:left w:w="15" w:type="dxa"/>
              <w:bottom w:w="0" w:type="dxa"/>
              <w:right w:w="15" w:type="dxa"/>
            </w:tcMar>
            <w:vAlign w:val="center"/>
          </w:tcPr>
          <w:p w14:paraId="1930B882" w14:textId="77777777" w:rsidR="00E04EA7" w:rsidRPr="00EB4495" w:rsidRDefault="00E04EA7" w:rsidP="00E04EA7">
            <w:pPr>
              <w:jc w:val="left"/>
              <w:textAlignment w:val="bottom"/>
              <w:rPr>
                <w:rFonts w:ascii="Arial" w:eastAsia="Times New Roman" w:hAnsi="Arial" w:cs="Arial"/>
              </w:rPr>
            </w:pPr>
          </w:p>
        </w:tc>
        <w:tc>
          <w:tcPr>
            <w:tcW w:w="1191" w:type="dxa"/>
            <w:tcBorders>
              <w:left w:val="nil"/>
              <w:right w:val="nil"/>
            </w:tcBorders>
            <w:shd w:val="clear" w:color="auto" w:fill="FFFFFF" w:themeFill="background1"/>
            <w:vAlign w:val="center"/>
          </w:tcPr>
          <w:p w14:paraId="7D230F8A" w14:textId="72906DE2" w:rsidR="00E04EA7" w:rsidRPr="00F40106" w:rsidRDefault="00F45C1C" w:rsidP="00E04EA7">
            <w:pPr>
              <w:jc w:val="right"/>
              <w:textAlignment w:val="bottom"/>
              <w:rPr>
                <w:rFonts w:ascii="Arial" w:eastAsia="Times New Roman" w:hAnsi="Arial" w:cs="Arial"/>
              </w:rPr>
            </w:pPr>
            <w:r w:rsidRPr="00F40106">
              <w:rPr>
                <w:rFonts w:ascii="Arial" w:eastAsia="Times New Roman" w:hAnsi="Arial" w:cs="Arial"/>
              </w:rPr>
              <w:t>9</w:t>
            </w:r>
          </w:p>
        </w:tc>
        <w:tc>
          <w:tcPr>
            <w:tcW w:w="1191" w:type="dxa"/>
            <w:tcBorders>
              <w:left w:val="nil"/>
              <w:right w:val="nil"/>
            </w:tcBorders>
            <w:shd w:val="clear" w:color="auto" w:fill="FFFFFF" w:themeFill="background1"/>
            <w:vAlign w:val="center"/>
          </w:tcPr>
          <w:p w14:paraId="451829CD" w14:textId="3C7AE8B3" w:rsidR="00E04EA7" w:rsidRPr="0028727A" w:rsidRDefault="00E04EA7" w:rsidP="00E04EA7">
            <w:pPr>
              <w:jc w:val="right"/>
              <w:textAlignment w:val="bottom"/>
              <w:rPr>
                <w:rFonts w:ascii="Arial" w:eastAsia="Times New Roman" w:hAnsi="Arial" w:cs="Arial"/>
                <w:color w:val="FF0000"/>
              </w:rPr>
            </w:pPr>
            <w:r w:rsidRPr="0028727A">
              <w:rPr>
                <w:rFonts w:ascii="Arial" w:eastAsia="Times New Roman" w:hAnsi="Arial" w:cs="Arial"/>
              </w:rPr>
              <w:t>12</w:t>
            </w:r>
          </w:p>
        </w:tc>
        <w:tc>
          <w:tcPr>
            <w:tcW w:w="1191" w:type="dxa"/>
            <w:tcBorders>
              <w:left w:val="nil"/>
              <w:right w:val="nil"/>
            </w:tcBorders>
            <w:shd w:val="clear" w:color="auto" w:fill="FFFFFF" w:themeFill="background1"/>
            <w:tcMar>
              <w:top w:w="15" w:type="dxa"/>
              <w:left w:w="15" w:type="dxa"/>
              <w:bottom w:w="0" w:type="dxa"/>
              <w:right w:w="15" w:type="dxa"/>
            </w:tcMar>
          </w:tcPr>
          <w:p w14:paraId="4B08834D" w14:textId="20C94172" w:rsidR="00E04EA7" w:rsidRPr="0028727A" w:rsidRDefault="00E04EA7" w:rsidP="00E04EA7">
            <w:pPr>
              <w:jc w:val="right"/>
              <w:textAlignment w:val="bottom"/>
              <w:rPr>
                <w:rFonts w:ascii="Arial" w:eastAsia="Times New Roman" w:hAnsi="Arial" w:cs="Arial"/>
              </w:rPr>
            </w:pPr>
            <w:r w:rsidRPr="0028727A">
              <w:rPr>
                <w:rFonts w:ascii="Arial" w:hAnsi="Arial" w:cs="Arial"/>
              </w:rPr>
              <w:t>(</w:t>
            </w:r>
            <w:r w:rsidR="00277D7F" w:rsidRPr="0028727A">
              <w:rPr>
                <w:rFonts w:ascii="Arial" w:hAnsi="Arial" w:cs="Arial"/>
              </w:rPr>
              <w:t>27.9</w:t>
            </w:r>
            <w:r w:rsidRPr="0028727A">
              <w:rPr>
                <w:rFonts w:ascii="Arial" w:hAnsi="Arial" w:cs="Arial"/>
              </w:rPr>
              <w:t>)%</w:t>
            </w:r>
          </w:p>
        </w:tc>
        <w:tc>
          <w:tcPr>
            <w:tcW w:w="1191" w:type="dxa"/>
            <w:tcBorders>
              <w:left w:val="nil"/>
              <w:right w:val="single" w:sz="4" w:space="0" w:color="auto"/>
            </w:tcBorders>
            <w:shd w:val="clear" w:color="auto" w:fill="FFFFFF" w:themeFill="background1"/>
            <w:tcMar>
              <w:top w:w="15" w:type="dxa"/>
              <w:left w:w="15" w:type="dxa"/>
              <w:bottom w:w="0" w:type="dxa"/>
              <w:right w:w="15" w:type="dxa"/>
            </w:tcMar>
          </w:tcPr>
          <w:p w14:paraId="20A1F50B" w14:textId="60B27BC3" w:rsidR="00E04EA7" w:rsidRPr="0028727A" w:rsidRDefault="00E04EA7" w:rsidP="00E04EA7">
            <w:pPr>
              <w:jc w:val="right"/>
              <w:textAlignment w:val="bottom"/>
              <w:rPr>
                <w:rFonts w:ascii="Arial" w:eastAsia="Times New Roman" w:hAnsi="Arial" w:cs="Arial"/>
              </w:rPr>
            </w:pPr>
            <w:r w:rsidRPr="0028727A">
              <w:rPr>
                <w:rFonts w:ascii="Arial" w:hAnsi="Arial" w:cs="Arial"/>
              </w:rPr>
              <w:t>(</w:t>
            </w:r>
            <w:r w:rsidR="00563024" w:rsidRPr="0028727A">
              <w:rPr>
                <w:rFonts w:ascii="Arial" w:hAnsi="Arial" w:cs="Arial"/>
              </w:rPr>
              <w:t>28.0</w:t>
            </w:r>
            <w:r w:rsidRPr="0028727A">
              <w:rPr>
                <w:rFonts w:ascii="Arial" w:hAnsi="Arial" w:cs="Arial"/>
              </w:rPr>
              <w:t>)%</w:t>
            </w:r>
          </w:p>
        </w:tc>
        <w:tc>
          <w:tcPr>
            <w:tcW w:w="1191" w:type="dxa"/>
            <w:tcBorders>
              <w:left w:val="single" w:sz="4" w:space="0" w:color="auto"/>
            </w:tcBorders>
            <w:shd w:val="clear" w:color="auto" w:fill="FFFFFF" w:themeFill="background1"/>
            <w:vAlign w:val="center"/>
          </w:tcPr>
          <w:p w14:paraId="00427932" w14:textId="77777777" w:rsidR="00E04EA7" w:rsidRPr="0028727A" w:rsidRDefault="00E04EA7" w:rsidP="00E04EA7">
            <w:pPr>
              <w:jc w:val="right"/>
              <w:textAlignment w:val="bottom"/>
              <w:rPr>
                <w:rFonts w:ascii="Arial" w:eastAsia="Times New Roman" w:hAnsi="Arial" w:cs="Arial"/>
              </w:rPr>
            </w:pPr>
          </w:p>
        </w:tc>
      </w:tr>
      <w:tr w:rsidR="00E04EA7" w:rsidRPr="00EB4495" w14:paraId="39C8C698" w14:textId="77777777" w:rsidTr="00F42B07">
        <w:trPr>
          <w:trHeight w:val="255"/>
        </w:trPr>
        <w:tc>
          <w:tcPr>
            <w:tcW w:w="3061" w:type="dxa"/>
            <w:tcBorders>
              <w:left w:val="single" w:sz="4" w:space="0" w:color="auto"/>
              <w:right w:val="nil"/>
            </w:tcBorders>
            <w:shd w:val="clear" w:color="auto" w:fill="FFFFFF" w:themeFill="background1"/>
            <w:tcMar>
              <w:top w:w="15" w:type="dxa"/>
              <w:left w:w="113" w:type="dxa"/>
              <w:bottom w:w="0" w:type="dxa"/>
              <w:right w:w="15" w:type="dxa"/>
            </w:tcMar>
            <w:vAlign w:val="center"/>
            <w:hideMark/>
          </w:tcPr>
          <w:p w14:paraId="00C5820E" w14:textId="77777777" w:rsidR="00E04EA7" w:rsidRPr="00EB4495" w:rsidRDefault="00E04EA7" w:rsidP="00E04EA7">
            <w:pPr>
              <w:jc w:val="left"/>
              <w:rPr>
                <w:rFonts w:ascii="Arial" w:eastAsia="Times New Roman" w:hAnsi="Arial" w:cs="Arial"/>
              </w:rPr>
            </w:pPr>
            <w:r w:rsidRPr="00EB4495">
              <w:rPr>
                <w:rFonts w:ascii="Arial" w:eastAsiaTheme="minorEastAsia" w:hAnsi="Arial" w:cs="Arial"/>
                <w:color w:val="000000" w:themeColor="text1"/>
                <w:kern w:val="24"/>
              </w:rPr>
              <w:t>Romania</w:t>
            </w:r>
            <w:r w:rsidRPr="00EB4495">
              <w:rPr>
                <w:rFonts w:ascii="Arial" w:hAnsi="Arial" w:cs="Arial"/>
                <w:bCs/>
                <w:vertAlign w:val="superscript"/>
              </w:rPr>
              <w:t>(1)</w:t>
            </w:r>
          </w:p>
        </w:tc>
        <w:tc>
          <w:tcPr>
            <w:tcW w:w="737" w:type="dxa"/>
            <w:tcBorders>
              <w:left w:val="nil"/>
              <w:right w:val="nil"/>
            </w:tcBorders>
            <w:shd w:val="clear" w:color="auto" w:fill="FFFFFF" w:themeFill="background1"/>
            <w:tcMar>
              <w:top w:w="15" w:type="dxa"/>
              <w:left w:w="15" w:type="dxa"/>
              <w:bottom w:w="0" w:type="dxa"/>
              <w:right w:w="15" w:type="dxa"/>
            </w:tcMar>
            <w:vAlign w:val="center"/>
          </w:tcPr>
          <w:p w14:paraId="341B0977" w14:textId="77777777" w:rsidR="00E04EA7" w:rsidRPr="00EB4495" w:rsidRDefault="00E04EA7" w:rsidP="00E04EA7">
            <w:pPr>
              <w:jc w:val="left"/>
              <w:textAlignment w:val="bottom"/>
              <w:rPr>
                <w:rFonts w:ascii="Arial" w:eastAsia="Times New Roman" w:hAnsi="Arial" w:cs="Arial"/>
              </w:rPr>
            </w:pPr>
          </w:p>
        </w:tc>
        <w:tc>
          <w:tcPr>
            <w:tcW w:w="1191" w:type="dxa"/>
            <w:tcBorders>
              <w:left w:val="nil"/>
              <w:right w:val="nil"/>
            </w:tcBorders>
            <w:shd w:val="clear" w:color="auto" w:fill="FFFFFF" w:themeFill="background1"/>
            <w:vAlign w:val="center"/>
          </w:tcPr>
          <w:p w14:paraId="0C46F6FA" w14:textId="4A72724C" w:rsidR="00E04EA7" w:rsidRPr="0028727A" w:rsidRDefault="00E04EA7" w:rsidP="00E04EA7">
            <w:pPr>
              <w:jc w:val="right"/>
              <w:textAlignment w:val="bottom"/>
              <w:rPr>
                <w:rFonts w:ascii="Arial" w:eastAsia="Times New Roman" w:hAnsi="Arial" w:cs="Arial"/>
              </w:rPr>
            </w:pPr>
            <w:r w:rsidRPr="0028727A">
              <w:rPr>
                <w:rFonts w:ascii="Arial" w:eastAsia="Times New Roman" w:hAnsi="Arial" w:cs="Arial"/>
              </w:rPr>
              <w:t>(</w:t>
            </w:r>
            <w:r w:rsidR="0038571F" w:rsidRPr="0028727A">
              <w:rPr>
                <w:rFonts w:ascii="Arial" w:eastAsia="Times New Roman" w:hAnsi="Arial" w:cs="Arial"/>
              </w:rPr>
              <w:t>10</w:t>
            </w:r>
            <w:r w:rsidRPr="0028727A">
              <w:rPr>
                <w:rFonts w:ascii="Arial" w:eastAsia="Times New Roman" w:hAnsi="Arial" w:cs="Arial"/>
              </w:rPr>
              <w:t>)</w:t>
            </w:r>
          </w:p>
        </w:tc>
        <w:tc>
          <w:tcPr>
            <w:tcW w:w="1191" w:type="dxa"/>
            <w:tcBorders>
              <w:left w:val="nil"/>
              <w:right w:val="nil"/>
            </w:tcBorders>
            <w:shd w:val="clear" w:color="auto" w:fill="FFFFFF" w:themeFill="background1"/>
            <w:vAlign w:val="center"/>
          </w:tcPr>
          <w:p w14:paraId="197D96AF" w14:textId="5EB1A0F0" w:rsidR="00E04EA7" w:rsidRPr="0028727A" w:rsidRDefault="00E04EA7" w:rsidP="00E04EA7">
            <w:pPr>
              <w:jc w:val="right"/>
              <w:textAlignment w:val="bottom"/>
              <w:rPr>
                <w:rFonts w:ascii="Arial" w:eastAsia="Times New Roman" w:hAnsi="Arial" w:cs="Arial"/>
                <w:color w:val="FF0000"/>
              </w:rPr>
            </w:pPr>
            <w:r w:rsidRPr="0028727A">
              <w:rPr>
                <w:rFonts w:ascii="Arial" w:eastAsia="Times New Roman" w:hAnsi="Arial" w:cs="Arial"/>
              </w:rPr>
              <w:t>(11)</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020A8474" w14:textId="553CBC06" w:rsidR="00E04EA7" w:rsidRPr="0028727A" w:rsidRDefault="00E04EA7" w:rsidP="00E04EA7">
            <w:pPr>
              <w:jc w:val="right"/>
              <w:textAlignment w:val="bottom"/>
              <w:rPr>
                <w:rFonts w:ascii="Arial" w:eastAsia="Times New Roman" w:hAnsi="Arial" w:cs="Arial"/>
              </w:rPr>
            </w:pPr>
            <w:r w:rsidRPr="0028727A">
              <w:rPr>
                <w:rFonts w:ascii="Arial" w:hAnsi="Arial" w:cs="Arial"/>
              </w:rPr>
              <w:t>+</w:t>
            </w:r>
            <w:r w:rsidR="000E1B22" w:rsidRPr="0028727A">
              <w:rPr>
                <w:rFonts w:ascii="Arial" w:hAnsi="Arial" w:cs="Arial"/>
              </w:rPr>
              <w:t>7.3</w:t>
            </w:r>
            <w:r w:rsidRPr="0028727A">
              <w:rPr>
                <w:rFonts w:ascii="Arial" w:hAnsi="Arial" w:cs="Arial"/>
              </w:rPr>
              <w:t>%</w:t>
            </w:r>
          </w:p>
        </w:tc>
        <w:tc>
          <w:tcPr>
            <w:tcW w:w="1191" w:type="dxa"/>
            <w:tcBorders>
              <w:left w:val="nil"/>
              <w:right w:val="single" w:sz="4" w:space="0" w:color="auto"/>
            </w:tcBorders>
            <w:shd w:val="clear" w:color="auto" w:fill="FFFFFF" w:themeFill="background1"/>
            <w:tcMar>
              <w:top w:w="15" w:type="dxa"/>
              <w:left w:w="15" w:type="dxa"/>
              <w:bottom w:w="0" w:type="dxa"/>
              <w:right w:w="15" w:type="dxa"/>
            </w:tcMar>
            <w:vAlign w:val="center"/>
          </w:tcPr>
          <w:p w14:paraId="6888178D" w14:textId="5397E05E" w:rsidR="00E04EA7" w:rsidRPr="0028727A" w:rsidRDefault="00E04EA7" w:rsidP="00E04EA7">
            <w:pPr>
              <w:jc w:val="right"/>
              <w:textAlignment w:val="bottom"/>
              <w:rPr>
                <w:rFonts w:ascii="Arial" w:eastAsia="Times New Roman" w:hAnsi="Arial" w:cs="Arial"/>
              </w:rPr>
            </w:pPr>
            <w:r w:rsidRPr="0028727A">
              <w:rPr>
                <w:rFonts w:ascii="Arial" w:hAnsi="Arial" w:cs="Arial"/>
              </w:rPr>
              <w:t>+</w:t>
            </w:r>
            <w:r w:rsidR="00AC1785" w:rsidRPr="0028727A">
              <w:rPr>
                <w:rFonts w:ascii="Arial" w:hAnsi="Arial" w:cs="Arial"/>
              </w:rPr>
              <w:t>7.4</w:t>
            </w:r>
            <w:r w:rsidRPr="0028727A">
              <w:rPr>
                <w:rFonts w:ascii="Arial" w:hAnsi="Arial" w:cs="Arial"/>
              </w:rPr>
              <w:t>%</w:t>
            </w:r>
          </w:p>
        </w:tc>
        <w:tc>
          <w:tcPr>
            <w:tcW w:w="1191" w:type="dxa"/>
            <w:tcBorders>
              <w:left w:val="single" w:sz="4" w:space="0" w:color="auto"/>
            </w:tcBorders>
            <w:shd w:val="clear" w:color="auto" w:fill="FFFFFF" w:themeFill="background1"/>
            <w:vAlign w:val="center"/>
          </w:tcPr>
          <w:p w14:paraId="47FC6C05" w14:textId="77777777" w:rsidR="00E04EA7" w:rsidRPr="0028727A" w:rsidRDefault="00E04EA7" w:rsidP="00E04EA7">
            <w:pPr>
              <w:jc w:val="right"/>
              <w:textAlignment w:val="bottom"/>
              <w:rPr>
                <w:rFonts w:ascii="Arial" w:eastAsia="Times New Roman" w:hAnsi="Arial" w:cs="Arial"/>
              </w:rPr>
            </w:pPr>
          </w:p>
        </w:tc>
      </w:tr>
      <w:tr w:rsidR="00E04EA7" w:rsidRPr="00EB4495" w14:paraId="381675B8" w14:textId="77777777" w:rsidTr="00F42B07">
        <w:trPr>
          <w:trHeight w:val="255"/>
        </w:trPr>
        <w:tc>
          <w:tcPr>
            <w:tcW w:w="3061" w:type="dxa"/>
            <w:tcBorders>
              <w:left w:val="single" w:sz="4" w:space="0" w:color="auto"/>
              <w:right w:val="nil"/>
            </w:tcBorders>
            <w:shd w:val="clear" w:color="auto" w:fill="FFFFFF" w:themeFill="background1"/>
            <w:tcMar>
              <w:top w:w="15" w:type="dxa"/>
              <w:left w:w="113" w:type="dxa"/>
              <w:bottom w:w="0" w:type="dxa"/>
              <w:right w:w="15" w:type="dxa"/>
            </w:tcMar>
            <w:vAlign w:val="center"/>
          </w:tcPr>
          <w:p w14:paraId="667799B2" w14:textId="77777777" w:rsidR="00E04EA7" w:rsidRPr="0070539C" w:rsidRDefault="00E04EA7" w:rsidP="00E04EA7">
            <w:pPr>
              <w:jc w:val="left"/>
              <w:rPr>
                <w:rFonts w:ascii="Arial" w:eastAsiaTheme="minorEastAsia" w:hAnsi="Arial" w:cs="Arial"/>
                <w:color w:val="000000" w:themeColor="text1"/>
                <w:kern w:val="24"/>
              </w:rPr>
            </w:pPr>
            <w:r w:rsidRPr="0070539C">
              <w:rPr>
                <w:rFonts w:ascii="Arial" w:eastAsiaTheme="minorEastAsia" w:hAnsi="Arial" w:cs="Arial"/>
                <w:color w:val="000000" w:themeColor="text1"/>
                <w:kern w:val="24"/>
              </w:rPr>
              <w:t>Other</w:t>
            </w:r>
            <w:r w:rsidRPr="0070539C">
              <w:rPr>
                <w:rFonts w:ascii="Arial" w:hAnsi="Arial" w:cs="Arial"/>
                <w:vertAlign w:val="superscript"/>
              </w:rPr>
              <w:t>±</w:t>
            </w:r>
          </w:p>
        </w:tc>
        <w:tc>
          <w:tcPr>
            <w:tcW w:w="737" w:type="dxa"/>
            <w:tcBorders>
              <w:left w:val="nil"/>
              <w:right w:val="nil"/>
            </w:tcBorders>
            <w:shd w:val="clear" w:color="auto" w:fill="FFFFFF" w:themeFill="background1"/>
            <w:tcMar>
              <w:top w:w="15" w:type="dxa"/>
              <w:left w:w="15" w:type="dxa"/>
              <w:bottom w:w="0" w:type="dxa"/>
              <w:right w:w="15" w:type="dxa"/>
            </w:tcMar>
            <w:vAlign w:val="center"/>
          </w:tcPr>
          <w:p w14:paraId="155031C2" w14:textId="77777777" w:rsidR="00E04EA7" w:rsidRPr="00EB4495" w:rsidRDefault="00E04EA7" w:rsidP="00E04EA7">
            <w:pPr>
              <w:jc w:val="left"/>
              <w:textAlignment w:val="bottom"/>
              <w:rPr>
                <w:rFonts w:ascii="Arial" w:eastAsia="Times New Roman" w:hAnsi="Arial" w:cs="Arial"/>
              </w:rPr>
            </w:pPr>
          </w:p>
        </w:tc>
        <w:tc>
          <w:tcPr>
            <w:tcW w:w="1191" w:type="dxa"/>
            <w:tcBorders>
              <w:left w:val="nil"/>
              <w:right w:val="nil"/>
            </w:tcBorders>
            <w:shd w:val="clear" w:color="auto" w:fill="FFFFFF" w:themeFill="background1"/>
            <w:vAlign w:val="center"/>
          </w:tcPr>
          <w:p w14:paraId="4091AF20" w14:textId="4C77F362" w:rsidR="00E04EA7" w:rsidRPr="0028727A" w:rsidRDefault="00E04EA7" w:rsidP="00E04EA7">
            <w:pPr>
              <w:jc w:val="right"/>
              <w:textAlignment w:val="bottom"/>
              <w:rPr>
                <w:rFonts w:ascii="Arial" w:eastAsia="Times New Roman" w:hAnsi="Arial" w:cs="Arial"/>
              </w:rPr>
            </w:pPr>
            <w:r w:rsidRPr="0028727A">
              <w:rPr>
                <w:rFonts w:ascii="Arial" w:eastAsia="Times New Roman" w:hAnsi="Arial" w:cs="Arial"/>
              </w:rPr>
              <w:t>(</w:t>
            </w:r>
            <w:r w:rsidR="00816217" w:rsidRPr="0028727A">
              <w:rPr>
                <w:rFonts w:ascii="Arial" w:eastAsia="Times New Roman" w:hAnsi="Arial" w:cs="Arial"/>
              </w:rPr>
              <w:t>30</w:t>
            </w:r>
            <w:r w:rsidRPr="0028727A">
              <w:rPr>
                <w:rFonts w:ascii="Arial" w:eastAsia="Times New Roman" w:hAnsi="Arial" w:cs="Arial"/>
              </w:rPr>
              <w:t>)</w:t>
            </w:r>
          </w:p>
        </w:tc>
        <w:tc>
          <w:tcPr>
            <w:tcW w:w="1191" w:type="dxa"/>
            <w:tcBorders>
              <w:left w:val="nil"/>
              <w:right w:val="nil"/>
            </w:tcBorders>
            <w:shd w:val="clear" w:color="auto" w:fill="FFFFFF" w:themeFill="background1"/>
            <w:vAlign w:val="center"/>
          </w:tcPr>
          <w:p w14:paraId="2FF83BB0" w14:textId="3197ECA8" w:rsidR="00E04EA7" w:rsidRPr="0028727A" w:rsidRDefault="00E04EA7" w:rsidP="00E04EA7">
            <w:pPr>
              <w:jc w:val="right"/>
              <w:textAlignment w:val="bottom"/>
              <w:rPr>
                <w:rFonts w:ascii="Arial" w:hAnsi="Arial" w:cs="Arial"/>
              </w:rPr>
            </w:pPr>
            <w:r w:rsidRPr="0028727A">
              <w:rPr>
                <w:rFonts w:ascii="Arial" w:eastAsia="Times New Roman" w:hAnsi="Arial" w:cs="Arial"/>
              </w:rPr>
              <w:t>(10)</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61169957" w14:textId="77777777" w:rsidR="00E04EA7" w:rsidRPr="0028727A" w:rsidRDefault="00E04EA7" w:rsidP="00E04EA7">
            <w:pPr>
              <w:jc w:val="right"/>
              <w:textAlignment w:val="bottom"/>
              <w:rPr>
                <w:rFonts w:ascii="Arial" w:hAnsi="Arial" w:cs="Arial"/>
              </w:rPr>
            </w:pPr>
            <w:r w:rsidRPr="0028727A">
              <w:rPr>
                <w:rFonts w:ascii="Arial" w:hAnsi="Arial" w:cs="Arial"/>
              </w:rPr>
              <w:t>n/a</w:t>
            </w:r>
          </w:p>
        </w:tc>
        <w:tc>
          <w:tcPr>
            <w:tcW w:w="1191" w:type="dxa"/>
            <w:tcBorders>
              <w:left w:val="nil"/>
              <w:right w:val="single" w:sz="4" w:space="0" w:color="auto"/>
            </w:tcBorders>
            <w:shd w:val="clear" w:color="auto" w:fill="FFFFFF" w:themeFill="background1"/>
            <w:tcMar>
              <w:top w:w="15" w:type="dxa"/>
              <w:left w:w="15" w:type="dxa"/>
              <w:bottom w:w="0" w:type="dxa"/>
              <w:right w:w="15" w:type="dxa"/>
            </w:tcMar>
            <w:vAlign w:val="center"/>
          </w:tcPr>
          <w:p w14:paraId="3B05869B" w14:textId="77777777" w:rsidR="00E04EA7" w:rsidRPr="0028727A" w:rsidRDefault="00E04EA7" w:rsidP="00E04EA7">
            <w:pPr>
              <w:jc w:val="right"/>
              <w:textAlignment w:val="bottom"/>
              <w:rPr>
                <w:rFonts w:ascii="Arial" w:hAnsi="Arial" w:cs="Arial"/>
              </w:rPr>
            </w:pPr>
            <w:r w:rsidRPr="0028727A">
              <w:rPr>
                <w:rFonts w:ascii="Arial" w:hAnsi="Arial" w:cs="Arial"/>
              </w:rPr>
              <w:t>n/a</w:t>
            </w:r>
          </w:p>
        </w:tc>
        <w:tc>
          <w:tcPr>
            <w:tcW w:w="1191" w:type="dxa"/>
            <w:tcBorders>
              <w:left w:val="single" w:sz="4" w:space="0" w:color="auto"/>
            </w:tcBorders>
            <w:shd w:val="clear" w:color="auto" w:fill="FFFFFF" w:themeFill="background1"/>
            <w:vAlign w:val="center"/>
          </w:tcPr>
          <w:p w14:paraId="5E09C6A4" w14:textId="77777777" w:rsidR="00E04EA7" w:rsidRPr="0028727A" w:rsidRDefault="00E04EA7" w:rsidP="00E04EA7">
            <w:pPr>
              <w:jc w:val="right"/>
              <w:textAlignment w:val="bottom"/>
              <w:rPr>
                <w:rFonts w:ascii="Arial" w:eastAsia="Times New Roman" w:hAnsi="Arial" w:cs="Arial"/>
              </w:rPr>
            </w:pPr>
          </w:p>
        </w:tc>
      </w:tr>
      <w:tr w:rsidR="00D04AA1" w:rsidRPr="00EB4495" w14:paraId="35CE9DC2" w14:textId="77777777" w:rsidTr="00F42B07">
        <w:trPr>
          <w:trHeight w:val="255"/>
        </w:trPr>
        <w:tc>
          <w:tcPr>
            <w:tcW w:w="3061" w:type="dxa"/>
            <w:tcBorders>
              <w:left w:val="single" w:sz="4" w:space="0" w:color="auto"/>
              <w:bottom w:val="single" w:sz="4" w:space="0" w:color="auto"/>
              <w:right w:val="nil"/>
            </w:tcBorders>
            <w:shd w:val="clear" w:color="auto" w:fill="FFFFFF" w:themeFill="background1"/>
            <w:tcMar>
              <w:top w:w="15" w:type="dxa"/>
              <w:left w:w="113" w:type="dxa"/>
              <w:bottom w:w="0" w:type="dxa"/>
              <w:right w:w="15" w:type="dxa"/>
            </w:tcMar>
            <w:vAlign w:val="center"/>
            <w:hideMark/>
          </w:tcPr>
          <w:p w14:paraId="50AEDC26" w14:textId="77777777" w:rsidR="00D04AA1" w:rsidRPr="0070539C" w:rsidRDefault="00D04AA1" w:rsidP="00F42B07">
            <w:pPr>
              <w:jc w:val="left"/>
              <w:rPr>
                <w:rFonts w:ascii="Arial" w:eastAsia="Times New Roman" w:hAnsi="Arial" w:cs="Arial"/>
              </w:rPr>
            </w:pPr>
            <w:r w:rsidRPr="005C2EAC">
              <w:rPr>
                <w:rFonts w:ascii="Arial" w:hAnsi="Arial"/>
                <w:color w:val="000000" w:themeColor="text1"/>
                <w:kern w:val="24"/>
              </w:rPr>
              <w:t>Turkey</w:t>
            </w:r>
            <w:r w:rsidRPr="0070539C">
              <w:rPr>
                <w:rFonts w:ascii="Arial" w:eastAsiaTheme="minorEastAsia" w:hAnsi="Arial" w:cs="Arial"/>
                <w:color w:val="000000" w:themeColor="text1"/>
                <w:kern w:val="24"/>
              </w:rPr>
              <w:t xml:space="preserve"> (50% joint venture)</w:t>
            </w:r>
          </w:p>
        </w:tc>
        <w:tc>
          <w:tcPr>
            <w:tcW w:w="737" w:type="dxa"/>
            <w:tcBorders>
              <w:left w:val="nil"/>
              <w:bottom w:val="single" w:sz="4" w:space="0" w:color="auto"/>
              <w:right w:val="nil"/>
            </w:tcBorders>
            <w:shd w:val="clear" w:color="auto" w:fill="FFFFFF" w:themeFill="background1"/>
            <w:tcMar>
              <w:top w:w="15" w:type="dxa"/>
              <w:left w:w="15" w:type="dxa"/>
              <w:bottom w:w="0" w:type="dxa"/>
              <w:right w:w="15" w:type="dxa"/>
            </w:tcMar>
            <w:vAlign w:val="center"/>
          </w:tcPr>
          <w:p w14:paraId="5F408282" w14:textId="77777777" w:rsidR="00D04AA1" w:rsidRPr="00EB4495" w:rsidRDefault="00D04AA1" w:rsidP="00F42B07">
            <w:pPr>
              <w:jc w:val="left"/>
              <w:textAlignment w:val="bottom"/>
              <w:rPr>
                <w:rFonts w:ascii="Arial" w:eastAsia="Times New Roman" w:hAnsi="Arial" w:cs="Arial"/>
              </w:rPr>
            </w:pPr>
          </w:p>
        </w:tc>
        <w:tc>
          <w:tcPr>
            <w:tcW w:w="1191" w:type="dxa"/>
            <w:tcBorders>
              <w:left w:val="nil"/>
              <w:bottom w:val="single" w:sz="4" w:space="0" w:color="auto"/>
              <w:right w:val="nil"/>
            </w:tcBorders>
            <w:shd w:val="clear" w:color="auto" w:fill="FFFFFF" w:themeFill="background1"/>
            <w:vAlign w:val="center"/>
          </w:tcPr>
          <w:p w14:paraId="48DB93DC" w14:textId="71CD7B73" w:rsidR="00D04AA1" w:rsidRPr="00F40106" w:rsidRDefault="00CE1B4C" w:rsidP="00F42B07">
            <w:pPr>
              <w:jc w:val="right"/>
              <w:textAlignment w:val="bottom"/>
              <w:rPr>
                <w:rFonts w:ascii="Arial" w:eastAsia="Times New Roman" w:hAnsi="Arial" w:cs="Arial"/>
              </w:rPr>
            </w:pPr>
            <w:r w:rsidRPr="00F40106">
              <w:rPr>
                <w:rFonts w:ascii="Arial" w:hAnsi="Arial" w:cs="Arial"/>
              </w:rPr>
              <w:t>8</w:t>
            </w:r>
          </w:p>
        </w:tc>
        <w:tc>
          <w:tcPr>
            <w:tcW w:w="1191" w:type="dxa"/>
            <w:tcBorders>
              <w:left w:val="nil"/>
              <w:bottom w:val="single" w:sz="4" w:space="0" w:color="auto"/>
              <w:right w:val="nil"/>
            </w:tcBorders>
            <w:shd w:val="clear" w:color="auto" w:fill="FFFFFF" w:themeFill="background1"/>
            <w:vAlign w:val="center"/>
          </w:tcPr>
          <w:p w14:paraId="2AC44893" w14:textId="3F31248A" w:rsidR="00D04AA1" w:rsidRPr="0028727A" w:rsidRDefault="003E21F9" w:rsidP="00F42B07">
            <w:pPr>
              <w:jc w:val="right"/>
              <w:textAlignment w:val="bottom"/>
              <w:rPr>
                <w:rFonts w:ascii="Arial" w:eastAsia="Times New Roman" w:hAnsi="Arial" w:cs="Arial"/>
                <w:color w:val="FF0000"/>
              </w:rPr>
            </w:pPr>
            <w:r w:rsidRPr="0028727A">
              <w:rPr>
                <w:rFonts w:ascii="Arial" w:eastAsia="Times New Roman" w:hAnsi="Arial" w:cs="Arial"/>
              </w:rPr>
              <w:t>7</w:t>
            </w:r>
          </w:p>
        </w:tc>
        <w:tc>
          <w:tcPr>
            <w:tcW w:w="1191" w:type="dxa"/>
            <w:tcBorders>
              <w:left w:val="nil"/>
              <w:bottom w:val="single" w:sz="4" w:space="0" w:color="auto"/>
              <w:right w:val="nil"/>
            </w:tcBorders>
            <w:shd w:val="clear" w:color="auto" w:fill="FFFFFF" w:themeFill="background1"/>
            <w:tcMar>
              <w:top w:w="15" w:type="dxa"/>
              <w:left w:w="15" w:type="dxa"/>
              <w:bottom w:w="0" w:type="dxa"/>
              <w:right w:w="15" w:type="dxa"/>
            </w:tcMar>
            <w:vAlign w:val="center"/>
          </w:tcPr>
          <w:p w14:paraId="4720E739" w14:textId="67298787" w:rsidR="00D04AA1" w:rsidRPr="0028727A" w:rsidRDefault="00EF1E64" w:rsidP="00F42B07">
            <w:pPr>
              <w:jc w:val="right"/>
              <w:textAlignment w:val="bottom"/>
              <w:rPr>
                <w:rFonts w:ascii="Arial" w:eastAsia="Times New Roman" w:hAnsi="Arial" w:cs="Arial"/>
              </w:rPr>
            </w:pPr>
            <w:r w:rsidRPr="0028727A">
              <w:rPr>
                <w:rFonts w:ascii="Arial" w:hAnsi="Arial" w:cs="Arial"/>
              </w:rPr>
              <w:t>+</w:t>
            </w:r>
            <w:r>
              <w:rPr>
                <w:rFonts w:ascii="Arial" w:hAnsi="Arial" w:cs="Arial"/>
              </w:rPr>
              <w:t>19</w:t>
            </w:r>
            <w:r w:rsidRPr="0028727A">
              <w:rPr>
                <w:rFonts w:ascii="Arial" w:hAnsi="Arial" w:cs="Arial"/>
              </w:rPr>
              <w:t>.</w:t>
            </w:r>
            <w:r>
              <w:rPr>
                <w:rFonts w:ascii="Arial" w:hAnsi="Arial" w:cs="Arial"/>
              </w:rPr>
              <w:t>8</w:t>
            </w:r>
            <w:r w:rsidRPr="0028727A">
              <w:rPr>
                <w:rFonts w:ascii="Arial" w:hAnsi="Arial" w:cs="Arial"/>
              </w:rPr>
              <w:t>%</w:t>
            </w:r>
          </w:p>
        </w:tc>
        <w:tc>
          <w:tcPr>
            <w:tcW w:w="1191" w:type="dxa"/>
            <w:tcBorders>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54535BE9" w14:textId="77777777" w:rsidR="00D04AA1" w:rsidRPr="0028727A" w:rsidRDefault="00D04AA1" w:rsidP="00F42B07">
            <w:pPr>
              <w:jc w:val="right"/>
              <w:textAlignment w:val="bottom"/>
              <w:rPr>
                <w:rFonts w:ascii="Arial" w:eastAsia="Times New Roman" w:hAnsi="Arial" w:cs="Arial"/>
              </w:rPr>
            </w:pPr>
            <w:r w:rsidRPr="0028727A">
              <w:rPr>
                <w:rFonts w:ascii="Arial" w:hAnsi="Arial" w:cs="Arial"/>
              </w:rPr>
              <w:t>n/a</w:t>
            </w:r>
          </w:p>
        </w:tc>
        <w:tc>
          <w:tcPr>
            <w:tcW w:w="1191" w:type="dxa"/>
            <w:tcBorders>
              <w:left w:val="single" w:sz="4" w:space="0" w:color="auto"/>
            </w:tcBorders>
            <w:shd w:val="clear" w:color="auto" w:fill="FFFFFF" w:themeFill="background1"/>
            <w:vAlign w:val="center"/>
          </w:tcPr>
          <w:p w14:paraId="1CF9CA32" w14:textId="77777777" w:rsidR="00D04AA1" w:rsidRPr="0028727A" w:rsidRDefault="00D04AA1" w:rsidP="00F42B07">
            <w:pPr>
              <w:jc w:val="right"/>
              <w:textAlignment w:val="bottom"/>
              <w:rPr>
                <w:rFonts w:ascii="Arial" w:eastAsia="Times New Roman" w:hAnsi="Arial" w:cs="Arial"/>
              </w:rPr>
            </w:pPr>
          </w:p>
        </w:tc>
      </w:tr>
      <w:tr w:rsidR="00EE7D0A" w:rsidRPr="00EB4495" w14:paraId="1A892D46" w14:textId="77777777" w:rsidTr="00F42B07">
        <w:trPr>
          <w:trHeight w:val="255"/>
        </w:trPr>
        <w:tc>
          <w:tcPr>
            <w:tcW w:w="3061" w:type="dxa"/>
            <w:tcBorders>
              <w:top w:val="single" w:sz="4" w:space="0" w:color="auto"/>
              <w:left w:val="single" w:sz="4" w:space="0" w:color="auto"/>
              <w:bottom w:val="single" w:sz="4" w:space="0" w:color="auto"/>
              <w:right w:val="nil"/>
            </w:tcBorders>
            <w:shd w:val="clear" w:color="auto" w:fill="FFFFFF" w:themeFill="background1"/>
            <w:tcMar>
              <w:top w:w="15" w:type="dxa"/>
              <w:left w:w="113" w:type="dxa"/>
              <w:bottom w:w="0" w:type="dxa"/>
              <w:right w:w="15" w:type="dxa"/>
            </w:tcMar>
            <w:vAlign w:val="center"/>
            <w:hideMark/>
          </w:tcPr>
          <w:p w14:paraId="5286DACA" w14:textId="77777777" w:rsidR="00EE7D0A" w:rsidRPr="00EB4495" w:rsidRDefault="00EE7D0A" w:rsidP="00EE7D0A">
            <w:pPr>
              <w:jc w:val="left"/>
              <w:rPr>
                <w:rFonts w:ascii="Arial" w:eastAsia="Times New Roman" w:hAnsi="Arial" w:cs="Arial"/>
                <w:b/>
                <w:bCs/>
              </w:rPr>
            </w:pPr>
            <w:r w:rsidRPr="00EB4495">
              <w:rPr>
                <w:rFonts w:ascii="Arial" w:eastAsiaTheme="minorEastAsia" w:hAnsi="Arial" w:cs="Arial"/>
                <w:b/>
                <w:bCs/>
                <w:color w:val="000000" w:themeColor="text1"/>
                <w:kern w:val="24"/>
              </w:rPr>
              <w:t xml:space="preserve">Other International* </w:t>
            </w:r>
          </w:p>
        </w:tc>
        <w:tc>
          <w:tcPr>
            <w:tcW w:w="737"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1A8463E2" w14:textId="77777777" w:rsidR="00EE7D0A" w:rsidRPr="00EB4495" w:rsidRDefault="00EE7D0A" w:rsidP="00EE7D0A">
            <w:pPr>
              <w:jc w:val="left"/>
              <w:textAlignment w:val="bottom"/>
              <w:rPr>
                <w:rFonts w:ascii="Arial" w:eastAsia="Times New Roman" w:hAnsi="Arial" w:cs="Arial"/>
                <w:b/>
                <w:bCs/>
              </w:rPr>
            </w:pPr>
          </w:p>
        </w:tc>
        <w:tc>
          <w:tcPr>
            <w:tcW w:w="1191" w:type="dxa"/>
            <w:tcBorders>
              <w:top w:val="single" w:sz="4" w:space="0" w:color="auto"/>
              <w:left w:val="nil"/>
              <w:bottom w:val="single" w:sz="4" w:space="0" w:color="auto"/>
              <w:right w:val="nil"/>
            </w:tcBorders>
            <w:shd w:val="clear" w:color="auto" w:fill="FFFFFF" w:themeFill="background1"/>
            <w:vAlign w:val="center"/>
          </w:tcPr>
          <w:p w14:paraId="63F8892D" w14:textId="30AD6874" w:rsidR="00EE7D0A" w:rsidRPr="00F40106" w:rsidRDefault="00205819" w:rsidP="00EE7D0A">
            <w:pPr>
              <w:jc w:val="right"/>
              <w:textAlignment w:val="bottom"/>
              <w:rPr>
                <w:rFonts w:ascii="Arial" w:eastAsia="Times New Roman" w:hAnsi="Arial" w:cs="Arial"/>
                <w:b/>
                <w:bCs/>
              </w:rPr>
            </w:pPr>
            <w:r w:rsidRPr="00F40106">
              <w:rPr>
                <w:rFonts w:ascii="Arial" w:eastAsia="Times New Roman" w:hAnsi="Arial" w:cs="Arial"/>
                <w:b/>
                <w:bCs/>
              </w:rPr>
              <w:t>125</w:t>
            </w:r>
          </w:p>
        </w:tc>
        <w:tc>
          <w:tcPr>
            <w:tcW w:w="1191" w:type="dxa"/>
            <w:tcBorders>
              <w:top w:val="single" w:sz="4" w:space="0" w:color="auto"/>
              <w:left w:val="nil"/>
              <w:bottom w:val="single" w:sz="4" w:space="0" w:color="auto"/>
              <w:right w:val="nil"/>
            </w:tcBorders>
            <w:shd w:val="clear" w:color="auto" w:fill="FFFFFF" w:themeFill="background1"/>
            <w:vAlign w:val="center"/>
          </w:tcPr>
          <w:p w14:paraId="50B36667" w14:textId="00F08385" w:rsidR="00EE7D0A" w:rsidRPr="0028727A" w:rsidRDefault="00EE7D0A" w:rsidP="00EE7D0A">
            <w:pPr>
              <w:jc w:val="right"/>
              <w:textAlignment w:val="bottom"/>
              <w:rPr>
                <w:rFonts w:ascii="Arial" w:eastAsia="Times New Roman" w:hAnsi="Arial" w:cs="Arial"/>
                <w:b/>
                <w:bCs/>
                <w:color w:val="FF0000"/>
              </w:rPr>
            </w:pPr>
            <w:r w:rsidRPr="0028727A">
              <w:rPr>
                <w:rFonts w:ascii="Arial" w:eastAsia="Times New Roman" w:hAnsi="Arial" w:cs="Arial"/>
                <w:b/>
                <w:bCs/>
              </w:rPr>
              <w:t>133</w:t>
            </w:r>
          </w:p>
        </w:tc>
        <w:tc>
          <w:tcPr>
            <w:tcW w:w="1191"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0D6C5C35" w14:textId="6D57F07B" w:rsidR="00EE7D0A" w:rsidRPr="0028727A" w:rsidRDefault="009276BD" w:rsidP="00EE7D0A">
            <w:pPr>
              <w:jc w:val="right"/>
              <w:textAlignment w:val="bottom"/>
              <w:rPr>
                <w:rFonts w:ascii="Arial" w:eastAsia="Times New Roman" w:hAnsi="Arial" w:cs="Arial"/>
                <w:b/>
                <w:bCs/>
              </w:rPr>
            </w:pPr>
            <w:r w:rsidRPr="0028727A">
              <w:rPr>
                <w:rFonts w:ascii="Arial" w:hAnsi="Arial" w:cs="Arial"/>
              </w:rPr>
              <w:t>(6.</w:t>
            </w:r>
            <w:r w:rsidR="00A03B3F">
              <w:rPr>
                <w:rFonts w:ascii="Arial" w:hAnsi="Arial" w:cs="Arial"/>
              </w:rPr>
              <w:t>6</w:t>
            </w:r>
            <w:r w:rsidRPr="0028727A">
              <w:rPr>
                <w:rFonts w:ascii="Arial" w:hAnsi="Arial" w:cs="Arial"/>
              </w:rPr>
              <w:t>)</w:t>
            </w:r>
            <w:r w:rsidR="00EE7D0A" w:rsidRPr="0028727A">
              <w:rPr>
                <w:rFonts w:ascii="Arial" w:hAnsi="Arial" w:cs="Arial"/>
              </w:rPr>
              <w:t>%</w:t>
            </w:r>
          </w:p>
        </w:tc>
        <w:tc>
          <w:tcPr>
            <w:tcW w:w="1191"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111A081E" w14:textId="61B19106" w:rsidR="00EE7D0A" w:rsidRPr="0028727A" w:rsidRDefault="000E3DA2" w:rsidP="00EE7D0A">
            <w:pPr>
              <w:jc w:val="right"/>
              <w:textAlignment w:val="bottom"/>
              <w:rPr>
                <w:rFonts w:ascii="Arial" w:eastAsia="Times New Roman" w:hAnsi="Arial" w:cs="Arial"/>
                <w:b/>
                <w:bCs/>
              </w:rPr>
            </w:pPr>
            <w:r w:rsidRPr="0028727A">
              <w:rPr>
                <w:rFonts w:ascii="Arial" w:hAnsi="Arial" w:cs="Arial"/>
              </w:rPr>
              <w:t>(1.</w:t>
            </w:r>
            <w:r w:rsidR="004E57A0">
              <w:rPr>
                <w:rFonts w:ascii="Arial" w:hAnsi="Arial" w:cs="Arial"/>
              </w:rPr>
              <w:t>8</w:t>
            </w:r>
            <w:r w:rsidRPr="0028727A">
              <w:rPr>
                <w:rFonts w:ascii="Arial" w:hAnsi="Arial" w:cs="Arial"/>
              </w:rPr>
              <w:t>)</w:t>
            </w:r>
            <w:r w:rsidR="00EE7D0A" w:rsidRPr="0028727A">
              <w:rPr>
                <w:rFonts w:ascii="Arial" w:hAnsi="Arial" w:cs="Arial"/>
              </w:rPr>
              <w:t>%</w:t>
            </w:r>
          </w:p>
        </w:tc>
        <w:tc>
          <w:tcPr>
            <w:tcW w:w="1191" w:type="dxa"/>
            <w:tcBorders>
              <w:left w:val="single" w:sz="4" w:space="0" w:color="auto"/>
            </w:tcBorders>
            <w:shd w:val="clear" w:color="auto" w:fill="FFFFFF" w:themeFill="background1"/>
            <w:vAlign w:val="center"/>
          </w:tcPr>
          <w:p w14:paraId="2EB6167B" w14:textId="77777777" w:rsidR="00EE7D0A" w:rsidRPr="0028727A" w:rsidRDefault="00EE7D0A" w:rsidP="00EE7D0A">
            <w:pPr>
              <w:jc w:val="right"/>
              <w:textAlignment w:val="bottom"/>
              <w:rPr>
                <w:rFonts w:ascii="Arial" w:eastAsia="Times New Roman" w:hAnsi="Arial" w:cs="Arial"/>
                <w:b/>
                <w:bCs/>
              </w:rPr>
            </w:pPr>
          </w:p>
        </w:tc>
      </w:tr>
      <w:tr w:rsidR="00EE7D0A" w:rsidRPr="00EB4495" w14:paraId="0C7316B9" w14:textId="77777777" w:rsidTr="00F42B07">
        <w:trPr>
          <w:trHeight w:val="255"/>
        </w:trPr>
        <w:tc>
          <w:tcPr>
            <w:tcW w:w="3061" w:type="dxa"/>
            <w:tcBorders>
              <w:top w:val="single" w:sz="4" w:space="0" w:color="auto"/>
              <w:right w:val="nil"/>
            </w:tcBorders>
            <w:shd w:val="clear" w:color="auto" w:fill="FFFFFF" w:themeFill="background1"/>
            <w:tcMar>
              <w:top w:w="15" w:type="dxa"/>
              <w:left w:w="113" w:type="dxa"/>
              <w:bottom w:w="0" w:type="dxa"/>
              <w:right w:w="15" w:type="dxa"/>
            </w:tcMar>
            <w:vAlign w:val="center"/>
            <w:hideMark/>
          </w:tcPr>
          <w:p w14:paraId="1B9A9FF0" w14:textId="77777777" w:rsidR="00EE7D0A" w:rsidRPr="00EB4495" w:rsidRDefault="00EE7D0A" w:rsidP="00EE7D0A">
            <w:pPr>
              <w:jc w:val="left"/>
              <w:rPr>
                <w:rFonts w:ascii="Arial" w:eastAsia="Times New Roman" w:hAnsi="Arial" w:cs="Arial"/>
                <w:b/>
                <w:bCs/>
              </w:rPr>
            </w:pPr>
            <w:r w:rsidRPr="00EB4495">
              <w:rPr>
                <w:rFonts w:ascii="Arial" w:eastAsiaTheme="minorEastAsia" w:hAnsi="Arial" w:cs="Arial"/>
                <w:b/>
                <w:bCs/>
                <w:color w:val="000000" w:themeColor="text1"/>
                <w:kern w:val="24"/>
              </w:rPr>
              <w:t>Retail profit</w:t>
            </w:r>
          </w:p>
        </w:tc>
        <w:tc>
          <w:tcPr>
            <w:tcW w:w="737"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15F674EF" w14:textId="77777777" w:rsidR="00EE7D0A" w:rsidRPr="00EB4495" w:rsidRDefault="00EE7D0A" w:rsidP="00EE7D0A">
            <w:pPr>
              <w:jc w:val="left"/>
              <w:textAlignment w:val="bottom"/>
              <w:rPr>
                <w:rFonts w:ascii="Arial" w:eastAsia="Times New Roman" w:hAnsi="Arial" w:cs="Arial"/>
                <w:b/>
                <w:bCs/>
              </w:rPr>
            </w:pPr>
          </w:p>
        </w:tc>
        <w:tc>
          <w:tcPr>
            <w:tcW w:w="1191" w:type="dxa"/>
            <w:tcBorders>
              <w:top w:val="single" w:sz="4" w:space="0" w:color="auto"/>
              <w:left w:val="nil"/>
              <w:right w:val="nil"/>
            </w:tcBorders>
            <w:shd w:val="clear" w:color="auto" w:fill="FFFFFF" w:themeFill="background1"/>
            <w:vAlign w:val="center"/>
          </w:tcPr>
          <w:p w14:paraId="2AF0B7E3" w14:textId="28DD7D11" w:rsidR="00EE7D0A" w:rsidRPr="00F40106" w:rsidRDefault="005105F1" w:rsidP="00EE7D0A">
            <w:pPr>
              <w:jc w:val="right"/>
              <w:textAlignment w:val="bottom"/>
              <w:rPr>
                <w:rFonts w:ascii="Arial" w:eastAsia="Times New Roman" w:hAnsi="Arial" w:cs="Arial"/>
                <w:b/>
                <w:bCs/>
              </w:rPr>
            </w:pPr>
            <w:r w:rsidRPr="00F40106">
              <w:rPr>
                <w:rFonts w:ascii="Arial" w:eastAsia="Times New Roman" w:hAnsi="Arial" w:cs="Arial"/>
                <w:b/>
                <w:bCs/>
              </w:rPr>
              <w:t>923</w:t>
            </w:r>
          </w:p>
        </w:tc>
        <w:tc>
          <w:tcPr>
            <w:tcW w:w="1191" w:type="dxa"/>
            <w:tcBorders>
              <w:top w:val="single" w:sz="4" w:space="0" w:color="auto"/>
              <w:left w:val="nil"/>
              <w:right w:val="nil"/>
            </w:tcBorders>
            <w:shd w:val="clear" w:color="auto" w:fill="FFFFFF" w:themeFill="background1"/>
            <w:vAlign w:val="center"/>
          </w:tcPr>
          <w:p w14:paraId="6FCB48BE" w14:textId="106E302D" w:rsidR="00EE7D0A" w:rsidRPr="0028727A" w:rsidRDefault="00EE7D0A" w:rsidP="00EE7D0A">
            <w:pPr>
              <w:jc w:val="right"/>
              <w:textAlignment w:val="bottom"/>
              <w:rPr>
                <w:rFonts w:ascii="Arial" w:eastAsia="Times New Roman" w:hAnsi="Arial" w:cs="Arial"/>
                <w:b/>
                <w:bCs/>
                <w:color w:val="FF0000"/>
              </w:rPr>
            </w:pPr>
            <w:r w:rsidRPr="0028727A">
              <w:rPr>
                <w:rFonts w:ascii="Arial" w:eastAsia="Times New Roman" w:hAnsi="Arial" w:cs="Arial"/>
                <w:b/>
                <w:bCs/>
              </w:rPr>
              <w:t>1,148</w:t>
            </w:r>
          </w:p>
        </w:tc>
        <w:tc>
          <w:tcPr>
            <w:tcW w:w="1191"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64B29396" w14:textId="74157435" w:rsidR="00EE7D0A" w:rsidRPr="0028727A" w:rsidRDefault="00EE7D0A" w:rsidP="00EE7D0A">
            <w:pPr>
              <w:jc w:val="right"/>
              <w:textAlignment w:val="bottom"/>
              <w:rPr>
                <w:rFonts w:ascii="Arial" w:eastAsia="Times New Roman" w:hAnsi="Arial" w:cs="Arial"/>
                <w:b/>
                <w:bCs/>
              </w:rPr>
            </w:pPr>
            <w:r w:rsidRPr="0028727A">
              <w:rPr>
                <w:rFonts w:ascii="Arial" w:hAnsi="Arial" w:cs="Arial"/>
              </w:rPr>
              <w:t>(</w:t>
            </w:r>
            <w:r w:rsidR="002C0235" w:rsidRPr="0028727A">
              <w:rPr>
                <w:rFonts w:ascii="Arial" w:hAnsi="Arial" w:cs="Arial"/>
              </w:rPr>
              <w:t>19.</w:t>
            </w:r>
            <w:r w:rsidR="00C448C0">
              <w:rPr>
                <w:rFonts w:ascii="Arial" w:hAnsi="Arial" w:cs="Arial"/>
              </w:rPr>
              <w:t>7</w:t>
            </w:r>
            <w:r w:rsidRPr="0028727A">
              <w:rPr>
                <w:rFonts w:ascii="Arial" w:hAnsi="Arial" w:cs="Arial"/>
              </w:rPr>
              <w:t>)%</w:t>
            </w:r>
          </w:p>
        </w:tc>
        <w:tc>
          <w:tcPr>
            <w:tcW w:w="1191"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31D4D75B" w14:textId="0B1F552D" w:rsidR="00EE7D0A" w:rsidRPr="0028727A" w:rsidRDefault="00EE7D0A" w:rsidP="00EE7D0A">
            <w:pPr>
              <w:jc w:val="right"/>
              <w:textAlignment w:val="bottom"/>
              <w:rPr>
                <w:rFonts w:ascii="Arial" w:eastAsia="Times New Roman" w:hAnsi="Arial" w:cs="Arial"/>
                <w:b/>
                <w:bCs/>
              </w:rPr>
            </w:pPr>
            <w:r w:rsidRPr="0028727A">
              <w:rPr>
                <w:rFonts w:ascii="Arial" w:hAnsi="Arial" w:cs="Arial"/>
              </w:rPr>
              <w:t>(</w:t>
            </w:r>
            <w:r w:rsidR="009F7551" w:rsidRPr="0028727A">
              <w:rPr>
                <w:rFonts w:ascii="Arial" w:hAnsi="Arial" w:cs="Arial"/>
              </w:rPr>
              <w:t>19.2</w:t>
            </w:r>
            <w:r w:rsidRPr="0028727A">
              <w:rPr>
                <w:rFonts w:ascii="Arial" w:hAnsi="Arial" w:cs="Arial"/>
              </w:rPr>
              <w:t>)%</w:t>
            </w:r>
          </w:p>
        </w:tc>
        <w:tc>
          <w:tcPr>
            <w:tcW w:w="1191" w:type="dxa"/>
            <w:tcBorders>
              <w:left w:val="nil"/>
            </w:tcBorders>
            <w:shd w:val="clear" w:color="auto" w:fill="FFFFFF" w:themeFill="background1"/>
            <w:vAlign w:val="center"/>
          </w:tcPr>
          <w:p w14:paraId="4D568D2F" w14:textId="77777777" w:rsidR="00EE7D0A" w:rsidRPr="0028727A" w:rsidRDefault="00EE7D0A" w:rsidP="00EE7D0A">
            <w:pPr>
              <w:jc w:val="right"/>
              <w:textAlignment w:val="bottom"/>
              <w:rPr>
                <w:rFonts w:ascii="Arial" w:eastAsia="Times New Roman" w:hAnsi="Arial" w:cs="Arial"/>
                <w:b/>
                <w:bCs/>
              </w:rPr>
            </w:pPr>
          </w:p>
        </w:tc>
      </w:tr>
      <w:tr w:rsidR="00EE7D0A" w:rsidRPr="00EB4495" w14:paraId="7D31D7FE" w14:textId="77777777" w:rsidTr="00F42B07">
        <w:trPr>
          <w:trHeight w:val="255"/>
        </w:trPr>
        <w:tc>
          <w:tcPr>
            <w:tcW w:w="3061" w:type="dxa"/>
            <w:tcBorders>
              <w:left w:val="nil"/>
              <w:right w:val="nil"/>
            </w:tcBorders>
            <w:shd w:val="clear" w:color="auto" w:fill="FFFFFF" w:themeFill="background1"/>
            <w:tcMar>
              <w:top w:w="15" w:type="dxa"/>
              <w:left w:w="113" w:type="dxa"/>
              <w:bottom w:w="0" w:type="dxa"/>
              <w:right w:w="15" w:type="dxa"/>
            </w:tcMar>
            <w:vAlign w:val="center"/>
            <w:hideMark/>
          </w:tcPr>
          <w:p w14:paraId="363B7819" w14:textId="77777777" w:rsidR="00EE7D0A" w:rsidRPr="00EB4495" w:rsidRDefault="00EE7D0A" w:rsidP="00EE7D0A">
            <w:pPr>
              <w:jc w:val="left"/>
              <w:rPr>
                <w:rFonts w:ascii="Arial" w:eastAsia="Times New Roman" w:hAnsi="Arial" w:cs="Arial"/>
              </w:rPr>
            </w:pPr>
            <w:r w:rsidRPr="00EB4495">
              <w:rPr>
                <w:rFonts w:ascii="Arial" w:eastAsiaTheme="minorEastAsia" w:hAnsi="Arial" w:cs="Arial"/>
                <w:color w:val="000000" w:themeColor="text1"/>
                <w:kern w:val="24"/>
              </w:rPr>
              <w:t>Central costs*</w:t>
            </w:r>
          </w:p>
        </w:tc>
        <w:tc>
          <w:tcPr>
            <w:tcW w:w="737" w:type="dxa"/>
            <w:tcBorders>
              <w:left w:val="nil"/>
              <w:right w:val="nil"/>
            </w:tcBorders>
            <w:shd w:val="clear" w:color="auto" w:fill="FFFFFF" w:themeFill="background1"/>
            <w:tcMar>
              <w:top w:w="15" w:type="dxa"/>
              <w:left w:w="15" w:type="dxa"/>
              <w:bottom w:w="0" w:type="dxa"/>
              <w:right w:w="15" w:type="dxa"/>
            </w:tcMar>
            <w:vAlign w:val="center"/>
          </w:tcPr>
          <w:p w14:paraId="227B1619" w14:textId="77777777" w:rsidR="00EE7D0A" w:rsidRPr="00EB4495" w:rsidRDefault="00EE7D0A" w:rsidP="00EE7D0A">
            <w:pPr>
              <w:jc w:val="left"/>
              <w:textAlignment w:val="bottom"/>
              <w:rPr>
                <w:rFonts w:ascii="Arial" w:eastAsia="Times New Roman" w:hAnsi="Arial" w:cs="Arial"/>
              </w:rPr>
            </w:pPr>
          </w:p>
        </w:tc>
        <w:tc>
          <w:tcPr>
            <w:tcW w:w="1191" w:type="dxa"/>
            <w:tcBorders>
              <w:left w:val="nil"/>
              <w:right w:val="nil"/>
            </w:tcBorders>
            <w:shd w:val="clear" w:color="auto" w:fill="FFFFFF" w:themeFill="background1"/>
            <w:vAlign w:val="center"/>
          </w:tcPr>
          <w:p w14:paraId="670B8DB4" w14:textId="7BE13D33" w:rsidR="00EE7D0A" w:rsidRPr="0028727A" w:rsidRDefault="00EE7D0A" w:rsidP="00EE7D0A">
            <w:pPr>
              <w:jc w:val="right"/>
              <w:textAlignment w:val="bottom"/>
              <w:rPr>
                <w:rFonts w:ascii="Arial" w:eastAsia="Times New Roman" w:hAnsi="Arial" w:cs="Arial"/>
              </w:rPr>
            </w:pPr>
            <w:r w:rsidRPr="0028727A">
              <w:rPr>
                <w:rFonts w:ascii="Arial" w:hAnsi="Arial" w:cs="Arial"/>
                <w:bCs/>
              </w:rPr>
              <w:t>(</w:t>
            </w:r>
            <w:r w:rsidR="00290307" w:rsidRPr="0028727A">
              <w:rPr>
                <w:rFonts w:ascii="Arial" w:hAnsi="Arial" w:cs="Arial"/>
                <w:bCs/>
              </w:rPr>
              <w:t>49</w:t>
            </w:r>
            <w:r w:rsidRPr="0028727A">
              <w:rPr>
                <w:rFonts w:ascii="Arial" w:hAnsi="Arial" w:cs="Arial"/>
                <w:bCs/>
              </w:rPr>
              <w:t>)</w:t>
            </w:r>
          </w:p>
        </w:tc>
        <w:tc>
          <w:tcPr>
            <w:tcW w:w="1191" w:type="dxa"/>
            <w:tcBorders>
              <w:left w:val="nil"/>
              <w:right w:val="nil"/>
            </w:tcBorders>
            <w:shd w:val="clear" w:color="auto" w:fill="FFFFFF" w:themeFill="background1"/>
            <w:vAlign w:val="center"/>
          </w:tcPr>
          <w:p w14:paraId="41481D50" w14:textId="6281F9A9" w:rsidR="00EE7D0A" w:rsidRPr="0028727A" w:rsidRDefault="00EE7D0A" w:rsidP="00EE7D0A">
            <w:pPr>
              <w:jc w:val="right"/>
              <w:textAlignment w:val="bottom"/>
              <w:rPr>
                <w:rFonts w:ascii="Arial" w:eastAsia="Times New Roman" w:hAnsi="Arial" w:cs="Arial"/>
                <w:bCs/>
                <w:color w:val="FF0000"/>
              </w:rPr>
            </w:pPr>
            <w:r w:rsidRPr="0028727A">
              <w:rPr>
                <w:rFonts w:ascii="Arial" w:hAnsi="Arial" w:cs="Arial"/>
                <w:bCs/>
              </w:rPr>
              <w:t>(60)</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0699679F" w14:textId="56800E18" w:rsidR="00EE7D0A" w:rsidRPr="0028727A" w:rsidRDefault="00EE7D0A" w:rsidP="00EE7D0A">
            <w:pPr>
              <w:jc w:val="right"/>
              <w:textAlignment w:val="bottom"/>
              <w:rPr>
                <w:rFonts w:ascii="Arial" w:eastAsia="Times New Roman" w:hAnsi="Arial" w:cs="Arial"/>
              </w:rPr>
            </w:pPr>
            <w:r w:rsidRPr="0028727A">
              <w:rPr>
                <w:rFonts w:ascii="Arial" w:hAnsi="Arial" w:cs="Arial"/>
              </w:rPr>
              <w:t>(</w:t>
            </w:r>
            <w:r w:rsidR="0025250D" w:rsidRPr="0028727A">
              <w:rPr>
                <w:rFonts w:ascii="Arial" w:hAnsi="Arial" w:cs="Arial"/>
              </w:rPr>
              <w:t>18.6</w:t>
            </w:r>
            <w:r w:rsidRPr="0028727A">
              <w:rPr>
                <w:rFonts w:ascii="Arial" w:hAnsi="Arial" w:cs="Arial"/>
              </w:rPr>
              <w:t>)%</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46290545" w14:textId="77777777" w:rsidR="00EE7D0A" w:rsidRPr="0028727A" w:rsidRDefault="00EE7D0A" w:rsidP="00EE7D0A">
            <w:pPr>
              <w:jc w:val="right"/>
              <w:textAlignment w:val="bottom"/>
              <w:rPr>
                <w:rFonts w:ascii="Arial" w:eastAsia="Times New Roman" w:hAnsi="Arial" w:cs="Arial"/>
              </w:rPr>
            </w:pPr>
          </w:p>
        </w:tc>
        <w:tc>
          <w:tcPr>
            <w:tcW w:w="1191" w:type="dxa"/>
            <w:tcBorders>
              <w:left w:val="nil"/>
              <w:right w:val="nil"/>
            </w:tcBorders>
            <w:shd w:val="clear" w:color="auto" w:fill="FFFFFF" w:themeFill="background1"/>
            <w:vAlign w:val="center"/>
          </w:tcPr>
          <w:p w14:paraId="2EBBFEFC" w14:textId="77777777" w:rsidR="00EE7D0A" w:rsidRPr="0028727A" w:rsidRDefault="00EE7D0A" w:rsidP="00EE7D0A">
            <w:pPr>
              <w:jc w:val="right"/>
              <w:textAlignment w:val="bottom"/>
              <w:rPr>
                <w:rFonts w:ascii="Arial" w:eastAsia="Times New Roman" w:hAnsi="Arial" w:cs="Arial"/>
              </w:rPr>
            </w:pPr>
          </w:p>
        </w:tc>
      </w:tr>
      <w:tr w:rsidR="00EE7D0A" w:rsidRPr="00EB4495" w14:paraId="14189FB6" w14:textId="77777777" w:rsidTr="00F42B07">
        <w:trPr>
          <w:trHeight w:val="255"/>
        </w:trPr>
        <w:tc>
          <w:tcPr>
            <w:tcW w:w="3061" w:type="dxa"/>
            <w:tcBorders>
              <w:left w:val="nil"/>
              <w:right w:val="nil"/>
            </w:tcBorders>
            <w:shd w:val="clear" w:color="auto" w:fill="FFFFFF" w:themeFill="background1"/>
            <w:tcMar>
              <w:top w:w="15" w:type="dxa"/>
              <w:left w:w="113" w:type="dxa"/>
              <w:bottom w:w="0" w:type="dxa"/>
              <w:right w:w="15" w:type="dxa"/>
            </w:tcMar>
            <w:vAlign w:val="center"/>
            <w:hideMark/>
          </w:tcPr>
          <w:p w14:paraId="7C38324A" w14:textId="77777777" w:rsidR="00EE7D0A" w:rsidRPr="00EB4495" w:rsidRDefault="00EE7D0A" w:rsidP="00EE7D0A">
            <w:pPr>
              <w:jc w:val="left"/>
              <w:rPr>
                <w:rFonts w:ascii="Arial" w:eastAsia="Times New Roman" w:hAnsi="Arial" w:cs="Arial"/>
              </w:rPr>
            </w:pPr>
            <w:r w:rsidRPr="00EB4495">
              <w:rPr>
                <w:rFonts w:ascii="Arial" w:eastAsiaTheme="minorEastAsia" w:hAnsi="Arial" w:cs="Arial"/>
                <w:color w:val="000000" w:themeColor="text1"/>
                <w:kern w:val="24"/>
              </w:rPr>
              <w:t>Share of JV interest and tax</w:t>
            </w:r>
          </w:p>
        </w:tc>
        <w:tc>
          <w:tcPr>
            <w:tcW w:w="737" w:type="dxa"/>
            <w:tcBorders>
              <w:left w:val="nil"/>
              <w:right w:val="nil"/>
            </w:tcBorders>
            <w:shd w:val="clear" w:color="auto" w:fill="FFFFFF" w:themeFill="background1"/>
            <w:tcMar>
              <w:top w:w="15" w:type="dxa"/>
              <w:left w:w="15" w:type="dxa"/>
              <w:bottom w:w="0" w:type="dxa"/>
              <w:right w:w="15" w:type="dxa"/>
            </w:tcMar>
            <w:vAlign w:val="center"/>
          </w:tcPr>
          <w:p w14:paraId="12EE4D60" w14:textId="77777777" w:rsidR="00EE7D0A" w:rsidRPr="00EB4495" w:rsidRDefault="00EE7D0A" w:rsidP="00EE7D0A">
            <w:pPr>
              <w:jc w:val="left"/>
              <w:textAlignment w:val="bottom"/>
              <w:rPr>
                <w:rFonts w:ascii="Arial" w:eastAsia="Times New Roman" w:hAnsi="Arial" w:cs="Arial"/>
              </w:rPr>
            </w:pPr>
          </w:p>
        </w:tc>
        <w:tc>
          <w:tcPr>
            <w:tcW w:w="1191" w:type="dxa"/>
            <w:tcBorders>
              <w:left w:val="nil"/>
              <w:right w:val="nil"/>
            </w:tcBorders>
            <w:shd w:val="clear" w:color="auto" w:fill="FFFFFF" w:themeFill="background1"/>
            <w:vAlign w:val="center"/>
          </w:tcPr>
          <w:p w14:paraId="5B1B2587" w14:textId="4F7B1533" w:rsidR="00EE7D0A" w:rsidRPr="0028727A" w:rsidRDefault="000048F0" w:rsidP="00EE7D0A">
            <w:pPr>
              <w:jc w:val="right"/>
              <w:textAlignment w:val="bottom"/>
              <w:rPr>
                <w:rFonts w:ascii="Arial" w:eastAsia="Times New Roman" w:hAnsi="Arial" w:cs="Arial"/>
              </w:rPr>
            </w:pPr>
            <w:r w:rsidRPr="0028727A">
              <w:rPr>
                <w:rFonts w:ascii="Arial" w:hAnsi="Arial" w:cs="Arial"/>
                <w:bCs/>
              </w:rPr>
              <w:t>(</w:t>
            </w:r>
            <w:r w:rsidR="00F503CA" w:rsidRPr="0028727A">
              <w:rPr>
                <w:rFonts w:ascii="Arial" w:hAnsi="Arial" w:cs="Arial"/>
                <w:bCs/>
              </w:rPr>
              <w:t>4</w:t>
            </w:r>
            <w:r w:rsidRPr="0028727A">
              <w:rPr>
                <w:rFonts w:ascii="Arial" w:hAnsi="Arial" w:cs="Arial"/>
                <w:bCs/>
              </w:rPr>
              <w:t>)</w:t>
            </w:r>
          </w:p>
        </w:tc>
        <w:tc>
          <w:tcPr>
            <w:tcW w:w="1191" w:type="dxa"/>
            <w:tcBorders>
              <w:left w:val="nil"/>
              <w:right w:val="nil"/>
            </w:tcBorders>
            <w:shd w:val="clear" w:color="auto" w:fill="FFFFFF" w:themeFill="background1"/>
            <w:vAlign w:val="center"/>
          </w:tcPr>
          <w:p w14:paraId="3B7B9B16" w14:textId="0E6C43B1" w:rsidR="00EE7D0A" w:rsidRPr="0028727A" w:rsidRDefault="00EE7D0A" w:rsidP="00EE7D0A">
            <w:pPr>
              <w:jc w:val="right"/>
              <w:textAlignment w:val="bottom"/>
              <w:rPr>
                <w:rFonts w:ascii="Arial" w:eastAsia="Times New Roman" w:hAnsi="Arial" w:cs="Arial"/>
                <w:bCs/>
              </w:rPr>
            </w:pPr>
            <w:r w:rsidRPr="0028727A">
              <w:rPr>
                <w:rFonts w:ascii="Arial" w:hAnsi="Arial" w:cs="Arial"/>
                <w:bCs/>
              </w:rPr>
              <w:t>(2)</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0FF97C2D" w14:textId="77777777" w:rsidR="00EE7D0A" w:rsidRPr="0028727A" w:rsidRDefault="00EE7D0A" w:rsidP="00EE7D0A">
            <w:pPr>
              <w:jc w:val="right"/>
              <w:textAlignment w:val="bottom"/>
              <w:rPr>
                <w:rFonts w:ascii="Arial" w:eastAsia="Times New Roman" w:hAnsi="Arial" w:cs="Arial"/>
              </w:rPr>
            </w:pPr>
            <w:r w:rsidRPr="0028727A">
              <w:rPr>
                <w:rFonts w:ascii="Arial" w:hAnsi="Arial" w:cs="Arial"/>
              </w:rPr>
              <w:t>n/a</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711D9460" w14:textId="77777777" w:rsidR="00EE7D0A" w:rsidRPr="0028727A" w:rsidRDefault="00EE7D0A" w:rsidP="00EE7D0A">
            <w:pPr>
              <w:jc w:val="right"/>
              <w:textAlignment w:val="bottom"/>
              <w:rPr>
                <w:rFonts w:ascii="Arial" w:eastAsia="Times New Roman" w:hAnsi="Arial" w:cs="Arial"/>
              </w:rPr>
            </w:pPr>
          </w:p>
        </w:tc>
        <w:tc>
          <w:tcPr>
            <w:tcW w:w="1191" w:type="dxa"/>
            <w:tcBorders>
              <w:left w:val="nil"/>
              <w:right w:val="nil"/>
            </w:tcBorders>
            <w:shd w:val="clear" w:color="auto" w:fill="FFFFFF" w:themeFill="background1"/>
            <w:vAlign w:val="center"/>
          </w:tcPr>
          <w:p w14:paraId="16D21266" w14:textId="77777777" w:rsidR="00EE7D0A" w:rsidRPr="0028727A" w:rsidRDefault="00EE7D0A" w:rsidP="00EE7D0A">
            <w:pPr>
              <w:jc w:val="right"/>
              <w:textAlignment w:val="bottom"/>
              <w:rPr>
                <w:rFonts w:ascii="Arial" w:eastAsia="Times New Roman" w:hAnsi="Arial" w:cs="Arial"/>
              </w:rPr>
            </w:pPr>
          </w:p>
        </w:tc>
      </w:tr>
      <w:tr w:rsidR="00EE7D0A" w:rsidRPr="00EB4495" w14:paraId="6BC555FD" w14:textId="77777777" w:rsidTr="00F42B07">
        <w:trPr>
          <w:trHeight w:val="255"/>
        </w:trPr>
        <w:tc>
          <w:tcPr>
            <w:tcW w:w="3061" w:type="dxa"/>
            <w:tcBorders>
              <w:top w:val="single" w:sz="4" w:space="0" w:color="auto"/>
              <w:left w:val="nil"/>
              <w:bottom w:val="single" w:sz="4" w:space="0" w:color="auto"/>
              <w:right w:val="nil"/>
            </w:tcBorders>
            <w:shd w:val="clear" w:color="auto" w:fill="FFFFFF" w:themeFill="background1"/>
            <w:tcMar>
              <w:top w:w="15" w:type="dxa"/>
              <w:left w:w="113" w:type="dxa"/>
              <w:bottom w:w="0" w:type="dxa"/>
              <w:right w:w="15" w:type="dxa"/>
            </w:tcMar>
            <w:vAlign w:val="center"/>
            <w:hideMark/>
          </w:tcPr>
          <w:p w14:paraId="0FB3B5A1" w14:textId="44DEA120" w:rsidR="00EE7D0A" w:rsidRPr="00EB4495" w:rsidRDefault="00EE7D0A" w:rsidP="00EE7D0A">
            <w:pPr>
              <w:jc w:val="left"/>
              <w:rPr>
                <w:rFonts w:ascii="Arial" w:eastAsiaTheme="minorEastAsia" w:hAnsi="Arial" w:cs="Arial"/>
                <w:b/>
                <w:bCs/>
                <w:color w:val="000000" w:themeColor="text1"/>
                <w:kern w:val="24"/>
              </w:rPr>
            </w:pPr>
            <w:r w:rsidRPr="00EB4495">
              <w:rPr>
                <w:rFonts w:ascii="Arial" w:eastAsiaTheme="minorEastAsia" w:hAnsi="Arial" w:cs="Arial"/>
                <w:b/>
                <w:bCs/>
                <w:color w:val="000000" w:themeColor="text1"/>
                <w:kern w:val="24"/>
              </w:rPr>
              <w:t>Operating profit</w:t>
            </w:r>
            <w:r>
              <w:rPr>
                <w:rFonts w:ascii="Arial" w:eastAsiaTheme="minorEastAsia" w:hAnsi="Arial" w:cs="Arial"/>
                <w:b/>
                <w:bCs/>
                <w:color w:val="000000" w:themeColor="text1"/>
                <w:kern w:val="24"/>
              </w:rPr>
              <w:t xml:space="preserve"> </w:t>
            </w:r>
            <w:r>
              <w:rPr>
                <w:rFonts w:ascii="Arial" w:eastAsiaTheme="minorEastAsia" w:hAnsi="Arial" w:cs="Arial"/>
                <w:b/>
                <w:bCs/>
                <w:color w:val="000000" w:themeColor="text1"/>
                <w:kern w:val="24"/>
              </w:rPr>
              <w:br/>
              <w:t>(before adjusting items*)</w:t>
            </w:r>
            <w:r w:rsidRPr="00EB4495">
              <w:rPr>
                <w:rFonts w:ascii="Arial" w:eastAsiaTheme="minorEastAsia" w:hAnsi="Arial" w:cs="Arial"/>
                <w:b/>
                <w:bCs/>
                <w:color w:val="000000" w:themeColor="text1"/>
                <w:kern w:val="24"/>
              </w:rPr>
              <w:t xml:space="preserve"> </w:t>
            </w:r>
          </w:p>
        </w:tc>
        <w:tc>
          <w:tcPr>
            <w:tcW w:w="737" w:type="dxa"/>
            <w:tcBorders>
              <w:top w:val="single" w:sz="4" w:space="0" w:color="auto"/>
              <w:left w:val="nil"/>
              <w:bottom w:val="single" w:sz="4" w:space="0" w:color="auto"/>
              <w:right w:val="nil"/>
            </w:tcBorders>
            <w:shd w:val="clear" w:color="auto" w:fill="FFFFFF" w:themeFill="background1"/>
            <w:vAlign w:val="center"/>
          </w:tcPr>
          <w:p w14:paraId="7C4B90EA" w14:textId="77777777" w:rsidR="00EE7D0A" w:rsidRPr="00EB4495" w:rsidRDefault="00EE7D0A" w:rsidP="00EE7D0A">
            <w:pPr>
              <w:jc w:val="left"/>
              <w:textAlignment w:val="bottom"/>
              <w:rPr>
                <w:rFonts w:ascii="Arial" w:eastAsia="Times New Roman" w:hAnsi="Arial" w:cs="Arial"/>
                <w:b/>
                <w:bCs/>
              </w:rPr>
            </w:pPr>
          </w:p>
        </w:tc>
        <w:tc>
          <w:tcPr>
            <w:tcW w:w="1191" w:type="dxa"/>
            <w:tcBorders>
              <w:top w:val="single" w:sz="4" w:space="0" w:color="auto"/>
              <w:left w:val="nil"/>
              <w:bottom w:val="single" w:sz="4" w:space="0" w:color="auto"/>
              <w:right w:val="nil"/>
            </w:tcBorders>
            <w:shd w:val="clear" w:color="auto" w:fill="FFFFFF" w:themeFill="background1"/>
            <w:vAlign w:val="center"/>
          </w:tcPr>
          <w:p w14:paraId="7A036062" w14:textId="224F17DB" w:rsidR="00EE7D0A" w:rsidRPr="00F40106" w:rsidRDefault="002036C2" w:rsidP="00EE7D0A">
            <w:pPr>
              <w:jc w:val="right"/>
              <w:textAlignment w:val="bottom"/>
              <w:rPr>
                <w:rFonts w:ascii="Arial" w:eastAsia="Times New Roman" w:hAnsi="Arial" w:cs="Arial"/>
                <w:b/>
                <w:bCs/>
              </w:rPr>
            </w:pPr>
            <w:r w:rsidRPr="00F40106">
              <w:rPr>
                <w:rFonts w:ascii="Arial" w:eastAsia="Times New Roman" w:hAnsi="Arial" w:cs="Arial"/>
                <w:b/>
                <w:bCs/>
              </w:rPr>
              <w:t>870</w:t>
            </w:r>
          </w:p>
        </w:tc>
        <w:tc>
          <w:tcPr>
            <w:tcW w:w="1191" w:type="dxa"/>
            <w:tcBorders>
              <w:top w:val="single" w:sz="4" w:space="0" w:color="auto"/>
              <w:left w:val="nil"/>
              <w:bottom w:val="single" w:sz="4" w:space="0" w:color="auto"/>
              <w:right w:val="nil"/>
            </w:tcBorders>
            <w:shd w:val="clear" w:color="auto" w:fill="FFFFFF" w:themeFill="background1"/>
            <w:vAlign w:val="center"/>
          </w:tcPr>
          <w:p w14:paraId="6E9587B6" w14:textId="222762F4" w:rsidR="00EE7D0A" w:rsidRPr="0028727A" w:rsidRDefault="00EE7D0A" w:rsidP="00EE7D0A">
            <w:pPr>
              <w:jc w:val="right"/>
              <w:textAlignment w:val="bottom"/>
              <w:rPr>
                <w:rFonts w:ascii="Arial" w:eastAsia="Times New Roman" w:hAnsi="Arial" w:cs="Arial"/>
                <w:b/>
                <w:bCs/>
              </w:rPr>
            </w:pPr>
            <w:r w:rsidRPr="0028727A">
              <w:rPr>
                <w:rFonts w:ascii="Arial" w:eastAsia="Times New Roman" w:hAnsi="Arial" w:cs="Arial"/>
                <w:b/>
                <w:bCs/>
              </w:rPr>
              <w:t>1,086</w:t>
            </w:r>
          </w:p>
        </w:tc>
        <w:tc>
          <w:tcPr>
            <w:tcW w:w="1191"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7984318C" w14:textId="76181E12" w:rsidR="00EE7D0A" w:rsidRPr="0028727A" w:rsidRDefault="00EE7D0A" w:rsidP="00EE7D0A">
            <w:pPr>
              <w:jc w:val="right"/>
              <w:textAlignment w:val="bottom"/>
              <w:rPr>
                <w:rFonts w:ascii="Arial" w:hAnsi="Arial" w:cs="Arial"/>
                <w:b/>
              </w:rPr>
            </w:pPr>
            <w:r w:rsidRPr="0028727A">
              <w:rPr>
                <w:rFonts w:ascii="Arial" w:hAnsi="Arial" w:cs="Arial"/>
              </w:rPr>
              <w:t>(</w:t>
            </w:r>
            <w:r w:rsidR="00FA5C0C" w:rsidRPr="0028727A">
              <w:rPr>
                <w:rFonts w:ascii="Arial" w:hAnsi="Arial" w:cs="Arial"/>
              </w:rPr>
              <w:t>19.</w:t>
            </w:r>
            <w:r w:rsidR="005302C1">
              <w:rPr>
                <w:rFonts w:ascii="Arial" w:hAnsi="Arial" w:cs="Arial"/>
              </w:rPr>
              <w:t>9</w:t>
            </w:r>
            <w:r w:rsidRPr="0028727A">
              <w:rPr>
                <w:rFonts w:ascii="Arial" w:hAnsi="Arial" w:cs="Arial"/>
              </w:rPr>
              <w:t>)%</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5F6DBF5E" w14:textId="77777777" w:rsidR="00EE7D0A" w:rsidRPr="0028727A" w:rsidRDefault="00EE7D0A" w:rsidP="00EE7D0A">
            <w:pPr>
              <w:jc w:val="right"/>
              <w:textAlignment w:val="bottom"/>
              <w:rPr>
                <w:rFonts w:ascii="Arial" w:hAnsi="Arial" w:cs="Arial"/>
                <w:b/>
              </w:rPr>
            </w:pPr>
          </w:p>
        </w:tc>
        <w:tc>
          <w:tcPr>
            <w:tcW w:w="1191" w:type="dxa"/>
            <w:tcBorders>
              <w:left w:val="nil"/>
              <w:right w:val="nil"/>
            </w:tcBorders>
            <w:shd w:val="clear" w:color="auto" w:fill="FFFFFF" w:themeFill="background1"/>
            <w:vAlign w:val="center"/>
          </w:tcPr>
          <w:p w14:paraId="10536E90" w14:textId="77777777" w:rsidR="00EE7D0A" w:rsidRPr="0028727A" w:rsidRDefault="00EE7D0A" w:rsidP="00EE7D0A">
            <w:pPr>
              <w:jc w:val="right"/>
              <w:textAlignment w:val="bottom"/>
              <w:rPr>
                <w:rFonts w:ascii="Arial" w:eastAsia="Times New Roman" w:hAnsi="Arial" w:cs="Arial"/>
                <w:b/>
                <w:bCs/>
              </w:rPr>
            </w:pPr>
          </w:p>
        </w:tc>
      </w:tr>
      <w:tr w:rsidR="00EE7D0A" w:rsidRPr="00EB4495" w14:paraId="4ABDC151" w14:textId="77777777" w:rsidTr="00F42B07">
        <w:trPr>
          <w:trHeight w:val="255"/>
        </w:trPr>
        <w:tc>
          <w:tcPr>
            <w:tcW w:w="3061" w:type="dxa"/>
            <w:tcBorders>
              <w:top w:val="single" w:sz="4" w:space="0" w:color="auto"/>
              <w:left w:val="nil"/>
              <w:right w:val="nil"/>
            </w:tcBorders>
            <w:shd w:val="clear" w:color="auto" w:fill="FFFFFF" w:themeFill="background1"/>
            <w:tcMar>
              <w:top w:w="15" w:type="dxa"/>
              <w:left w:w="113" w:type="dxa"/>
              <w:bottom w:w="0" w:type="dxa"/>
              <w:right w:w="15" w:type="dxa"/>
            </w:tcMar>
            <w:vAlign w:val="center"/>
            <w:hideMark/>
          </w:tcPr>
          <w:p w14:paraId="0C80B649" w14:textId="77777777" w:rsidR="00EE7D0A" w:rsidRPr="00EB4495" w:rsidRDefault="00EE7D0A" w:rsidP="00EE7D0A">
            <w:pPr>
              <w:jc w:val="left"/>
              <w:textAlignment w:val="bottom"/>
              <w:rPr>
                <w:rFonts w:ascii="Arial" w:eastAsia="Times New Roman" w:hAnsi="Arial" w:cs="Arial"/>
              </w:rPr>
            </w:pPr>
            <w:r w:rsidRPr="00EB4495">
              <w:rPr>
                <w:rFonts w:ascii="Arial" w:eastAsiaTheme="minorEastAsia" w:hAnsi="Arial" w:cs="Arial"/>
                <w:color w:val="000000" w:themeColor="text1"/>
                <w:kern w:val="24"/>
              </w:rPr>
              <w:t>Net finance costs</w:t>
            </w:r>
          </w:p>
        </w:tc>
        <w:tc>
          <w:tcPr>
            <w:tcW w:w="737" w:type="dxa"/>
            <w:tcBorders>
              <w:top w:val="single" w:sz="4" w:space="0" w:color="auto"/>
              <w:left w:val="nil"/>
              <w:right w:val="nil"/>
            </w:tcBorders>
            <w:shd w:val="clear" w:color="auto" w:fill="FFFFFF" w:themeFill="background1"/>
            <w:vAlign w:val="center"/>
          </w:tcPr>
          <w:p w14:paraId="40DDCD3C" w14:textId="77777777" w:rsidR="00EE7D0A" w:rsidRPr="00EB4495" w:rsidRDefault="00EE7D0A" w:rsidP="00EE7D0A">
            <w:pPr>
              <w:jc w:val="left"/>
              <w:textAlignment w:val="bottom"/>
              <w:rPr>
                <w:rFonts w:ascii="Arial" w:eastAsia="Times New Roman" w:hAnsi="Arial" w:cs="Arial"/>
              </w:rPr>
            </w:pPr>
          </w:p>
        </w:tc>
        <w:tc>
          <w:tcPr>
            <w:tcW w:w="1191" w:type="dxa"/>
            <w:tcBorders>
              <w:top w:val="single" w:sz="4" w:space="0" w:color="auto"/>
              <w:left w:val="nil"/>
              <w:right w:val="nil"/>
            </w:tcBorders>
            <w:shd w:val="clear" w:color="auto" w:fill="FFFFFF" w:themeFill="background1"/>
            <w:vAlign w:val="center"/>
          </w:tcPr>
          <w:p w14:paraId="181751EA" w14:textId="3639E61B" w:rsidR="00EE7D0A" w:rsidRPr="0028727A" w:rsidRDefault="00EE7D0A" w:rsidP="00EE7D0A">
            <w:pPr>
              <w:jc w:val="right"/>
              <w:textAlignment w:val="bottom"/>
              <w:rPr>
                <w:rFonts w:ascii="Arial" w:eastAsia="Times New Roman" w:hAnsi="Arial" w:cs="Arial"/>
              </w:rPr>
            </w:pPr>
            <w:r w:rsidRPr="0028727A">
              <w:rPr>
                <w:rFonts w:ascii="Arial" w:eastAsia="Times New Roman" w:hAnsi="Arial" w:cs="Arial"/>
              </w:rPr>
              <w:t>(</w:t>
            </w:r>
            <w:r w:rsidR="00344C79" w:rsidRPr="0028727A">
              <w:rPr>
                <w:rFonts w:ascii="Arial" w:eastAsia="Times New Roman" w:hAnsi="Arial" w:cs="Arial"/>
              </w:rPr>
              <w:t>112</w:t>
            </w:r>
            <w:r w:rsidRPr="0028727A">
              <w:rPr>
                <w:rFonts w:ascii="Arial" w:eastAsia="Times New Roman" w:hAnsi="Arial" w:cs="Arial"/>
              </w:rPr>
              <w:t>)</w:t>
            </w:r>
          </w:p>
        </w:tc>
        <w:tc>
          <w:tcPr>
            <w:tcW w:w="1191" w:type="dxa"/>
            <w:tcBorders>
              <w:top w:val="single" w:sz="4" w:space="0" w:color="auto"/>
              <w:left w:val="nil"/>
              <w:right w:val="nil"/>
            </w:tcBorders>
            <w:shd w:val="clear" w:color="auto" w:fill="FFFFFF" w:themeFill="background1"/>
            <w:vAlign w:val="center"/>
          </w:tcPr>
          <w:p w14:paraId="51AE2CB0" w14:textId="30697EDD" w:rsidR="00EE7D0A" w:rsidRPr="0028727A" w:rsidRDefault="00EE7D0A" w:rsidP="00EE7D0A">
            <w:pPr>
              <w:jc w:val="right"/>
              <w:textAlignment w:val="bottom"/>
              <w:rPr>
                <w:rFonts w:ascii="Arial" w:eastAsia="Times New Roman" w:hAnsi="Arial" w:cs="Arial"/>
                <w:bCs/>
              </w:rPr>
            </w:pPr>
            <w:r w:rsidRPr="0028727A">
              <w:rPr>
                <w:rFonts w:ascii="Arial" w:eastAsia="Times New Roman" w:hAnsi="Arial" w:cs="Arial"/>
              </w:rPr>
              <w:t>(137)</w:t>
            </w:r>
          </w:p>
        </w:tc>
        <w:tc>
          <w:tcPr>
            <w:tcW w:w="1191"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21F53BFF" w14:textId="1054AA80" w:rsidR="00EE7D0A" w:rsidRPr="0028727A" w:rsidRDefault="00EE7D0A" w:rsidP="00EE7D0A">
            <w:pPr>
              <w:jc w:val="right"/>
              <w:textAlignment w:val="bottom"/>
              <w:rPr>
                <w:rFonts w:ascii="Arial" w:eastAsia="Times New Roman" w:hAnsi="Arial" w:cs="Arial"/>
              </w:rPr>
            </w:pPr>
            <w:r w:rsidRPr="0028727A">
              <w:rPr>
                <w:rFonts w:ascii="Arial" w:hAnsi="Arial" w:cs="Arial"/>
              </w:rPr>
              <w:t>(</w:t>
            </w:r>
            <w:r w:rsidR="00443162" w:rsidRPr="0028727A">
              <w:rPr>
                <w:rFonts w:ascii="Arial" w:hAnsi="Arial" w:cs="Arial"/>
              </w:rPr>
              <w:t>18.4</w:t>
            </w:r>
            <w:r w:rsidRPr="0028727A">
              <w:rPr>
                <w:rFonts w:ascii="Arial" w:hAnsi="Arial" w:cs="Arial"/>
              </w:rPr>
              <w:t>)%</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580B7A3B" w14:textId="77777777" w:rsidR="00EE7D0A" w:rsidRPr="0028727A" w:rsidRDefault="00EE7D0A" w:rsidP="00EE7D0A">
            <w:pPr>
              <w:jc w:val="right"/>
              <w:rPr>
                <w:rFonts w:ascii="Arial" w:eastAsia="Times New Roman" w:hAnsi="Arial" w:cs="Arial"/>
              </w:rPr>
            </w:pPr>
          </w:p>
        </w:tc>
        <w:tc>
          <w:tcPr>
            <w:tcW w:w="1191" w:type="dxa"/>
            <w:tcBorders>
              <w:left w:val="nil"/>
              <w:right w:val="nil"/>
            </w:tcBorders>
            <w:shd w:val="clear" w:color="auto" w:fill="FFFFFF" w:themeFill="background1"/>
            <w:vAlign w:val="center"/>
          </w:tcPr>
          <w:p w14:paraId="4B5D060B" w14:textId="77777777" w:rsidR="00EE7D0A" w:rsidRPr="0028727A" w:rsidRDefault="00EE7D0A" w:rsidP="00EE7D0A">
            <w:pPr>
              <w:jc w:val="right"/>
              <w:textAlignment w:val="bottom"/>
              <w:rPr>
                <w:rFonts w:ascii="Arial" w:eastAsia="Times New Roman" w:hAnsi="Arial" w:cs="Arial"/>
              </w:rPr>
            </w:pPr>
          </w:p>
        </w:tc>
      </w:tr>
      <w:tr w:rsidR="00EE7D0A" w:rsidRPr="00EB4495" w14:paraId="60C825B8" w14:textId="77777777" w:rsidTr="00F42B07">
        <w:trPr>
          <w:trHeight w:val="255"/>
        </w:trPr>
        <w:tc>
          <w:tcPr>
            <w:tcW w:w="3061" w:type="dxa"/>
            <w:tcBorders>
              <w:top w:val="single" w:sz="4" w:space="0" w:color="auto"/>
              <w:left w:val="nil"/>
              <w:bottom w:val="single" w:sz="4" w:space="0" w:color="auto"/>
              <w:right w:val="nil"/>
            </w:tcBorders>
            <w:shd w:val="clear" w:color="auto" w:fill="FFFFFF" w:themeFill="background1"/>
            <w:tcMar>
              <w:top w:w="15" w:type="dxa"/>
              <w:left w:w="113" w:type="dxa"/>
              <w:bottom w:w="0" w:type="dxa"/>
              <w:right w:w="15" w:type="dxa"/>
            </w:tcMar>
            <w:vAlign w:val="center"/>
            <w:hideMark/>
          </w:tcPr>
          <w:p w14:paraId="6CAE1AC9" w14:textId="77777777" w:rsidR="00EE7D0A" w:rsidRPr="00EB4495" w:rsidRDefault="00EE7D0A" w:rsidP="00EE7D0A">
            <w:pPr>
              <w:jc w:val="left"/>
              <w:rPr>
                <w:rFonts w:ascii="Arial" w:eastAsia="Times New Roman" w:hAnsi="Arial" w:cs="Arial"/>
                <w:b/>
                <w:bCs/>
              </w:rPr>
            </w:pPr>
            <w:r w:rsidRPr="00EB4495">
              <w:rPr>
                <w:rFonts w:ascii="Arial" w:eastAsiaTheme="minorEastAsia" w:hAnsi="Arial" w:cs="Arial"/>
                <w:b/>
                <w:bCs/>
                <w:color w:val="000000" w:themeColor="text1"/>
                <w:kern w:val="24"/>
              </w:rPr>
              <w:t>Adjusted pre-tax profit</w:t>
            </w:r>
          </w:p>
        </w:tc>
        <w:tc>
          <w:tcPr>
            <w:tcW w:w="737"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6E469378" w14:textId="77777777" w:rsidR="00EE7D0A" w:rsidRPr="00EB4495" w:rsidRDefault="00EE7D0A" w:rsidP="00EE7D0A">
            <w:pPr>
              <w:jc w:val="left"/>
              <w:textAlignment w:val="bottom"/>
              <w:rPr>
                <w:rFonts w:ascii="Arial" w:eastAsia="Times New Roman" w:hAnsi="Arial" w:cs="Arial"/>
                <w:b/>
                <w:bCs/>
              </w:rPr>
            </w:pPr>
          </w:p>
        </w:tc>
        <w:tc>
          <w:tcPr>
            <w:tcW w:w="1191" w:type="dxa"/>
            <w:tcBorders>
              <w:top w:val="single" w:sz="4" w:space="0" w:color="auto"/>
              <w:left w:val="nil"/>
              <w:bottom w:val="single" w:sz="4" w:space="0" w:color="auto"/>
              <w:right w:val="nil"/>
            </w:tcBorders>
            <w:shd w:val="clear" w:color="auto" w:fill="FFFFFF" w:themeFill="background1"/>
            <w:vAlign w:val="center"/>
          </w:tcPr>
          <w:p w14:paraId="24944593" w14:textId="0BEF51F8" w:rsidR="00EE7D0A" w:rsidRPr="0028727A" w:rsidRDefault="001033DD" w:rsidP="00EE7D0A">
            <w:pPr>
              <w:jc w:val="right"/>
              <w:textAlignment w:val="bottom"/>
              <w:rPr>
                <w:rFonts w:ascii="Arial" w:eastAsia="Times New Roman" w:hAnsi="Arial" w:cs="Arial"/>
                <w:b/>
                <w:bCs/>
              </w:rPr>
            </w:pPr>
            <w:r w:rsidRPr="0028727A">
              <w:rPr>
                <w:rFonts w:ascii="Arial" w:hAnsi="Arial" w:cs="Arial"/>
                <w:b/>
              </w:rPr>
              <w:t>758</w:t>
            </w:r>
          </w:p>
        </w:tc>
        <w:tc>
          <w:tcPr>
            <w:tcW w:w="1191" w:type="dxa"/>
            <w:tcBorders>
              <w:top w:val="single" w:sz="4" w:space="0" w:color="auto"/>
              <w:left w:val="nil"/>
              <w:bottom w:val="single" w:sz="4" w:space="0" w:color="auto"/>
              <w:right w:val="nil"/>
            </w:tcBorders>
            <w:shd w:val="clear" w:color="auto" w:fill="FFFFFF" w:themeFill="background1"/>
            <w:vAlign w:val="center"/>
          </w:tcPr>
          <w:p w14:paraId="673DF04B" w14:textId="5F558D0E" w:rsidR="00EE7D0A" w:rsidRPr="0028727A" w:rsidRDefault="00EE7D0A" w:rsidP="00EE7D0A">
            <w:pPr>
              <w:jc w:val="right"/>
              <w:textAlignment w:val="bottom"/>
              <w:rPr>
                <w:rFonts w:ascii="Arial" w:eastAsia="Times New Roman" w:hAnsi="Arial" w:cs="Arial"/>
                <w:b/>
                <w:bCs/>
              </w:rPr>
            </w:pPr>
            <w:r w:rsidRPr="0028727A">
              <w:rPr>
                <w:rFonts w:ascii="Arial" w:hAnsi="Arial" w:cs="Arial"/>
                <w:b/>
              </w:rPr>
              <w:t>949</w:t>
            </w:r>
          </w:p>
        </w:tc>
        <w:tc>
          <w:tcPr>
            <w:tcW w:w="1191"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4E38498F" w14:textId="6501D2C7" w:rsidR="00EE7D0A" w:rsidRPr="0028727A" w:rsidRDefault="00EE7D0A" w:rsidP="00EE7D0A">
            <w:pPr>
              <w:jc w:val="right"/>
              <w:textAlignment w:val="bottom"/>
              <w:rPr>
                <w:rFonts w:ascii="Arial" w:hAnsi="Arial" w:cs="Arial"/>
                <w:b/>
              </w:rPr>
            </w:pPr>
            <w:r w:rsidRPr="0028727A">
              <w:rPr>
                <w:rFonts w:ascii="Arial" w:hAnsi="Arial" w:cs="Arial"/>
              </w:rPr>
              <w:t>(</w:t>
            </w:r>
            <w:r w:rsidR="006C618B" w:rsidRPr="0028727A">
              <w:rPr>
                <w:rFonts w:ascii="Arial" w:hAnsi="Arial" w:cs="Arial"/>
              </w:rPr>
              <w:t>20.</w:t>
            </w:r>
            <w:r w:rsidR="006E31E6">
              <w:rPr>
                <w:rFonts w:ascii="Arial" w:hAnsi="Arial" w:cs="Arial"/>
              </w:rPr>
              <w:t>2</w:t>
            </w:r>
            <w:r w:rsidRPr="0028727A">
              <w:rPr>
                <w:rFonts w:ascii="Arial" w:hAnsi="Arial" w:cs="Arial"/>
              </w:rPr>
              <w:t>)%</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606AC465" w14:textId="77777777" w:rsidR="00EE7D0A" w:rsidRPr="0028727A" w:rsidRDefault="00EE7D0A" w:rsidP="00EE7D0A">
            <w:pPr>
              <w:jc w:val="right"/>
              <w:textAlignment w:val="bottom"/>
              <w:rPr>
                <w:rFonts w:ascii="Arial" w:hAnsi="Arial" w:cs="Arial"/>
                <w:b/>
              </w:rPr>
            </w:pPr>
          </w:p>
        </w:tc>
        <w:tc>
          <w:tcPr>
            <w:tcW w:w="1191" w:type="dxa"/>
            <w:tcBorders>
              <w:left w:val="nil"/>
              <w:right w:val="nil"/>
            </w:tcBorders>
            <w:shd w:val="clear" w:color="auto" w:fill="FFFFFF" w:themeFill="background1"/>
            <w:vAlign w:val="center"/>
          </w:tcPr>
          <w:p w14:paraId="7AFD4189" w14:textId="77777777" w:rsidR="00EE7D0A" w:rsidRPr="0028727A" w:rsidRDefault="00EE7D0A" w:rsidP="00EE7D0A">
            <w:pPr>
              <w:jc w:val="right"/>
              <w:textAlignment w:val="bottom"/>
              <w:rPr>
                <w:rFonts w:ascii="Arial" w:eastAsia="Times New Roman" w:hAnsi="Arial" w:cs="Arial"/>
                <w:b/>
                <w:bCs/>
              </w:rPr>
            </w:pPr>
          </w:p>
        </w:tc>
      </w:tr>
      <w:tr w:rsidR="00EE7D0A" w:rsidRPr="00EB4495" w14:paraId="6B5DC3FF" w14:textId="77777777" w:rsidTr="00F42B07">
        <w:trPr>
          <w:trHeight w:val="255"/>
        </w:trPr>
        <w:tc>
          <w:tcPr>
            <w:tcW w:w="3061" w:type="dxa"/>
            <w:tcBorders>
              <w:top w:val="single" w:sz="4" w:space="0" w:color="auto"/>
              <w:left w:val="nil"/>
              <w:right w:val="nil"/>
            </w:tcBorders>
            <w:shd w:val="clear" w:color="auto" w:fill="FFFFFF" w:themeFill="background1"/>
            <w:tcMar>
              <w:top w:w="15" w:type="dxa"/>
              <w:left w:w="113" w:type="dxa"/>
              <w:bottom w:w="0" w:type="dxa"/>
              <w:right w:w="15" w:type="dxa"/>
            </w:tcMar>
            <w:vAlign w:val="center"/>
            <w:hideMark/>
          </w:tcPr>
          <w:p w14:paraId="795BF4E8" w14:textId="77777777" w:rsidR="00EE7D0A" w:rsidRPr="00EB4495" w:rsidRDefault="00EE7D0A" w:rsidP="00EE7D0A">
            <w:pPr>
              <w:jc w:val="left"/>
              <w:rPr>
                <w:rFonts w:ascii="Arial" w:eastAsia="Times New Roman" w:hAnsi="Arial" w:cs="Arial"/>
              </w:rPr>
            </w:pPr>
            <w:r w:rsidRPr="00EB4495">
              <w:rPr>
                <w:rFonts w:ascii="Arial" w:eastAsiaTheme="minorEastAsia" w:hAnsi="Arial" w:cs="Arial"/>
                <w:color w:val="000000" w:themeColor="text1"/>
                <w:kern w:val="24"/>
              </w:rPr>
              <w:t>Adjusting items</w:t>
            </w:r>
          </w:p>
        </w:tc>
        <w:tc>
          <w:tcPr>
            <w:tcW w:w="737"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57CF6C27" w14:textId="77777777" w:rsidR="00EE7D0A" w:rsidRPr="00B80B8D" w:rsidRDefault="00EE7D0A" w:rsidP="00EE7D0A">
            <w:pPr>
              <w:jc w:val="left"/>
              <w:textAlignment w:val="bottom"/>
              <w:rPr>
                <w:rFonts w:ascii="Arial" w:eastAsia="Times New Roman" w:hAnsi="Arial" w:cs="Arial"/>
              </w:rPr>
            </w:pPr>
          </w:p>
        </w:tc>
        <w:tc>
          <w:tcPr>
            <w:tcW w:w="1191" w:type="dxa"/>
            <w:tcBorders>
              <w:top w:val="single" w:sz="4" w:space="0" w:color="auto"/>
              <w:left w:val="nil"/>
              <w:right w:val="nil"/>
            </w:tcBorders>
            <w:shd w:val="clear" w:color="auto" w:fill="FFFFFF" w:themeFill="background1"/>
            <w:vAlign w:val="center"/>
          </w:tcPr>
          <w:p w14:paraId="4B750862" w14:textId="16468C75" w:rsidR="00EE7D0A" w:rsidRPr="00B80B8D" w:rsidRDefault="009204D2" w:rsidP="00EE7D0A">
            <w:pPr>
              <w:jc w:val="right"/>
              <w:textAlignment w:val="bottom"/>
              <w:rPr>
                <w:rFonts w:ascii="Arial" w:eastAsia="Times New Roman" w:hAnsi="Arial" w:cs="Arial"/>
              </w:rPr>
            </w:pPr>
            <w:r w:rsidRPr="00B80B8D">
              <w:rPr>
                <w:rFonts w:ascii="Arial" w:hAnsi="Arial" w:cs="Arial"/>
                <w:bCs/>
              </w:rPr>
              <w:t>(</w:t>
            </w:r>
            <w:r w:rsidR="008E6176" w:rsidRPr="00B80B8D">
              <w:rPr>
                <w:rFonts w:ascii="Arial" w:hAnsi="Arial" w:cs="Arial"/>
                <w:bCs/>
              </w:rPr>
              <w:t>1</w:t>
            </w:r>
            <w:r w:rsidR="008E6176">
              <w:rPr>
                <w:rFonts w:ascii="Arial" w:hAnsi="Arial" w:cs="Arial"/>
                <w:bCs/>
              </w:rPr>
              <w:t>47</w:t>
            </w:r>
            <w:r w:rsidRPr="00B80B8D">
              <w:rPr>
                <w:rFonts w:ascii="Arial" w:hAnsi="Arial" w:cs="Arial"/>
                <w:bCs/>
              </w:rPr>
              <w:t>)</w:t>
            </w:r>
          </w:p>
        </w:tc>
        <w:tc>
          <w:tcPr>
            <w:tcW w:w="1191" w:type="dxa"/>
            <w:tcBorders>
              <w:top w:val="single" w:sz="4" w:space="0" w:color="auto"/>
              <w:left w:val="nil"/>
              <w:right w:val="nil"/>
            </w:tcBorders>
            <w:shd w:val="clear" w:color="auto" w:fill="FFFFFF" w:themeFill="background1"/>
            <w:vAlign w:val="center"/>
          </w:tcPr>
          <w:p w14:paraId="63CF66E0" w14:textId="512333FD" w:rsidR="00EE7D0A" w:rsidRPr="00B80B8D" w:rsidRDefault="00EE7D0A" w:rsidP="00EE7D0A">
            <w:pPr>
              <w:jc w:val="right"/>
              <w:textAlignment w:val="bottom"/>
              <w:rPr>
                <w:rFonts w:ascii="Arial" w:eastAsia="Times New Roman" w:hAnsi="Arial" w:cs="Arial"/>
                <w:bCs/>
              </w:rPr>
            </w:pPr>
            <w:r w:rsidRPr="00B80B8D">
              <w:rPr>
                <w:rFonts w:ascii="Arial" w:hAnsi="Arial" w:cs="Arial"/>
                <w:bCs/>
              </w:rPr>
              <w:t>58</w:t>
            </w:r>
          </w:p>
        </w:tc>
        <w:tc>
          <w:tcPr>
            <w:tcW w:w="1191" w:type="dxa"/>
            <w:tcBorders>
              <w:top w:val="single" w:sz="4" w:space="0" w:color="auto"/>
              <w:left w:val="nil"/>
              <w:right w:val="nil"/>
            </w:tcBorders>
            <w:shd w:val="clear" w:color="auto" w:fill="FFFFFF" w:themeFill="background1"/>
            <w:tcMar>
              <w:top w:w="15" w:type="dxa"/>
              <w:left w:w="15" w:type="dxa"/>
              <w:bottom w:w="0" w:type="dxa"/>
              <w:right w:w="15" w:type="dxa"/>
            </w:tcMar>
            <w:vAlign w:val="center"/>
          </w:tcPr>
          <w:p w14:paraId="26AA7FF6" w14:textId="77777777" w:rsidR="00EE7D0A" w:rsidRPr="00B80B8D" w:rsidRDefault="00EE7D0A" w:rsidP="00EE7D0A">
            <w:pPr>
              <w:jc w:val="right"/>
              <w:textAlignment w:val="bottom"/>
              <w:rPr>
                <w:rFonts w:ascii="Arial" w:eastAsia="Times New Roman" w:hAnsi="Arial" w:cs="Arial"/>
              </w:rPr>
            </w:pPr>
            <w:r w:rsidRPr="00B80B8D">
              <w:rPr>
                <w:rFonts w:ascii="Arial" w:hAnsi="Arial" w:cs="Arial"/>
              </w:rPr>
              <w:t>n/a</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75FBB903" w14:textId="77777777" w:rsidR="00EE7D0A" w:rsidRPr="00EB4495" w:rsidRDefault="00EE7D0A" w:rsidP="00EE7D0A">
            <w:pPr>
              <w:jc w:val="right"/>
              <w:rPr>
                <w:rFonts w:ascii="Arial" w:eastAsia="Times New Roman" w:hAnsi="Arial" w:cs="Arial"/>
              </w:rPr>
            </w:pPr>
          </w:p>
        </w:tc>
        <w:tc>
          <w:tcPr>
            <w:tcW w:w="1191" w:type="dxa"/>
            <w:tcBorders>
              <w:left w:val="nil"/>
              <w:right w:val="nil"/>
            </w:tcBorders>
            <w:shd w:val="clear" w:color="auto" w:fill="FFFFFF" w:themeFill="background1"/>
            <w:vAlign w:val="center"/>
          </w:tcPr>
          <w:p w14:paraId="54F58E37" w14:textId="77777777" w:rsidR="00EE7D0A" w:rsidRPr="00EB4495" w:rsidRDefault="00EE7D0A" w:rsidP="00EE7D0A">
            <w:pPr>
              <w:jc w:val="right"/>
              <w:textAlignment w:val="bottom"/>
              <w:rPr>
                <w:rFonts w:ascii="Arial" w:eastAsia="Times New Roman" w:hAnsi="Arial" w:cs="Arial"/>
              </w:rPr>
            </w:pPr>
          </w:p>
        </w:tc>
      </w:tr>
      <w:tr w:rsidR="00EE7D0A" w:rsidRPr="00EB4495" w14:paraId="7C3379F5" w14:textId="77777777" w:rsidTr="00F42B07">
        <w:trPr>
          <w:trHeight w:val="255"/>
        </w:trPr>
        <w:tc>
          <w:tcPr>
            <w:tcW w:w="3061" w:type="dxa"/>
            <w:tcBorders>
              <w:top w:val="single" w:sz="4" w:space="0" w:color="auto"/>
              <w:left w:val="nil"/>
              <w:bottom w:val="single" w:sz="4" w:space="0" w:color="auto"/>
              <w:right w:val="nil"/>
            </w:tcBorders>
            <w:shd w:val="clear" w:color="auto" w:fill="FFFFFF" w:themeFill="background1"/>
            <w:tcMar>
              <w:top w:w="15" w:type="dxa"/>
              <w:left w:w="113" w:type="dxa"/>
              <w:bottom w:w="0" w:type="dxa"/>
              <w:right w:w="15" w:type="dxa"/>
            </w:tcMar>
            <w:vAlign w:val="center"/>
            <w:hideMark/>
          </w:tcPr>
          <w:p w14:paraId="0734FCAF" w14:textId="77777777" w:rsidR="00EE7D0A" w:rsidRPr="00EB4495" w:rsidRDefault="00EE7D0A" w:rsidP="00EE7D0A">
            <w:pPr>
              <w:jc w:val="left"/>
              <w:rPr>
                <w:rFonts w:ascii="Arial" w:eastAsia="Times New Roman" w:hAnsi="Arial" w:cs="Arial"/>
                <w:b/>
                <w:bCs/>
              </w:rPr>
            </w:pPr>
            <w:r w:rsidRPr="00EB4495">
              <w:rPr>
                <w:rFonts w:ascii="Arial" w:eastAsiaTheme="minorEastAsia" w:hAnsi="Arial" w:cs="Arial"/>
                <w:b/>
                <w:bCs/>
                <w:color w:val="000000" w:themeColor="text1"/>
                <w:kern w:val="24"/>
              </w:rPr>
              <w:t>Statutory pre-tax profit</w:t>
            </w:r>
          </w:p>
        </w:tc>
        <w:tc>
          <w:tcPr>
            <w:tcW w:w="737"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16CE808C" w14:textId="77777777" w:rsidR="00EE7D0A" w:rsidRPr="00B80B8D" w:rsidRDefault="00EE7D0A" w:rsidP="00EE7D0A">
            <w:pPr>
              <w:jc w:val="left"/>
              <w:textAlignment w:val="bottom"/>
              <w:rPr>
                <w:rFonts w:ascii="Arial" w:eastAsia="Times New Roman" w:hAnsi="Arial" w:cs="Arial"/>
                <w:b/>
                <w:bCs/>
              </w:rPr>
            </w:pPr>
          </w:p>
        </w:tc>
        <w:tc>
          <w:tcPr>
            <w:tcW w:w="1191" w:type="dxa"/>
            <w:tcBorders>
              <w:top w:val="single" w:sz="4" w:space="0" w:color="auto"/>
              <w:left w:val="nil"/>
              <w:bottom w:val="single" w:sz="4" w:space="0" w:color="auto"/>
              <w:right w:val="nil"/>
            </w:tcBorders>
            <w:shd w:val="clear" w:color="auto" w:fill="FFFFFF" w:themeFill="background1"/>
            <w:vAlign w:val="center"/>
          </w:tcPr>
          <w:p w14:paraId="0B262C77" w14:textId="2B8717FB" w:rsidR="00EE7D0A" w:rsidRPr="00E87DF3" w:rsidRDefault="008E6176" w:rsidP="00EE7D0A">
            <w:pPr>
              <w:jc w:val="right"/>
              <w:textAlignment w:val="bottom"/>
              <w:rPr>
                <w:rFonts w:ascii="Arial" w:eastAsia="Times New Roman" w:hAnsi="Arial" w:cs="Arial"/>
                <w:b/>
                <w:bCs/>
              </w:rPr>
            </w:pPr>
            <w:r>
              <w:rPr>
                <w:rFonts w:ascii="Arial" w:hAnsi="Arial" w:cs="Arial"/>
                <w:b/>
              </w:rPr>
              <w:t>611</w:t>
            </w:r>
          </w:p>
        </w:tc>
        <w:tc>
          <w:tcPr>
            <w:tcW w:w="1191" w:type="dxa"/>
            <w:tcBorders>
              <w:top w:val="single" w:sz="4" w:space="0" w:color="auto"/>
              <w:left w:val="nil"/>
              <w:bottom w:val="single" w:sz="4" w:space="0" w:color="auto"/>
              <w:right w:val="nil"/>
            </w:tcBorders>
            <w:shd w:val="clear" w:color="auto" w:fill="FFFFFF" w:themeFill="background1"/>
            <w:vAlign w:val="center"/>
          </w:tcPr>
          <w:p w14:paraId="52848E25" w14:textId="60DF879A" w:rsidR="00EE7D0A" w:rsidRPr="00B80B8D" w:rsidRDefault="00EE7D0A" w:rsidP="00EE7D0A">
            <w:pPr>
              <w:jc w:val="right"/>
              <w:textAlignment w:val="bottom"/>
              <w:rPr>
                <w:rFonts w:ascii="Arial" w:eastAsia="Times New Roman" w:hAnsi="Arial" w:cs="Arial"/>
                <w:b/>
                <w:bCs/>
              </w:rPr>
            </w:pPr>
            <w:r w:rsidRPr="00B80B8D">
              <w:rPr>
                <w:rFonts w:ascii="Arial" w:hAnsi="Arial" w:cs="Arial"/>
                <w:b/>
              </w:rPr>
              <w:t>1,007</w:t>
            </w:r>
          </w:p>
        </w:tc>
        <w:tc>
          <w:tcPr>
            <w:tcW w:w="1191"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vAlign w:val="center"/>
          </w:tcPr>
          <w:p w14:paraId="424E1522" w14:textId="78AFC9DA" w:rsidR="00EE7D0A" w:rsidRPr="00B80B8D" w:rsidRDefault="00EE7D0A" w:rsidP="00EE7D0A">
            <w:pPr>
              <w:jc w:val="right"/>
              <w:textAlignment w:val="bottom"/>
              <w:rPr>
                <w:rFonts w:ascii="Arial" w:hAnsi="Arial" w:cs="Arial"/>
                <w:b/>
              </w:rPr>
            </w:pPr>
            <w:r w:rsidRPr="00B80B8D">
              <w:rPr>
                <w:rFonts w:ascii="Arial" w:hAnsi="Arial" w:cs="Arial"/>
              </w:rPr>
              <w:t>(</w:t>
            </w:r>
            <w:r w:rsidR="008E6176">
              <w:rPr>
                <w:rFonts w:ascii="Arial" w:hAnsi="Arial" w:cs="Arial"/>
              </w:rPr>
              <w:t>39.3</w:t>
            </w:r>
            <w:r w:rsidRPr="00B80B8D">
              <w:rPr>
                <w:rFonts w:ascii="Arial" w:hAnsi="Arial" w:cs="Arial"/>
              </w:rPr>
              <w:t>)%</w:t>
            </w:r>
          </w:p>
        </w:tc>
        <w:tc>
          <w:tcPr>
            <w:tcW w:w="1191" w:type="dxa"/>
            <w:tcBorders>
              <w:left w:val="nil"/>
              <w:right w:val="nil"/>
            </w:tcBorders>
            <w:shd w:val="clear" w:color="auto" w:fill="FFFFFF" w:themeFill="background1"/>
            <w:tcMar>
              <w:top w:w="15" w:type="dxa"/>
              <w:left w:w="15" w:type="dxa"/>
              <w:bottom w:w="0" w:type="dxa"/>
              <w:right w:w="15" w:type="dxa"/>
            </w:tcMar>
            <w:vAlign w:val="center"/>
          </w:tcPr>
          <w:p w14:paraId="488D7E36" w14:textId="77777777" w:rsidR="00EE7D0A" w:rsidRPr="00EB4495" w:rsidRDefault="00EE7D0A" w:rsidP="00EE7D0A">
            <w:pPr>
              <w:jc w:val="right"/>
              <w:textAlignment w:val="bottom"/>
              <w:rPr>
                <w:rFonts w:ascii="Arial" w:hAnsi="Arial" w:cs="Arial"/>
                <w:b/>
              </w:rPr>
            </w:pPr>
          </w:p>
        </w:tc>
        <w:tc>
          <w:tcPr>
            <w:tcW w:w="1191" w:type="dxa"/>
            <w:tcBorders>
              <w:left w:val="nil"/>
              <w:right w:val="nil"/>
            </w:tcBorders>
            <w:shd w:val="clear" w:color="auto" w:fill="FFFFFF" w:themeFill="background1"/>
            <w:vAlign w:val="center"/>
          </w:tcPr>
          <w:p w14:paraId="772FB4AE" w14:textId="77777777" w:rsidR="00EE7D0A" w:rsidRPr="00EB4495" w:rsidRDefault="00EE7D0A" w:rsidP="00EE7D0A">
            <w:pPr>
              <w:jc w:val="right"/>
              <w:textAlignment w:val="bottom"/>
              <w:rPr>
                <w:rFonts w:ascii="Arial" w:eastAsia="Times New Roman" w:hAnsi="Arial" w:cs="Arial"/>
                <w:b/>
                <w:bCs/>
              </w:rPr>
            </w:pPr>
          </w:p>
        </w:tc>
      </w:tr>
    </w:tbl>
    <w:p w14:paraId="5DDAAADB" w14:textId="77777777" w:rsidR="00D04AA1" w:rsidRPr="00EB4495" w:rsidRDefault="00D04AA1" w:rsidP="00D04AA1">
      <w:pPr>
        <w:jc w:val="left"/>
        <w:rPr>
          <w:rFonts w:ascii="Arial" w:hAnsi="Arial" w:cs="Arial"/>
          <w:bCs/>
          <w:sz w:val="18"/>
          <w:szCs w:val="18"/>
        </w:rPr>
      </w:pPr>
    </w:p>
    <w:p w14:paraId="28D98155" w14:textId="1AE683EE" w:rsidR="00D04AA1" w:rsidRDefault="00D04AA1" w:rsidP="00D04AA1">
      <w:pPr>
        <w:jc w:val="left"/>
        <w:rPr>
          <w:rFonts w:ascii="Arial" w:hAnsi="Arial" w:cs="Arial"/>
          <w:bCs/>
          <w:sz w:val="18"/>
          <w:szCs w:val="18"/>
        </w:rPr>
      </w:pPr>
      <w:r w:rsidRPr="00EB4495">
        <w:rPr>
          <w:rFonts w:ascii="Arial" w:hAnsi="Arial" w:cs="Arial"/>
          <w:sz w:val="18"/>
          <w:szCs w:val="18"/>
          <w:vertAlign w:val="superscript"/>
        </w:rPr>
        <w:t>±</w:t>
      </w:r>
      <w:r w:rsidRPr="00EB4495">
        <w:rPr>
          <w:rFonts w:ascii="Arial" w:hAnsi="Arial" w:cs="Arial"/>
          <w:sz w:val="18"/>
          <w:szCs w:val="18"/>
        </w:rPr>
        <w:t xml:space="preserve"> ‘Other’ </w:t>
      </w:r>
      <w:r w:rsidRPr="00EB4495">
        <w:rPr>
          <w:rFonts w:ascii="Arial" w:hAnsi="Arial" w:cs="Arial"/>
          <w:bCs/>
          <w:sz w:val="18"/>
          <w:szCs w:val="18"/>
        </w:rPr>
        <w:t xml:space="preserve">consists of the consolidated results of </w:t>
      </w:r>
      <w:r w:rsidR="00322B0E" w:rsidRPr="00EB4495">
        <w:rPr>
          <w:rFonts w:ascii="Arial" w:hAnsi="Arial" w:cs="Arial"/>
          <w:bCs/>
          <w:sz w:val="18"/>
          <w:szCs w:val="18"/>
        </w:rPr>
        <w:t>Screwfix International</w:t>
      </w:r>
      <w:r w:rsidR="00322B0E">
        <w:rPr>
          <w:rFonts w:ascii="Arial" w:hAnsi="Arial" w:cs="Arial"/>
          <w:bCs/>
          <w:sz w:val="18"/>
          <w:szCs w:val="18"/>
        </w:rPr>
        <w:t>,</w:t>
      </w:r>
      <w:r w:rsidR="00322B0E" w:rsidRPr="00EB4495">
        <w:rPr>
          <w:rFonts w:ascii="Arial" w:hAnsi="Arial" w:cs="Arial"/>
          <w:bCs/>
          <w:sz w:val="18"/>
          <w:szCs w:val="18"/>
        </w:rPr>
        <w:t xml:space="preserve"> </w:t>
      </w:r>
      <w:r w:rsidRPr="00EB4495">
        <w:rPr>
          <w:rFonts w:ascii="Arial" w:hAnsi="Arial" w:cs="Arial"/>
          <w:bCs/>
          <w:sz w:val="18"/>
          <w:szCs w:val="18"/>
        </w:rPr>
        <w:t>NeedHelp, and results from franchise agreements.</w:t>
      </w:r>
    </w:p>
    <w:p w14:paraId="3B435154" w14:textId="77777777" w:rsidR="00D04AA1" w:rsidRDefault="00D04AA1" w:rsidP="00D04AA1">
      <w:pPr>
        <w:jc w:val="left"/>
        <w:rPr>
          <w:rFonts w:ascii="Arial" w:hAnsi="Arial" w:cs="Arial"/>
        </w:rPr>
      </w:pPr>
    </w:p>
    <w:p w14:paraId="2093C6E1" w14:textId="77777777" w:rsidR="00D04AA1" w:rsidRDefault="00D04AA1" w:rsidP="00D04AA1">
      <w:pPr>
        <w:jc w:val="left"/>
        <w:rPr>
          <w:rFonts w:ascii="Arial" w:hAnsi="Arial" w:cs="Arial"/>
        </w:rPr>
      </w:pPr>
      <w:r>
        <w:rPr>
          <w:rFonts w:ascii="Arial" w:hAnsi="Arial" w:cs="Arial"/>
        </w:rPr>
        <w:br w:type="page"/>
      </w:r>
    </w:p>
    <w:p w14:paraId="60416487" w14:textId="77777777" w:rsidR="00D04AA1" w:rsidRPr="00EB4495" w:rsidRDefault="00D04AA1" w:rsidP="00D04AA1">
      <w:pPr>
        <w:jc w:val="left"/>
        <w:rPr>
          <w:rFonts w:ascii="Arial" w:hAnsi="Arial" w:cs="Arial"/>
          <w:b/>
          <w:bCs/>
        </w:rPr>
      </w:pPr>
      <w:r w:rsidRPr="00EB4495">
        <w:rPr>
          <w:rFonts w:ascii="Arial" w:hAnsi="Arial" w:cs="Arial"/>
          <w:b/>
          <w:bCs/>
          <w:u w:val="single"/>
        </w:rPr>
        <w:lastRenderedPageBreak/>
        <w:t>LFL sales by quarter</w:t>
      </w:r>
    </w:p>
    <w:p w14:paraId="1FB9D931" w14:textId="77777777" w:rsidR="004C5A72" w:rsidRPr="00EB4495" w:rsidRDefault="004C5A72" w:rsidP="004C5A72">
      <w:pPr>
        <w:jc w:val="left"/>
        <w:rPr>
          <w:rFonts w:ascii="Arial" w:hAnsi="Arial" w:cs="Arial"/>
        </w:rPr>
      </w:pPr>
    </w:p>
    <w:tbl>
      <w:tblPr>
        <w:tblStyle w:val="TableGrid"/>
        <w:tblW w:w="9865" w:type="dxa"/>
        <w:tblBorders>
          <w:insideH w:val="none" w:sz="0" w:space="0" w:color="auto"/>
          <w:insideV w:val="none" w:sz="0" w:space="0" w:color="auto"/>
        </w:tblBorders>
        <w:tblLayout w:type="fixed"/>
        <w:tblLook w:val="04A0" w:firstRow="1" w:lastRow="0" w:firstColumn="1" w:lastColumn="0" w:noHBand="0" w:noVBand="1"/>
      </w:tblPr>
      <w:tblGrid>
        <w:gridCol w:w="9865"/>
      </w:tblGrid>
      <w:tr w:rsidR="004C5A72" w:rsidRPr="00EB4495" w14:paraId="60313DC1" w14:textId="77777777" w:rsidTr="003306C4">
        <w:trPr>
          <w:trHeight w:val="1361"/>
        </w:trPr>
        <w:tc>
          <w:tcPr>
            <w:tcW w:w="9865" w:type="dxa"/>
            <w:tcBorders>
              <w:top w:val="single" w:sz="4" w:space="0" w:color="auto"/>
              <w:left w:val="single" w:sz="4" w:space="0" w:color="auto"/>
              <w:bottom w:val="single" w:sz="4" w:space="0" w:color="auto"/>
              <w:right w:val="single" w:sz="4" w:space="0" w:color="auto"/>
            </w:tcBorders>
            <w:hideMark/>
          </w:tcPr>
          <w:tbl>
            <w:tblPr>
              <w:tblW w:w="9690" w:type="dxa"/>
              <w:tblLayout w:type="fixed"/>
              <w:tblLook w:val="01E0" w:firstRow="1" w:lastRow="1" w:firstColumn="1" w:lastColumn="1" w:noHBand="0" w:noVBand="0"/>
            </w:tblPr>
            <w:tblGrid>
              <w:gridCol w:w="3682"/>
              <w:gridCol w:w="1192"/>
              <w:gridCol w:w="1192"/>
              <w:gridCol w:w="1192"/>
              <w:gridCol w:w="1192"/>
              <w:gridCol w:w="1192"/>
              <w:gridCol w:w="48"/>
            </w:tblGrid>
            <w:tr w:rsidR="004C5A72" w:rsidRPr="00EB4495" w14:paraId="2B0C83E3" w14:textId="77777777" w:rsidTr="00F12DAB">
              <w:trPr>
                <w:trHeight w:val="93"/>
              </w:trPr>
              <w:tc>
                <w:tcPr>
                  <w:tcW w:w="1900" w:type="pct"/>
                  <w:vMerge w:val="restart"/>
                  <w:vAlign w:val="center"/>
                  <w:hideMark/>
                </w:tcPr>
                <w:p w14:paraId="37CDFE40" w14:textId="77777777" w:rsidR="004C5A72" w:rsidRPr="00EB4495" w:rsidRDefault="004C5A72" w:rsidP="003306C4">
                  <w:pPr>
                    <w:jc w:val="left"/>
                    <w:rPr>
                      <w:rFonts w:ascii="Arial" w:hAnsi="Arial" w:cs="Arial"/>
                      <w:b/>
                      <w:bCs/>
                    </w:rPr>
                  </w:pPr>
                  <w:r w:rsidRPr="00EB4495">
                    <w:rPr>
                      <w:rFonts w:ascii="Arial" w:hAnsi="Arial" w:cs="Arial"/>
                      <w:b/>
                      <w:bCs/>
                    </w:rPr>
                    <w:t>Quarterly sales</w:t>
                  </w:r>
                </w:p>
              </w:tc>
              <w:tc>
                <w:tcPr>
                  <w:tcW w:w="3100" w:type="pct"/>
                  <w:gridSpan w:val="6"/>
                  <w:tcBorders>
                    <w:top w:val="nil"/>
                    <w:left w:val="nil"/>
                    <w:bottom w:val="single" w:sz="4" w:space="0" w:color="auto"/>
                    <w:right w:val="nil"/>
                  </w:tcBorders>
                  <w:vAlign w:val="center"/>
                  <w:hideMark/>
                </w:tcPr>
                <w:p w14:paraId="749FA1BB" w14:textId="77777777" w:rsidR="004C5A72" w:rsidRPr="00EB4495" w:rsidRDefault="004C5A72" w:rsidP="003306C4">
                  <w:pPr>
                    <w:jc w:val="center"/>
                    <w:rPr>
                      <w:rFonts w:ascii="Arial" w:hAnsi="Arial" w:cs="Arial"/>
                      <w:b/>
                      <w:bCs/>
                    </w:rPr>
                  </w:pPr>
                  <w:r w:rsidRPr="00EB4495">
                    <w:rPr>
                      <w:rFonts w:ascii="Arial" w:hAnsi="Arial" w:cs="Arial"/>
                      <w:b/>
                      <w:bCs/>
                    </w:rPr>
                    <w:t>% LFL Change</w:t>
                  </w:r>
                </w:p>
              </w:tc>
            </w:tr>
            <w:tr w:rsidR="004C5A72" w:rsidRPr="00EB4495" w14:paraId="54A03DA9" w14:textId="77777777" w:rsidTr="00F12DAB">
              <w:trPr>
                <w:gridAfter w:val="1"/>
                <w:wAfter w:w="25" w:type="pct"/>
                <w:trHeight w:hRule="exact" w:val="311"/>
              </w:trPr>
              <w:tc>
                <w:tcPr>
                  <w:tcW w:w="1900" w:type="pct"/>
                  <w:vMerge/>
                  <w:tcBorders>
                    <w:bottom w:val="nil"/>
                  </w:tcBorders>
                </w:tcPr>
                <w:p w14:paraId="1A2C662C" w14:textId="77777777" w:rsidR="004C5A72" w:rsidRPr="00EB4495" w:rsidRDefault="004C5A72" w:rsidP="003306C4">
                  <w:pPr>
                    <w:jc w:val="left"/>
                    <w:rPr>
                      <w:rFonts w:ascii="Arial" w:hAnsi="Arial" w:cs="Arial"/>
                      <w:b/>
                    </w:rPr>
                  </w:pPr>
                </w:p>
              </w:tc>
              <w:tc>
                <w:tcPr>
                  <w:tcW w:w="615" w:type="pct"/>
                  <w:tcBorders>
                    <w:top w:val="single" w:sz="4" w:space="0" w:color="auto"/>
                    <w:bottom w:val="nil"/>
                    <w:right w:val="nil"/>
                  </w:tcBorders>
                  <w:vAlign w:val="center"/>
                  <w:hideMark/>
                </w:tcPr>
                <w:p w14:paraId="34585D22" w14:textId="081A4B12" w:rsidR="004C5A72" w:rsidRPr="00EB4495" w:rsidRDefault="004C5A72" w:rsidP="003306C4">
                  <w:pPr>
                    <w:jc w:val="right"/>
                    <w:rPr>
                      <w:rFonts w:ascii="Arial" w:hAnsi="Arial" w:cs="Arial"/>
                      <w:b/>
                    </w:rPr>
                  </w:pPr>
                  <w:r w:rsidRPr="00EB4495">
                    <w:rPr>
                      <w:rFonts w:ascii="Arial" w:hAnsi="Arial" w:cs="Arial"/>
                      <w:b/>
                      <w:bCs/>
                    </w:rPr>
                    <w:t>Q1 2</w:t>
                  </w:r>
                  <w:r w:rsidR="002E5277">
                    <w:rPr>
                      <w:rFonts w:ascii="Arial" w:hAnsi="Arial" w:cs="Arial"/>
                      <w:b/>
                      <w:bCs/>
                    </w:rPr>
                    <w:t>2</w:t>
                  </w:r>
                  <w:r w:rsidRPr="00EB4495">
                    <w:rPr>
                      <w:rFonts w:ascii="Arial" w:hAnsi="Arial" w:cs="Arial"/>
                      <w:b/>
                      <w:bCs/>
                    </w:rPr>
                    <w:t>/2</w:t>
                  </w:r>
                  <w:r w:rsidR="002E5277">
                    <w:rPr>
                      <w:rFonts w:ascii="Arial" w:hAnsi="Arial" w:cs="Arial"/>
                      <w:b/>
                      <w:bCs/>
                    </w:rPr>
                    <w:t>3</w:t>
                  </w:r>
                </w:p>
              </w:tc>
              <w:tc>
                <w:tcPr>
                  <w:tcW w:w="615" w:type="pct"/>
                  <w:tcBorders>
                    <w:top w:val="single" w:sz="4" w:space="0" w:color="auto"/>
                    <w:left w:val="nil"/>
                    <w:bottom w:val="nil"/>
                    <w:right w:val="nil"/>
                  </w:tcBorders>
                  <w:vAlign w:val="center"/>
                </w:tcPr>
                <w:p w14:paraId="3CF9AF34" w14:textId="1429A4C9" w:rsidR="004C5A72" w:rsidRPr="00EB4495" w:rsidRDefault="004C5A72" w:rsidP="003306C4">
                  <w:pPr>
                    <w:jc w:val="right"/>
                    <w:rPr>
                      <w:rFonts w:ascii="Arial" w:hAnsi="Arial" w:cs="Arial"/>
                      <w:b/>
                    </w:rPr>
                  </w:pPr>
                  <w:r w:rsidRPr="00EB4495">
                    <w:rPr>
                      <w:rFonts w:ascii="Arial" w:hAnsi="Arial" w:cs="Arial"/>
                      <w:b/>
                      <w:bCs/>
                    </w:rPr>
                    <w:t xml:space="preserve">Q2 </w:t>
                  </w:r>
                  <w:r w:rsidR="002E5277" w:rsidRPr="00EB4495">
                    <w:rPr>
                      <w:rFonts w:ascii="Arial" w:hAnsi="Arial" w:cs="Arial"/>
                      <w:b/>
                      <w:bCs/>
                    </w:rPr>
                    <w:t>2</w:t>
                  </w:r>
                  <w:r w:rsidR="002E5277">
                    <w:rPr>
                      <w:rFonts w:ascii="Arial" w:hAnsi="Arial" w:cs="Arial"/>
                      <w:b/>
                      <w:bCs/>
                    </w:rPr>
                    <w:t>2</w:t>
                  </w:r>
                  <w:r w:rsidR="002E5277" w:rsidRPr="00EB4495">
                    <w:rPr>
                      <w:rFonts w:ascii="Arial" w:hAnsi="Arial" w:cs="Arial"/>
                      <w:b/>
                      <w:bCs/>
                    </w:rPr>
                    <w:t>/2</w:t>
                  </w:r>
                  <w:r w:rsidR="002E5277">
                    <w:rPr>
                      <w:rFonts w:ascii="Arial" w:hAnsi="Arial" w:cs="Arial"/>
                      <w:b/>
                      <w:bCs/>
                    </w:rPr>
                    <w:t>3</w:t>
                  </w:r>
                </w:p>
              </w:tc>
              <w:tc>
                <w:tcPr>
                  <w:tcW w:w="615" w:type="pct"/>
                  <w:tcBorders>
                    <w:top w:val="single" w:sz="4" w:space="0" w:color="auto"/>
                    <w:left w:val="nil"/>
                    <w:bottom w:val="nil"/>
                    <w:right w:val="nil"/>
                  </w:tcBorders>
                  <w:vAlign w:val="center"/>
                </w:tcPr>
                <w:p w14:paraId="51C32D2A" w14:textId="6A3148AB" w:rsidR="004C5A72" w:rsidRPr="00EB4495" w:rsidRDefault="004C5A72" w:rsidP="003306C4">
                  <w:pPr>
                    <w:jc w:val="right"/>
                    <w:rPr>
                      <w:rFonts w:ascii="Arial" w:hAnsi="Arial" w:cs="Arial"/>
                      <w:b/>
                    </w:rPr>
                  </w:pPr>
                  <w:r w:rsidRPr="00EB4495">
                    <w:rPr>
                      <w:rFonts w:ascii="Arial" w:hAnsi="Arial" w:cs="Arial"/>
                      <w:b/>
                      <w:bCs/>
                    </w:rPr>
                    <w:t xml:space="preserve">Q3 </w:t>
                  </w:r>
                  <w:r w:rsidR="002E5277" w:rsidRPr="00EB4495">
                    <w:rPr>
                      <w:rFonts w:ascii="Arial" w:hAnsi="Arial" w:cs="Arial"/>
                      <w:b/>
                      <w:bCs/>
                    </w:rPr>
                    <w:t>2</w:t>
                  </w:r>
                  <w:r w:rsidR="002E5277">
                    <w:rPr>
                      <w:rFonts w:ascii="Arial" w:hAnsi="Arial" w:cs="Arial"/>
                      <w:b/>
                      <w:bCs/>
                    </w:rPr>
                    <w:t>2</w:t>
                  </w:r>
                  <w:r w:rsidR="002E5277" w:rsidRPr="00EB4495">
                    <w:rPr>
                      <w:rFonts w:ascii="Arial" w:hAnsi="Arial" w:cs="Arial"/>
                      <w:b/>
                      <w:bCs/>
                    </w:rPr>
                    <w:t>/2</w:t>
                  </w:r>
                  <w:r w:rsidR="002E5277">
                    <w:rPr>
                      <w:rFonts w:ascii="Arial" w:hAnsi="Arial" w:cs="Arial"/>
                      <w:b/>
                      <w:bCs/>
                    </w:rPr>
                    <w:t>3</w:t>
                  </w:r>
                </w:p>
              </w:tc>
              <w:tc>
                <w:tcPr>
                  <w:tcW w:w="615" w:type="pct"/>
                  <w:tcBorders>
                    <w:top w:val="single" w:sz="4" w:space="0" w:color="auto"/>
                    <w:left w:val="nil"/>
                    <w:bottom w:val="nil"/>
                    <w:right w:val="nil"/>
                  </w:tcBorders>
                  <w:vAlign w:val="center"/>
                </w:tcPr>
                <w:p w14:paraId="47A884D7" w14:textId="1D89520D" w:rsidR="004C5A72" w:rsidRPr="00EB4495" w:rsidRDefault="004C5A72" w:rsidP="003306C4">
                  <w:pPr>
                    <w:jc w:val="right"/>
                    <w:rPr>
                      <w:rFonts w:ascii="Arial" w:hAnsi="Arial" w:cs="Arial"/>
                      <w:b/>
                    </w:rPr>
                  </w:pPr>
                  <w:r w:rsidRPr="00EB4495">
                    <w:rPr>
                      <w:rFonts w:ascii="Arial" w:hAnsi="Arial" w:cs="Arial"/>
                      <w:b/>
                      <w:bCs/>
                    </w:rPr>
                    <w:t xml:space="preserve">Q4 </w:t>
                  </w:r>
                  <w:r w:rsidR="002E5277" w:rsidRPr="00EB4495">
                    <w:rPr>
                      <w:rFonts w:ascii="Arial" w:hAnsi="Arial" w:cs="Arial"/>
                      <w:b/>
                      <w:bCs/>
                    </w:rPr>
                    <w:t>2</w:t>
                  </w:r>
                  <w:r w:rsidR="002E5277">
                    <w:rPr>
                      <w:rFonts w:ascii="Arial" w:hAnsi="Arial" w:cs="Arial"/>
                      <w:b/>
                      <w:bCs/>
                    </w:rPr>
                    <w:t>2</w:t>
                  </w:r>
                  <w:r w:rsidR="002E5277" w:rsidRPr="00EB4495">
                    <w:rPr>
                      <w:rFonts w:ascii="Arial" w:hAnsi="Arial" w:cs="Arial"/>
                      <w:b/>
                      <w:bCs/>
                    </w:rPr>
                    <w:t>/2</w:t>
                  </w:r>
                  <w:r w:rsidR="002E5277">
                    <w:rPr>
                      <w:rFonts w:ascii="Arial" w:hAnsi="Arial" w:cs="Arial"/>
                      <w:b/>
                      <w:bCs/>
                    </w:rPr>
                    <w:t>3</w:t>
                  </w:r>
                </w:p>
              </w:tc>
              <w:tc>
                <w:tcPr>
                  <w:tcW w:w="615" w:type="pct"/>
                  <w:tcBorders>
                    <w:top w:val="single" w:sz="4" w:space="0" w:color="auto"/>
                    <w:left w:val="nil"/>
                    <w:bottom w:val="nil"/>
                    <w:right w:val="nil"/>
                  </w:tcBorders>
                  <w:vAlign w:val="center"/>
                  <w:hideMark/>
                </w:tcPr>
                <w:p w14:paraId="26FD0B1E" w14:textId="5FCF3CCB" w:rsidR="004C5A72" w:rsidRPr="00EB4495" w:rsidRDefault="004C5A72" w:rsidP="003306C4">
                  <w:pPr>
                    <w:jc w:val="right"/>
                    <w:rPr>
                      <w:rFonts w:ascii="Arial" w:hAnsi="Arial" w:cs="Arial"/>
                      <w:b/>
                    </w:rPr>
                  </w:pPr>
                  <w:r w:rsidRPr="00EB4495">
                    <w:rPr>
                      <w:rFonts w:ascii="Arial" w:hAnsi="Arial" w:cs="Arial"/>
                      <w:b/>
                      <w:bCs/>
                    </w:rPr>
                    <w:t xml:space="preserve">FY </w:t>
                  </w:r>
                  <w:r w:rsidR="002E5277" w:rsidRPr="00EB4495">
                    <w:rPr>
                      <w:rFonts w:ascii="Arial" w:hAnsi="Arial" w:cs="Arial"/>
                      <w:b/>
                      <w:bCs/>
                    </w:rPr>
                    <w:t>2</w:t>
                  </w:r>
                  <w:r w:rsidR="002E5277">
                    <w:rPr>
                      <w:rFonts w:ascii="Arial" w:hAnsi="Arial" w:cs="Arial"/>
                      <w:b/>
                      <w:bCs/>
                    </w:rPr>
                    <w:t>2</w:t>
                  </w:r>
                  <w:r w:rsidR="002E5277" w:rsidRPr="00EB4495">
                    <w:rPr>
                      <w:rFonts w:ascii="Arial" w:hAnsi="Arial" w:cs="Arial"/>
                      <w:b/>
                      <w:bCs/>
                    </w:rPr>
                    <w:t>/2</w:t>
                  </w:r>
                  <w:r w:rsidR="002E5277">
                    <w:rPr>
                      <w:rFonts w:ascii="Arial" w:hAnsi="Arial" w:cs="Arial"/>
                      <w:b/>
                      <w:bCs/>
                    </w:rPr>
                    <w:t>3</w:t>
                  </w:r>
                </w:p>
              </w:tc>
            </w:tr>
            <w:tr w:rsidR="005E7223" w:rsidRPr="00EB4495" w14:paraId="4EA20B8F" w14:textId="77777777" w:rsidTr="00F12DAB">
              <w:trPr>
                <w:gridAfter w:val="1"/>
                <w:wAfter w:w="25" w:type="pct"/>
                <w:trHeight w:val="289"/>
              </w:trPr>
              <w:tc>
                <w:tcPr>
                  <w:tcW w:w="1900" w:type="pct"/>
                  <w:tcBorders>
                    <w:top w:val="single" w:sz="4" w:space="0" w:color="auto"/>
                    <w:left w:val="nil"/>
                    <w:bottom w:val="nil"/>
                    <w:right w:val="nil"/>
                  </w:tcBorders>
                  <w:vAlign w:val="center"/>
                </w:tcPr>
                <w:p w14:paraId="226A6C57" w14:textId="77777777" w:rsidR="005E7223" w:rsidRPr="00EB4495" w:rsidRDefault="005E7223" w:rsidP="005E7223">
                  <w:pPr>
                    <w:jc w:val="left"/>
                    <w:rPr>
                      <w:rFonts w:ascii="Arial" w:hAnsi="Arial" w:cs="Arial"/>
                      <w:b/>
                    </w:rPr>
                  </w:pPr>
                  <w:r w:rsidRPr="00EB4495">
                    <w:rPr>
                      <w:rFonts w:ascii="Arial" w:hAnsi="Arial" w:cs="Arial"/>
                      <w:b/>
                    </w:rPr>
                    <w:t>UK &amp; Ireland</w:t>
                  </w:r>
                </w:p>
              </w:tc>
              <w:tc>
                <w:tcPr>
                  <w:tcW w:w="615" w:type="pct"/>
                  <w:tcBorders>
                    <w:top w:val="single" w:sz="4" w:space="0" w:color="auto"/>
                    <w:left w:val="nil"/>
                    <w:bottom w:val="nil"/>
                    <w:right w:val="nil"/>
                  </w:tcBorders>
                  <w:vAlign w:val="center"/>
                </w:tcPr>
                <w:p w14:paraId="67CB0751" w14:textId="5D5D1B21" w:rsidR="005E7223" w:rsidRPr="00EB4495" w:rsidRDefault="005E7223" w:rsidP="005E7223">
                  <w:pPr>
                    <w:jc w:val="right"/>
                    <w:rPr>
                      <w:rFonts w:ascii="Arial" w:hAnsi="Arial" w:cs="Arial"/>
                      <w:b/>
                    </w:rPr>
                  </w:pPr>
                  <w:r w:rsidRPr="00EB4495">
                    <w:rPr>
                      <w:rFonts w:ascii="Arial" w:hAnsi="Arial" w:cs="Arial"/>
                      <w:b/>
                    </w:rPr>
                    <w:t>(</w:t>
                  </w:r>
                  <w:r>
                    <w:rPr>
                      <w:rFonts w:ascii="Arial" w:hAnsi="Arial" w:cs="Arial"/>
                      <w:b/>
                    </w:rPr>
                    <w:t>15</w:t>
                  </w:r>
                  <w:r w:rsidRPr="00EB4495">
                    <w:rPr>
                      <w:rFonts w:ascii="Arial" w:hAnsi="Arial" w:cs="Arial"/>
                      <w:b/>
                    </w:rPr>
                    <w:t>.</w:t>
                  </w:r>
                  <w:r>
                    <w:rPr>
                      <w:rFonts w:ascii="Arial" w:hAnsi="Arial" w:cs="Arial"/>
                      <w:b/>
                    </w:rPr>
                    <w:t>8</w:t>
                  </w:r>
                  <w:r w:rsidRPr="00EB4495">
                    <w:rPr>
                      <w:rFonts w:ascii="Arial" w:hAnsi="Arial" w:cs="Arial"/>
                      <w:b/>
                    </w:rPr>
                    <w:t>)%</w:t>
                  </w:r>
                </w:p>
              </w:tc>
              <w:tc>
                <w:tcPr>
                  <w:tcW w:w="615" w:type="pct"/>
                  <w:tcBorders>
                    <w:top w:val="single" w:sz="4" w:space="0" w:color="auto"/>
                    <w:left w:val="nil"/>
                    <w:bottom w:val="nil"/>
                    <w:right w:val="nil"/>
                  </w:tcBorders>
                  <w:vAlign w:val="center"/>
                </w:tcPr>
                <w:p w14:paraId="72E493BA" w14:textId="496BF389" w:rsidR="005E7223" w:rsidRPr="00EB4495" w:rsidRDefault="005E7223" w:rsidP="005E7223">
                  <w:pPr>
                    <w:jc w:val="right"/>
                    <w:rPr>
                      <w:rFonts w:ascii="Arial" w:hAnsi="Arial" w:cs="Arial"/>
                      <w:b/>
                    </w:rPr>
                  </w:pPr>
                  <w:r w:rsidRPr="00EB4495">
                    <w:rPr>
                      <w:rFonts w:ascii="Arial" w:hAnsi="Arial" w:cs="Arial"/>
                      <w:b/>
                    </w:rPr>
                    <w:t>(</w:t>
                  </w:r>
                  <w:r>
                    <w:rPr>
                      <w:rFonts w:ascii="Arial" w:hAnsi="Arial" w:cs="Arial"/>
                      <w:b/>
                    </w:rPr>
                    <w:t>7</w:t>
                  </w:r>
                  <w:r w:rsidRPr="00EB4495">
                    <w:rPr>
                      <w:rFonts w:ascii="Arial" w:hAnsi="Arial" w:cs="Arial"/>
                      <w:b/>
                    </w:rPr>
                    <w:t>.</w:t>
                  </w:r>
                  <w:r>
                    <w:rPr>
                      <w:rFonts w:ascii="Arial" w:hAnsi="Arial" w:cs="Arial"/>
                      <w:b/>
                    </w:rPr>
                    <w:t>1</w:t>
                  </w:r>
                  <w:r w:rsidRPr="00EB4495">
                    <w:rPr>
                      <w:rFonts w:ascii="Arial" w:hAnsi="Arial" w:cs="Arial"/>
                      <w:b/>
                    </w:rPr>
                    <w:t>)%</w:t>
                  </w:r>
                </w:p>
              </w:tc>
              <w:tc>
                <w:tcPr>
                  <w:tcW w:w="615" w:type="pct"/>
                  <w:tcBorders>
                    <w:top w:val="single" w:sz="4" w:space="0" w:color="auto"/>
                    <w:left w:val="nil"/>
                    <w:bottom w:val="nil"/>
                    <w:right w:val="nil"/>
                  </w:tcBorders>
                  <w:vAlign w:val="center"/>
                </w:tcPr>
                <w:p w14:paraId="46043697" w14:textId="38E9A01C" w:rsidR="005E7223" w:rsidRPr="00EB4495" w:rsidRDefault="005E7223" w:rsidP="005E7223">
                  <w:pPr>
                    <w:jc w:val="right"/>
                    <w:rPr>
                      <w:rFonts w:ascii="Arial" w:hAnsi="Arial" w:cs="Arial"/>
                      <w:b/>
                    </w:rPr>
                  </w:pPr>
                  <w:r w:rsidRPr="00EB4495">
                    <w:rPr>
                      <w:rFonts w:ascii="Arial" w:hAnsi="Arial" w:cs="Arial"/>
                      <w:b/>
                    </w:rPr>
                    <w:t>(</w:t>
                  </w:r>
                  <w:r>
                    <w:rPr>
                      <w:rFonts w:ascii="Arial" w:hAnsi="Arial" w:cs="Arial"/>
                      <w:b/>
                    </w:rPr>
                    <w:t>2</w:t>
                  </w:r>
                  <w:r w:rsidRPr="00EB4495">
                    <w:rPr>
                      <w:rFonts w:ascii="Arial" w:hAnsi="Arial" w:cs="Arial"/>
                      <w:b/>
                    </w:rPr>
                    <w:t>.</w:t>
                  </w:r>
                  <w:r>
                    <w:rPr>
                      <w:rFonts w:ascii="Arial" w:hAnsi="Arial" w:cs="Arial"/>
                      <w:b/>
                    </w:rPr>
                    <w:t>3</w:t>
                  </w:r>
                  <w:r w:rsidRPr="00EB4495">
                    <w:rPr>
                      <w:rFonts w:ascii="Arial" w:hAnsi="Arial" w:cs="Arial"/>
                      <w:b/>
                    </w:rPr>
                    <w:t>)%</w:t>
                  </w:r>
                </w:p>
              </w:tc>
              <w:tc>
                <w:tcPr>
                  <w:tcW w:w="615" w:type="pct"/>
                  <w:tcBorders>
                    <w:top w:val="single" w:sz="4" w:space="0" w:color="auto"/>
                    <w:left w:val="nil"/>
                    <w:bottom w:val="nil"/>
                    <w:right w:val="nil"/>
                  </w:tcBorders>
                  <w:vAlign w:val="center"/>
                </w:tcPr>
                <w:p w14:paraId="2AAF079D" w14:textId="24D073D4" w:rsidR="005E7223" w:rsidRPr="00EB4495" w:rsidRDefault="00F26700" w:rsidP="005E7223">
                  <w:pPr>
                    <w:jc w:val="right"/>
                    <w:rPr>
                      <w:rFonts w:ascii="Arial" w:hAnsi="Arial" w:cs="Arial"/>
                      <w:b/>
                    </w:rPr>
                  </w:pPr>
                  <w:r>
                    <w:rPr>
                      <w:rFonts w:ascii="Arial" w:hAnsi="Arial" w:cs="Arial"/>
                      <w:b/>
                    </w:rPr>
                    <w:t>+0.2</w:t>
                  </w:r>
                  <w:r w:rsidR="005E7223" w:rsidRPr="00EB4495">
                    <w:rPr>
                      <w:rFonts w:ascii="Arial" w:hAnsi="Arial" w:cs="Arial"/>
                      <w:b/>
                    </w:rPr>
                    <w:t>%</w:t>
                  </w:r>
                </w:p>
              </w:tc>
              <w:tc>
                <w:tcPr>
                  <w:tcW w:w="615" w:type="pct"/>
                  <w:tcBorders>
                    <w:top w:val="single" w:sz="4" w:space="0" w:color="auto"/>
                    <w:left w:val="nil"/>
                    <w:bottom w:val="nil"/>
                    <w:right w:val="nil"/>
                  </w:tcBorders>
                  <w:vAlign w:val="center"/>
                </w:tcPr>
                <w:p w14:paraId="17C3D3D3" w14:textId="0B216651" w:rsidR="005E7223" w:rsidRPr="00EB4495" w:rsidRDefault="005E7223" w:rsidP="005E7223">
                  <w:pPr>
                    <w:jc w:val="right"/>
                    <w:rPr>
                      <w:rFonts w:ascii="Arial" w:hAnsi="Arial" w:cs="Arial"/>
                      <w:b/>
                    </w:rPr>
                  </w:pPr>
                  <w:r w:rsidRPr="00EB4495">
                    <w:rPr>
                      <w:rFonts w:ascii="Arial" w:hAnsi="Arial" w:cs="Arial"/>
                      <w:b/>
                    </w:rPr>
                    <w:t>(</w:t>
                  </w:r>
                  <w:r w:rsidR="001D776A">
                    <w:rPr>
                      <w:rFonts w:ascii="Arial" w:hAnsi="Arial" w:cs="Arial"/>
                      <w:b/>
                    </w:rPr>
                    <w:t>6</w:t>
                  </w:r>
                  <w:r w:rsidRPr="00EB4495">
                    <w:rPr>
                      <w:rFonts w:ascii="Arial" w:hAnsi="Arial" w:cs="Arial"/>
                      <w:b/>
                    </w:rPr>
                    <w:t>.</w:t>
                  </w:r>
                  <w:r w:rsidR="001D776A">
                    <w:rPr>
                      <w:rFonts w:ascii="Arial" w:hAnsi="Arial" w:cs="Arial"/>
                      <w:b/>
                    </w:rPr>
                    <w:t>9</w:t>
                  </w:r>
                  <w:r w:rsidRPr="00EB4495">
                    <w:rPr>
                      <w:rFonts w:ascii="Arial" w:hAnsi="Arial" w:cs="Arial"/>
                      <w:b/>
                    </w:rPr>
                    <w:t>)%</w:t>
                  </w:r>
                </w:p>
              </w:tc>
            </w:tr>
            <w:tr w:rsidR="005E7223" w:rsidRPr="00EB4495" w14:paraId="31F16117" w14:textId="77777777" w:rsidTr="00F12DAB">
              <w:trPr>
                <w:gridAfter w:val="1"/>
                <w:wAfter w:w="25" w:type="pct"/>
                <w:trHeight w:val="289"/>
              </w:trPr>
              <w:tc>
                <w:tcPr>
                  <w:tcW w:w="1900" w:type="pct"/>
                  <w:vAlign w:val="center"/>
                </w:tcPr>
                <w:p w14:paraId="39A258D9" w14:textId="77777777" w:rsidR="005E7223" w:rsidRPr="00EB4495" w:rsidRDefault="005E7223" w:rsidP="005E7223">
                  <w:pPr>
                    <w:jc w:val="left"/>
                    <w:rPr>
                      <w:rFonts w:ascii="Arial" w:hAnsi="Arial" w:cs="Arial"/>
                      <w:bCs/>
                    </w:rPr>
                  </w:pPr>
                  <w:r w:rsidRPr="00EB4495">
                    <w:rPr>
                      <w:rFonts w:ascii="Arial" w:hAnsi="Arial" w:cs="Arial"/>
                      <w:bCs/>
                    </w:rPr>
                    <w:t>- B&amp;Q</w:t>
                  </w:r>
                </w:p>
              </w:tc>
              <w:tc>
                <w:tcPr>
                  <w:tcW w:w="615" w:type="pct"/>
                  <w:vAlign w:val="center"/>
                </w:tcPr>
                <w:p w14:paraId="243745E4" w14:textId="0EE4A515" w:rsidR="005E7223" w:rsidRPr="00EB4495" w:rsidRDefault="005E7223" w:rsidP="005E7223">
                  <w:pPr>
                    <w:jc w:val="right"/>
                    <w:rPr>
                      <w:rFonts w:ascii="Arial" w:hAnsi="Arial" w:cs="Arial"/>
                      <w:bCs/>
                    </w:rPr>
                  </w:pPr>
                  <w:r w:rsidRPr="00EB4495">
                    <w:rPr>
                      <w:rFonts w:ascii="Arial" w:hAnsi="Arial" w:cs="Arial"/>
                      <w:bCs/>
                    </w:rPr>
                    <w:t>(</w:t>
                  </w:r>
                  <w:r>
                    <w:rPr>
                      <w:rFonts w:ascii="Arial" w:hAnsi="Arial" w:cs="Arial"/>
                      <w:bCs/>
                    </w:rPr>
                    <w:t>18</w:t>
                  </w:r>
                  <w:r w:rsidRPr="00EB4495">
                    <w:rPr>
                      <w:rFonts w:ascii="Arial" w:hAnsi="Arial" w:cs="Arial"/>
                      <w:bCs/>
                    </w:rPr>
                    <w:t>.</w:t>
                  </w:r>
                  <w:r>
                    <w:rPr>
                      <w:rFonts w:ascii="Arial" w:hAnsi="Arial" w:cs="Arial"/>
                      <w:bCs/>
                    </w:rPr>
                    <w:t>3</w:t>
                  </w:r>
                  <w:r w:rsidRPr="00EB4495">
                    <w:rPr>
                      <w:rFonts w:ascii="Arial" w:hAnsi="Arial" w:cs="Arial"/>
                      <w:bCs/>
                    </w:rPr>
                    <w:t>)%</w:t>
                  </w:r>
                </w:p>
              </w:tc>
              <w:tc>
                <w:tcPr>
                  <w:tcW w:w="615" w:type="pct"/>
                  <w:vAlign w:val="center"/>
                </w:tcPr>
                <w:p w14:paraId="7780F31F" w14:textId="63D265D1" w:rsidR="005E7223" w:rsidRPr="00EB4495" w:rsidRDefault="005E7223" w:rsidP="005E7223">
                  <w:pPr>
                    <w:jc w:val="right"/>
                    <w:rPr>
                      <w:rFonts w:ascii="Arial" w:hAnsi="Arial" w:cs="Arial"/>
                      <w:bCs/>
                    </w:rPr>
                  </w:pPr>
                  <w:r w:rsidRPr="00EB4495">
                    <w:rPr>
                      <w:rFonts w:ascii="Arial" w:hAnsi="Arial" w:cs="Arial"/>
                      <w:bCs/>
                    </w:rPr>
                    <w:t>(</w:t>
                  </w:r>
                  <w:r>
                    <w:rPr>
                      <w:rFonts w:ascii="Arial" w:hAnsi="Arial" w:cs="Arial"/>
                      <w:bCs/>
                    </w:rPr>
                    <w:t>7</w:t>
                  </w:r>
                  <w:r w:rsidRPr="00EB4495">
                    <w:rPr>
                      <w:rFonts w:ascii="Arial" w:hAnsi="Arial" w:cs="Arial"/>
                      <w:bCs/>
                    </w:rPr>
                    <w:t>.</w:t>
                  </w:r>
                  <w:r>
                    <w:rPr>
                      <w:rFonts w:ascii="Arial" w:hAnsi="Arial" w:cs="Arial"/>
                      <w:bCs/>
                    </w:rPr>
                    <w:t>4</w:t>
                  </w:r>
                  <w:r w:rsidRPr="00EB4495">
                    <w:rPr>
                      <w:rFonts w:ascii="Arial" w:hAnsi="Arial" w:cs="Arial"/>
                      <w:bCs/>
                    </w:rPr>
                    <w:t>)%</w:t>
                  </w:r>
                </w:p>
              </w:tc>
              <w:tc>
                <w:tcPr>
                  <w:tcW w:w="615" w:type="pct"/>
                  <w:vAlign w:val="center"/>
                </w:tcPr>
                <w:p w14:paraId="28FBEE6A" w14:textId="4436E5A5" w:rsidR="005E7223" w:rsidRPr="00EB4495" w:rsidRDefault="005E7223" w:rsidP="005E7223">
                  <w:pPr>
                    <w:jc w:val="right"/>
                    <w:rPr>
                      <w:rFonts w:ascii="Arial" w:hAnsi="Arial" w:cs="Arial"/>
                      <w:bCs/>
                    </w:rPr>
                  </w:pPr>
                  <w:r w:rsidRPr="00EB4495">
                    <w:rPr>
                      <w:rFonts w:ascii="Arial" w:hAnsi="Arial" w:cs="Arial"/>
                      <w:bCs/>
                    </w:rPr>
                    <w:t>(</w:t>
                  </w:r>
                  <w:r>
                    <w:rPr>
                      <w:rFonts w:ascii="Arial" w:hAnsi="Arial" w:cs="Arial"/>
                      <w:bCs/>
                    </w:rPr>
                    <w:t>3</w:t>
                  </w:r>
                  <w:r w:rsidRPr="00EB4495">
                    <w:rPr>
                      <w:rFonts w:ascii="Arial" w:hAnsi="Arial" w:cs="Arial"/>
                      <w:bCs/>
                    </w:rPr>
                    <w:t>.</w:t>
                  </w:r>
                  <w:r>
                    <w:rPr>
                      <w:rFonts w:ascii="Arial" w:hAnsi="Arial" w:cs="Arial"/>
                      <w:bCs/>
                    </w:rPr>
                    <w:t>5</w:t>
                  </w:r>
                  <w:r w:rsidRPr="00EB4495">
                    <w:rPr>
                      <w:rFonts w:ascii="Arial" w:hAnsi="Arial" w:cs="Arial"/>
                      <w:bCs/>
                    </w:rPr>
                    <w:t>)%</w:t>
                  </w:r>
                </w:p>
              </w:tc>
              <w:tc>
                <w:tcPr>
                  <w:tcW w:w="615" w:type="pct"/>
                  <w:vAlign w:val="center"/>
                </w:tcPr>
                <w:p w14:paraId="63F61F9D" w14:textId="6C07CEF7" w:rsidR="005E7223" w:rsidRPr="00EB4495" w:rsidRDefault="005E7223" w:rsidP="005E7223">
                  <w:pPr>
                    <w:jc w:val="right"/>
                    <w:rPr>
                      <w:rFonts w:ascii="Arial" w:hAnsi="Arial" w:cs="Arial"/>
                      <w:bCs/>
                    </w:rPr>
                  </w:pPr>
                  <w:r w:rsidRPr="00EB4495">
                    <w:rPr>
                      <w:rFonts w:ascii="Arial" w:hAnsi="Arial" w:cs="Arial"/>
                      <w:bCs/>
                    </w:rPr>
                    <w:t>(</w:t>
                  </w:r>
                  <w:r>
                    <w:rPr>
                      <w:rFonts w:ascii="Arial" w:hAnsi="Arial" w:cs="Arial"/>
                      <w:bCs/>
                    </w:rPr>
                    <w:t>3</w:t>
                  </w:r>
                  <w:r w:rsidRPr="00EB4495">
                    <w:rPr>
                      <w:rFonts w:ascii="Arial" w:hAnsi="Arial" w:cs="Arial"/>
                      <w:bCs/>
                    </w:rPr>
                    <w:t>.</w:t>
                  </w:r>
                  <w:r w:rsidR="00F26700">
                    <w:rPr>
                      <w:rFonts w:ascii="Arial" w:hAnsi="Arial" w:cs="Arial"/>
                      <w:bCs/>
                    </w:rPr>
                    <w:t>0</w:t>
                  </w:r>
                  <w:r w:rsidRPr="00EB4495">
                    <w:rPr>
                      <w:rFonts w:ascii="Arial" w:hAnsi="Arial" w:cs="Arial"/>
                      <w:bCs/>
                    </w:rPr>
                    <w:t>)%</w:t>
                  </w:r>
                </w:p>
              </w:tc>
              <w:tc>
                <w:tcPr>
                  <w:tcW w:w="615" w:type="pct"/>
                  <w:vAlign w:val="center"/>
                </w:tcPr>
                <w:p w14:paraId="7427B255" w14:textId="760A43CF" w:rsidR="005E7223" w:rsidRPr="00EB4495" w:rsidRDefault="005E7223" w:rsidP="005E7223">
                  <w:pPr>
                    <w:jc w:val="right"/>
                    <w:rPr>
                      <w:rFonts w:ascii="Arial" w:hAnsi="Arial" w:cs="Arial"/>
                      <w:bCs/>
                    </w:rPr>
                  </w:pPr>
                  <w:r w:rsidRPr="00EB4495">
                    <w:rPr>
                      <w:rFonts w:ascii="Arial" w:hAnsi="Arial" w:cs="Arial"/>
                      <w:bCs/>
                    </w:rPr>
                    <w:t>(</w:t>
                  </w:r>
                  <w:r w:rsidR="002E3C6B">
                    <w:rPr>
                      <w:rFonts w:ascii="Arial" w:hAnsi="Arial" w:cs="Arial"/>
                      <w:bCs/>
                    </w:rPr>
                    <w:t>8</w:t>
                  </w:r>
                  <w:r w:rsidRPr="00EB4495">
                    <w:rPr>
                      <w:rFonts w:ascii="Arial" w:hAnsi="Arial" w:cs="Arial"/>
                      <w:bCs/>
                    </w:rPr>
                    <w:t>.</w:t>
                  </w:r>
                  <w:r w:rsidR="002E3C6B">
                    <w:rPr>
                      <w:rFonts w:ascii="Arial" w:hAnsi="Arial" w:cs="Arial"/>
                      <w:bCs/>
                    </w:rPr>
                    <w:t>8</w:t>
                  </w:r>
                  <w:r w:rsidRPr="00EB4495">
                    <w:rPr>
                      <w:rFonts w:ascii="Arial" w:hAnsi="Arial" w:cs="Arial"/>
                      <w:bCs/>
                    </w:rPr>
                    <w:t>)%</w:t>
                  </w:r>
                </w:p>
              </w:tc>
            </w:tr>
            <w:tr w:rsidR="005E7223" w:rsidRPr="00EB4495" w14:paraId="5F3BD36F" w14:textId="77777777" w:rsidTr="00F12DAB">
              <w:trPr>
                <w:gridAfter w:val="1"/>
                <w:wAfter w:w="25" w:type="pct"/>
                <w:trHeight w:val="289"/>
              </w:trPr>
              <w:tc>
                <w:tcPr>
                  <w:tcW w:w="1900" w:type="pct"/>
                  <w:vAlign w:val="center"/>
                </w:tcPr>
                <w:p w14:paraId="14266CBA" w14:textId="77777777" w:rsidR="005E7223" w:rsidRPr="00EB4495" w:rsidRDefault="005E7223" w:rsidP="005E7223">
                  <w:pPr>
                    <w:jc w:val="left"/>
                    <w:rPr>
                      <w:rFonts w:ascii="Arial" w:hAnsi="Arial" w:cs="Arial"/>
                      <w:bCs/>
                    </w:rPr>
                  </w:pPr>
                  <w:r w:rsidRPr="00EB4495">
                    <w:rPr>
                      <w:rFonts w:ascii="Arial" w:hAnsi="Arial" w:cs="Arial"/>
                      <w:bCs/>
                    </w:rPr>
                    <w:t>- Screwfix</w:t>
                  </w:r>
                </w:p>
              </w:tc>
              <w:tc>
                <w:tcPr>
                  <w:tcW w:w="615" w:type="pct"/>
                  <w:vAlign w:val="center"/>
                </w:tcPr>
                <w:p w14:paraId="2125C5FB" w14:textId="19CFCC11" w:rsidR="005E7223" w:rsidRPr="00EB4495" w:rsidRDefault="005E7223" w:rsidP="005E7223">
                  <w:pPr>
                    <w:jc w:val="right"/>
                    <w:rPr>
                      <w:rFonts w:ascii="Arial" w:hAnsi="Arial" w:cs="Arial"/>
                      <w:bCs/>
                    </w:rPr>
                  </w:pPr>
                  <w:r>
                    <w:rPr>
                      <w:rFonts w:ascii="Arial" w:hAnsi="Arial" w:cs="Arial"/>
                      <w:bCs/>
                    </w:rPr>
                    <w:t>(10.9)</w:t>
                  </w:r>
                  <w:r w:rsidRPr="00EB4495">
                    <w:rPr>
                      <w:rFonts w:ascii="Arial" w:hAnsi="Arial" w:cs="Arial"/>
                      <w:bCs/>
                    </w:rPr>
                    <w:t>%</w:t>
                  </w:r>
                </w:p>
              </w:tc>
              <w:tc>
                <w:tcPr>
                  <w:tcW w:w="615" w:type="pct"/>
                  <w:vAlign w:val="center"/>
                </w:tcPr>
                <w:p w14:paraId="412900AE" w14:textId="14EF65CA" w:rsidR="005E7223" w:rsidRPr="00EB4495" w:rsidRDefault="005E7223" w:rsidP="005E7223">
                  <w:pPr>
                    <w:jc w:val="right"/>
                    <w:rPr>
                      <w:rFonts w:ascii="Arial" w:hAnsi="Arial" w:cs="Arial"/>
                      <w:bCs/>
                    </w:rPr>
                  </w:pPr>
                  <w:r>
                    <w:rPr>
                      <w:rFonts w:ascii="Arial" w:hAnsi="Arial" w:cs="Arial"/>
                      <w:bCs/>
                    </w:rPr>
                    <w:t>(6.4)</w:t>
                  </w:r>
                  <w:r w:rsidRPr="00EB4495">
                    <w:rPr>
                      <w:rFonts w:ascii="Arial" w:hAnsi="Arial" w:cs="Arial"/>
                      <w:bCs/>
                    </w:rPr>
                    <w:t>%</w:t>
                  </w:r>
                </w:p>
              </w:tc>
              <w:tc>
                <w:tcPr>
                  <w:tcW w:w="615" w:type="pct"/>
                  <w:vAlign w:val="center"/>
                </w:tcPr>
                <w:p w14:paraId="5D0BEC86" w14:textId="06482B19" w:rsidR="005E7223" w:rsidRPr="00EB4495" w:rsidRDefault="005E7223" w:rsidP="005E7223">
                  <w:pPr>
                    <w:jc w:val="right"/>
                    <w:rPr>
                      <w:rFonts w:ascii="Arial" w:hAnsi="Arial" w:cs="Arial"/>
                      <w:bCs/>
                    </w:rPr>
                  </w:pPr>
                  <w:r>
                    <w:rPr>
                      <w:rFonts w:ascii="Arial" w:hAnsi="Arial" w:cs="Arial"/>
                      <w:bCs/>
                    </w:rPr>
                    <w:t>(</w:t>
                  </w:r>
                  <w:r w:rsidRPr="00EB4495">
                    <w:rPr>
                      <w:rFonts w:ascii="Arial" w:hAnsi="Arial" w:cs="Arial"/>
                      <w:bCs/>
                    </w:rPr>
                    <w:t>0.</w:t>
                  </w:r>
                  <w:r>
                    <w:rPr>
                      <w:rFonts w:ascii="Arial" w:hAnsi="Arial" w:cs="Arial"/>
                      <w:bCs/>
                    </w:rPr>
                    <w:t>5)</w:t>
                  </w:r>
                  <w:r w:rsidRPr="00EB4495">
                    <w:rPr>
                      <w:rFonts w:ascii="Arial" w:hAnsi="Arial" w:cs="Arial"/>
                      <w:bCs/>
                    </w:rPr>
                    <w:t>%</w:t>
                  </w:r>
                </w:p>
              </w:tc>
              <w:tc>
                <w:tcPr>
                  <w:tcW w:w="615" w:type="pct"/>
                  <w:vAlign w:val="center"/>
                </w:tcPr>
                <w:p w14:paraId="2D7DBE4D" w14:textId="3F395C37" w:rsidR="005E7223" w:rsidRPr="00EB4495" w:rsidRDefault="00F26700" w:rsidP="005E7223">
                  <w:pPr>
                    <w:jc w:val="right"/>
                    <w:rPr>
                      <w:rFonts w:ascii="Arial" w:hAnsi="Arial" w:cs="Arial"/>
                      <w:bCs/>
                    </w:rPr>
                  </w:pPr>
                  <w:r>
                    <w:rPr>
                      <w:rFonts w:ascii="Arial" w:hAnsi="Arial" w:cs="Arial"/>
                      <w:bCs/>
                    </w:rPr>
                    <w:t>+4.9</w:t>
                  </w:r>
                  <w:r w:rsidR="005E7223" w:rsidRPr="00EB4495">
                    <w:rPr>
                      <w:rFonts w:ascii="Arial" w:hAnsi="Arial" w:cs="Arial"/>
                      <w:bCs/>
                    </w:rPr>
                    <w:t>%</w:t>
                  </w:r>
                </w:p>
              </w:tc>
              <w:tc>
                <w:tcPr>
                  <w:tcW w:w="615" w:type="pct"/>
                  <w:vAlign w:val="center"/>
                </w:tcPr>
                <w:p w14:paraId="4BFA5FD9" w14:textId="71DD2291" w:rsidR="005E7223" w:rsidRPr="00EB4495" w:rsidRDefault="005E7223" w:rsidP="005E7223">
                  <w:pPr>
                    <w:jc w:val="right"/>
                    <w:rPr>
                      <w:rFonts w:ascii="Arial" w:hAnsi="Arial" w:cs="Arial"/>
                      <w:bCs/>
                    </w:rPr>
                  </w:pPr>
                  <w:r>
                    <w:rPr>
                      <w:rFonts w:ascii="Arial" w:hAnsi="Arial" w:cs="Arial"/>
                      <w:bCs/>
                    </w:rPr>
                    <w:t>(</w:t>
                  </w:r>
                  <w:r w:rsidR="002E3C6B">
                    <w:rPr>
                      <w:rFonts w:ascii="Arial" w:hAnsi="Arial" w:cs="Arial"/>
                      <w:bCs/>
                    </w:rPr>
                    <w:t>3</w:t>
                  </w:r>
                  <w:r w:rsidRPr="00EB4495">
                    <w:rPr>
                      <w:rFonts w:ascii="Arial" w:hAnsi="Arial" w:cs="Arial"/>
                      <w:bCs/>
                    </w:rPr>
                    <w:t>.</w:t>
                  </w:r>
                  <w:r w:rsidR="002E3C6B">
                    <w:rPr>
                      <w:rFonts w:ascii="Arial" w:hAnsi="Arial" w:cs="Arial"/>
                      <w:bCs/>
                    </w:rPr>
                    <w:t>4</w:t>
                  </w:r>
                  <w:r>
                    <w:rPr>
                      <w:rFonts w:ascii="Arial" w:hAnsi="Arial" w:cs="Arial"/>
                      <w:bCs/>
                    </w:rPr>
                    <w:t>)</w:t>
                  </w:r>
                  <w:r w:rsidRPr="00EB4495">
                    <w:rPr>
                      <w:rFonts w:ascii="Arial" w:hAnsi="Arial" w:cs="Arial"/>
                      <w:bCs/>
                    </w:rPr>
                    <w:t>%</w:t>
                  </w:r>
                </w:p>
              </w:tc>
            </w:tr>
            <w:tr w:rsidR="005E7223" w:rsidRPr="00EB4495" w14:paraId="50DB6D20" w14:textId="77777777" w:rsidTr="00F12DAB">
              <w:trPr>
                <w:gridAfter w:val="1"/>
                <w:wAfter w:w="25" w:type="pct"/>
                <w:trHeight w:val="289"/>
              </w:trPr>
              <w:tc>
                <w:tcPr>
                  <w:tcW w:w="1900" w:type="pct"/>
                  <w:vAlign w:val="center"/>
                  <w:hideMark/>
                </w:tcPr>
                <w:p w14:paraId="152B2DBB" w14:textId="77777777" w:rsidR="005E7223" w:rsidRPr="00EB4495" w:rsidRDefault="005E7223" w:rsidP="005E7223">
                  <w:pPr>
                    <w:jc w:val="left"/>
                    <w:rPr>
                      <w:rFonts w:ascii="Arial" w:hAnsi="Arial" w:cs="Arial"/>
                      <w:b/>
                    </w:rPr>
                  </w:pPr>
                  <w:r w:rsidRPr="00EB4495">
                    <w:rPr>
                      <w:rFonts w:ascii="Arial" w:hAnsi="Arial" w:cs="Arial"/>
                      <w:b/>
                    </w:rPr>
                    <w:t>France</w:t>
                  </w:r>
                </w:p>
              </w:tc>
              <w:tc>
                <w:tcPr>
                  <w:tcW w:w="615" w:type="pct"/>
                  <w:vAlign w:val="center"/>
                  <w:hideMark/>
                </w:tcPr>
                <w:p w14:paraId="348621B2" w14:textId="6726404B" w:rsidR="005E7223" w:rsidRPr="00EB4495" w:rsidRDefault="005E7223" w:rsidP="005E7223">
                  <w:pPr>
                    <w:jc w:val="right"/>
                    <w:rPr>
                      <w:rFonts w:ascii="Arial" w:hAnsi="Arial" w:cs="Arial"/>
                      <w:b/>
                    </w:rPr>
                  </w:pPr>
                  <w:r w:rsidRPr="00EB4495">
                    <w:rPr>
                      <w:rFonts w:ascii="Arial" w:hAnsi="Arial" w:cs="Arial"/>
                      <w:b/>
                    </w:rPr>
                    <w:t>(</w:t>
                  </w:r>
                  <w:r>
                    <w:rPr>
                      <w:rFonts w:ascii="Arial" w:hAnsi="Arial" w:cs="Arial"/>
                      <w:b/>
                    </w:rPr>
                    <w:t>3.7</w:t>
                  </w:r>
                  <w:r w:rsidRPr="00EB4495">
                    <w:rPr>
                      <w:rFonts w:ascii="Arial" w:hAnsi="Arial" w:cs="Arial"/>
                      <w:b/>
                    </w:rPr>
                    <w:t>)%</w:t>
                  </w:r>
                </w:p>
              </w:tc>
              <w:tc>
                <w:tcPr>
                  <w:tcW w:w="615" w:type="pct"/>
                  <w:vAlign w:val="center"/>
                </w:tcPr>
                <w:p w14:paraId="18C77D70" w14:textId="0390957E" w:rsidR="005E7223" w:rsidRPr="00EB4495" w:rsidRDefault="005E7223" w:rsidP="005E7223">
                  <w:pPr>
                    <w:jc w:val="right"/>
                    <w:rPr>
                      <w:rFonts w:ascii="Arial" w:hAnsi="Arial" w:cs="Arial"/>
                      <w:b/>
                    </w:rPr>
                  </w:pPr>
                  <w:r w:rsidRPr="00EB4495">
                    <w:rPr>
                      <w:rFonts w:ascii="Arial" w:hAnsi="Arial" w:cs="Arial"/>
                      <w:b/>
                    </w:rPr>
                    <w:t>(</w:t>
                  </w:r>
                  <w:r>
                    <w:rPr>
                      <w:rFonts w:ascii="Arial" w:hAnsi="Arial" w:cs="Arial"/>
                      <w:b/>
                    </w:rPr>
                    <w:t>2.3</w:t>
                  </w:r>
                  <w:r w:rsidRPr="00EB4495">
                    <w:rPr>
                      <w:rFonts w:ascii="Arial" w:hAnsi="Arial" w:cs="Arial"/>
                      <w:b/>
                    </w:rPr>
                    <w:t>)%</w:t>
                  </w:r>
                </w:p>
              </w:tc>
              <w:tc>
                <w:tcPr>
                  <w:tcW w:w="615" w:type="pct"/>
                  <w:vAlign w:val="center"/>
                </w:tcPr>
                <w:p w14:paraId="3823E803" w14:textId="1DA97552" w:rsidR="005E7223" w:rsidRPr="00EB4495" w:rsidRDefault="005E7223" w:rsidP="005E7223">
                  <w:pPr>
                    <w:jc w:val="right"/>
                    <w:rPr>
                      <w:rFonts w:ascii="Arial" w:hAnsi="Arial" w:cs="Arial"/>
                      <w:b/>
                    </w:rPr>
                  </w:pPr>
                  <w:r>
                    <w:rPr>
                      <w:rFonts w:ascii="Arial" w:hAnsi="Arial" w:cs="Arial"/>
                      <w:b/>
                    </w:rPr>
                    <w:t>+0.5</w:t>
                  </w:r>
                  <w:r w:rsidRPr="00EB4495">
                    <w:rPr>
                      <w:rFonts w:ascii="Arial" w:hAnsi="Arial" w:cs="Arial"/>
                      <w:b/>
                    </w:rPr>
                    <w:t>%</w:t>
                  </w:r>
                </w:p>
              </w:tc>
              <w:tc>
                <w:tcPr>
                  <w:tcW w:w="615" w:type="pct"/>
                  <w:vAlign w:val="center"/>
                </w:tcPr>
                <w:p w14:paraId="54888904" w14:textId="6D0B809C" w:rsidR="005E7223" w:rsidRPr="00EB4495" w:rsidRDefault="005E7223" w:rsidP="005E7223">
                  <w:pPr>
                    <w:jc w:val="right"/>
                    <w:rPr>
                      <w:rFonts w:ascii="Arial" w:hAnsi="Arial" w:cs="Arial"/>
                      <w:b/>
                    </w:rPr>
                  </w:pPr>
                  <w:r>
                    <w:rPr>
                      <w:rFonts w:ascii="Arial" w:hAnsi="Arial" w:cs="Arial"/>
                      <w:b/>
                    </w:rPr>
                    <w:t>+0.</w:t>
                  </w:r>
                  <w:r w:rsidR="00F26700">
                    <w:rPr>
                      <w:rFonts w:ascii="Arial" w:hAnsi="Arial" w:cs="Arial"/>
                      <w:b/>
                    </w:rPr>
                    <w:t>4</w:t>
                  </w:r>
                  <w:r w:rsidRPr="00EB4495">
                    <w:rPr>
                      <w:rFonts w:ascii="Arial" w:hAnsi="Arial" w:cs="Arial"/>
                      <w:b/>
                    </w:rPr>
                    <w:t>%</w:t>
                  </w:r>
                </w:p>
              </w:tc>
              <w:tc>
                <w:tcPr>
                  <w:tcW w:w="615" w:type="pct"/>
                  <w:vAlign w:val="center"/>
                  <w:hideMark/>
                </w:tcPr>
                <w:p w14:paraId="14FD34B3" w14:textId="4A409B30" w:rsidR="005E7223" w:rsidRPr="00EB4495" w:rsidRDefault="002E3C6B" w:rsidP="005E7223">
                  <w:pPr>
                    <w:jc w:val="right"/>
                    <w:rPr>
                      <w:rFonts w:ascii="Arial" w:hAnsi="Arial" w:cs="Arial"/>
                      <w:b/>
                    </w:rPr>
                  </w:pPr>
                  <w:r>
                    <w:rPr>
                      <w:rFonts w:ascii="Arial" w:hAnsi="Arial" w:cs="Arial"/>
                      <w:b/>
                    </w:rPr>
                    <w:t>(1</w:t>
                  </w:r>
                  <w:r w:rsidR="005E7223">
                    <w:rPr>
                      <w:rFonts w:ascii="Arial" w:hAnsi="Arial" w:cs="Arial"/>
                      <w:b/>
                    </w:rPr>
                    <w:t>.</w:t>
                  </w:r>
                  <w:r>
                    <w:rPr>
                      <w:rFonts w:ascii="Arial" w:hAnsi="Arial" w:cs="Arial"/>
                      <w:b/>
                    </w:rPr>
                    <w:t>4)</w:t>
                  </w:r>
                  <w:r w:rsidR="005E7223" w:rsidRPr="00EB4495">
                    <w:rPr>
                      <w:rFonts w:ascii="Arial" w:hAnsi="Arial" w:cs="Arial"/>
                      <w:b/>
                    </w:rPr>
                    <w:t>%</w:t>
                  </w:r>
                </w:p>
              </w:tc>
            </w:tr>
            <w:tr w:rsidR="007B3A01" w:rsidRPr="00EB4495" w14:paraId="5E753D2A" w14:textId="77777777" w:rsidTr="00F12DAB">
              <w:trPr>
                <w:gridAfter w:val="1"/>
                <w:wAfter w:w="25" w:type="pct"/>
                <w:trHeight w:val="289"/>
              </w:trPr>
              <w:tc>
                <w:tcPr>
                  <w:tcW w:w="1900" w:type="pct"/>
                  <w:vAlign w:val="center"/>
                </w:tcPr>
                <w:p w14:paraId="0CF64403" w14:textId="77777777" w:rsidR="007B3A01" w:rsidRPr="00EB4495" w:rsidRDefault="007B3A01" w:rsidP="007B3A01">
                  <w:pPr>
                    <w:jc w:val="left"/>
                    <w:rPr>
                      <w:rFonts w:ascii="Arial" w:hAnsi="Arial" w:cs="Arial"/>
                      <w:bCs/>
                    </w:rPr>
                  </w:pPr>
                  <w:r w:rsidRPr="00EB4495">
                    <w:rPr>
                      <w:rFonts w:ascii="Arial" w:hAnsi="Arial" w:cs="Arial"/>
                      <w:bCs/>
                    </w:rPr>
                    <w:t>- Castorama</w:t>
                  </w:r>
                </w:p>
              </w:tc>
              <w:tc>
                <w:tcPr>
                  <w:tcW w:w="615" w:type="pct"/>
                  <w:vAlign w:val="center"/>
                </w:tcPr>
                <w:p w14:paraId="5E9BE355" w14:textId="59E0562E" w:rsidR="007B3A01" w:rsidRPr="00EB4495" w:rsidRDefault="007B3A01" w:rsidP="007B3A01">
                  <w:pPr>
                    <w:jc w:val="right"/>
                    <w:rPr>
                      <w:rFonts w:ascii="Arial" w:hAnsi="Arial" w:cs="Arial"/>
                      <w:bCs/>
                    </w:rPr>
                  </w:pPr>
                  <w:r w:rsidRPr="005D6B0F">
                    <w:rPr>
                      <w:rFonts w:ascii="Arial" w:hAnsi="Arial" w:cs="Arial"/>
                    </w:rPr>
                    <w:t>-</w:t>
                  </w:r>
                </w:p>
              </w:tc>
              <w:tc>
                <w:tcPr>
                  <w:tcW w:w="615" w:type="pct"/>
                  <w:vAlign w:val="center"/>
                </w:tcPr>
                <w:p w14:paraId="1D6D0F38" w14:textId="3DF4D2ED" w:rsidR="007B3A01" w:rsidRPr="00EB4495" w:rsidRDefault="007B3A01" w:rsidP="007B3A01">
                  <w:pPr>
                    <w:jc w:val="right"/>
                    <w:rPr>
                      <w:rFonts w:ascii="Arial" w:hAnsi="Arial" w:cs="Arial"/>
                      <w:bCs/>
                    </w:rPr>
                  </w:pPr>
                  <w:r w:rsidRPr="005D6B0F">
                    <w:rPr>
                      <w:rFonts w:ascii="Arial" w:hAnsi="Arial" w:cs="Arial"/>
                    </w:rPr>
                    <w:t>(1.0)%</w:t>
                  </w:r>
                </w:p>
              </w:tc>
              <w:tc>
                <w:tcPr>
                  <w:tcW w:w="615" w:type="pct"/>
                  <w:vAlign w:val="center"/>
                </w:tcPr>
                <w:p w14:paraId="7BED9AED" w14:textId="1A3B60B4" w:rsidR="007B3A01" w:rsidRPr="00EB4495" w:rsidRDefault="007B3A01" w:rsidP="007B3A01">
                  <w:pPr>
                    <w:jc w:val="right"/>
                    <w:rPr>
                      <w:rFonts w:ascii="Arial" w:hAnsi="Arial" w:cs="Arial"/>
                      <w:bCs/>
                    </w:rPr>
                  </w:pPr>
                  <w:r>
                    <w:rPr>
                      <w:rFonts w:ascii="Arial" w:hAnsi="Arial" w:cs="Arial"/>
                      <w:bCs/>
                    </w:rPr>
                    <w:t>+0.8</w:t>
                  </w:r>
                  <w:r w:rsidRPr="00EB4495">
                    <w:rPr>
                      <w:rFonts w:ascii="Arial" w:hAnsi="Arial" w:cs="Arial"/>
                      <w:bCs/>
                    </w:rPr>
                    <w:t>%</w:t>
                  </w:r>
                </w:p>
              </w:tc>
              <w:tc>
                <w:tcPr>
                  <w:tcW w:w="615" w:type="pct"/>
                  <w:vAlign w:val="center"/>
                </w:tcPr>
                <w:p w14:paraId="655D7027" w14:textId="0896F3AC" w:rsidR="007B3A01" w:rsidRPr="00EB4495" w:rsidRDefault="007B3A01" w:rsidP="007B3A01">
                  <w:pPr>
                    <w:jc w:val="right"/>
                    <w:rPr>
                      <w:rFonts w:ascii="Arial" w:hAnsi="Arial" w:cs="Arial"/>
                      <w:bCs/>
                    </w:rPr>
                  </w:pPr>
                  <w:r>
                    <w:rPr>
                      <w:rFonts w:ascii="Arial" w:hAnsi="Arial" w:cs="Arial"/>
                      <w:bCs/>
                    </w:rPr>
                    <w:t>+0.5</w:t>
                  </w:r>
                  <w:r w:rsidRPr="00EB4495">
                    <w:rPr>
                      <w:rFonts w:ascii="Arial" w:hAnsi="Arial" w:cs="Arial"/>
                      <w:bCs/>
                    </w:rPr>
                    <w:t>%</w:t>
                  </w:r>
                </w:p>
              </w:tc>
              <w:tc>
                <w:tcPr>
                  <w:tcW w:w="615" w:type="pct"/>
                  <w:vAlign w:val="center"/>
                </w:tcPr>
                <w:p w14:paraId="4CA48453" w14:textId="5179430F" w:rsidR="007B3A01" w:rsidRPr="00EB4495" w:rsidRDefault="007B3A01" w:rsidP="007B3A01">
                  <w:pPr>
                    <w:jc w:val="right"/>
                    <w:rPr>
                      <w:rFonts w:ascii="Arial" w:hAnsi="Arial" w:cs="Arial"/>
                      <w:bCs/>
                    </w:rPr>
                  </w:pPr>
                  <w:r w:rsidRPr="005D6B0F">
                    <w:rPr>
                      <w:rFonts w:ascii="Arial" w:hAnsi="Arial" w:cs="Arial"/>
                    </w:rPr>
                    <w:t>-</w:t>
                  </w:r>
                </w:p>
              </w:tc>
            </w:tr>
            <w:tr w:rsidR="005E7223" w:rsidRPr="00EB4495" w14:paraId="3B03373D" w14:textId="77777777" w:rsidTr="00F12DAB">
              <w:trPr>
                <w:gridAfter w:val="1"/>
                <w:wAfter w:w="25" w:type="pct"/>
                <w:trHeight w:val="289"/>
              </w:trPr>
              <w:tc>
                <w:tcPr>
                  <w:tcW w:w="1900" w:type="pct"/>
                  <w:vAlign w:val="center"/>
                </w:tcPr>
                <w:p w14:paraId="52B86C5E" w14:textId="77777777" w:rsidR="005E7223" w:rsidRPr="00EB4495" w:rsidRDefault="005E7223" w:rsidP="005E7223">
                  <w:pPr>
                    <w:jc w:val="left"/>
                    <w:rPr>
                      <w:rFonts w:ascii="Arial" w:hAnsi="Arial" w:cs="Arial"/>
                      <w:bCs/>
                    </w:rPr>
                  </w:pPr>
                  <w:r w:rsidRPr="00EB4495">
                    <w:rPr>
                      <w:rFonts w:ascii="Arial" w:hAnsi="Arial" w:cs="Arial"/>
                      <w:bCs/>
                    </w:rPr>
                    <w:t>- Brico Dépôt</w:t>
                  </w:r>
                </w:p>
              </w:tc>
              <w:tc>
                <w:tcPr>
                  <w:tcW w:w="615" w:type="pct"/>
                  <w:vAlign w:val="center"/>
                </w:tcPr>
                <w:p w14:paraId="08223283" w14:textId="38BFD74C" w:rsidR="005E7223" w:rsidRPr="00EB4495" w:rsidRDefault="005E7223" w:rsidP="005E7223">
                  <w:pPr>
                    <w:jc w:val="right"/>
                    <w:rPr>
                      <w:rFonts w:ascii="Arial" w:hAnsi="Arial" w:cs="Arial"/>
                      <w:bCs/>
                    </w:rPr>
                  </w:pPr>
                  <w:r w:rsidRPr="00EB4495">
                    <w:rPr>
                      <w:rFonts w:ascii="Arial" w:hAnsi="Arial" w:cs="Arial"/>
                      <w:bCs/>
                    </w:rPr>
                    <w:t>(</w:t>
                  </w:r>
                  <w:r>
                    <w:rPr>
                      <w:rFonts w:ascii="Arial" w:hAnsi="Arial" w:cs="Arial"/>
                      <w:bCs/>
                    </w:rPr>
                    <w:t>7.5</w:t>
                  </w:r>
                  <w:r w:rsidRPr="00EB4495">
                    <w:rPr>
                      <w:rFonts w:ascii="Arial" w:hAnsi="Arial" w:cs="Arial"/>
                      <w:bCs/>
                    </w:rPr>
                    <w:t>)%</w:t>
                  </w:r>
                </w:p>
              </w:tc>
              <w:tc>
                <w:tcPr>
                  <w:tcW w:w="615" w:type="pct"/>
                  <w:vAlign w:val="center"/>
                </w:tcPr>
                <w:p w14:paraId="22F86F55" w14:textId="22022BBB" w:rsidR="005E7223" w:rsidRPr="00EB4495" w:rsidRDefault="005E7223" w:rsidP="005E7223">
                  <w:pPr>
                    <w:jc w:val="right"/>
                    <w:rPr>
                      <w:rFonts w:ascii="Arial" w:hAnsi="Arial" w:cs="Arial"/>
                      <w:bCs/>
                    </w:rPr>
                  </w:pPr>
                  <w:r w:rsidRPr="00EB4495">
                    <w:rPr>
                      <w:rFonts w:ascii="Arial" w:hAnsi="Arial" w:cs="Arial"/>
                      <w:bCs/>
                    </w:rPr>
                    <w:t>(</w:t>
                  </w:r>
                  <w:r>
                    <w:rPr>
                      <w:rFonts w:ascii="Arial" w:hAnsi="Arial" w:cs="Arial"/>
                      <w:bCs/>
                    </w:rPr>
                    <w:t>3.7</w:t>
                  </w:r>
                  <w:r w:rsidRPr="00EB4495">
                    <w:rPr>
                      <w:rFonts w:ascii="Arial" w:hAnsi="Arial" w:cs="Arial"/>
                      <w:bCs/>
                    </w:rPr>
                    <w:t>)%</w:t>
                  </w:r>
                </w:p>
              </w:tc>
              <w:tc>
                <w:tcPr>
                  <w:tcW w:w="615" w:type="pct"/>
                  <w:vAlign w:val="center"/>
                </w:tcPr>
                <w:p w14:paraId="2FD3DC02" w14:textId="0B710B8A" w:rsidR="005E7223" w:rsidRPr="00EB4495" w:rsidRDefault="005E7223" w:rsidP="005E7223">
                  <w:pPr>
                    <w:jc w:val="right"/>
                    <w:rPr>
                      <w:rFonts w:ascii="Arial" w:hAnsi="Arial" w:cs="Arial"/>
                      <w:bCs/>
                    </w:rPr>
                  </w:pPr>
                  <w:r>
                    <w:rPr>
                      <w:rFonts w:ascii="Arial" w:hAnsi="Arial" w:cs="Arial"/>
                      <w:bCs/>
                    </w:rPr>
                    <w:t>+0.2</w:t>
                  </w:r>
                  <w:r w:rsidRPr="00EB4495">
                    <w:rPr>
                      <w:rFonts w:ascii="Arial" w:hAnsi="Arial" w:cs="Arial"/>
                      <w:bCs/>
                    </w:rPr>
                    <w:t>%</w:t>
                  </w:r>
                </w:p>
              </w:tc>
              <w:tc>
                <w:tcPr>
                  <w:tcW w:w="615" w:type="pct"/>
                  <w:vAlign w:val="center"/>
                </w:tcPr>
                <w:p w14:paraId="6DAC012E" w14:textId="5D31B42F" w:rsidR="005E7223" w:rsidRPr="00EB4495" w:rsidRDefault="005E7223" w:rsidP="005E7223">
                  <w:pPr>
                    <w:jc w:val="right"/>
                    <w:rPr>
                      <w:rFonts w:ascii="Arial" w:hAnsi="Arial" w:cs="Arial"/>
                      <w:bCs/>
                    </w:rPr>
                  </w:pPr>
                  <w:r>
                    <w:rPr>
                      <w:rFonts w:ascii="Arial" w:hAnsi="Arial" w:cs="Arial"/>
                      <w:bCs/>
                    </w:rPr>
                    <w:t>+0.2</w:t>
                  </w:r>
                  <w:r w:rsidRPr="00EB4495">
                    <w:rPr>
                      <w:rFonts w:ascii="Arial" w:hAnsi="Arial" w:cs="Arial"/>
                      <w:bCs/>
                    </w:rPr>
                    <w:t>%</w:t>
                  </w:r>
                </w:p>
              </w:tc>
              <w:tc>
                <w:tcPr>
                  <w:tcW w:w="615" w:type="pct"/>
                  <w:vAlign w:val="center"/>
                </w:tcPr>
                <w:p w14:paraId="7AB63459" w14:textId="5F887B83" w:rsidR="005E7223" w:rsidRPr="00EB4495" w:rsidRDefault="007B3A01" w:rsidP="005E7223">
                  <w:pPr>
                    <w:jc w:val="right"/>
                    <w:rPr>
                      <w:rFonts w:ascii="Arial" w:hAnsi="Arial" w:cs="Arial"/>
                      <w:bCs/>
                    </w:rPr>
                  </w:pPr>
                  <w:r>
                    <w:rPr>
                      <w:rFonts w:ascii="Arial" w:hAnsi="Arial" w:cs="Arial"/>
                      <w:bCs/>
                    </w:rPr>
                    <w:t>(2</w:t>
                  </w:r>
                  <w:r w:rsidR="005E7223">
                    <w:rPr>
                      <w:rFonts w:ascii="Arial" w:hAnsi="Arial" w:cs="Arial"/>
                      <w:bCs/>
                    </w:rPr>
                    <w:t>.</w:t>
                  </w:r>
                  <w:r>
                    <w:rPr>
                      <w:rFonts w:ascii="Arial" w:hAnsi="Arial" w:cs="Arial"/>
                      <w:bCs/>
                    </w:rPr>
                    <w:t>9)</w:t>
                  </w:r>
                  <w:r w:rsidR="005E7223" w:rsidRPr="00EB4495">
                    <w:rPr>
                      <w:rFonts w:ascii="Arial" w:hAnsi="Arial" w:cs="Arial"/>
                      <w:bCs/>
                    </w:rPr>
                    <w:t>%</w:t>
                  </w:r>
                </w:p>
              </w:tc>
            </w:tr>
            <w:tr w:rsidR="005E7223" w:rsidRPr="00EB4495" w14:paraId="7D739962" w14:textId="77777777" w:rsidTr="00F12DAB">
              <w:trPr>
                <w:gridAfter w:val="1"/>
                <w:wAfter w:w="25" w:type="pct"/>
                <w:trHeight w:val="289"/>
              </w:trPr>
              <w:tc>
                <w:tcPr>
                  <w:tcW w:w="1900" w:type="pct"/>
                  <w:vAlign w:val="center"/>
                </w:tcPr>
                <w:p w14:paraId="056AF136" w14:textId="77777777" w:rsidR="005E7223" w:rsidRPr="00EB4495" w:rsidRDefault="005E7223" w:rsidP="005E7223">
                  <w:pPr>
                    <w:jc w:val="left"/>
                    <w:rPr>
                      <w:rFonts w:ascii="Arial" w:hAnsi="Arial" w:cs="Arial"/>
                      <w:b/>
                    </w:rPr>
                  </w:pPr>
                  <w:r w:rsidRPr="00EB4495">
                    <w:rPr>
                      <w:rFonts w:ascii="Arial" w:hAnsi="Arial" w:cs="Arial"/>
                      <w:b/>
                    </w:rPr>
                    <w:t>Other International</w:t>
                  </w:r>
                </w:p>
              </w:tc>
              <w:tc>
                <w:tcPr>
                  <w:tcW w:w="615" w:type="pct"/>
                  <w:vAlign w:val="center"/>
                </w:tcPr>
                <w:p w14:paraId="72B4541E" w14:textId="6B5411D3" w:rsidR="005E7223" w:rsidRPr="00EB4495" w:rsidRDefault="005E7223" w:rsidP="005E7223">
                  <w:pPr>
                    <w:jc w:val="right"/>
                    <w:rPr>
                      <w:rFonts w:ascii="Arial" w:hAnsi="Arial" w:cs="Arial"/>
                      <w:b/>
                    </w:rPr>
                  </w:pPr>
                  <w:r>
                    <w:rPr>
                      <w:rFonts w:ascii="Arial" w:hAnsi="Arial" w:cs="Arial"/>
                      <w:b/>
                    </w:rPr>
                    <w:t>+37.1</w:t>
                  </w:r>
                  <w:r w:rsidRPr="00EB4495">
                    <w:rPr>
                      <w:rFonts w:ascii="Arial" w:hAnsi="Arial" w:cs="Arial"/>
                      <w:b/>
                    </w:rPr>
                    <w:t>%</w:t>
                  </w:r>
                </w:p>
              </w:tc>
              <w:tc>
                <w:tcPr>
                  <w:tcW w:w="615" w:type="pct"/>
                  <w:vAlign w:val="center"/>
                </w:tcPr>
                <w:p w14:paraId="0B0C0940" w14:textId="1D45EF3E" w:rsidR="005E7223" w:rsidRPr="00EB4495" w:rsidRDefault="005E7223" w:rsidP="005E7223">
                  <w:pPr>
                    <w:jc w:val="right"/>
                    <w:rPr>
                      <w:rFonts w:ascii="Arial" w:hAnsi="Arial" w:cs="Arial"/>
                      <w:b/>
                    </w:rPr>
                  </w:pPr>
                  <w:r>
                    <w:rPr>
                      <w:rFonts w:ascii="Arial" w:hAnsi="Arial" w:cs="Arial"/>
                      <w:b/>
                    </w:rPr>
                    <w:t>+8.1</w:t>
                  </w:r>
                  <w:r w:rsidRPr="00EB4495">
                    <w:rPr>
                      <w:rFonts w:ascii="Arial" w:hAnsi="Arial" w:cs="Arial"/>
                      <w:b/>
                    </w:rPr>
                    <w:t>%</w:t>
                  </w:r>
                </w:p>
              </w:tc>
              <w:tc>
                <w:tcPr>
                  <w:tcW w:w="615" w:type="pct"/>
                  <w:vAlign w:val="center"/>
                </w:tcPr>
                <w:p w14:paraId="67CB8396" w14:textId="62272D92" w:rsidR="005E7223" w:rsidRPr="00EB4495" w:rsidRDefault="005E7223" w:rsidP="005E7223">
                  <w:pPr>
                    <w:jc w:val="right"/>
                    <w:rPr>
                      <w:rFonts w:ascii="Arial" w:hAnsi="Arial" w:cs="Arial"/>
                      <w:b/>
                    </w:rPr>
                  </w:pPr>
                  <w:r w:rsidRPr="00EB4495">
                    <w:rPr>
                      <w:rFonts w:ascii="Arial" w:hAnsi="Arial" w:cs="Arial"/>
                      <w:b/>
                    </w:rPr>
                    <w:t>+</w:t>
                  </w:r>
                  <w:r>
                    <w:rPr>
                      <w:rFonts w:ascii="Arial" w:hAnsi="Arial" w:cs="Arial"/>
                      <w:b/>
                    </w:rPr>
                    <w:t>6</w:t>
                  </w:r>
                  <w:r w:rsidRPr="00EB4495">
                    <w:rPr>
                      <w:rFonts w:ascii="Arial" w:hAnsi="Arial" w:cs="Arial"/>
                      <w:b/>
                    </w:rPr>
                    <w:t>.</w:t>
                  </w:r>
                  <w:r>
                    <w:rPr>
                      <w:rFonts w:ascii="Arial" w:hAnsi="Arial" w:cs="Arial"/>
                      <w:b/>
                    </w:rPr>
                    <w:t>7</w:t>
                  </w:r>
                  <w:r w:rsidRPr="00EB4495">
                    <w:rPr>
                      <w:rFonts w:ascii="Arial" w:hAnsi="Arial" w:cs="Arial"/>
                      <w:b/>
                    </w:rPr>
                    <w:t>%</w:t>
                  </w:r>
                </w:p>
              </w:tc>
              <w:tc>
                <w:tcPr>
                  <w:tcW w:w="615" w:type="pct"/>
                  <w:vAlign w:val="center"/>
                </w:tcPr>
                <w:p w14:paraId="0583F932" w14:textId="67878AAF" w:rsidR="005E7223" w:rsidRPr="00EB4495" w:rsidRDefault="00582430" w:rsidP="005E7223">
                  <w:pPr>
                    <w:jc w:val="right"/>
                    <w:rPr>
                      <w:rFonts w:ascii="Arial" w:hAnsi="Arial" w:cs="Arial"/>
                      <w:b/>
                    </w:rPr>
                  </w:pPr>
                  <w:r>
                    <w:rPr>
                      <w:rFonts w:ascii="Arial" w:hAnsi="Arial" w:cs="Arial"/>
                      <w:b/>
                    </w:rPr>
                    <w:t>(1.0)</w:t>
                  </w:r>
                  <w:r w:rsidR="005E7223" w:rsidRPr="00EB4495">
                    <w:rPr>
                      <w:rFonts w:ascii="Arial" w:hAnsi="Arial" w:cs="Arial"/>
                      <w:b/>
                    </w:rPr>
                    <w:t>%</w:t>
                  </w:r>
                </w:p>
              </w:tc>
              <w:tc>
                <w:tcPr>
                  <w:tcW w:w="615" w:type="pct"/>
                  <w:vAlign w:val="center"/>
                </w:tcPr>
                <w:p w14:paraId="32FBB5A0" w14:textId="0C387F76" w:rsidR="005E7223" w:rsidRPr="00EB4495" w:rsidRDefault="005E7223" w:rsidP="005E7223">
                  <w:pPr>
                    <w:jc w:val="right"/>
                    <w:rPr>
                      <w:rFonts w:ascii="Arial" w:hAnsi="Arial" w:cs="Arial"/>
                      <w:b/>
                    </w:rPr>
                  </w:pPr>
                  <w:r w:rsidRPr="00EB4495">
                    <w:rPr>
                      <w:rFonts w:ascii="Arial" w:hAnsi="Arial" w:cs="Arial"/>
                      <w:b/>
                    </w:rPr>
                    <w:t>+</w:t>
                  </w:r>
                  <w:r w:rsidR="007B3A01">
                    <w:rPr>
                      <w:rFonts w:ascii="Arial" w:hAnsi="Arial" w:cs="Arial"/>
                      <w:b/>
                    </w:rPr>
                    <w:t>11</w:t>
                  </w:r>
                  <w:r w:rsidRPr="00EB4495">
                    <w:rPr>
                      <w:rFonts w:ascii="Arial" w:hAnsi="Arial" w:cs="Arial"/>
                      <w:b/>
                    </w:rPr>
                    <w:t>.</w:t>
                  </w:r>
                  <w:r w:rsidR="007B3A01">
                    <w:rPr>
                      <w:rFonts w:ascii="Arial" w:hAnsi="Arial" w:cs="Arial"/>
                      <w:b/>
                    </w:rPr>
                    <w:t>2</w:t>
                  </w:r>
                  <w:r w:rsidRPr="00EB4495">
                    <w:rPr>
                      <w:rFonts w:ascii="Arial" w:hAnsi="Arial" w:cs="Arial"/>
                      <w:b/>
                    </w:rPr>
                    <w:t>%</w:t>
                  </w:r>
                </w:p>
              </w:tc>
            </w:tr>
            <w:tr w:rsidR="005E7223" w:rsidRPr="00EB4495" w14:paraId="6EE6BC09" w14:textId="77777777" w:rsidTr="00F12DAB">
              <w:trPr>
                <w:gridAfter w:val="1"/>
                <w:wAfter w:w="25" w:type="pct"/>
                <w:trHeight w:val="289"/>
              </w:trPr>
              <w:tc>
                <w:tcPr>
                  <w:tcW w:w="1900" w:type="pct"/>
                  <w:vAlign w:val="center"/>
                </w:tcPr>
                <w:p w14:paraId="56D031C5" w14:textId="77777777" w:rsidR="005E7223" w:rsidRPr="00EB4495" w:rsidRDefault="005E7223" w:rsidP="005E7223">
                  <w:pPr>
                    <w:jc w:val="left"/>
                    <w:rPr>
                      <w:rFonts w:ascii="Arial" w:hAnsi="Arial" w:cs="Arial"/>
                      <w:b/>
                    </w:rPr>
                  </w:pPr>
                  <w:r w:rsidRPr="00EB4495">
                    <w:rPr>
                      <w:rFonts w:ascii="Arial" w:hAnsi="Arial" w:cs="Arial"/>
                      <w:bCs/>
                    </w:rPr>
                    <w:t>- Poland</w:t>
                  </w:r>
                </w:p>
              </w:tc>
              <w:tc>
                <w:tcPr>
                  <w:tcW w:w="615" w:type="pct"/>
                  <w:vAlign w:val="center"/>
                </w:tcPr>
                <w:p w14:paraId="0C12456F" w14:textId="2398647E" w:rsidR="005E7223" w:rsidRPr="00EB4495" w:rsidRDefault="005E7223" w:rsidP="005E7223">
                  <w:pPr>
                    <w:jc w:val="right"/>
                    <w:rPr>
                      <w:rFonts w:ascii="Arial" w:hAnsi="Arial" w:cs="Arial"/>
                      <w:b/>
                    </w:rPr>
                  </w:pPr>
                  <w:r w:rsidRPr="00EB4495">
                    <w:rPr>
                      <w:rFonts w:ascii="Arial" w:hAnsi="Arial" w:cs="Arial"/>
                      <w:bCs/>
                    </w:rPr>
                    <w:t>+</w:t>
                  </w:r>
                  <w:r>
                    <w:rPr>
                      <w:rFonts w:ascii="Arial" w:hAnsi="Arial" w:cs="Arial"/>
                      <w:bCs/>
                    </w:rPr>
                    <w:t>54.5</w:t>
                  </w:r>
                  <w:r w:rsidRPr="00EB4495">
                    <w:rPr>
                      <w:rFonts w:ascii="Arial" w:hAnsi="Arial" w:cs="Arial"/>
                      <w:bCs/>
                    </w:rPr>
                    <w:t>%</w:t>
                  </w:r>
                </w:p>
              </w:tc>
              <w:tc>
                <w:tcPr>
                  <w:tcW w:w="615" w:type="pct"/>
                  <w:vAlign w:val="center"/>
                </w:tcPr>
                <w:p w14:paraId="33FE7842" w14:textId="3AE2377A" w:rsidR="005E7223" w:rsidRPr="00EB4495" w:rsidRDefault="005E7223" w:rsidP="005E7223">
                  <w:pPr>
                    <w:jc w:val="right"/>
                    <w:rPr>
                      <w:rFonts w:ascii="Arial" w:hAnsi="Arial" w:cs="Arial"/>
                      <w:b/>
                    </w:rPr>
                  </w:pPr>
                  <w:r w:rsidRPr="00EB4495">
                    <w:rPr>
                      <w:rFonts w:ascii="Arial" w:hAnsi="Arial" w:cs="Arial"/>
                      <w:bCs/>
                    </w:rPr>
                    <w:t>+</w:t>
                  </w:r>
                  <w:r>
                    <w:rPr>
                      <w:rFonts w:ascii="Arial" w:hAnsi="Arial" w:cs="Arial"/>
                      <w:bCs/>
                    </w:rPr>
                    <w:t>8.9</w:t>
                  </w:r>
                  <w:r w:rsidRPr="00EB4495">
                    <w:rPr>
                      <w:rFonts w:ascii="Arial" w:hAnsi="Arial" w:cs="Arial"/>
                      <w:bCs/>
                    </w:rPr>
                    <w:t>%</w:t>
                  </w:r>
                </w:p>
              </w:tc>
              <w:tc>
                <w:tcPr>
                  <w:tcW w:w="615" w:type="pct"/>
                  <w:vAlign w:val="center"/>
                </w:tcPr>
                <w:p w14:paraId="44585A03" w14:textId="5FC219F0" w:rsidR="005E7223" w:rsidRPr="00EB4495" w:rsidRDefault="005E7223" w:rsidP="005E7223">
                  <w:pPr>
                    <w:jc w:val="right"/>
                    <w:rPr>
                      <w:rFonts w:ascii="Arial" w:hAnsi="Arial" w:cs="Arial"/>
                      <w:b/>
                    </w:rPr>
                  </w:pPr>
                  <w:r w:rsidRPr="00EB4495">
                    <w:rPr>
                      <w:rFonts w:ascii="Arial" w:hAnsi="Arial" w:cs="Arial"/>
                      <w:bCs/>
                    </w:rPr>
                    <w:t>+</w:t>
                  </w:r>
                  <w:r>
                    <w:rPr>
                      <w:rFonts w:ascii="Arial" w:hAnsi="Arial" w:cs="Arial"/>
                      <w:bCs/>
                    </w:rPr>
                    <w:t>7</w:t>
                  </w:r>
                  <w:r w:rsidRPr="00EB4495">
                    <w:rPr>
                      <w:rFonts w:ascii="Arial" w:hAnsi="Arial" w:cs="Arial"/>
                      <w:bCs/>
                    </w:rPr>
                    <w:t>.</w:t>
                  </w:r>
                  <w:r>
                    <w:rPr>
                      <w:rFonts w:ascii="Arial" w:hAnsi="Arial" w:cs="Arial"/>
                      <w:bCs/>
                    </w:rPr>
                    <w:t>6</w:t>
                  </w:r>
                  <w:r w:rsidRPr="00EB4495">
                    <w:rPr>
                      <w:rFonts w:ascii="Arial" w:hAnsi="Arial" w:cs="Arial"/>
                      <w:bCs/>
                    </w:rPr>
                    <w:t>%</w:t>
                  </w:r>
                </w:p>
              </w:tc>
              <w:tc>
                <w:tcPr>
                  <w:tcW w:w="615" w:type="pct"/>
                  <w:vAlign w:val="center"/>
                </w:tcPr>
                <w:p w14:paraId="0C81FD5C" w14:textId="43CD5B5A" w:rsidR="005E7223" w:rsidRPr="00EB4495" w:rsidRDefault="00582430" w:rsidP="005E7223">
                  <w:pPr>
                    <w:jc w:val="right"/>
                    <w:rPr>
                      <w:rFonts w:ascii="Arial" w:hAnsi="Arial" w:cs="Arial"/>
                      <w:b/>
                    </w:rPr>
                  </w:pPr>
                  <w:r>
                    <w:rPr>
                      <w:rFonts w:ascii="Arial" w:hAnsi="Arial" w:cs="Arial"/>
                      <w:bCs/>
                    </w:rPr>
                    <w:t>(2.8)</w:t>
                  </w:r>
                  <w:r w:rsidR="005E7223" w:rsidRPr="00EB4495">
                    <w:rPr>
                      <w:rFonts w:ascii="Arial" w:hAnsi="Arial" w:cs="Arial"/>
                      <w:bCs/>
                    </w:rPr>
                    <w:t>%</w:t>
                  </w:r>
                </w:p>
              </w:tc>
              <w:tc>
                <w:tcPr>
                  <w:tcW w:w="615" w:type="pct"/>
                  <w:vAlign w:val="center"/>
                </w:tcPr>
                <w:p w14:paraId="71E164D9" w14:textId="420482ED" w:rsidR="005E7223" w:rsidRPr="00EB4495" w:rsidRDefault="005E7223" w:rsidP="005E7223">
                  <w:pPr>
                    <w:jc w:val="right"/>
                    <w:rPr>
                      <w:rFonts w:ascii="Arial" w:hAnsi="Arial" w:cs="Arial"/>
                      <w:b/>
                    </w:rPr>
                  </w:pPr>
                  <w:r w:rsidRPr="00EB4495">
                    <w:rPr>
                      <w:rFonts w:ascii="Arial" w:hAnsi="Arial" w:cs="Arial"/>
                      <w:bCs/>
                    </w:rPr>
                    <w:t>+</w:t>
                  </w:r>
                  <w:r w:rsidR="007B3A01">
                    <w:rPr>
                      <w:rFonts w:ascii="Arial" w:hAnsi="Arial" w:cs="Arial"/>
                      <w:bCs/>
                    </w:rPr>
                    <w:t>13</w:t>
                  </w:r>
                  <w:r w:rsidRPr="00EB4495">
                    <w:rPr>
                      <w:rFonts w:ascii="Arial" w:hAnsi="Arial" w:cs="Arial"/>
                      <w:bCs/>
                    </w:rPr>
                    <w:t>.</w:t>
                  </w:r>
                  <w:r w:rsidR="007B3A01">
                    <w:rPr>
                      <w:rFonts w:ascii="Arial" w:hAnsi="Arial" w:cs="Arial"/>
                      <w:bCs/>
                    </w:rPr>
                    <w:t>8</w:t>
                  </w:r>
                  <w:r w:rsidRPr="00EB4495">
                    <w:rPr>
                      <w:rFonts w:ascii="Arial" w:hAnsi="Arial" w:cs="Arial"/>
                      <w:bCs/>
                    </w:rPr>
                    <w:t>%</w:t>
                  </w:r>
                </w:p>
              </w:tc>
            </w:tr>
            <w:tr w:rsidR="005E7223" w:rsidRPr="00EB4495" w14:paraId="750D9BE2" w14:textId="77777777" w:rsidTr="00F12DAB">
              <w:trPr>
                <w:gridAfter w:val="1"/>
                <w:wAfter w:w="25" w:type="pct"/>
                <w:trHeight w:val="289"/>
              </w:trPr>
              <w:tc>
                <w:tcPr>
                  <w:tcW w:w="1900" w:type="pct"/>
                  <w:vAlign w:val="center"/>
                </w:tcPr>
                <w:p w14:paraId="24C891FE" w14:textId="77777777" w:rsidR="005E7223" w:rsidRPr="00EB4495" w:rsidRDefault="005E7223" w:rsidP="005E7223">
                  <w:pPr>
                    <w:jc w:val="left"/>
                    <w:rPr>
                      <w:rFonts w:ascii="Arial" w:hAnsi="Arial" w:cs="Arial"/>
                      <w:b/>
                    </w:rPr>
                  </w:pPr>
                  <w:r w:rsidRPr="00EB4495">
                    <w:rPr>
                      <w:rFonts w:ascii="Arial" w:hAnsi="Arial" w:cs="Arial"/>
                      <w:bCs/>
                    </w:rPr>
                    <w:t>- Iberia</w:t>
                  </w:r>
                </w:p>
              </w:tc>
              <w:tc>
                <w:tcPr>
                  <w:tcW w:w="615" w:type="pct"/>
                  <w:vAlign w:val="center"/>
                </w:tcPr>
                <w:p w14:paraId="3D958654" w14:textId="5A4AAF37" w:rsidR="005E7223" w:rsidRPr="00EB4495" w:rsidRDefault="005E7223" w:rsidP="005E7223">
                  <w:pPr>
                    <w:jc w:val="right"/>
                    <w:rPr>
                      <w:rFonts w:ascii="Arial" w:hAnsi="Arial" w:cs="Arial"/>
                      <w:b/>
                    </w:rPr>
                  </w:pPr>
                  <w:r w:rsidRPr="00EB4495">
                    <w:rPr>
                      <w:rFonts w:ascii="Arial" w:hAnsi="Arial" w:cs="Arial"/>
                      <w:bCs/>
                    </w:rPr>
                    <w:t>(</w:t>
                  </w:r>
                  <w:r>
                    <w:rPr>
                      <w:rFonts w:ascii="Arial" w:hAnsi="Arial" w:cs="Arial"/>
                      <w:bCs/>
                    </w:rPr>
                    <w:t>0</w:t>
                  </w:r>
                  <w:r w:rsidRPr="00EB4495">
                    <w:rPr>
                      <w:rFonts w:ascii="Arial" w:hAnsi="Arial" w:cs="Arial"/>
                      <w:bCs/>
                    </w:rPr>
                    <w:t>.</w:t>
                  </w:r>
                  <w:r>
                    <w:rPr>
                      <w:rFonts w:ascii="Arial" w:hAnsi="Arial" w:cs="Arial"/>
                      <w:bCs/>
                    </w:rPr>
                    <w:t>3</w:t>
                  </w:r>
                  <w:r w:rsidRPr="00EB4495">
                    <w:rPr>
                      <w:rFonts w:ascii="Arial" w:hAnsi="Arial" w:cs="Arial"/>
                      <w:bCs/>
                    </w:rPr>
                    <w:t>)%</w:t>
                  </w:r>
                </w:p>
              </w:tc>
              <w:tc>
                <w:tcPr>
                  <w:tcW w:w="615" w:type="pct"/>
                  <w:vAlign w:val="center"/>
                </w:tcPr>
                <w:p w14:paraId="2C4F222D" w14:textId="2C01ECDE" w:rsidR="005E7223" w:rsidRPr="00EB4495" w:rsidRDefault="005E7223" w:rsidP="005E7223">
                  <w:pPr>
                    <w:jc w:val="right"/>
                    <w:rPr>
                      <w:rFonts w:ascii="Arial" w:hAnsi="Arial" w:cs="Arial"/>
                      <w:b/>
                    </w:rPr>
                  </w:pPr>
                  <w:r>
                    <w:rPr>
                      <w:rFonts w:ascii="Arial" w:hAnsi="Arial" w:cs="Arial"/>
                      <w:bCs/>
                    </w:rPr>
                    <w:t>+4.4</w:t>
                  </w:r>
                  <w:r w:rsidRPr="00EB4495">
                    <w:rPr>
                      <w:rFonts w:ascii="Arial" w:hAnsi="Arial" w:cs="Arial"/>
                      <w:bCs/>
                    </w:rPr>
                    <w:t>%</w:t>
                  </w:r>
                </w:p>
              </w:tc>
              <w:tc>
                <w:tcPr>
                  <w:tcW w:w="615" w:type="pct"/>
                  <w:vAlign w:val="center"/>
                </w:tcPr>
                <w:p w14:paraId="72DEF422" w14:textId="7533F079" w:rsidR="005E7223" w:rsidRPr="00EB4495" w:rsidRDefault="005E7223" w:rsidP="005E7223">
                  <w:pPr>
                    <w:jc w:val="right"/>
                    <w:rPr>
                      <w:rFonts w:ascii="Arial" w:hAnsi="Arial" w:cs="Arial"/>
                      <w:b/>
                    </w:rPr>
                  </w:pPr>
                  <w:r>
                    <w:rPr>
                      <w:rFonts w:ascii="Arial" w:hAnsi="Arial" w:cs="Arial"/>
                      <w:bCs/>
                    </w:rPr>
                    <w:t>+3.4</w:t>
                  </w:r>
                  <w:r w:rsidRPr="00EB4495">
                    <w:rPr>
                      <w:rFonts w:ascii="Arial" w:hAnsi="Arial" w:cs="Arial"/>
                      <w:bCs/>
                    </w:rPr>
                    <w:t>%</w:t>
                  </w:r>
                </w:p>
              </w:tc>
              <w:tc>
                <w:tcPr>
                  <w:tcW w:w="615" w:type="pct"/>
                  <w:vAlign w:val="center"/>
                </w:tcPr>
                <w:p w14:paraId="6E48A9BF" w14:textId="705EF231" w:rsidR="005E7223" w:rsidRPr="00EB4495" w:rsidRDefault="00582430" w:rsidP="005E7223">
                  <w:pPr>
                    <w:jc w:val="right"/>
                    <w:rPr>
                      <w:rFonts w:ascii="Arial" w:hAnsi="Arial" w:cs="Arial"/>
                      <w:b/>
                    </w:rPr>
                  </w:pPr>
                  <w:r>
                    <w:rPr>
                      <w:rFonts w:ascii="Arial" w:hAnsi="Arial" w:cs="Arial"/>
                      <w:bCs/>
                    </w:rPr>
                    <w:t>(0.7)</w:t>
                  </w:r>
                  <w:r w:rsidR="005E7223" w:rsidRPr="00EB4495">
                    <w:rPr>
                      <w:rFonts w:ascii="Arial" w:hAnsi="Arial" w:cs="Arial"/>
                      <w:bCs/>
                    </w:rPr>
                    <w:t>%</w:t>
                  </w:r>
                </w:p>
              </w:tc>
              <w:tc>
                <w:tcPr>
                  <w:tcW w:w="615" w:type="pct"/>
                  <w:vAlign w:val="center"/>
                </w:tcPr>
                <w:p w14:paraId="74A4E5B7" w14:textId="77B0CB33" w:rsidR="005E7223" w:rsidRPr="00EB4495" w:rsidRDefault="005E7223" w:rsidP="005E7223">
                  <w:pPr>
                    <w:jc w:val="right"/>
                    <w:rPr>
                      <w:rFonts w:ascii="Arial" w:hAnsi="Arial" w:cs="Arial"/>
                      <w:b/>
                    </w:rPr>
                  </w:pPr>
                  <w:r>
                    <w:rPr>
                      <w:rFonts w:ascii="Arial" w:hAnsi="Arial" w:cs="Arial"/>
                      <w:bCs/>
                    </w:rPr>
                    <w:t>+</w:t>
                  </w:r>
                  <w:r w:rsidR="007B3A01">
                    <w:rPr>
                      <w:rFonts w:ascii="Arial" w:hAnsi="Arial" w:cs="Arial"/>
                      <w:bCs/>
                    </w:rPr>
                    <w:t>1</w:t>
                  </w:r>
                  <w:r>
                    <w:rPr>
                      <w:rFonts w:ascii="Arial" w:hAnsi="Arial" w:cs="Arial"/>
                      <w:bCs/>
                    </w:rPr>
                    <w:t>.</w:t>
                  </w:r>
                  <w:r w:rsidR="007B3A01">
                    <w:rPr>
                      <w:rFonts w:ascii="Arial" w:hAnsi="Arial" w:cs="Arial"/>
                      <w:bCs/>
                    </w:rPr>
                    <w:t>9</w:t>
                  </w:r>
                  <w:r w:rsidRPr="00EB4495">
                    <w:rPr>
                      <w:rFonts w:ascii="Arial" w:hAnsi="Arial" w:cs="Arial"/>
                      <w:bCs/>
                    </w:rPr>
                    <w:t>%</w:t>
                  </w:r>
                </w:p>
              </w:tc>
            </w:tr>
            <w:tr w:rsidR="005E7223" w:rsidRPr="00EB4495" w14:paraId="4039EAAB" w14:textId="77777777" w:rsidTr="00F12DAB">
              <w:trPr>
                <w:gridAfter w:val="1"/>
                <w:wAfter w:w="25" w:type="pct"/>
                <w:trHeight w:val="289"/>
              </w:trPr>
              <w:tc>
                <w:tcPr>
                  <w:tcW w:w="1900" w:type="pct"/>
                  <w:tcBorders>
                    <w:bottom w:val="single" w:sz="4" w:space="0" w:color="auto"/>
                  </w:tcBorders>
                  <w:vAlign w:val="center"/>
                  <w:hideMark/>
                </w:tcPr>
                <w:p w14:paraId="2622176D" w14:textId="71ABE153" w:rsidR="005E7223" w:rsidRPr="00EB4495" w:rsidRDefault="005E7223" w:rsidP="005E7223">
                  <w:pPr>
                    <w:jc w:val="left"/>
                    <w:rPr>
                      <w:rFonts w:ascii="Arial" w:hAnsi="Arial" w:cs="Arial"/>
                      <w:bCs/>
                    </w:rPr>
                  </w:pPr>
                  <w:r w:rsidRPr="00EB4495">
                    <w:rPr>
                      <w:rFonts w:ascii="Arial" w:hAnsi="Arial" w:cs="Arial"/>
                      <w:bCs/>
                    </w:rPr>
                    <w:t>- Romania</w:t>
                  </w:r>
                  <w:r w:rsidRPr="00EB4495">
                    <w:rPr>
                      <w:rFonts w:ascii="Arial" w:hAnsi="Arial" w:cs="Arial"/>
                      <w:bCs/>
                      <w:vertAlign w:val="superscript"/>
                    </w:rPr>
                    <w:t>(</w:t>
                  </w:r>
                  <w:r>
                    <w:rPr>
                      <w:rFonts w:ascii="Arial" w:hAnsi="Arial" w:cs="Arial"/>
                      <w:bCs/>
                      <w:vertAlign w:val="superscript"/>
                    </w:rPr>
                    <w:t>2</w:t>
                  </w:r>
                  <w:r w:rsidRPr="00EB4495">
                    <w:rPr>
                      <w:rFonts w:ascii="Arial" w:hAnsi="Arial" w:cs="Arial"/>
                      <w:bCs/>
                      <w:vertAlign w:val="superscript"/>
                    </w:rPr>
                    <w:t>)</w:t>
                  </w:r>
                </w:p>
              </w:tc>
              <w:tc>
                <w:tcPr>
                  <w:tcW w:w="615" w:type="pct"/>
                  <w:tcBorders>
                    <w:bottom w:val="single" w:sz="4" w:space="0" w:color="auto"/>
                  </w:tcBorders>
                  <w:vAlign w:val="center"/>
                  <w:hideMark/>
                </w:tcPr>
                <w:p w14:paraId="04E980DA" w14:textId="5E975027" w:rsidR="005E7223" w:rsidRPr="00EB4495" w:rsidRDefault="005E7223" w:rsidP="005E7223">
                  <w:pPr>
                    <w:jc w:val="right"/>
                    <w:rPr>
                      <w:rFonts w:ascii="Arial" w:hAnsi="Arial" w:cs="Arial"/>
                      <w:bCs/>
                    </w:rPr>
                  </w:pPr>
                  <w:r w:rsidRPr="00EB4495">
                    <w:rPr>
                      <w:rFonts w:ascii="Arial" w:hAnsi="Arial" w:cs="Arial"/>
                      <w:bCs/>
                    </w:rPr>
                    <w:t>+1</w:t>
                  </w:r>
                  <w:r>
                    <w:rPr>
                      <w:rFonts w:ascii="Arial" w:hAnsi="Arial" w:cs="Arial"/>
                      <w:bCs/>
                    </w:rPr>
                    <w:t>3</w:t>
                  </w:r>
                  <w:r w:rsidRPr="00EB4495">
                    <w:rPr>
                      <w:rFonts w:ascii="Arial" w:hAnsi="Arial" w:cs="Arial"/>
                      <w:bCs/>
                    </w:rPr>
                    <w:t>.</w:t>
                  </w:r>
                  <w:r>
                    <w:rPr>
                      <w:rFonts w:ascii="Arial" w:hAnsi="Arial" w:cs="Arial"/>
                      <w:bCs/>
                    </w:rPr>
                    <w:t>9</w:t>
                  </w:r>
                  <w:r w:rsidRPr="00EB4495">
                    <w:rPr>
                      <w:rFonts w:ascii="Arial" w:hAnsi="Arial" w:cs="Arial"/>
                      <w:bCs/>
                    </w:rPr>
                    <w:t>%</w:t>
                  </w:r>
                </w:p>
              </w:tc>
              <w:tc>
                <w:tcPr>
                  <w:tcW w:w="615" w:type="pct"/>
                  <w:tcBorders>
                    <w:bottom w:val="single" w:sz="4" w:space="0" w:color="auto"/>
                  </w:tcBorders>
                  <w:vAlign w:val="center"/>
                </w:tcPr>
                <w:p w14:paraId="0D00CCEB" w14:textId="6318CD46" w:rsidR="005E7223" w:rsidRPr="00EB4495" w:rsidRDefault="005E7223" w:rsidP="005E7223">
                  <w:pPr>
                    <w:jc w:val="right"/>
                    <w:rPr>
                      <w:rFonts w:ascii="Arial" w:hAnsi="Arial" w:cs="Arial"/>
                      <w:bCs/>
                    </w:rPr>
                  </w:pPr>
                  <w:r w:rsidRPr="00EB4495">
                    <w:rPr>
                      <w:rFonts w:ascii="Arial" w:hAnsi="Arial" w:cs="Arial"/>
                      <w:bCs/>
                    </w:rPr>
                    <w:t>+</w:t>
                  </w:r>
                  <w:r>
                    <w:rPr>
                      <w:rFonts w:ascii="Arial" w:hAnsi="Arial" w:cs="Arial"/>
                      <w:bCs/>
                    </w:rPr>
                    <w:t>5</w:t>
                  </w:r>
                  <w:r w:rsidRPr="00EB4495">
                    <w:rPr>
                      <w:rFonts w:ascii="Arial" w:hAnsi="Arial" w:cs="Arial"/>
                      <w:bCs/>
                    </w:rPr>
                    <w:t>.</w:t>
                  </w:r>
                  <w:r>
                    <w:rPr>
                      <w:rFonts w:ascii="Arial" w:hAnsi="Arial" w:cs="Arial"/>
                      <w:bCs/>
                    </w:rPr>
                    <w:t>3</w:t>
                  </w:r>
                  <w:r w:rsidRPr="00EB4495">
                    <w:rPr>
                      <w:rFonts w:ascii="Arial" w:hAnsi="Arial" w:cs="Arial"/>
                      <w:bCs/>
                    </w:rPr>
                    <w:t>%</w:t>
                  </w:r>
                </w:p>
              </w:tc>
              <w:tc>
                <w:tcPr>
                  <w:tcW w:w="615" w:type="pct"/>
                  <w:tcBorders>
                    <w:bottom w:val="single" w:sz="4" w:space="0" w:color="auto"/>
                  </w:tcBorders>
                  <w:vAlign w:val="center"/>
                </w:tcPr>
                <w:p w14:paraId="72C1FCCE" w14:textId="019A6ED5" w:rsidR="005E7223" w:rsidRPr="00EB4495" w:rsidRDefault="005E7223" w:rsidP="005E7223">
                  <w:pPr>
                    <w:jc w:val="right"/>
                    <w:rPr>
                      <w:rFonts w:ascii="Arial" w:hAnsi="Arial" w:cs="Arial"/>
                      <w:bCs/>
                    </w:rPr>
                  </w:pPr>
                  <w:r w:rsidRPr="00EB4495">
                    <w:rPr>
                      <w:rFonts w:ascii="Arial" w:hAnsi="Arial" w:cs="Arial"/>
                      <w:bCs/>
                    </w:rPr>
                    <w:t>+</w:t>
                  </w:r>
                  <w:r>
                    <w:rPr>
                      <w:rFonts w:ascii="Arial" w:hAnsi="Arial" w:cs="Arial"/>
                      <w:bCs/>
                    </w:rPr>
                    <w:t>4.2</w:t>
                  </w:r>
                  <w:r w:rsidRPr="00EB4495">
                    <w:rPr>
                      <w:rFonts w:ascii="Arial" w:hAnsi="Arial" w:cs="Arial"/>
                      <w:bCs/>
                    </w:rPr>
                    <w:t>%</w:t>
                  </w:r>
                </w:p>
              </w:tc>
              <w:tc>
                <w:tcPr>
                  <w:tcW w:w="615" w:type="pct"/>
                  <w:tcBorders>
                    <w:bottom w:val="single" w:sz="4" w:space="0" w:color="auto"/>
                  </w:tcBorders>
                  <w:vAlign w:val="center"/>
                </w:tcPr>
                <w:p w14:paraId="170C55D6" w14:textId="501A8774" w:rsidR="005E7223" w:rsidRPr="00EB4495" w:rsidRDefault="005E7223" w:rsidP="005E7223">
                  <w:pPr>
                    <w:jc w:val="right"/>
                    <w:rPr>
                      <w:rFonts w:ascii="Arial" w:hAnsi="Arial" w:cs="Arial"/>
                      <w:bCs/>
                    </w:rPr>
                  </w:pPr>
                  <w:r w:rsidRPr="00EB4495">
                    <w:rPr>
                      <w:rFonts w:ascii="Arial" w:hAnsi="Arial" w:cs="Arial"/>
                      <w:bCs/>
                    </w:rPr>
                    <w:t>+</w:t>
                  </w:r>
                  <w:r w:rsidR="00582430">
                    <w:rPr>
                      <w:rFonts w:ascii="Arial" w:hAnsi="Arial" w:cs="Arial"/>
                      <w:bCs/>
                    </w:rPr>
                    <w:t>10</w:t>
                  </w:r>
                  <w:r>
                    <w:rPr>
                      <w:rFonts w:ascii="Arial" w:hAnsi="Arial" w:cs="Arial"/>
                      <w:bCs/>
                    </w:rPr>
                    <w:t>.</w:t>
                  </w:r>
                  <w:r w:rsidR="00582430">
                    <w:rPr>
                      <w:rFonts w:ascii="Arial" w:hAnsi="Arial" w:cs="Arial"/>
                      <w:bCs/>
                    </w:rPr>
                    <w:t>7</w:t>
                  </w:r>
                  <w:r w:rsidRPr="00EB4495">
                    <w:rPr>
                      <w:rFonts w:ascii="Arial" w:hAnsi="Arial" w:cs="Arial"/>
                      <w:bCs/>
                    </w:rPr>
                    <w:t>%</w:t>
                  </w:r>
                </w:p>
              </w:tc>
              <w:tc>
                <w:tcPr>
                  <w:tcW w:w="615" w:type="pct"/>
                  <w:tcBorders>
                    <w:bottom w:val="single" w:sz="4" w:space="0" w:color="auto"/>
                  </w:tcBorders>
                  <w:vAlign w:val="center"/>
                  <w:hideMark/>
                </w:tcPr>
                <w:p w14:paraId="4F45B4E7" w14:textId="2B893830" w:rsidR="005E7223" w:rsidRPr="00EB4495" w:rsidRDefault="005E7223" w:rsidP="005E7223">
                  <w:pPr>
                    <w:jc w:val="right"/>
                    <w:rPr>
                      <w:rFonts w:ascii="Arial" w:hAnsi="Arial" w:cs="Arial"/>
                      <w:bCs/>
                    </w:rPr>
                  </w:pPr>
                  <w:r w:rsidRPr="00EB4495">
                    <w:rPr>
                      <w:rFonts w:ascii="Arial" w:hAnsi="Arial" w:cs="Arial"/>
                      <w:bCs/>
                    </w:rPr>
                    <w:t>+</w:t>
                  </w:r>
                  <w:r w:rsidR="007B3A01">
                    <w:rPr>
                      <w:rFonts w:ascii="Arial" w:hAnsi="Arial" w:cs="Arial"/>
                      <w:bCs/>
                    </w:rPr>
                    <w:t>7</w:t>
                  </w:r>
                  <w:r>
                    <w:rPr>
                      <w:rFonts w:ascii="Arial" w:hAnsi="Arial" w:cs="Arial"/>
                      <w:bCs/>
                    </w:rPr>
                    <w:t>.</w:t>
                  </w:r>
                  <w:r w:rsidR="007B3A01">
                    <w:rPr>
                      <w:rFonts w:ascii="Arial" w:hAnsi="Arial" w:cs="Arial"/>
                      <w:bCs/>
                    </w:rPr>
                    <w:t>8</w:t>
                  </w:r>
                  <w:r w:rsidRPr="00EB4495">
                    <w:rPr>
                      <w:rFonts w:ascii="Arial" w:hAnsi="Arial" w:cs="Arial"/>
                      <w:bCs/>
                    </w:rPr>
                    <w:t>%</w:t>
                  </w:r>
                </w:p>
              </w:tc>
            </w:tr>
            <w:tr w:rsidR="00582430" w:rsidRPr="00EB4495" w14:paraId="48FBCE38" w14:textId="77777777" w:rsidTr="00F12DAB">
              <w:trPr>
                <w:gridAfter w:val="1"/>
                <w:wAfter w:w="25" w:type="pct"/>
                <w:trHeight w:val="289"/>
              </w:trPr>
              <w:tc>
                <w:tcPr>
                  <w:tcW w:w="1900" w:type="pct"/>
                  <w:tcBorders>
                    <w:top w:val="single" w:sz="4" w:space="0" w:color="auto"/>
                    <w:left w:val="nil"/>
                    <w:bottom w:val="single" w:sz="4" w:space="0" w:color="auto"/>
                    <w:right w:val="nil"/>
                  </w:tcBorders>
                  <w:vAlign w:val="center"/>
                  <w:hideMark/>
                </w:tcPr>
                <w:p w14:paraId="08EC796B" w14:textId="2946F0E8" w:rsidR="00582430" w:rsidRPr="00EB4495" w:rsidRDefault="00582430" w:rsidP="00582430">
                  <w:pPr>
                    <w:jc w:val="left"/>
                    <w:rPr>
                      <w:rFonts w:ascii="Arial" w:hAnsi="Arial" w:cs="Arial"/>
                      <w:bCs/>
                    </w:rPr>
                  </w:pPr>
                  <w:r w:rsidRPr="00EB4495">
                    <w:rPr>
                      <w:rFonts w:ascii="Arial" w:hAnsi="Arial" w:cs="Arial"/>
                      <w:b/>
                      <w:bCs/>
                    </w:rPr>
                    <w:t>Group LFL</w:t>
                  </w:r>
                  <w:r w:rsidRPr="00EB4495">
                    <w:rPr>
                      <w:rFonts w:ascii="Arial" w:hAnsi="Arial" w:cs="Arial"/>
                      <w:b/>
                      <w:bCs/>
                      <w:vertAlign w:val="superscript"/>
                    </w:rPr>
                    <w:t>(</w:t>
                  </w:r>
                  <w:r>
                    <w:rPr>
                      <w:rFonts w:ascii="Arial" w:hAnsi="Arial" w:cs="Arial"/>
                      <w:b/>
                      <w:bCs/>
                      <w:vertAlign w:val="superscript"/>
                    </w:rPr>
                    <w:t>3</w:t>
                  </w:r>
                  <w:r w:rsidRPr="00EB4495">
                    <w:rPr>
                      <w:rFonts w:ascii="Arial" w:hAnsi="Arial" w:cs="Arial"/>
                      <w:b/>
                      <w:bCs/>
                      <w:vertAlign w:val="superscript"/>
                    </w:rPr>
                    <w:t>)</w:t>
                  </w:r>
                </w:p>
              </w:tc>
              <w:tc>
                <w:tcPr>
                  <w:tcW w:w="615" w:type="pct"/>
                  <w:tcBorders>
                    <w:top w:val="single" w:sz="4" w:space="0" w:color="auto"/>
                    <w:left w:val="nil"/>
                    <w:bottom w:val="single" w:sz="4" w:space="0" w:color="auto"/>
                    <w:right w:val="nil"/>
                  </w:tcBorders>
                  <w:vAlign w:val="center"/>
                  <w:hideMark/>
                </w:tcPr>
                <w:p w14:paraId="72FAA26F" w14:textId="7E9D8713" w:rsidR="00582430" w:rsidRPr="00EB4495" w:rsidRDefault="00582430" w:rsidP="00582430">
                  <w:pPr>
                    <w:jc w:val="right"/>
                    <w:rPr>
                      <w:rFonts w:ascii="Arial" w:hAnsi="Arial" w:cs="Arial"/>
                      <w:b/>
                      <w:bCs/>
                    </w:rPr>
                  </w:pPr>
                  <w:r w:rsidRPr="00EB4495">
                    <w:rPr>
                      <w:rFonts w:ascii="Arial" w:hAnsi="Arial" w:cs="Arial"/>
                      <w:b/>
                      <w:bCs/>
                    </w:rPr>
                    <w:t>(</w:t>
                  </w:r>
                  <w:r>
                    <w:rPr>
                      <w:rFonts w:ascii="Arial" w:hAnsi="Arial" w:cs="Arial"/>
                      <w:b/>
                      <w:bCs/>
                    </w:rPr>
                    <w:t>5</w:t>
                  </w:r>
                  <w:r w:rsidRPr="00EB4495">
                    <w:rPr>
                      <w:rFonts w:ascii="Arial" w:hAnsi="Arial" w:cs="Arial"/>
                      <w:b/>
                      <w:bCs/>
                    </w:rPr>
                    <w:t>.4)%</w:t>
                  </w:r>
                </w:p>
              </w:tc>
              <w:tc>
                <w:tcPr>
                  <w:tcW w:w="615" w:type="pct"/>
                  <w:tcBorders>
                    <w:top w:val="single" w:sz="4" w:space="0" w:color="auto"/>
                    <w:left w:val="nil"/>
                    <w:bottom w:val="single" w:sz="4" w:space="0" w:color="auto"/>
                    <w:right w:val="nil"/>
                  </w:tcBorders>
                  <w:vAlign w:val="center"/>
                </w:tcPr>
                <w:p w14:paraId="14366EBE" w14:textId="37E182E3" w:rsidR="00582430" w:rsidRPr="00EB4495" w:rsidRDefault="00582430" w:rsidP="00582430">
                  <w:pPr>
                    <w:jc w:val="right"/>
                    <w:rPr>
                      <w:rFonts w:ascii="Arial" w:hAnsi="Arial" w:cs="Arial"/>
                      <w:b/>
                      <w:bCs/>
                    </w:rPr>
                  </w:pPr>
                  <w:r w:rsidRPr="00EB4495">
                    <w:rPr>
                      <w:rFonts w:ascii="Arial" w:hAnsi="Arial" w:cs="Arial"/>
                      <w:b/>
                      <w:bCs/>
                    </w:rPr>
                    <w:t>(</w:t>
                  </w:r>
                  <w:r>
                    <w:rPr>
                      <w:rFonts w:ascii="Arial" w:hAnsi="Arial" w:cs="Arial"/>
                      <w:b/>
                      <w:bCs/>
                    </w:rPr>
                    <w:t>2.8</w:t>
                  </w:r>
                  <w:r w:rsidRPr="00EB4495">
                    <w:rPr>
                      <w:rFonts w:ascii="Arial" w:hAnsi="Arial" w:cs="Arial"/>
                      <w:b/>
                      <w:bCs/>
                    </w:rPr>
                    <w:t>)%</w:t>
                  </w:r>
                </w:p>
              </w:tc>
              <w:tc>
                <w:tcPr>
                  <w:tcW w:w="615" w:type="pct"/>
                  <w:tcBorders>
                    <w:top w:val="single" w:sz="4" w:space="0" w:color="auto"/>
                    <w:left w:val="nil"/>
                    <w:bottom w:val="single" w:sz="4" w:space="0" w:color="auto"/>
                    <w:right w:val="nil"/>
                  </w:tcBorders>
                  <w:vAlign w:val="center"/>
                </w:tcPr>
                <w:p w14:paraId="07433097" w14:textId="60CF8B23" w:rsidR="00582430" w:rsidRPr="00EB4495" w:rsidRDefault="00582430" w:rsidP="00582430">
                  <w:pPr>
                    <w:jc w:val="right"/>
                    <w:rPr>
                      <w:rFonts w:ascii="Arial" w:hAnsi="Arial" w:cs="Arial"/>
                      <w:b/>
                      <w:bCs/>
                    </w:rPr>
                  </w:pPr>
                  <w:r>
                    <w:rPr>
                      <w:rFonts w:ascii="Arial" w:hAnsi="Arial" w:cs="Arial"/>
                      <w:b/>
                      <w:bCs/>
                    </w:rPr>
                    <w:t>+0.2</w:t>
                  </w:r>
                  <w:r w:rsidRPr="00EB4495">
                    <w:rPr>
                      <w:rFonts w:ascii="Arial" w:hAnsi="Arial" w:cs="Arial"/>
                      <w:b/>
                      <w:bCs/>
                    </w:rPr>
                    <w:t>%</w:t>
                  </w:r>
                </w:p>
              </w:tc>
              <w:tc>
                <w:tcPr>
                  <w:tcW w:w="615" w:type="pct"/>
                  <w:tcBorders>
                    <w:top w:val="single" w:sz="4" w:space="0" w:color="auto"/>
                    <w:left w:val="nil"/>
                    <w:bottom w:val="single" w:sz="4" w:space="0" w:color="auto"/>
                    <w:right w:val="nil"/>
                  </w:tcBorders>
                  <w:vAlign w:val="center"/>
                </w:tcPr>
                <w:p w14:paraId="37ABC1DC" w14:textId="1BBC3297" w:rsidR="00582430" w:rsidRPr="00582430" w:rsidRDefault="00582430" w:rsidP="00582430">
                  <w:pPr>
                    <w:jc w:val="right"/>
                    <w:rPr>
                      <w:rFonts w:ascii="Arial" w:hAnsi="Arial" w:cs="Arial"/>
                      <w:b/>
                      <w:bCs/>
                    </w:rPr>
                  </w:pPr>
                  <w:r w:rsidRPr="00582430">
                    <w:rPr>
                      <w:rFonts w:ascii="Arial" w:hAnsi="Arial" w:cs="Arial"/>
                      <w:b/>
                      <w:bCs/>
                    </w:rPr>
                    <w:t>-</w:t>
                  </w:r>
                </w:p>
              </w:tc>
              <w:tc>
                <w:tcPr>
                  <w:tcW w:w="615" w:type="pct"/>
                  <w:tcBorders>
                    <w:top w:val="single" w:sz="4" w:space="0" w:color="auto"/>
                    <w:left w:val="nil"/>
                    <w:bottom w:val="single" w:sz="4" w:space="0" w:color="auto"/>
                    <w:right w:val="nil"/>
                  </w:tcBorders>
                  <w:vAlign w:val="center"/>
                  <w:hideMark/>
                </w:tcPr>
                <w:p w14:paraId="5338E6D1" w14:textId="536F94BE" w:rsidR="00582430" w:rsidRPr="00EB4495" w:rsidRDefault="00D62038" w:rsidP="00582430">
                  <w:pPr>
                    <w:jc w:val="right"/>
                    <w:rPr>
                      <w:rFonts w:ascii="Arial" w:hAnsi="Arial" w:cs="Arial"/>
                      <w:b/>
                      <w:bCs/>
                    </w:rPr>
                  </w:pPr>
                  <w:r>
                    <w:rPr>
                      <w:rFonts w:ascii="Arial" w:hAnsi="Arial" w:cs="Arial"/>
                      <w:b/>
                      <w:bCs/>
                    </w:rPr>
                    <w:t>(2.1)</w:t>
                  </w:r>
                  <w:r w:rsidR="00582430" w:rsidRPr="00EB4495">
                    <w:rPr>
                      <w:rFonts w:ascii="Arial" w:hAnsi="Arial" w:cs="Arial"/>
                      <w:b/>
                      <w:bCs/>
                    </w:rPr>
                    <w:t>%</w:t>
                  </w:r>
                </w:p>
              </w:tc>
            </w:tr>
            <w:tr w:rsidR="005E7223" w:rsidRPr="00EB4495" w14:paraId="2253F9AA" w14:textId="77777777" w:rsidTr="00F12DAB">
              <w:trPr>
                <w:gridAfter w:val="1"/>
                <w:wAfter w:w="25" w:type="pct"/>
                <w:trHeight w:val="289"/>
              </w:trPr>
              <w:tc>
                <w:tcPr>
                  <w:tcW w:w="1900" w:type="pct"/>
                  <w:tcBorders>
                    <w:top w:val="single" w:sz="4" w:space="0" w:color="auto"/>
                    <w:left w:val="nil"/>
                    <w:bottom w:val="nil"/>
                    <w:right w:val="nil"/>
                  </w:tcBorders>
                  <w:vAlign w:val="center"/>
                  <w:hideMark/>
                </w:tcPr>
                <w:p w14:paraId="7F232291" w14:textId="3BB956C6" w:rsidR="005E7223" w:rsidRPr="00EB4495" w:rsidRDefault="005E7223" w:rsidP="005E7223">
                  <w:pPr>
                    <w:jc w:val="left"/>
                    <w:rPr>
                      <w:rFonts w:ascii="Arial" w:hAnsi="Arial" w:cs="Arial"/>
                      <w:b/>
                      <w:bCs/>
                    </w:rPr>
                  </w:pPr>
                  <w:r>
                    <w:rPr>
                      <w:rFonts w:ascii="Arial" w:hAnsi="Arial" w:cs="Arial"/>
                      <w:b/>
                      <w:bCs/>
                    </w:rPr>
                    <w:t>Total e</w:t>
                  </w:r>
                  <w:r w:rsidRPr="00EB4495">
                    <w:rPr>
                      <w:rFonts w:ascii="Arial" w:hAnsi="Arial" w:cs="Arial"/>
                      <w:b/>
                      <w:bCs/>
                    </w:rPr>
                    <w:t>-commerce sales</w:t>
                  </w:r>
                  <w:r w:rsidRPr="00EB4495">
                    <w:rPr>
                      <w:rFonts w:ascii="Arial" w:hAnsi="Arial" w:cs="Arial"/>
                      <w:b/>
                      <w:bCs/>
                      <w:vertAlign w:val="superscript"/>
                    </w:rPr>
                    <w:t>(</w:t>
                  </w:r>
                  <w:r>
                    <w:rPr>
                      <w:rFonts w:ascii="Arial" w:hAnsi="Arial" w:cs="Arial"/>
                      <w:b/>
                      <w:bCs/>
                      <w:vertAlign w:val="superscript"/>
                    </w:rPr>
                    <w:t>4</w:t>
                  </w:r>
                  <w:r w:rsidRPr="00EB4495">
                    <w:rPr>
                      <w:rFonts w:ascii="Arial" w:hAnsi="Arial" w:cs="Arial"/>
                      <w:b/>
                      <w:bCs/>
                      <w:vertAlign w:val="superscript"/>
                    </w:rPr>
                    <w:t>)</w:t>
                  </w:r>
                </w:p>
              </w:tc>
              <w:tc>
                <w:tcPr>
                  <w:tcW w:w="615" w:type="pct"/>
                  <w:tcBorders>
                    <w:top w:val="single" w:sz="4" w:space="0" w:color="auto"/>
                    <w:left w:val="nil"/>
                    <w:bottom w:val="nil"/>
                    <w:right w:val="nil"/>
                  </w:tcBorders>
                  <w:vAlign w:val="center"/>
                  <w:hideMark/>
                </w:tcPr>
                <w:p w14:paraId="01F207EB" w14:textId="489E16B8" w:rsidR="005E7223" w:rsidRPr="00EB4495" w:rsidRDefault="005E7223" w:rsidP="005E7223">
                  <w:pPr>
                    <w:jc w:val="right"/>
                    <w:rPr>
                      <w:rFonts w:ascii="Arial" w:hAnsi="Arial" w:cs="Arial"/>
                      <w:b/>
                      <w:bCs/>
                    </w:rPr>
                  </w:pPr>
                  <w:r w:rsidRPr="00EB4495">
                    <w:rPr>
                      <w:rFonts w:ascii="Arial" w:hAnsi="Arial" w:cs="Arial"/>
                      <w:b/>
                      <w:bCs/>
                    </w:rPr>
                    <w:t>(</w:t>
                  </w:r>
                  <w:r>
                    <w:rPr>
                      <w:rFonts w:ascii="Arial" w:hAnsi="Arial" w:cs="Arial"/>
                      <w:b/>
                      <w:bCs/>
                    </w:rPr>
                    <w:t>26.1</w:t>
                  </w:r>
                  <w:r w:rsidRPr="00EB4495">
                    <w:rPr>
                      <w:rFonts w:ascii="Arial" w:hAnsi="Arial" w:cs="Arial"/>
                      <w:b/>
                      <w:bCs/>
                    </w:rPr>
                    <w:t>)%</w:t>
                  </w:r>
                </w:p>
              </w:tc>
              <w:tc>
                <w:tcPr>
                  <w:tcW w:w="615" w:type="pct"/>
                  <w:tcBorders>
                    <w:top w:val="single" w:sz="4" w:space="0" w:color="auto"/>
                    <w:left w:val="nil"/>
                    <w:bottom w:val="nil"/>
                    <w:right w:val="nil"/>
                  </w:tcBorders>
                  <w:vAlign w:val="center"/>
                </w:tcPr>
                <w:p w14:paraId="3D2683EF" w14:textId="2CDD76BD" w:rsidR="005E7223" w:rsidRPr="00EB4495" w:rsidRDefault="005E7223" w:rsidP="005E7223">
                  <w:pPr>
                    <w:jc w:val="right"/>
                    <w:rPr>
                      <w:rFonts w:ascii="Arial" w:hAnsi="Arial" w:cs="Arial"/>
                      <w:b/>
                      <w:bCs/>
                    </w:rPr>
                  </w:pPr>
                  <w:r w:rsidRPr="00EB4495">
                    <w:rPr>
                      <w:rFonts w:ascii="Arial" w:hAnsi="Arial" w:cs="Arial"/>
                      <w:b/>
                      <w:bCs/>
                    </w:rPr>
                    <w:t>(</w:t>
                  </w:r>
                  <w:r>
                    <w:rPr>
                      <w:rFonts w:ascii="Arial" w:hAnsi="Arial" w:cs="Arial"/>
                      <w:b/>
                      <w:bCs/>
                    </w:rPr>
                    <w:t>10.</w:t>
                  </w:r>
                  <w:r w:rsidR="00134913">
                    <w:rPr>
                      <w:rFonts w:ascii="Arial" w:hAnsi="Arial" w:cs="Arial"/>
                      <w:b/>
                      <w:bCs/>
                    </w:rPr>
                    <w:t>4</w:t>
                  </w:r>
                  <w:r w:rsidRPr="00EB4495">
                    <w:rPr>
                      <w:rFonts w:ascii="Arial" w:hAnsi="Arial" w:cs="Arial"/>
                      <w:b/>
                      <w:bCs/>
                    </w:rPr>
                    <w:t>)%</w:t>
                  </w:r>
                </w:p>
              </w:tc>
              <w:tc>
                <w:tcPr>
                  <w:tcW w:w="615" w:type="pct"/>
                  <w:tcBorders>
                    <w:top w:val="single" w:sz="4" w:space="0" w:color="auto"/>
                    <w:left w:val="nil"/>
                    <w:bottom w:val="nil"/>
                    <w:right w:val="nil"/>
                  </w:tcBorders>
                  <w:vAlign w:val="center"/>
                </w:tcPr>
                <w:p w14:paraId="09A03F32" w14:textId="4720EA34" w:rsidR="005E7223" w:rsidRPr="00EB4495" w:rsidRDefault="005E7223" w:rsidP="005E7223">
                  <w:pPr>
                    <w:jc w:val="right"/>
                    <w:rPr>
                      <w:rFonts w:ascii="Arial" w:hAnsi="Arial" w:cs="Arial"/>
                      <w:b/>
                      <w:bCs/>
                    </w:rPr>
                  </w:pPr>
                  <w:r>
                    <w:rPr>
                      <w:rFonts w:ascii="Arial" w:hAnsi="Arial" w:cs="Arial"/>
                      <w:b/>
                      <w:bCs/>
                    </w:rPr>
                    <w:t>+</w:t>
                  </w:r>
                  <w:r w:rsidR="0054708C">
                    <w:rPr>
                      <w:rFonts w:ascii="Arial" w:hAnsi="Arial" w:cs="Arial"/>
                      <w:b/>
                      <w:bCs/>
                    </w:rPr>
                    <w:t>2.</w:t>
                  </w:r>
                  <w:r w:rsidR="000C2810">
                    <w:rPr>
                      <w:rFonts w:ascii="Arial" w:hAnsi="Arial" w:cs="Arial"/>
                      <w:b/>
                      <w:bCs/>
                    </w:rPr>
                    <w:t>0</w:t>
                  </w:r>
                  <w:r w:rsidRPr="00EB4495">
                    <w:rPr>
                      <w:rFonts w:ascii="Arial" w:hAnsi="Arial" w:cs="Arial"/>
                      <w:b/>
                      <w:bCs/>
                    </w:rPr>
                    <w:t>%</w:t>
                  </w:r>
                </w:p>
              </w:tc>
              <w:tc>
                <w:tcPr>
                  <w:tcW w:w="615" w:type="pct"/>
                  <w:tcBorders>
                    <w:top w:val="single" w:sz="4" w:space="0" w:color="auto"/>
                    <w:left w:val="nil"/>
                    <w:bottom w:val="nil"/>
                    <w:right w:val="nil"/>
                  </w:tcBorders>
                  <w:vAlign w:val="center"/>
                </w:tcPr>
                <w:p w14:paraId="63A523B3" w14:textId="54C5B9E9" w:rsidR="005E7223" w:rsidRPr="004364F2" w:rsidRDefault="005E7223" w:rsidP="005E7223">
                  <w:pPr>
                    <w:jc w:val="right"/>
                    <w:rPr>
                      <w:rFonts w:ascii="Arial" w:hAnsi="Arial" w:cs="Arial"/>
                      <w:b/>
                      <w:bCs/>
                    </w:rPr>
                  </w:pPr>
                  <w:r>
                    <w:rPr>
                      <w:rFonts w:ascii="Arial" w:hAnsi="Arial" w:cs="Arial"/>
                      <w:b/>
                      <w:bCs/>
                    </w:rPr>
                    <w:t>+</w:t>
                  </w:r>
                  <w:r w:rsidR="008D7286">
                    <w:rPr>
                      <w:rFonts w:ascii="Arial" w:hAnsi="Arial" w:cs="Arial"/>
                      <w:b/>
                      <w:bCs/>
                    </w:rPr>
                    <w:t>5</w:t>
                  </w:r>
                  <w:r w:rsidR="00B22D75">
                    <w:rPr>
                      <w:rFonts w:ascii="Arial" w:hAnsi="Arial" w:cs="Arial"/>
                      <w:b/>
                      <w:bCs/>
                    </w:rPr>
                    <w:t>.</w:t>
                  </w:r>
                  <w:r w:rsidR="008D7286">
                    <w:rPr>
                      <w:rFonts w:ascii="Arial" w:hAnsi="Arial" w:cs="Arial"/>
                      <w:b/>
                      <w:bCs/>
                    </w:rPr>
                    <w:t>4</w:t>
                  </w:r>
                  <w:r w:rsidRPr="00EB4495">
                    <w:rPr>
                      <w:rFonts w:ascii="Arial" w:hAnsi="Arial" w:cs="Arial"/>
                      <w:b/>
                      <w:bCs/>
                    </w:rPr>
                    <w:t>%</w:t>
                  </w:r>
                </w:p>
              </w:tc>
              <w:tc>
                <w:tcPr>
                  <w:tcW w:w="615" w:type="pct"/>
                  <w:tcBorders>
                    <w:top w:val="single" w:sz="4" w:space="0" w:color="auto"/>
                    <w:left w:val="nil"/>
                    <w:bottom w:val="nil"/>
                    <w:right w:val="nil"/>
                  </w:tcBorders>
                  <w:vAlign w:val="center"/>
                  <w:hideMark/>
                </w:tcPr>
                <w:p w14:paraId="51576F41" w14:textId="407A0480" w:rsidR="005E7223" w:rsidRPr="004364F2" w:rsidRDefault="00E533F7" w:rsidP="005E7223">
                  <w:pPr>
                    <w:jc w:val="right"/>
                    <w:rPr>
                      <w:rFonts w:ascii="Arial" w:hAnsi="Arial" w:cs="Arial"/>
                      <w:b/>
                      <w:bCs/>
                    </w:rPr>
                  </w:pPr>
                  <w:r>
                    <w:rPr>
                      <w:rFonts w:ascii="Arial" w:hAnsi="Arial" w:cs="Arial"/>
                      <w:b/>
                      <w:bCs/>
                    </w:rPr>
                    <w:t>(</w:t>
                  </w:r>
                  <w:r w:rsidR="008D7286">
                    <w:rPr>
                      <w:rFonts w:ascii="Arial" w:hAnsi="Arial" w:cs="Arial"/>
                      <w:b/>
                      <w:bCs/>
                    </w:rPr>
                    <w:t>9</w:t>
                  </w:r>
                  <w:r>
                    <w:rPr>
                      <w:rFonts w:ascii="Arial" w:hAnsi="Arial" w:cs="Arial"/>
                      <w:b/>
                      <w:bCs/>
                    </w:rPr>
                    <w:t>.</w:t>
                  </w:r>
                  <w:r w:rsidR="008D7286">
                    <w:rPr>
                      <w:rFonts w:ascii="Arial" w:hAnsi="Arial" w:cs="Arial"/>
                      <w:b/>
                      <w:bCs/>
                    </w:rPr>
                    <w:t>1</w:t>
                  </w:r>
                  <w:r>
                    <w:rPr>
                      <w:rFonts w:ascii="Arial" w:hAnsi="Arial" w:cs="Arial"/>
                      <w:b/>
                      <w:bCs/>
                    </w:rPr>
                    <w:t>)</w:t>
                  </w:r>
                  <w:r w:rsidR="005E7223" w:rsidRPr="00EB4495">
                    <w:rPr>
                      <w:rFonts w:ascii="Arial" w:hAnsi="Arial" w:cs="Arial"/>
                      <w:b/>
                      <w:bCs/>
                    </w:rPr>
                    <w:t>%</w:t>
                  </w:r>
                </w:p>
              </w:tc>
            </w:tr>
          </w:tbl>
          <w:p w14:paraId="0A9DBB90" w14:textId="77777777" w:rsidR="004C5A72" w:rsidRPr="00EB4495" w:rsidRDefault="004C5A72" w:rsidP="003306C4">
            <w:pPr>
              <w:jc w:val="left"/>
              <w:rPr>
                <w:rFonts w:ascii="Arial" w:hAnsi="Arial" w:cs="Arial"/>
                <w:b/>
                <w:bCs/>
                <w:sz w:val="22"/>
                <w:szCs w:val="22"/>
              </w:rPr>
            </w:pPr>
          </w:p>
        </w:tc>
      </w:tr>
    </w:tbl>
    <w:p w14:paraId="27F5223E" w14:textId="7910E0BD" w:rsidR="00D04AA1" w:rsidRDefault="00D04AA1" w:rsidP="00D04AA1">
      <w:pPr>
        <w:jc w:val="left"/>
        <w:rPr>
          <w:rFonts w:ascii="Arial" w:hAnsi="Arial" w:cs="Arial"/>
        </w:rPr>
      </w:pPr>
    </w:p>
    <w:p w14:paraId="022F7274" w14:textId="77777777" w:rsidR="00D04AA1" w:rsidRPr="00EB4495" w:rsidRDefault="00D04AA1" w:rsidP="00D04AA1">
      <w:pPr>
        <w:jc w:val="left"/>
        <w:rPr>
          <w:rFonts w:ascii="Arial" w:hAnsi="Arial" w:cs="Arial"/>
          <w:b/>
          <w:bCs/>
        </w:rPr>
      </w:pPr>
      <w:r>
        <w:rPr>
          <w:rFonts w:ascii="Arial" w:hAnsi="Arial" w:cs="Arial"/>
          <w:b/>
          <w:bCs/>
          <w:u w:val="single"/>
        </w:rPr>
        <w:t>3</w:t>
      </w:r>
      <w:r w:rsidRPr="00EB4495">
        <w:rPr>
          <w:rFonts w:ascii="Arial" w:hAnsi="Arial" w:cs="Arial"/>
          <w:b/>
          <w:bCs/>
          <w:u w:val="single"/>
        </w:rPr>
        <w:t xml:space="preserve">-year LFL sales by quarter </w:t>
      </w:r>
    </w:p>
    <w:p w14:paraId="3AEC3DD7" w14:textId="1E8B5239" w:rsidR="001461FA" w:rsidRPr="00EB4495" w:rsidRDefault="001461FA" w:rsidP="001461FA">
      <w:pPr>
        <w:jc w:val="left"/>
        <w:rPr>
          <w:rFonts w:ascii="Arial" w:hAnsi="Arial" w:cs="Arial"/>
        </w:rPr>
      </w:pPr>
    </w:p>
    <w:tbl>
      <w:tblPr>
        <w:tblStyle w:val="TableGrid"/>
        <w:tblW w:w="9865" w:type="dxa"/>
        <w:tblBorders>
          <w:insideH w:val="none" w:sz="0" w:space="0" w:color="auto"/>
          <w:insideV w:val="none" w:sz="0" w:space="0" w:color="auto"/>
        </w:tblBorders>
        <w:tblLayout w:type="fixed"/>
        <w:tblLook w:val="04A0" w:firstRow="1" w:lastRow="0" w:firstColumn="1" w:lastColumn="0" w:noHBand="0" w:noVBand="1"/>
      </w:tblPr>
      <w:tblGrid>
        <w:gridCol w:w="9865"/>
      </w:tblGrid>
      <w:tr w:rsidR="001461FA" w:rsidRPr="00EB4495" w14:paraId="51F7ED50" w14:textId="77777777" w:rsidTr="003306C4">
        <w:trPr>
          <w:trHeight w:val="1361"/>
        </w:trPr>
        <w:tc>
          <w:tcPr>
            <w:tcW w:w="9865" w:type="dxa"/>
            <w:tcBorders>
              <w:top w:val="single" w:sz="4" w:space="0" w:color="auto"/>
              <w:left w:val="single" w:sz="4" w:space="0" w:color="auto"/>
              <w:bottom w:val="single" w:sz="4" w:space="0" w:color="auto"/>
              <w:right w:val="single" w:sz="4" w:space="0" w:color="auto"/>
            </w:tcBorders>
            <w:hideMark/>
          </w:tcPr>
          <w:tbl>
            <w:tblPr>
              <w:tblW w:w="9690" w:type="dxa"/>
              <w:tblLayout w:type="fixed"/>
              <w:tblLook w:val="01E0" w:firstRow="1" w:lastRow="1" w:firstColumn="1" w:lastColumn="1" w:noHBand="0" w:noVBand="0"/>
            </w:tblPr>
            <w:tblGrid>
              <w:gridCol w:w="3682"/>
              <w:gridCol w:w="1192"/>
              <w:gridCol w:w="1192"/>
              <w:gridCol w:w="1192"/>
              <w:gridCol w:w="1192"/>
              <w:gridCol w:w="1192"/>
              <w:gridCol w:w="48"/>
            </w:tblGrid>
            <w:tr w:rsidR="001461FA" w:rsidRPr="00EB4495" w14:paraId="6647C4BF" w14:textId="77777777" w:rsidTr="003306C4">
              <w:trPr>
                <w:trHeight w:val="93"/>
              </w:trPr>
              <w:tc>
                <w:tcPr>
                  <w:tcW w:w="1900" w:type="pct"/>
                  <w:vMerge w:val="restart"/>
                  <w:vAlign w:val="center"/>
                  <w:hideMark/>
                </w:tcPr>
                <w:p w14:paraId="140D2BF6" w14:textId="77777777" w:rsidR="001461FA" w:rsidRPr="00EB4495" w:rsidRDefault="001461FA" w:rsidP="003306C4">
                  <w:pPr>
                    <w:jc w:val="left"/>
                    <w:rPr>
                      <w:rFonts w:ascii="Arial" w:hAnsi="Arial" w:cs="Arial"/>
                      <w:b/>
                      <w:bCs/>
                    </w:rPr>
                  </w:pPr>
                  <w:r w:rsidRPr="00EB4495">
                    <w:rPr>
                      <w:rFonts w:ascii="Arial" w:hAnsi="Arial" w:cs="Arial"/>
                      <w:b/>
                      <w:bCs/>
                    </w:rPr>
                    <w:t>Quarterly sales</w:t>
                  </w:r>
                </w:p>
              </w:tc>
              <w:tc>
                <w:tcPr>
                  <w:tcW w:w="3100" w:type="pct"/>
                  <w:gridSpan w:val="6"/>
                  <w:tcBorders>
                    <w:top w:val="nil"/>
                    <w:left w:val="nil"/>
                    <w:bottom w:val="single" w:sz="4" w:space="0" w:color="auto"/>
                    <w:right w:val="nil"/>
                  </w:tcBorders>
                  <w:vAlign w:val="center"/>
                  <w:hideMark/>
                </w:tcPr>
                <w:p w14:paraId="585C4173" w14:textId="3CAE9138" w:rsidR="001461FA" w:rsidRPr="00EB4495" w:rsidRDefault="001461FA" w:rsidP="003306C4">
                  <w:pPr>
                    <w:jc w:val="center"/>
                    <w:rPr>
                      <w:rFonts w:ascii="Arial" w:hAnsi="Arial" w:cs="Arial"/>
                      <w:b/>
                      <w:bCs/>
                    </w:rPr>
                  </w:pPr>
                  <w:r w:rsidRPr="00EB4495">
                    <w:rPr>
                      <w:rFonts w:ascii="Arial" w:hAnsi="Arial" w:cs="Arial"/>
                      <w:b/>
                      <w:bCs/>
                    </w:rPr>
                    <w:t xml:space="preserve">% </w:t>
                  </w:r>
                  <w:r w:rsidR="00B82817">
                    <w:rPr>
                      <w:rFonts w:ascii="Arial" w:hAnsi="Arial" w:cs="Arial"/>
                      <w:b/>
                      <w:bCs/>
                    </w:rPr>
                    <w:t xml:space="preserve">3-year </w:t>
                  </w:r>
                  <w:r w:rsidRPr="00EB4495">
                    <w:rPr>
                      <w:rFonts w:ascii="Arial" w:hAnsi="Arial" w:cs="Arial"/>
                      <w:b/>
                      <w:bCs/>
                    </w:rPr>
                    <w:t>LFL Change</w:t>
                  </w:r>
                </w:p>
              </w:tc>
            </w:tr>
            <w:tr w:rsidR="001461FA" w:rsidRPr="00EB4495" w14:paraId="6FC20DC1" w14:textId="77777777" w:rsidTr="003306C4">
              <w:trPr>
                <w:gridAfter w:val="1"/>
                <w:wAfter w:w="25" w:type="pct"/>
                <w:trHeight w:hRule="exact" w:val="311"/>
              </w:trPr>
              <w:tc>
                <w:tcPr>
                  <w:tcW w:w="1900" w:type="pct"/>
                  <w:vMerge/>
                  <w:tcBorders>
                    <w:bottom w:val="nil"/>
                  </w:tcBorders>
                </w:tcPr>
                <w:p w14:paraId="6A53C9C5" w14:textId="77777777" w:rsidR="001461FA" w:rsidRPr="00EB4495" w:rsidRDefault="001461FA" w:rsidP="003306C4">
                  <w:pPr>
                    <w:jc w:val="left"/>
                    <w:rPr>
                      <w:rFonts w:ascii="Arial" w:hAnsi="Arial" w:cs="Arial"/>
                      <w:b/>
                    </w:rPr>
                  </w:pPr>
                </w:p>
              </w:tc>
              <w:tc>
                <w:tcPr>
                  <w:tcW w:w="615" w:type="pct"/>
                  <w:tcBorders>
                    <w:top w:val="single" w:sz="4" w:space="0" w:color="auto"/>
                    <w:bottom w:val="nil"/>
                    <w:right w:val="nil"/>
                  </w:tcBorders>
                  <w:vAlign w:val="center"/>
                  <w:hideMark/>
                </w:tcPr>
                <w:p w14:paraId="2B708A78" w14:textId="77777777" w:rsidR="001461FA" w:rsidRPr="00EB4495" w:rsidRDefault="001461FA" w:rsidP="003306C4">
                  <w:pPr>
                    <w:jc w:val="right"/>
                    <w:rPr>
                      <w:rFonts w:ascii="Arial" w:hAnsi="Arial" w:cs="Arial"/>
                      <w:b/>
                    </w:rPr>
                  </w:pPr>
                  <w:r w:rsidRPr="00EB4495">
                    <w:rPr>
                      <w:rFonts w:ascii="Arial" w:hAnsi="Arial" w:cs="Arial"/>
                      <w:b/>
                      <w:bCs/>
                    </w:rPr>
                    <w:t>Q1 2</w:t>
                  </w:r>
                  <w:r>
                    <w:rPr>
                      <w:rFonts w:ascii="Arial" w:hAnsi="Arial" w:cs="Arial"/>
                      <w:b/>
                      <w:bCs/>
                    </w:rPr>
                    <w:t>2</w:t>
                  </w:r>
                  <w:r w:rsidRPr="00EB4495">
                    <w:rPr>
                      <w:rFonts w:ascii="Arial" w:hAnsi="Arial" w:cs="Arial"/>
                      <w:b/>
                      <w:bCs/>
                    </w:rPr>
                    <w:t>/2</w:t>
                  </w:r>
                  <w:r>
                    <w:rPr>
                      <w:rFonts w:ascii="Arial" w:hAnsi="Arial" w:cs="Arial"/>
                      <w:b/>
                      <w:bCs/>
                    </w:rPr>
                    <w:t>3</w:t>
                  </w:r>
                </w:p>
              </w:tc>
              <w:tc>
                <w:tcPr>
                  <w:tcW w:w="615" w:type="pct"/>
                  <w:tcBorders>
                    <w:top w:val="single" w:sz="4" w:space="0" w:color="auto"/>
                    <w:left w:val="nil"/>
                    <w:bottom w:val="nil"/>
                    <w:right w:val="nil"/>
                  </w:tcBorders>
                  <w:vAlign w:val="center"/>
                </w:tcPr>
                <w:p w14:paraId="177CF9C2" w14:textId="77777777" w:rsidR="001461FA" w:rsidRPr="00EB4495" w:rsidRDefault="001461FA" w:rsidP="003306C4">
                  <w:pPr>
                    <w:jc w:val="right"/>
                    <w:rPr>
                      <w:rFonts w:ascii="Arial" w:hAnsi="Arial" w:cs="Arial"/>
                      <w:b/>
                    </w:rPr>
                  </w:pPr>
                  <w:r w:rsidRPr="00EB4495">
                    <w:rPr>
                      <w:rFonts w:ascii="Arial" w:hAnsi="Arial" w:cs="Arial"/>
                      <w:b/>
                      <w:bCs/>
                    </w:rPr>
                    <w:t>Q2 2</w:t>
                  </w:r>
                  <w:r>
                    <w:rPr>
                      <w:rFonts w:ascii="Arial" w:hAnsi="Arial" w:cs="Arial"/>
                      <w:b/>
                      <w:bCs/>
                    </w:rPr>
                    <w:t>2</w:t>
                  </w:r>
                  <w:r w:rsidRPr="00EB4495">
                    <w:rPr>
                      <w:rFonts w:ascii="Arial" w:hAnsi="Arial" w:cs="Arial"/>
                      <w:b/>
                      <w:bCs/>
                    </w:rPr>
                    <w:t>/2</w:t>
                  </w:r>
                  <w:r>
                    <w:rPr>
                      <w:rFonts w:ascii="Arial" w:hAnsi="Arial" w:cs="Arial"/>
                      <w:b/>
                      <w:bCs/>
                    </w:rPr>
                    <w:t>3</w:t>
                  </w:r>
                </w:p>
              </w:tc>
              <w:tc>
                <w:tcPr>
                  <w:tcW w:w="615" w:type="pct"/>
                  <w:tcBorders>
                    <w:top w:val="single" w:sz="4" w:space="0" w:color="auto"/>
                    <w:left w:val="nil"/>
                    <w:bottom w:val="nil"/>
                    <w:right w:val="nil"/>
                  </w:tcBorders>
                  <w:vAlign w:val="center"/>
                </w:tcPr>
                <w:p w14:paraId="30864AFD" w14:textId="77777777" w:rsidR="001461FA" w:rsidRPr="00EB4495" w:rsidRDefault="001461FA" w:rsidP="003306C4">
                  <w:pPr>
                    <w:jc w:val="right"/>
                    <w:rPr>
                      <w:rFonts w:ascii="Arial" w:hAnsi="Arial" w:cs="Arial"/>
                      <w:b/>
                    </w:rPr>
                  </w:pPr>
                  <w:r w:rsidRPr="00EB4495">
                    <w:rPr>
                      <w:rFonts w:ascii="Arial" w:hAnsi="Arial" w:cs="Arial"/>
                      <w:b/>
                      <w:bCs/>
                    </w:rPr>
                    <w:t>Q3 2</w:t>
                  </w:r>
                  <w:r>
                    <w:rPr>
                      <w:rFonts w:ascii="Arial" w:hAnsi="Arial" w:cs="Arial"/>
                      <w:b/>
                      <w:bCs/>
                    </w:rPr>
                    <w:t>2</w:t>
                  </w:r>
                  <w:r w:rsidRPr="00EB4495">
                    <w:rPr>
                      <w:rFonts w:ascii="Arial" w:hAnsi="Arial" w:cs="Arial"/>
                      <w:b/>
                      <w:bCs/>
                    </w:rPr>
                    <w:t>/2</w:t>
                  </w:r>
                  <w:r>
                    <w:rPr>
                      <w:rFonts w:ascii="Arial" w:hAnsi="Arial" w:cs="Arial"/>
                      <w:b/>
                      <w:bCs/>
                    </w:rPr>
                    <w:t>3</w:t>
                  </w:r>
                </w:p>
              </w:tc>
              <w:tc>
                <w:tcPr>
                  <w:tcW w:w="615" w:type="pct"/>
                  <w:tcBorders>
                    <w:top w:val="single" w:sz="4" w:space="0" w:color="auto"/>
                    <w:left w:val="nil"/>
                    <w:bottom w:val="nil"/>
                    <w:right w:val="nil"/>
                  </w:tcBorders>
                  <w:vAlign w:val="center"/>
                </w:tcPr>
                <w:p w14:paraId="2AF798A3" w14:textId="77777777" w:rsidR="001461FA" w:rsidRPr="00EB4495" w:rsidRDefault="001461FA" w:rsidP="003306C4">
                  <w:pPr>
                    <w:jc w:val="right"/>
                    <w:rPr>
                      <w:rFonts w:ascii="Arial" w:hAnsi="Arial" w:cs="Arial"/>
                      <w:b/>
                    </w:rPr>
                  </w:pPr>
                  <w:r w:rsidRPr="00EB4495">
                    <w:rPr>
                      <w:rFonts w:ascii="Arial" w:hAnsi="Arial" w:cs="Arial"/>
                      <w:b/>
                      <w:bCs/>
                    </w:rPr>
                    <w:t>Q4 2</w:t>
                  </w:r>
                  <w:r>
                    <w:rPr>
                      <w:rFonts w:ascii="Arial" w:hAnsi="Arial" w:cs="Arial"/>
                      <w:b/>
                      <w:bCs/>
                    </w:rPr>
                    <w:t>2</w:t>
                  </w:r>
                  <w:r w:rsidRPr="00EB4495">
                    <w:rPr>
                      <w:rFonts w:ascii="Arial" w:hAnsi="Arial" w:cs="Arial"/>
                      <w:b/>
                      <w:bCs/>
                    </w:rPr>
                    <w:t>/2</w:t>
                  </w:r>
                  <w:r>
                    <w:rPr>
                      <w:rFonts w:ascii="Arial" w:hAnsi="Arial" w:cs="Arial"/>
                      <w:b/>
                      <w:bCs/>
                    </w:rPr>
                    <w:t>3</w:t>
                  </w:r>
                </w:p>
              </w:tc>
              <w:tc>
                <w:tcPr>
                  <w:tcW w:w="615" w:type="pct"/>
                  <w:tcBorders>
                    <w:top w:val="single" w:sz="4" w:space="0" w:color="auto"/>
                    <w:left w:val="nil"/>
                    <w:bottom w:val="nil"/>
                    <w:right w:val="nil"/>
                  </w:tcBorders>
                  <w:vAlign w:val="center"/>
                  <w:hideMark/>
                </w:tcPr>
                <w:p w14:paraId="77A77F0D" w14:textId="77777777" w:rsidR="001461FA" w:rsidRPr="00EB4495" w:rsidRDefault="001461FA" w:rsidP="003306C4">
                  <w:pPr>
                    <w:jc w:val="right"/>
                    <w:rPr>
                      <w:rFonts w:ascii="Arial" w:hAnsi="Arial" w:cs="Arial"/>
                      <w:b/>
                    </w:rPr>
                  </w:pPr>
                  <w:r w:rsidRPr="00EB4495">
                    <w:rPr>
                      <w:rFonts w:ascii="Arial" w:hAnsi="Arial" w:cs="Arial"/>
                      <w:b/>
                      <w:bCs/>
                    </w:rPr>
                    <w:t>FY 2</w:t>
                  </w:r>
                  <w:r>
                    <w:rPr>
                      <w:rFonts w:ascii="Arial" w:hAnsi="Arial" w:cs="Arial"/>
                      <w:b/>
                      <w:bCs/>
                    </w:rPr>
                    <w:t>2</w:t>
                  </w:r>
                  <w:r w:rsidRPr="00EB4495">
                    <w:rPr>
                      <w:rFonts w:ascii="Arial" w:hAnsi="Arial" w:cs="Arial"/>
                      <w:b/>
                      <w:bCs/>
                    </w:rPr>
                    <w:t>/2</w:t>
                  </w:r>
                  <w:r>
                    <w:rPr>
                      <w:rFonts w:ascii="Arial" w:hAnsi="Arial" w:cs="Arial"/>
                      <w:b/>
                      <w:bCs/>
                    </w:rPr>
                    <w:t>3</w:t>
                  </w:r>
                </w:p>
              </w:tc>
            </w:tr>
            <w:tr w:rsidR="00A752DD" w:rsidRPr="00EB4495" w14:paraId="128784B3" w14:textId="77777777" w:rsidTr="003306C4">
              <w:trPr>
                <w:gridAfter w:val="1"/>
                <w:wAfter w:w="25" w:type="pct"/>
                <w:trHeight w:val="289"/>
              </w:trPr>
              <w:tc>
                <w:tcPr>
                  <w:tcW w:w="1900" w:type="pct"/>
                  <w:tcBorders>
                    <w:top w:val="single" w:sz="4" w:space="0" w:color="auto"/>
                    <w:left w:val="nil"/>
                    <w:bottom w:val="nil"/>
                    <w:right w:val="nil"/>
                  </w:tcBorders>
                  <w:vAlign w:val="center"/>
                </w:tcPr>
                <w:p w14:paraId="0296A505" w14:textId="77777777" w:rsidR="00A752DD" w:rsidRPr="00EB4495" w:rsidRDefault="00A752DD" w:rsidP="00A752DD">
                  <w:pPr>
                    <w:jc w:val="left"/>
                    <w:rPr>
                      <w:rFonts w:ascii="Arial" w:hAnsi="Arial" w:cs="Arial"/>
                      <w:b/>
                    </w:rPr>
                  </w:pPr>
                  <w:r w:rsidRPr="00EB4495">
                    <w:rPr>
                      <w:rFonts w:ascii="Arial" w:hAnsi="Arial" w:cs="Arial"/>
                      <w:b/>
                    </w:rPr>
                    <w:t>UK &amp; Ireland</w:t>
                  </w:r>
                </w:p>
              </w:tc>
              <w:tc>
                <w:tcPr>
                  <w:tcW w:w="615" w:type="pct"/>
                  <w:tcBorders>
                    <w:top w:val="single" w:sz="4" w:space="0" w:color="auto"/>
                    <w:left w:val="nil"/>
                    <w:bottom w:val="nil"/>
                    <w:right w:val="nil"/>
                  </w:tcBorders>
                  <w:vAlign w:val="center"/>
                </w:tcPr>
                <w:p w14:paraId="684566B0" w14:textId="5E268815" w:rsidR="00A752DD" w:rsidRPr="00EB4495" w:rsidRDefault="00A752DD" w:rsidP="00A752DD">
                  <w:pPr>
                    <w:jc w:val="right"/>
                    <w:rPr>
                      <w:rFonts w:ascii="Arial" w:hAnsi="Arial" w:cs="Arial"/>
                      <w:b/>
                    </w:rPr>
                  </w:pPr>
                  <w:r w:rsidRPr="00EB4495">
                    <w:rPr>
                      <w:rFonts w:ascii="Arial" w:hAnsi="Arial" w:cs="Arial"/>
                      <w:b/>
                    </w:rPr>
                    <w:t>+</w:t>
                  </w:r>
                  <w:r>
                    <w:rPr>
                      <w:rFonts w:ascii="Arial" w:hAnsi="Arial" w:cs="Arial"/>
                      <w:b/>
                    </w:rPr>
                    <w:t>16</w:t>
                  </w:r>
                  <w:r w:rsidRPr="00EB4495">
                    <w:rPr>
                      <w:rFonts w:ascii="Arial" w:hAnsi="Arial" w:cs="Arial"/>
                      <w:b/>
                    </w:rPr>
                    <w:t>.</w:t>
                  </w:r>
                  <w:r>
                    <w:rPr>
                      <w:rFonts w:ascii="Arial" w:hAnsi="Arial" w:cs="Arial"/>
                      <w:b/>
                    </w:rPr>
                    <w:t>7</w:t>
                  </w:r>
                  <w:r w:rsidRPr="00EB4495">
                    <w:rPr>
                      <w:rFonts w:ascii="Arial" w:hAnsi="Arial" w:cs="Arial"/>
                      <w:b/>
                    </w:rPr>
                    <w:t>%</w:t>
                  </w:r>
                </w:p>
              </w:tc>
              <w:tc>
                <w:tcPr>
                  <w:tcW w:w="615" w:type="pct"/>
                  <w:tcBorders>
                    <w:top w:val="single" w:sz="4" w:space="0" w:color="auto"/>
                    <w:left w:val="nil"/>
                    <w:bottom w:val="nil"/>
                    <w:right w:val="nil"/>
                  </w:tcBorders>
                  <w:vAlign w:val="center"/>
                </w:tcPr>
                <w:p w14:paraId="49815EC8" w14:textId="27B8E986" w:rsidR="00A752DD" w:rsidRPr="00EB4495" w:rsidRDefault="00A752DD" w:rsidP="00A752DD">
                  <w:pPr>
                    <w:jc w:val="right"/>
                    <w:rPr>
                      <w:rFonts w:ascii="Arial" w:hAnsi="Arial" w:cs="Arial"/>
                      <w:b/>
                    </w:rPr>
                  </w:pPr>
                  <w:r w:rsidRPr="00EB4495">
                    <w:rPr>
                      <w:rFonts w:ascii="Arial" w:hAnsi="Arial" w:cs="Arial"/>
                      <w:b/>
                    </w:rPr>
                    <w:t>+</w:t>
                  </w:r>
                  <w:r>
                    <w:rPr>
                      <w:rFonts w:ascii="Arial" w:hAnsi="Arial" w:cs="Arial"/>
                      <w:b/>
                    </w:rPr>
                    <w:t>15</w:t>
                  </w:r>
                  <w:r w:rsidRPr="00EB4495">
                    <w:rPr>
                      <w:rFonts w:ascii="Arial" w:hAnsi="Arial" w:cs="Arial"/>
                      <w:b/>
                    </w:rPr>
                    <w:t>.</w:t>
                  </w:r>
                  <w:r>
                    <w:rPr>
                      <w:rFonts w:ascii="Arial" w:hAnsi="Arial" w:cs="Arial"/>
                      <w:b/>
                    </w:rPr>
                    <w:t>3</w:t>
                  </w:r>
                  <w:r w:rsidRPr="00EB4495">
                    <w:rPr>
                      <w:rFonts w:ascii="Arial" w:hAnsi="Arial" w:cs="Arial"/>
                      <w:b/>
                    </w:rPr>
                    <w:t>%</w:t>
                  </w:r>
                </w:p>
              </w:tc>
              <w:tc>
                <w:tcPr>
                  <w:tcW w:w="615" w:type="pct"/>
                  <w:tcBorders>
                    <w:top w:val="single" w:sz="4" w:space="0" w:color="auto"/>
                    <w:left w:val="nil"/>
                    <w:bottom w:val="nil"/>
                    <w:right w:val="nil"/>
                  </w:tcBorders>
                  <w:vAlign w:val="center"/>
                </w:tcPr>
                <w:p w14:paraId="031DFE45" w14:textId="57CB851F" w:rsidR="00A752DD" w:rsidRPr="00EB4495" w:rsidRDefault="00A752DD" w:rsidP="00A752DD">
                  <w:pPr>
                    <w:jc w:val="right"/>
                    <w:rPr>
                      <w:rFonts w:ascii="Arial" w:hAnsi="Arial" w:cs="Arial"/>
                      <w:b/>
                    </w:rPr>
                  </w:pPr>
                  <w:r w:rsidRPr="00EB4495">
                    <w:rPr>
                      <w:rFonts w:ascii="Arial" w:hAnsi="Arial" w:cs="Arial"/>
                      <w:b/>
                    </w:rPr>
                    <w:t>+</w:t>
                  </w:r>
                  <w:r>
                    <w:rPr>
                      <w:rFonts w:ascii="Arial" w:hAnsi="Arial" w:cs="Arial"/>
                      <w:b/>
                    </w:rPr>
                    <w:t>12</w:t>
                  </w:r>
                  <w:r w:rsidRPr="00EB4495">
                    <w:rPr>
                      <w:rFonts w:ascii="Arial" w:hAnsi="Arial" w:cs="Arial"/>
                      <w:b/>
                    </w:rPr>
                    <w:t>.</w:t>
                  </w:r>
                  <w:r>
                    <w:rPr>
                      <w:rFonts w:ascii="Arial" w:hAnsi="Arial" w:cs="Arial"/>
                      <w:b/>
                    </w:rPr>
                    <w:t>9</w:t>
                  </w:r>
                  <w:r w:rsidRPr="00EB4495">
                    <w:rPr>
                      <w:rFonts w:ascii="Arial" w:hAnsi="Arial" w:cs="Arial"/>
                      <w:b/>
                    </w:rPr>
                    <w:t>%</w:t>
                  </w:r>
                </w:p>
              </w:tc>
              <w:tc>
                <w:tcPr>
                  <w:tcW w:w="615" w:type="pct"/>
                  <w:tcBorders>
                    <w:top w:val="single" w:sz="4" w:space="0" w:color="auto"/>
                    <w:left w:val="nil"/>
                    <w:bottom w:val="nil"/>
                    <w:right w:val="nil"/>
                  </w:tcBorders>
                  <w:vAlign w:val="center"/>
                </w:tcPr>
                <w:p w14:paraId="30B047DA" w14:textId="08C3D0D9" w:rsidR="00A752DD" w:rsidRPr="00EB4495" w:rsidRDefault="00A752DD" w:rsidP="00A752DD">
                  <w:pPr>
                    <w:jc w:val="right"/>
                    <w:rPr>
                      <w:rFonts w:ascii="Arial" w:hAnsi="Arial" w:cs="Arial"/>
                      <w:b/>
                    </w:rPr>
                  </w:pPr>
                  <w:r w:rsidRPr="00EB4495">
                    <w:rPr>
                      <w:rFonts w:ascii="Arial" w:hAnsi="Arial" w:cs="Arial"/>
                      <w:b/>
                    </w:rPr>
                    <w:t>+</w:t>
                  </w:r>
                  <w:r>
                    <w:rPr>
                      <w:rFonts w:ascii="Arial" w:hAnsi="Arial" w:cs="Arial"/>
                      <w:b/>
                    </w:rPr>
                    <w:t>1</w:t>
                  </w:r>
                  <w:r w:rsidR="00525434">
                    <w:rPr>
                      <w:rFonts w:ascii="Arial" w:hAnsi="Arial" w:cs="Arial"/>
                      <w:b/>
                    </w:rPr>
                    <w:t>6</w:t>
                  </w:r>
                  <w:r w:rsidRPr="00EB4495">
                    <w:rPr>
                      <w:rFonts w:ascii="Arial" w:hAnsi="Arial" w:cs="Arial"/>
                      <w:b/>
                    </w:rPr>
                    <w:t>.</w:t>
                  </w:r>
                  <w:r w:rsidR="00525434">
                    <w:rPr>
                      <w:rFonts w:ascii="Arial" w:hAnsi="Arial" w:cs="Arial"/>
                      <w:b/>
                    </w:rPr>
                    <w:t>2</w:t>
                  </w:r>
                  <w:r w:rsidRPr="00EB4495">
                    <w:rPr>
                      <w:rFonts w:ascii="Arial" w:hAnsi="Arial" w:cs="Arial"/>
                      <w:b/>
                    </w:rPr>
                    <w:t>%</w:t>
                  </w:r>
                </w:p>
              </w:tc>
              <w:tc>
                <w:tcPr>
                  <w:tcW w:w="615" w:type="pct"/>
                  <w:tcBorders>
                    <w:top w:val="single" w:sz="4" w:space="0" w:color="auto"/>
                    <w:left w:val="nil"/>
                    <w:bottom w:val="nil"/>
                    <w:right w:val="nil"/>
                  </w:tcBorders>
                  <w:vAlign w:val="center"/>
                </w:tcPr>
                <w:p w14:paraId="75C1452B" w14:textId="5FA8B60C" w:rsidR="00A752DD" w:rsidRPr="00EB4495" w:rsidRDefault="00A752DD" w:rsidP="00A752DD">
                  <w:pPr>
                    <w:jc w:val="right"/>
                    <w:rPr>
                      <w:rFonts w:ascii="Arial" w:hAnsi="Arial" w:cs="Arial"/>
                      <w:b/>
                    </w:rPr>
                  </w:pPr>
                  <w:r w:rsidRPr="00EB4495">
                    <w:rPr>
                      <w:rFonts w:ascii="Arial" w:hAnsi="Arial" w:cs="Arial"/>
                      <w:b/>
                    </w:rPr>
                    <w:t>+</w:t>
                  </w:r>
                  <w:r>
                    <w:rPr>
                      <w:rFonts w:ascii="Arial" w:hAnsi="Arial" w:cs="Arial"/>
                      <w:b/>
                    </w:rPr>
                    <w:t>1</w:t>
                  </w:r>
                  <w:r w:rsidR="002D7E21">
                    <w:rPr>
                      <w:rFonts w:ascii="Arial" w:hAnsi="Arial" w:cs="Arial"/>
                      <w:b/>
                    </w:rPr>
                    <w:t>5</w:t>
                  </w:r>
                  <w:r w:rsidRPr="00EB4495">
                    <w:rPr>
                      <w:rFonts w:ascii="Arial" w:hAnsi="Arial" w:cs="Arial"/>
                      <w:b/>
                    </w:rPr>
                    <w:t>.</w:t>
                  </w:r>
                  <w:r w:rsidR="002D7E21">
                    <w:rPr>
                      <w:rFonts w:ascii="Arial" w:hAnsi="Arial" w:cs="Arial"/>
                      <w:b/>
                    </w:rPr>
                    <w:t>3</w:t>
                  </w:r>
                  <w:r w:rsidRPr="00EB4495">
                    <w:rPr>
                      <w:rFonts w:ascii="Arial" w:hAnsi="Arial" w:cs="Arial"/>
                      <w:b/>
                    </w:rPr>
                    <w:t>%</w:t>
                  </w:r>
                </w:p>
              </w:tc>
            </w:tr>
            <w:tr w:rsidR="00A752DD" w:rsidRPr="00EB4495" w14:paraId="4A08A78C" w14:textId="77777777" w:rsidTr="003306C4">
              <w:trPr>
                <w:gridAfter w:val="1"/>
                <w:wAfter w:w="25" w:type="pct"/>
                <w:trHeight w:val="289"/>
              </w:trPr>
              <w:tc>
                <w:tcPr>
                  <w:tcW w:w="1900" w:type="pct"/>
                  <w:vAlign w:val="center"/>
                </w:tcPr>
                <w:p w14:paraId="73FA8717" w14:textId="77777777" w:rsidR="00A752DD" w:rsidRPr="00EB4495" w:rsidRDefault="00A752DD" w:rsidP="00A752DD">
                  <w:pPr>
                    <w:jc w:val="left"/>
                    <w:rPr>
                      <w:rFonts w:ascii="Arial" w:hAnsi="Arial" w:cs="Arial"/>
                      <w:bCs/>
                    </w:rPr>
                  </w:pPr>
                  <w:r w:rsidRPr="00EB4495">
                    <w:rPr>
                      <w:rFonts w:ascii="Arial" w:hAnsi="Arial" w:cs="Arial"/>
                      <w:bCs/>
                    </w:rPr>
                    <w:t>- B&amp;Q</w:t>
                  </w:r>
                </w:p>
              </w:tc>
              <w:tc>
                <w:tcPr>
                  <w:tcW w:w="615" w:type="pct"/>
                  <w:vAlign w:val="center"/>
                </w:tcPr>
                <w:p w14:paraId="6D1D62CE" w14:textId="6323B80F" w:rsidR="00A752DD" w:rsidRPr="00EB4495" w:rsidRDefault="00A752DD" w:rsidP="00A752DD">
                  <w:pPr>
                    <w:jc w:val="right"/>
                    <w:rPr>
                      <w:rFonts w:ascii="Arial" w:hAnsi="Arial" w:cs="Arial"/>
                      <w:bCs/>
                    </w:rPr>
                  </w:pPr>
                  <w:r w:rsidRPr="00EB4495">
                    <w:rPr>
                      <w:rFonts w:ascii="Arial" w:hAnsi="Arial" w:cs="Arial"/>
                      <w:color w:val="000000"/>
                    </w:rPr>
                    <w:t>+</w:t>
                  </w:r>
                  <w:r>
                    <w:rPr>
                      <w:rFonts w:ascii="Arial" w:hAnsi="Arial" w:cs="Arial"/>
                      <w:color w:val="000000"/>
                    </w:rPr>
                    <w:t>16</w:t>
                  </w:r>
                  <w:r w:rsidRPr="00EB4495">
                    <w:rPr>
                      <w:rFonts w:ascii="Arial" w:hAnsi="Arial" w:cs="Arial"/>
                      <w:color w:val="000000"/>
                    </w:rPr>
                    <w:t>.</w:t>
                  </w:r>
                  <w:r>
                    <w:rPr>
                      <w:rFonts w:ascii="Arial" w:hAnsi="Arial" w:cs="Arial"/>
                      <w:color w:val="000000"/>
                    </w:rPr>
                    <w:t>3</w:t>
                  </w:r>
                  <w:r w:rsidRPr="00EB4495">
                    <w:rPr>
                      <w:rFonts w:ascii="Arial" w:hAnsi="Arial" w:cs="Arial"/>
                      <w:color w:val="000000"/>
                    </w:rPr>
                    <w:t>%</w:t>
                  </w:r>
                </w:p>
              </w:tc>
              <w:tc>
                <w:tcPr>
                  <w:tcW w:w="615" w:type="pct"/>
                  <w:vAlign w:val="center"/>
                </w:tcPr>
                <w:p w14:paraId="1B6476F1" w14:textId="2C2A6A2D" w:rsidR="00A752DD" w:rsidRPr="00EB4495" w:rsidRDefault="00A752DD" w:rsidP="00A752DD">
                  <w:pPr>
                    <w:jc w:val="right"/>
                    <w:rPr>
                      <w:rFonts w:ascii="Arial" w:hAnsi="Arial" w:cs="Arial"/>
                      <w:bCs/>
                    </w:rPr>
                  </w:pPr>
                  <w:r w:rsidRPr="00EB4495">
                    <w:rPr>
                      <w:rFonts w:ascii="Arial" w:hAnsi="Arial" w:cs="Arial"/>
                      <w:color w:val="000000"/>
                    </w:rPr>
                    <w:t>+</w:t>
                  </w:r>
                  <w:r>
                    <w:rPr>
                      <w:rFonts w:ascii="Arial" w:hAnsi="Arial" w:cs="Arial"/>
                      <w:color w:val="000000"/>
                    </w:rPr>
                    <w:t>17</w:t>
                  </w:r>
                  <w:r w:rsidRPr="00EB4495">
                    <w:rPr>
                      <w:rFonts w:ascii="Arial" w:hAnsi="Arial" w:cs="Arial"/>
                      <w:color w:val="000000"/>
                    </w:rPr>
                    <w:t>.</w:t>
                  </w:r>
                  <w:r>
                    <w:rPr>
                      <w:rFonts w:ascii="Arial" w:hAnsi="Arial" w:cs="Arial"/>
                      <w:color w:val="000000"/>
                    </w:rPr>
                    <w:t>1</w:t>
                  </w:r>
                  <w:r w:rsidRPr="00EB4495">
                    <w:rPr>
                      <w:rFonts w:ascii="Arial" w:hAnsi="Arial" w:cs="Arial"/>
                      <w:color w:val="000000"/>
                    </w:rPr>
                    <w:t>%</w:t>
                  </w:r>
                </w:p>
              </w:tc>
              <w:tc>
                <w:tcPr>
                  <w:tcW w:w="615" w:type="pct"/>
                  <w:vAlign w:val="center"/>
                </w:tcPr>
                <w:p w14:paraId="7833C9FF" w14:textId="1DD2D913" w:rsidR="00A752DD" w:rsidRPr="00EB4495" w:rsidRDefault="00A752DD" w:rsidP="00A752DD">
                  <w:pPr>
                    <w:jc w:val="right"/>
                    <w:rPr>
                      <w:rFonts w:ascii="Arial" w:hAnsi="Arial" w:cs="Arial"/>
                      <w:bCs/>
                    </w:rPr>
                  </w:pPr>
                  <w:r w:rsidRPr="00EB4495">
                    <w:rPr>
                      <w:rFonts w:ascii="Arial" w:hAnsi="Arial" w:cs="Arial"/>
                      <w:color w:val="000000"/>
                    </w:rPr>
                    <w:t>+</w:t>
                  </w:r>
                  <w:r>
                    <w:rPr>
                      <w:rFonts w:ascii="Arial" w:hAnsi="Arial" w:cs="Arial"/>
                      <w:color w:val="000000"/>
                    </w:rPr>
                    <w:t>13.1</w:t>
                  </w:r>
                  <w:r w:rsidRPr="00EB4495">
                    <w:rPr>
                      <w:rFonts w:ascii="Arial" w:hAnsi="Arial" w:cs="Arial"/>
                      <w:color w:val="000000"/>
                    </w:rPr>
                    <w:t>%</w:t>
                  </w:r>
                </w:p>
              </w:tc>
              <w:tc>
                <w:tcPr>
                  <w:tcW w:w="615" w:type="pct"/>
                  <w:vAlign w:val="center"/>
                </w:tcPr>
                <w:p w14:paraId="75D942A8" w14:textId="05879629" w:rsidR="00A752DD" w:rsidRPr="00EB4495" w:rsidRDefault="00A752DD" w:rsidP="00A752DD">
                  <w:pPr>
                    <w:jc w:val="right"/>
                    <w:rPr>
                      <w:rFonts w:ascii="Arial" w:hAnsi="Arial" w:cs="Arial"/>
                      <w:bCs/>
                    </w:rPr>
                  </w:pPr>
                  <w:r w:rsidRPr="00EB4495">
                    <w:rPr>
                      <w:rFonts w:ascii="Arial" w:hAnsi="Arial" w:cs="Arial"/>
                      <w:color w:val="000000"/>
                    </w:rPr>
                    <w:t>+</w:t>
                  </w:r>
                  <w:r>
                    <w:rPr>
                      <w:rFonts w:ascii="Arial" w:hAnsi="Arial" w:cs="Arial"/>
                      <w:color w:val="000000"/>
                    </w:rPr>
                    <w:t>1</w:t>
                  </w:r>
                  <w:r w:rsidR="00525434">
                    <w:rPr>
                      <w:rFonts w:ascii="Arial" w:hAnsi="Arial" w:cs="Arial"/>
                      <w:color w:val="000000"/>
                    </w:rPr>
                    <w:t>6</w:t>
                  </w:r>
                  <w:r>
                    <w:rPr>
                      <w:rFonts w:ascii="Arial" w:hAnsi="Arial" w:cs="Arial"/>
                      <w:color w:val="000000"/>
                    </w:rPr>
                    <w:t>.</w:t>
                  </w:r>
                  <w:r w:rsidR="00525434">
                    <w:rPr>
                      <w:rFonts w:ascii="Arial" w:hAnsi="Arial" w:cs="Arial"/>
                      <w:color w:val="000000"/>
                    </w:rPr>
                    <w:t>6</w:t>
                  </w:r>
                  <w:r w:rsidRPr="00EB4495">
                    <w:rPr>
                      <w:rFonts w:ascii="Arial" w:hAnsi="Arial" w:cs="Arial"/>
                      <w:color w:val="000000"/>
                    </w:rPr>
                    <w:t>%</w:t>
                  </w:r>
                </w:p>
              </w:tc>
              <w:tc>
                <w:tcPr>
                  <w:tcW w:w="615" w:type="pct"/>
                  <w:vAlign w:val="center"/>
                </w:tcPr>
                <w:p w14:paraId="2ADF0D29" w14:textId="0E10E290" w:rsidR="00A752DD" w:rsidRPr="00EB4495" w:rsidRDefault="00A752DD" w:rsidP="00A752DD">
                  <w:pPr>
                    <w:jc w:val="right"/>
                    <w:rPr>
                      <w:rFonts w:ascii="Arial" w:hAnsi="Arial" w:cs="Arial"/>
                      <w:bCs/>
                    </w:rPr>
                  </w:pPr>
                  <w:r w:rsidRPr="00EB4495">
                    <w:rPr>
                      <w:rFonts w:ascii="Arial" w:hAnsi="Arial" w:cs="Arial"/>
                      <w:color w:val="000000"/>
                    </w:rPr>
                    <w:t>+</w:t>
                  </w:r>
                  <w:r>
                    <w:rPr>
                      <w:rFonts w:ascii="Arial" w:hAnsi="Arial" w:cs="Arial"/>
                      <w:color w:val="000000"/>
                    </w:rPr>
                    <w:t>1</w:t>
                  </w:r>
                  <w:r w:rsidR="002D7E21">
                    <w:rPr>
                      <w:rFonts w:ascii="Arial" w:hAnsi="Arial" w:cs="Arial"/>
                      <w:color w:val="000000"/>
                    </w:rPr>
                    <w:t>5</w:t>
                  </w:r>
                  <w:r>
                    <w:rPr>
                      <w:rFonts w:ascii="Arial" w:hAnsi="Arial" w:cs="Arial"/>
                      <w:color w:val="000000"/>
                    </w:rPr>
                    <w:t>.</w:t>
                  </w:r>
                  <w:r w:rsidR="002D7E21">
                    <w:rPr>
                      <w:rFonts w:ascii="Arial" w:hAnsi="Arial" w:cs="Arial"/>
                      <w:color w:val="000000"/>
                    </w:rPr>
                    <w:t>8</w:t>
                  </w:r>
                  <w:r w:rsidRPr="00EB4495">
                    <w:rPr>
                      <w:rFonts w:ascii="Arial" w:hAnsi="Arial" w:cs="Arial"/>
                      <w:color w:val="000000"/>
                    </w:rPr>
                    <w:t>%</w:t>
                  </w:r>
                </w:p>
              </w:tc>
            </w:tr>
            <w:tr w:rsidR="00A752DD" w:rsidRPr="00EB4495" w14:paraId="42261C2E" w14:textId="77777777" w:rsidTr="003306C4">
              <w:trPr>
                <w:gridAfter w:val="1"/>
                <w:wAfter w:w="25" w:type="pct"/>
                <w:trHeight w:val="289"/>
              </w:trPr>
              <w:tc>
                <w:tcPr>
                  <w:tcW w:w="1900" w:type="pct"/>
                  <w:vAlign w:val="center"/>
                </w:tcPr>
                <w:p w14:paraId="491094E7" w14:textId="77777777" w:rsidR="00A752DD" w:rsidRPr="00EB4495" w:rsidRDefault="00A752DD" w:rsidP="00A752DD">
                  <w:pPr>
                    <w:jc w:val="left"/>
                    <w:rPr>
                      <w:rFonts w:ascii="Arial" w:hAnsi="Arial" w:cs="Arial"/>
                      <w:bCs/>
                    </w:rPr>
                  </w:pPr>
                  <w:r w:rsidRPr="00EB4495">
                    <w:rPr>
                      <w:rFonts w:ascii="Arial" w:hAnsi="Arial" w:cs="Arial"/>
                      <w:bCs/>
                    </w:rPr>
                    <w:t>- Screwfix</w:t>
                  </w:r>
                </w:p>
              </w:tc>
              <w:tc>
                <w:tcPr>
                  <w:tcW w:w="615" w:type="pct"/>
                  <w:vAlign w:val="center"/>
                </w:tcPr>
                <w:p w14:paraId="1C2D431A" w14:textId="6AAB13A1" w:rsidR="00A752DD" w:rsidRPr="00EB4495" w:rsidRDefault="00A752DD" w:rsidP="00A752DD">
                  <w:pPr>
                    <w:jc w:val="right"/>
                    <w:rPr>
                      <w:rFonts w:ascii="Arial" w:hAnsi="Arial" w:cs="Arial"/>
                      <w:bCs/>
                    </w:rPr>
                  </w:pPr>
                  <w:r w:rsidRPr="00EB4495">
                    <w:rPr>
                      <w:rFonts w:ascii="Arial" w:hAnsi="Arial" w:cs="Arial"/>
                      <w:color w:val="000000"/>
                    </w:rPr>
                    <w:t>+</w:t>
                  </w:r>
                  <w:r>
                    <w:rPr>
                      <w:rFonts w:ascii="Arial" w:hAnsi="Arial" w:cs="Arial"/>
                      <w:color w:val="000000"/>
                    </w:rPr>
                    <w:t>18</w:t>
                  </w:r>
                  <w:r w:rsidRPr="00EB4495">
                    <w:rPr>
                      <w:rFonts w:ascii="Arial" w:hAnsi="Arial" w:cs="Arial"/>
                      <w:color w:val="000000"/>
                    </w:rPr>
                    <w:t>.0%</w:t>
                  </w:r>
                </w:p>
              </w:tc>
              <w:tc>
                <w:tcPr>
                  <w:tcW w:w="615" w:type="pct"/>
                  <w:vAlign w:val="center"/>
                </w:tcPr>
                <w:p w14:paraId="0F74067A" w14:textId="30F70E6D" w:rsidR="00A752DD" w:rsidRPr="00EB4495" w:rsidRDefault="00A752DD" w:rsidP="00A752DD">
                  <w:pPr>
                    <w:jc w:val="right"/>
                    <w:rPr>
                      <w:rFonts w:ascii="Arial" w:hAnsi="Arial" w:cs="Arial"/>
                      <w:bCs/>
                    </w:rPr>
                  </w:pPr>
                  <w:r w:rsidRPr="00EB4495">
                    <w:rPr>
                      <w:rFonts w:ascii="Arial" w:hAnsi="Arial" w:cs="Arial"/>
                      <w:color w:val="000000"/>
                    </w:rPr>
                    <w:t>+</w:t>
                  </w:r>
                  <w:r>
                    <w:rPr>
                      <w:rFonts w:ascii="Arial" w:hAnsi="Arial" w:cs="Arial"/>
                      <w:color w:val="000000"/>
                    </w:rPr>
                    <w:t>11</w:t>
                  </w:r>
                  <w:r w:rsidRPr="00EB4495">
                    <w:rPr>
                      <w:rFonts w:ascii="Arial" w:hAnsi="Arial" w:cs="Arial"/>
                      <w:color w:val="000000"/>
                    </w:rPr>
                    <w:t>.0%</w:t>
                  </w:r>
                </w:p>
              </w:tc>
              <w:tc>
                <w:tcPr>
                  <w:tcW w:w="615" w:type="pct"/>
                  <w:vAlign w:val="center"/>
                </w:tcPr>
                <w:p w14:paraId="71293B7A" w14:textId="6EB02A70" w:rsidR="00A752DD" w:rsidRPr="00EB4495" w:rsidRDefault="00A752DD" w:rsidP="00A752DD">
                  <w:pPr>
                    <w:jc w:val="right"/>
                    <w:rPr>
                      <w:rFonts w:ascii="Arial" w:hAnsi="Arial" w:cs="Arial"/>
                      <w:bCs/>
                    </w:rPr>
                  </w:pPr>
                  <w:r w:rsidRPr="00EB4495">
                    <w:rPr>
                      <w:rFonts w:ascii="Arial" w:hAnsi="Arial" w:cs="Arial"/>
                      <w:color w:val="000000"/>
                    </w:rPr>
                    <w:t>+</w:t>
                  </w:r>
                  <w:r>
                    <w:rPr>
                      <w:rFonts w:ascii="Arial" w:hAnsi="Arial" w:cs="Arial"/>
                      <w:color w:val="000000"/>
                    </w:rPr>
                    <w:t>12.4</w:t>
                  </w:r>
                  <w:r w:rsidRPr="00EB4495">
                    <w:rPr>
                      <w:rFonts w:ascii="Arial" w:hAnsi="Arial" w:cs="Arial"/>
                      <w:color w:val="000000"/>
                    </w:rPr>
                    <w:t>%</w:t>
                  </w:r>
                </w:p>
              </w:tc>
              <w:tc>
                <w:tcPr>
                  <w:tcW w:w="615" w:type="pct"/>
                  <w:vAlign w:val="center"/>
                </w:tcPr>
                <w:p w14:paraId="55DBAA42" w14:textId="48EFA87B" w:rsidR="00A752DD" w:rsidRPr="00EB4495" w:rsidRDefault="00A752DD" w:rsidP="00A752DD">
                  <w:pPr>
                    <w:jc w:val="right"/>
                    <w:rPr>
                      <w:rFonts w:ascii="Arial" w:hAnsi="Arial" w:cs="Arial"/>
                      <w:bCs/>
                    </w:rPr>
                  </w:pPr>
                  <w:r w:rsidRPr="00EB4495">
                    <w:rPr>
                      <w:rFonts w:ascii="Arial" w:hAnsi="Arial" w:cs="Arial"/>
                      <w:color w:val="000000"/>
                    </w:rPr>
                    <w:t>+</w:t>
                  </w:r>
                  <w:r>
                    <w:rPr>
                      <w:rFonts w:ascii="Arial" w:hAnsi="Arial" w:cs="Arial"/>
                      <w:color w:val="000000"/>
                    </w:rPr>
                    <w:t>1</w:t>
                  </w:r>
                  <w:r w:rsidR="00525434">
                    <w:rPr>
                      <w:rFonts w:ascii="Arial" w:hAnsi="Arial" w:cs="Arial"/>
                      <w:color w:val="000000"/>
                    </w:rPr>
                    <w:t>5</w:t>
                  </w:r>
                  <w:r>
                    <w:rPr>
                      <w:rFonts w:ascii="Arial" w:hAnsi="Arial" w:cs="Arial"/>
                      <w:color w:val="000000"/>
                    </w:rPr>
                    <w:t>.</w:t>
                  </w:r>
                  <w:r w:rsidR="00525434">
                    <w:rPr>
                      <w:rFonts w:ascii="Arial" w:hAnsi="Arial" w:cs="Arial"/>
                      <w:color w:val="000000"/>
                    </w:rPr>
                    <w:t>3</w:t>
                  </w:r>
                  <w:r w:rsidRPr="00EB4495">
                    <w:rPr>
                      <w:rFonts w:ascii="Arial" w:hAnsi="Arial" w:cs="Arial"/>
                      <w:color w:val="000000"/>
                    </w:rPr>
                    <w:t>%</w:t>
                  </w:r>
                </w:p>
              </w:tc>
              <w:tc>
                <w:tcPr>
                  <w:tcW w:w="615" w:type="pct"/>
                  <w:vAlign w:val="center"/>
                </w:tcPr>
                <w:p w14:paraId="671F9864" w14:textId="5C4B5B7D" w:rsidR="00A752DD" w:rsidRPr="00EB4495" w:rsidRDefault="00A752DD" w:rsidP="00A752DD">
                  <w:pPr>
                    <w:jc w:val="right"/>
                    <w:rPr>
                      <w:rFonts w:ascii="Arial" w:hAnsi="Arial" w:cs="Arial"/>
                      <w:bCs/>
                    </w:rPr>
                  </w:pPr>
                  <w:r w:rsidRPr="00EB4495">
                    <w:rPr>
                      <w:rFonts w:ascii="Arial" w:hAnsi="Arial" w:cs="Arial"/>
                      <w:color w:val="000000"/>
                    </w:rPr>
                    <w:t>+</w:t>
                  </w:r>
                  <w:r>
                    <w:rPr>
                      <w:rFonts w:ascii="Arial" w:hAnsi="Arial" w:cs="Arial"/>
                      <w:color w:val="000000"/>
                    </w:rPr>
                    <w:t>1</w:t>
                  </w:r>
                  <w:r w:rsidR="002D7E21">
                    <w:rPr>
                      <w:rFonts w:ascii="Arial" w:hAnsi="Arial" w:cs="Arial"/>
                      <w:color w:val="000000"/>
                    </w:rPr>
                    <w:t>4</w:t>
                  </w:r>
                  <w:r>
                    <w:rPr>
                      <w:rFonts w:ascii="Arial" w:hAnsi="Arial" w:cs="Arial"/>
                      <w:color w:val="000000"/>
                    </w:rPr>
                    <w:t>.</w:t>
                  </w:r>
                  <w:r w:rsidR="002D7E21">
                    <w:rPr>
                      <w:rFonts w:ascii="Arial" w:hAnsi="Arial" w:cs="Arial"/>
                      <w:color w:val="000000"/>
                    </w:rPr>
                    <w:t>2</w:t>
                  </w:r>
                  <w:r w:rsidRPr="00EB4495">
                    <w:rPr>
                      <w:rFonts w:ascii="Arial" w:hAnsi="Arial" w:cs="Arial"/>
                      <w:color w:val="000000"/>
                    </w:rPr>
                    <w:t>%</w:t>
                  </w:r>
                </w:p>
              </w:tc>
            </w:tr>
            <w:tr w:rsidR="00A752DD" w:rsidRPr="00EB4495" w14:paraId="2EEEC07C" w14:textId="77777777" w:rsidTr="003306C4">
              <w:trPr>
                <w:gridAfter w:val="1"/>
                <w:wAfter w:w="25" w:type="pct"/>
                <w:trHeight w:val="289"/>
              </w:trPr>
              <w:tc>
                <w:tcPr>
                  <w:tcW w:w="1900" w:type="pct"/>
                  <w:vAlign w:val="center"/>
                  <w:hideMark/>
                </w:tcPr>
                <w:p w14:paraId="4B13E11C" w14:textId="77777777" w:rsidR="00A752DD" w:rsidRPr="00EB4495" w:rsidRDefault="00A752DD" w:rsidP="00A752DD">
                  <w:pPr>
                    <w:jc w:val="left"/>
                    <w:rPr>
                      <w:rFonts w:ascii="Arial" w:hAnsi="Arial" w:cs="Arial"/>
                      <w:b/>
                    </w:rPr>
                  </w:pPr>
                  <w:r w:rsidRPr="00EB4495">
                    <w:rPr>
                      <w:rFonts w:ascii="Arial" w:hAnsi="Arial" w:cs="Arial"/>
                      <w:b/>
                    </w:rPr>
                    <w:t>France</w:t>
                  </w:r>
                </w:p>
              </w:tc>
              <w:tc>
                <w:tcPr>
                  <w:tcW w:w="615" w:type="pct"/>
                  <w:vAlign w:val="center"/>
                  <w:hideMark/>
                </w:tcPr>
                <w:p w14:paraId="54AFC530" w14:textId="137A65EE" w:rsidR="00A752DD" w:rsidRPr="00EB4495" w:rsidRDefault="00A752DD" w:rsidP="00A752DD">
                  <w:pPr>
                    <w:jc w:val="right"/>
                    <w:rPr>
                      <w:rFonts w:ascii="Arial" w:hAnsi="Arial" w:cs="Arial"/>
                      <w:b/>
                    </w:rPr>
                  </w:pPr>
                  <w:r w:rsidRPr="00EB4495">
                    <w:rPr>
                      <w:rFonts w:ascii="Arial" w:hAnsi="Arial" w:cs="Arial"/>
                      <w:b/>
                    </w:rPr>
                    <w:t>+1</w:t>
                  </w:r>
                  <w:r>
                    <w:rPr>
                      <w:rFonts w:ascii="Arial" w:hAnsi="Arial" w:cs="Arial"/>
                      <w:b/>
                    </w:rPr>
                    <w:t>3</w:t>
                  </w:r>
                  <w:r w:rsidRPr="00EB4495">
                    <w:rPr>
                      <w:rFonts w:ascii="Arial" w:hAnsi="Arial" w:cs="Arial"/>
                      <w:b/>
                    </w:rPr>
                    <w:t>.7%</w:t>
                  </w:r>
                </w:p>
              </w:tc>
              <w:tc>
                <w:tcPr>
                  <w:tcW w:w="615" w:type="pct"/>
                  <w:vAlign w:val="center"/>
                </w:tcPr>
                <w:p w14:paraId="762CB05B" w14:textId="2EF83F4E" w:rsidR="00A752DD" w:rsidRPr="00EB4495" w:rsidRDefault="00A752DD" w:rsidP="00A752DD">
                  <w:pPr>
                    <w:jc w:val="right"/>
                    <w:rPr>
                      <w:rFonts w:ascii="Arial" w:hAnsi="Arial" w:cs="Arial"/>
                      <w:b/>
                    </w:rPr>
                  </w:pPr>
                  <w:r w:rsidRPr="00EB4495">
                    <w:rPr>
                      <w:rFonts w:ascii="Arial" w:hAnsi="Arial" w:cs="Arial"/>
                      <w:b/>
                    </w:rPr>
                    <w:t>+1</w:t>
                  </w:r>
                  <w:r>
                    <w:rPr>
                      <w:rFonts w:ascii="Arial" w:hAnsi="Arial" w:cs="Arial"/>
                      <w:b/>
                    </w:rPr>
                    <w:t>3</w:t>
                  </w:r>
                  <w:r w:rsidRPr="00EB4495">
                    <w:rPr>
                      <w:rFonts w:ascii="Arial" w:hAnsi="Arial" w:cs="Arial"/>
                      <w:b/>
                    </w:rPr>
                    <w:t>.</w:t>
                  </w:r>
                  <w:r>
                    <w:rPr>
                      <w:rFonts w:ascii="Arial" w:hAnsi="Arial" w:cs="Arial"/>
                      <w:b/>
                    </w:rPr>
                    <w:t>8</w:t>
                  </w:r>
                  <w:r w:rsidRPr="00EB4495">
                    <w:rPr>
                      <w:rFonts w:ascii="Arial" w:hAnsi="Arial" w:cs="Arial"/>
                      <w:b/>
                    </w:rPr>
                    <w:t>%</w:t>
                  </w:r>
                </w:p>
              </w:tc>
              <w:tc>
                <w:tcPr>
                  <w:tcW w:w="615" w:type="pct"/>
                  <w:vAlign w:val="center"/>
                </w:tcPr>
                <w:p w14:paraId="2B767ECF" w14:textId="32E7E2D0" w:rsidR="00A752DD" w:rsidRPr="00EB4495" w:rsidRDefault="00A752DD" w:rsidP="00A752DD">
                  <w:pPr>
                    <w:jc w:val="right"/>
                    <w:rPr>
                      <w:rFonts w:ascii="Arial" w:hAnsi="Arial" w:cs="Arial"/>
                      <w:b/>
                    </w:rPr>
                  </w:pPr>
                  <w:r w:rsidRPr="00EB4495">
                    <w:rPr>
                      <w:rFonts w:ascii="Arial" w:hAnsi="Arial" w:cs="Arial"/>
                      <w:b/>
                    </w:rPr>
                    <w:t>+</w:t>
                  </w:r>
                  <w:r>
                    <w:rPr>
                      <w:rFonts w:ascii="Arial" w:hAnsi="Arial" w:cs="Arial"/>
                      <w:b/>
                    </w:rPr>
                    <w:t>14.6</w:t>
                  </w:r>
                  <w:r w:rsidRPr="00EB4495">
                    <w:rPr>
                      <w:rFonts w:ascii="Arial" w:hAnsi="Arial" w:cs="Arial"/>
                      <w:b/>
                    </w:rPr>
                    <w:t>%</w:t>
                  </w:r>
                </w:p>
              </w:tc>
              <w:tc>
                <w:tcPr>
                  <w:tcW w:w="615" w:type="pct"/>
                  <w:vAlign w:val="center"/>
                </w:tcPr>
                <w:p w14:paraId="7BEB8677" w14:textId="05D5A4B8" w:rsidR="00A752DD" w:rsidRPr="00EB4495" w:rsidRDefault="00A752DD" w:rsidP="00A752DD">
                  <w:pPr>
                    <w:jc w:val="right"/>
                    <w:rPr>
                      <w:rFonts w:ascii="Arial" w:hAnsi="Arial" w:cs="Arial"/>
                      <w:b/>
                    </w:rPr>
                  </w:pPr>
                  <w:r w:rsidRPr="00EB4495">
                    <w:rPr>
                      <w:rFonts w:ascii="Arial" w:hAnsi="Arial" w:cs="Arial"/>
                      <w:b/>
                    </w:rPr>
                    <w:t>+</w:t>
                  </w:r>
                  <w:r>
                    <w:rPr>
                      <w:rFonts w:ascii="Arial" w:hAnsi="Arial" w:cs="Arial"/>
                      <w:b/>
                    </w:rPr>
                    <w:t>1</w:t>
                  </w:r>
                  <w:r w:rsidR="00525434">
                    <w:rPr>
                      <w:rFonts w:ascii="Arial" w:hAnsi="Arial" w:cs="Arial"/>
                      <w:b/>
                    </w:rPr>
                    <w:t>0</w:t>
                  </w:r>
                  <w:r>
                    <w:rPr>
                      <w:rFonts w:ascii="Arial" w:hAnsi="Arial" w:cs="Arial"/>
                      <w:b/>
                    </w:rPr>
                    <w:t>.</w:t>
                  </w:r>
                  <w:r w:rsidR="00525434">
                    <w:rPr>
                      <w:rFonts w:ascii="Arial" w:hAnsi="Arial" w:cs="Arial"/>
                      <w:b/>
                    </w:rPr>
                    <w:t>9</w:t>
                  </w:r>
                  <w:r w:rsidRPr="00EB4495">
                    <w:rPr>
                      <w:rFonts w:ascii="Arial" w:hAnsi="Arial" w:cs="Arial"/>
                      <w:b/>
                    </w:rPr>
                    <w:t>%</w:t>
                  </w:r>
                </w:p>
              </w:tc>
              <w:tc>
                <w:tcPr>
                  <w:tcW w:w="615" w:type="pct"/>
                  <w:vAlign w:val="center"/>
                  <w:hideMark/>
                </w:tcPr>
                <w:p w14:paraId="15927713" w14:textId="0E90DB56" w:rsidR="00A752DD" w:rsidRPr="00EB4495" w:rsidRDefault="00A752DD" w:rsidP="00A752DD">
                  <w:pPr>
                    <w:jc w:val="right"/>
                    <w:rPr>
                      <w:rFonts w:ascii="Arial" w:hAnsi="Arial" w:cs="Arial"/>
                      <w:b/>
                    </w:rPr>
                  </w:pPr>
                  <w:r w:rsidRPr="00EB4495">
                    <w:rPr>
                      <w:rFonts w:ascii="Arial" w:hAnsi="Arial" w:cs="Arial"/>
                      <w:b/>
                    </w:rPr>
                    <w:t>+</w:t>
                  </w:r>
                  <w:r>
                    <w:rPr>
                      <w:rFonts w:ascii="Arial" w:hAnsi="Arial" w:cs="Arial"/>
                      <w:b/>
                    </w:rPr>
                    <w:t>1</w:t>
                  </w:r>
                  <w:r w:rsidR="002D7E21">
                    <w:rPr>
                      <w:rFonts w:ascii="Arial" w:hAnsi="Arial" w:cs="Arial"/>
                      <w:b/>
                    </w:rPr>
                    <w:t>3</w:t>
                  </w:r>
                  <w:r>
                    <w:rPr>
                      <w:rFonts w:ascii="Arial" w:hAnsi="Arial" w:cs="Arial"/>
                      <w:b/>
                    </w:rPr>
                    <w:t>.</w:t>
                  </w:r>
                  <w:r w:rsidR="002D7E21">
                    <w:rPr>
                      <w:rFonts w:ascii="Arial" w:hAnsi="Arial" w:cs="Arial"/>
                      <w:b/>
                    </w:rPr>
                    <w:t>2</w:t>
                  </w:r>
                  <w:r w:rsidRPr="00EB4495">
                    <w:rPr>
                      <w:rFonts w:ascii="Arial" w:hAnsi="Arial" w:cs="Arial"/>
                      <w:b/>
                    </w:rPr>
                    <w:t>%</w:t>
                  </w:r>
                </w:p>
              </w:tc>
            </w:tr>
            <w:tr w:rsidR="00A752DD" w:rsidRPr="00EB4495" w14:paraId="1131BC55" w14:textId="77777777" w:rsidTr="003306C4">
              <w:trPr>
                <w:gridAfter w:val="1"/>
                <w:wAfter w:w="25" w:type="pct"/>
                <w:trHeight w:val="289"/>
              </w:trPr>
              <w:tc>
                <w:tcPr>
                  <w:tcW w:w="1900" w:type="pct"/>
                  <w:vAlign w:val="center"/>
                </w:tcPr>
                <w:p w14:paraId="185B31D0" w14:textId="77777777" w:rsidR="00A752DD" w:rsidRPr="00EB4495" w:rsidRDefault="00A752DD" w:rsidP="00A752DD">
                  <w:pPr>
                    <w:jc w:val="left"/>
                    <w:rPr>
                      <w:rFonts w:ascii="Arial" w:hAnsi="Arial" w:cs="Arial"/>
                      <w:bCs/>
                    </w:rPr>
                  </w:pPr>
                  <w:r w:rsidRPr="00EB4495">
                    <w:rPr>
                      <w:rFonts w:ascii="Arial" w:hAnsi="Arial" w:cs="Arial"/>
                      <w:bCs/>
                    </w:rPr>
                    <w:t>- Castorama</w:t>
                  </w:r>
                </w:p>
              </w:tc>
              <w:tc>
                <w:tcPr>
                  <w:tcW w:w="615" w:type="pct"/>
                  <w:vAlign w:val="center"/>
                </w:tcPr>
                <w:p w14:paraId="7D92A717" w14:textId="3E9E77C3" w:rsidR="00A752DD" w:rsidRPr="00EB4495" w:rsidRDefault="00A752DD" w:rsidP="00A752DD">
                  <w:pPr>
                    <w:jc w:val="right"/>
                    <w:rPr>
                      <w:rFonts w:ascii="Arial" w:hAnsi="Arial" w:cs="Arial"/>
                      <w:bCs/>
                    </w:rPr>
                  </w:pPr>
                  <w:r w:rsidRPr="00EB4495">
                    <w:rPr>
                      <w:rFonts w:ascii="Arial" w:hAnsi="Arial" w:cs="Arial"/>
                      <w:color w:val="000000"/>
                    </w:rPr>
                    <w:t>+1</w:t>
                  </w:r>
                  <w:r>
                    <w:rPr>
                      <w:rFonts w:ascii="Arial" w:hAnsi="Arial" w:cs="Arial"/>
                      <w:color w:val="000000"/>
                    </w:rPr>
                    <w:t>3</w:t>
                  </w:r>
                  <w:r w:rsidRPr="00EB4495">
                    <w:rPr>
                      <w:rFonts w:ascii="Arial" w:hAnsi="Arial" w:cs="Arial"/>
                      <w:color w:val="000000"/>
                    </w:rPr>
                    <w:t>.</w:t>
                  </w:r>
                  <w:r>
                    <w:rPr>
                      <w:rFonts w:ascii="Arial" w:hAnsi="Arial" w:cs="Arial"/>
                      <w:color w:val="000000"/>
                    </w:rPr>
                    <w:t>9</w:t>
                  </w:r>
                  <w:r w:rsidRPr="00EB4495">
                    <w:rPr>
                      <w:rFonts w:ascii="Arial" w:hAnsi="Arial" w:cs="Arial"/>
                      <w:color w:val="000000"/>
                    </w:rPr>
                    <w:t>%</w:t>
                  </w:r>
                </w:p>
              </w:tc>
              <w:tc>
                <w:tcPr>
                  <w:tcW w:w="615" w:type="pct"/>
                  <w:vAlign w:val="center"/>
                </w:tcPr>
                <w:p w14:paraId="7E2115D6" w14:textId="2ABACE5E" w:rsidR="00A752DD" w:rsidRPr="00EB4495" w:rsidRDefault="00A752DD" w:rsidP="00A752DD">
                  <w:pPr>
                    <w:jc w:val="right"/>
                    <w:rPr>
                      <w:rFonts w:ascii="Arial" w:hAnsi="Arial" w:cs="Arial"/>
                      <w:bCs/>
                    </w:rPr>
                  </w:pPr>
                  <w:r w:rsidRPr="00EB4495">
                    <w:rPr>
                      <w:rFonts w:ascii="Arial" w:hAnsi="Arial" w:cs="Arial"/>
                      <w:color w:val="000000"/>
                    </w:rPr>
                    <w:t>+1</w:t>
                  </w:r>
                  <w:r>
                    <w:rPr>
                      <w:rFonts w:ascii="Arial" w:hAnsi="Arial" w:cs="Arial"/>
                      <w:color w:val="000000"/>
                    </w:rPr>
                    <w:t>3</w:t>
                  </w:r>
                  <w:r w:rsidRPr="00EB4495">
                    <w:rPr>
                      <w:rFonts w:ascii="Arial" w:hAnsi="Arial" w:cs="Arial"/>
                      <w:color w:val="000000"/>
                    </w:rPr>
                    <w:t>.</w:t>
                  </w:r>
                  <w:r>
                    <w:rPr>
                      <w:rFonts w:ascii="Arial" w:hAnsi="Arial" w:cs="Arial"/>
                      <w:color w:val="000000"/>
                    </w:rPr>
                    <w:t>5</w:t>
                  </w:r>
                  <w:r w:rsidRPr="00EB4495">
                    <w:rPr>
                      <w:rFonts w:ascii="Arial" w:hAnsi="Arial" w:cs="Arial"/>
                      <w:color w:val="000000"/>
                    </w:rPr>
                    <w:t>%</w:t>
                  </w:r>
                </w:p>
              </w:tc>
              <w:tc>
                <w:tcPr>
                  <w:tcW w:w="615" w:type="pct"/>
                  <w:vAlign w:val="center"/>
                </w:tcPr>
                <w:p w14:paraId="564FB5F1" w14:textId="37E8144D" w:rsidR="00A752DD" w:rsidRPr="00EB4495" w:rsidRDefault="00A752DD" w:rsidP="00A752DD">
                  <w:pPr>
                    <w:jc w:val="right"/>
                    <w:rPr>
                      <w:rFonts w:ascii="Arial" w:hAnsi="Arial" w:cs="Arial"/>
                      <w:bCs/>
                    </w:rPr>
                  </w:pPr>
                  <w:r w:rsidRPr="00EB4495">
                    <w:rPr>
                      <w:rFonts w:ascii="Arial" w:hAnsi="Arial" w:cs="Arial"/>
                      <w:color w:val="000000"/>
                    </w:rPr>
                    <w:t>+</w:t>
                  </w:r>
                  <w:r>
                    <w:rPr>
                      <w:rFonts w:ascii="Arial" w:hAnsi="Arial" w:cs="Arial"/>
                      <w:color w:val="000000"/>
                    </w:rPr>
                    <w:t>16.6</w:t>
                  </w:r>
                  <w:r w:rsidRPr="00EB4495">
                    <w:rPr>
                      <w:rFonts w:ascii="Arial" w:hAnsi="Arial" w:cs="Arial"/>
                      <w:color w:val="000000"/>
                    </w:rPr>
                    <w:t>%</w:t>
                  </w:r>
                </w:p>
              </w:tc>
              <w:tc>
                <w:tcPr>
                  <w:tcW w:w="615" w:type="pct"/>
                  <w:vAlign w:val="center"/>
                </w:tcPr>
                <w:p w14:paraId="4B03BA7D" w14:textId="3812BA6C" w:rsidR="00A752DD" w:rsidRPr="00EB4495" w:rsidRDefault="00A752DD" w:rsidP="00A752DD">
                  <w:pPr>
                    <w:jc w:val="right"/>
                    <w:rPr>
                      <w:rFonts w:ascii="Arial" w:hAnsi="Arial" w:cs="Arial"/>
                      <w:bCs/>
                    </w:rPr>
                  </w:pPr>
                  <w:r w:rsidRPr="00EB4495">
                    <w:rPr>
                      <w:rFonts w:ascii="Arial" w:hAnsi="Arial" w:cs="Arial"/>
                      <w:color w:val="000000"/>
                    </w:rPr>
                    <w:t>+</w:t>
                  </w:r>
                  <w:r>
                    <w:rPr>
                      <w:rFonts w:ascii="Arial" w:hAnsi="Arial" w:cs="Arial"/>
                      <w:color w:val="000000"/>
                    </w:rPr>
                    <w:t>1</w:t>
                  </w:r>
                  <w:r w:rsidR="006759E0">
                    <w:rPr>
                      <w:rFonts w:ascii="Arial" w:hAnsi="Arial" w:cs="Arial"/>
                      <w:color w:val="000000"/>
                    </w:rPr>
                    <w:t>2</w:t>
                  </w:r>
                  <w:r>
                    <w:rPr>
                      <w:rFonts w:ascii="Arial" w:hAnsi="Arial" w:cs="Arial"/>
                      <w:color w:val="000000"/>
                    </w:rPr>
                    <w:t>.6</w:t>
                  </w:r>
                  <w:r w:rsidRPr="00EB4495">
                    <w:rPr>
                      <w:rFonts w:ascii="Arial" w:hAnsi="Arial" w:cs="Arial"/>
                      <w:color w:val="000000"/>
                    </w:rPr>
                    <w:t>%</w:t>
                  </w:r>
                </w:p>
              </w:tc>
              <w:tc>
                <w:tcPr>
                  <w:tcW w:w="615" w:type="pct"/>
                  <w:vAlign w:val="center"/>
                </w:tcPr>
                <w:p w14:paraId="69162260" w14:textId="54D1083F" w:rsidR="00A752DD" w:rsidRPr="00EB4495" w:rsidRDefault="00A752DD" w:rsidP="00A752DD">
                  <w:pPr>
                    <w:jc w:val="right"/>
                    <w:rPr>
                      <w:rFonts w:ascii="Arial" w:hAnsi="Arial" w:cs="Arial"/>
                      <w:bCs/>
                    </w:rPr>
                  </w:pPr>
                  <w:r w:rsidRPr="00EB4495">
                    <w:rPr>
                      <w:rFonts w:ascii="Arial" w:hAnsi="Arial" w:cs="Arial"/>
                      <w:color w:val="000000"/>
                    </w:rPr>
                    <w:t>+</w:t>
                  </w:r>
                  <w:r>
                    <w:rPr>
                      <w:rFonts w:ascii="Arial" w:hAnsi="Arial" w:cs="Arial"/>
                      <w:color w:val="000000"/>
                    </w:rPr>
                    <w:t>1</w:t>
                  </w:r>
                  <w:r w:rsidR="002D7E21">
                    <w:rPr>
                      <w:rFonts w:ascii="Arial" w:hAnsi="Arial" w:cs="Arial"/>
                      <w:color w:val="000000"/>
                    </w:rPr>
                    <w:t>3</w:t>
                  </w:r>
                  <w:r>
                    <w:rPr>
                      <w:rFonts w:ascii="Arial" w:hAnsi="Arial" w:cs="Arial"/>
                      <w:color w:val="000000"/>
                    </w:rPr>
                    <w:t>.</w:t>
                  </w:r>
                  <w:r w:rsidR="002D7E21">
                    <w:rPr>
                      <w:rFonts w:ascii="Arial" w:hAnsi="Arial" w:cs="Arial"/>
                      <w:color w:val="000000"/>
                    </w:rPr>
                    <w:t>9</w:t>
                  </w:r>
                  <w:r w:rsidRPr="00EB4495">
                    <w:rPr>
                      <w:rFonts w:ascii="Arial" w:hAnsi="Arial" w:cs="Arial"/>
                      <w:color w:val="000000"/>
                    </w:rPr>
                    <w:t>%</w:t>
                  </w:r>
                </w:p>
              </w:tc>
            </w:tr>
            <w:tr w:rsidR="00A752DD" w:rsidRPr="00EB4495" w14:paraId="6BC11AD0" w14:textId="77777777" w:rsidTr="003306C4">
              <w:trPr>
                <w:gridAfter w:val="1"/>
                <w:wAfter w:w="25" w:type="pct"/>
                <w:trHeight w:val="289"/>
              </w:trPr>
              <w:tc>
                <w:tcPr>
                  <w:tcW w:w="1900" w:type="pct"/>
                  <w:vAlign w:val="center"/>
                </w:tcPr>
                <w:p w14:paraId="3C12BB3B" w14:textId="77777777" w:rsidR="00A752DD" w:rsidRPr="00EB4495" w:rsidRDefault="00A752DD" w:rsidP="00A752DD">
                  <w:pPr>
                    <w:jc w:val="left"/>
                    <w:rPr>
                      <w:rFonts w:ascii="Arial" w:hAnsi="Arial" w:cs="Arial"/>
                      <w:bCs/>
                    </w:rPr>
                  </w:pPr>
                  <w:r w:rsidRPr="00EB4495">
                    <w:rPr>
                      <w:rFonts w:ascii="Arial" w:hAnsi="Arial" w:cs="Arial"/>
                      <w:bCs/>
                    </w:rPr>
                    <w:t>- Brico Dépôt</w:t>
                  </w:r>
                </w:p>
              </w:tc>
              <w:tc>
                <w:tcPr>
                  <w:tcW w:w="615" w:type="pct"/>
                  <w:vAlign w:val="center"/>
                </w:tcPr>
                <w:p w14:paraId="35A5A2AC" w14:textId="17074855" w:rsidR="00A752DD" w:rsidRPr="00EB4495" w:rsidRDefault="00A752DD" w:rsidP="00A752DD">
                  <w:pPr>
                    <w:jc w:val="right"/>
                    <w:rPr>
                      <w:rFonts w:ascii="Arial" w:hAnsi="Arial" w:cs="Arial"/>
                      <w:bCs/>
                    </w:rPr>
                  </w:pPr>
                  <w:r w:rsidRPr="00EB4495">
                    <w:rPr>
                      <w:rFonts w:ascii="Arial" w:hAnsi="Arial" w:cs="Arial"/>
                      <w:color w:val="000000"/>
                    </w:rPr>
                    <w:t>+1</w:t>
                  </w:r>
                  <w:r>
                    <w:rPr>
                      <w:rFonts w:ascii="Arial" w:hAnsi="Arial" w:cs="Arial"/>
                      <w:color w:val="000000"/>
                    </w:rPr>
                    <w:t>3</w:t>
                  </w:r>
                  <w:r w:rsidRPr="00EB4495">
                    <w:rPr>
                      <w:rFonts w:ascii="Arial" w:hAnsi="Arial" w:cs="Arial"/>
                      <w:color w:val="000000"/>
                    </w:rPr>
                    <w:t>.</w:t>
                  </w:r>
                  <w:r>
                    <w:rPr>
                      <w:rFonts w:ascii="Arial" w:hAnsi="Arial" w:cs="Arial"/>
                      <w:color w:val="000000"/>
                    </w:rPr>
                    <w:t>5</w:t>
                  </w:r>
                  <w:r w:rsidRPr="00EB4495">
                    <w:rPr>
                      <w:rFonts w:ascii="Arial" w:hAnsi="Arial" w:cs="Arial"/>
                      <w:color w:val="000000"/>
                    </w:rPr>
                    <w:t>%</w:t>
                  </w:r>
                </w:p>
              </w:tc>
              <w:tc>
                <w:tcPr>
                  <w:tcW w:w="615" w:type="pct"/>
                  <w:vAlign w:val="center"/>
                </w:tcPr>
                <w:p w14:paraId="2E5E6AF7" w14:textId="6A6403DC" w:rsidR="00A752DD" w:rsidRPr="00EB4495" w:rsidRDefault="00A752DD" w:rsidP="00A752DD">
                  <w:pPr>
                    <w:jc w:val="right"/>
                    <w:rPr>
                      <w:rFonts w:ascii="Arial" w:hAnsi="Arial" w:cs="Arial"/>
                      <w:bCs/>
                    </w:rPr>
                  </w:pPr>
                  <w:r w:rsidRPr="00EB4495">
                    <w:rPr>
                      <w:rFonts w:ascii="Arial" w:hAnsi="Arial" w:cs="Arial"/>
                      <w:color w:val="000000"/>
                    </w:rPr>
                    <w:t>+1</w:t>
                  </w:r>
                  <w:r>
                    <w:rPr>
                      <w:rFonts w:ascii="Arial" w:hAnsi="Arial" w:cs="Arial"/>
                      <w:color w:val="000000"/>
                    </w:rPr>
                    <w:t>4</w:t>
                  </w:r>
                  <w:r w:rsidRPr="00EB4495">
                    <w:rPr>
                      <w:rFonts w:ascii="Arial" w:hAnsi="Arial" w:cs="Arial"/>
                      <w:color w:val="000000"/>
                    </w:rPr>
                    <w:t>.</w:t>
                  </w:r>
                  <w:r>
                    <w:rPr>
                      <w:rFonts w:ascii="Arial" w:hAnsi="Arial" w:cs="Arial"/>
                      <w:color w:val="000000"/>
                    </w:rPr>
                    <w:t>1</w:t>
                  </w:r>
                  <w:r w:rsidRPr="00EB4495">
                    <w:rPr>
                      <w:rFonts w:ascii="Arial" w:hAnsi="Arial" w:cs="Arial"/>
                      <w:color w:val="000000"/>
                    </w:rPr>
                    <w:t>%</w:t>
                  </w:r>
                </w:p>
              </w:tc>
              <w:tc>
                <w:tcPr>
                  <w:tcW w:w="615" w:type="pct"/>
                  <w:vAlign w:val="center"/>
                </w:tcPr>
                <w:p w14:paraId="773A4E55" w14:textId="4A280FAE" w:rsidR="00A752DD" w:rsidRPr="00EB4495" w:rsidRDefault="00A752DD" w:rsidP="00A752DD">
                  <w:pPr>
                    <w:jc w:val="right"/>
                    <w:rPr>
                      <w:rFonts w:ascii="Arial" w:hAnsi="Arial" w:cs="Arial"/>
                      <w:bCs/>
                    </w:rPr>
                  </w:pPr>
                  <w:r w:rsidRPr="00EB4495">
                    <w:rPr>
                      <w:rFonts w:ascii="Arial" w:hAnsi="Arial" w:cs="Arial"/>
                      <w:color w:val="000000"/>
                    </w:rPr>
                    <w:t>+</w:t>
                  </w:r>
                  <w:r>
                    <w:rPr>
                      <w:rFonts w:ascii="Arial" w:hAnsi="Arial" w:cs="Arial"/>
                      <w:color w:val="000000"/>
                    </w:rPr>
                    <w:t>12.7</w:t>
                  </w:r>
                  <w:r w:rsidRPr="00EB4495">
                    <w:rPr>
                      <w:rFonts w:ascii="Arial" w:hAnsi="Arial" w:cs="Arial"/>
                      <w:color w:val="000000"/>
                    </w:rPr>
                    <w:t>%</w:t>
                  </w:r>
                </w:p>
              </w:tc>
              <w:tc>
                <w:tcPr>
                  <w:tcW w:w="615" w:type="pct"/>
                  <w:vAlign w:val="center"/>
                </w:tcPr>
                <w:p w14:paraId="12DC1375" w14:textId="1AF05EB3" w:rsidR="00A752DD" w:rsidRPr="00EB4495" w:rsidRDefault="00A752DD" w:rsidP="00A752DD">
                  <w:pPr>
                    <w:jc w:val="right"/>
                    <w:rPr>
                      <w:rFonts w:ascii="Arial" w:hAnsi="Arial" w:cs="Arial"/>
                      <w:bCs/>
                    </w:rPr>
                  </w:pPr>
                  <w:r w:rsidRPr="00EB4495">
                    <w:rPr>
                      <w:rFonts w:ascii="Arial" w:hAnsi="Arial" w:cs="Arial"/>
                      <w:color w:val="000000"/>
                    </w:rPr>
                    <w:t>+</w:t>
                  </w:r>
                  <w:r w:rsidR="006759E0">
                    <w:rPr>
                      <w:rFonts w:ascii="Arial" w:hAnsi="Arial" w:cs="Arial"/>
                      <w:color w:val="000000"/>
                    </w:rPr>
                    <w:t>9</w:t>
                  </w:r>
                  <w:r>
                    <w:rPr>
                      <w:rFonts w:ascii="Arial" w:hAnsi="Arial" w:cs="Arial"/>
                      <w:color w:val="000000"/>
                    </w:rPr>
                    <w:t>.</w:t>
                  </w:r>
                  <w:r w:rsidR="006759E0">
                    <w:rPr>
                      <w:rFonts w:ascii="Arial" w:hAnsi="Arial" w:cs="Arial"/>
                      <w:color w:val="000000"/>
                    </w:rPr>
                    <w:t>3</w:t>
                  </w:r>
                  <w:r w:rsidRPr="00EB4495">
                    <w:rPr>
                      <w:rFonts w:ascii="Arial" w:hAnsi="Arial" w:cs="Arial"/>
                      <w:color w:val="000000"/>
                    </w:rPr>
                    <w:t>%</w:t>
                  </w:r>
                </w:p>
              </w:tc>
              <w:tc>
                <w:tcPr>
                  <w:tcW w:w="615" w:type="pct"/>
                  <w:vAlign w:val="center"/>
                </w:tcPr>
                <w:p w14:paraId="1FE33DA8" w14:textId="3C7FAD60" w:rsidR="00A752DD" w:rsidRPr="00EB4495" w:rsidRDefault="00A752DD" w:rsidP="00A752DD">
                  <w:pPr>
                    <w:jc w:val="right"/>
                    <w:rPr>
                      <w:rFonts w:ascii="Arial" w:hAnsi="Arial" w:cs="Arial"/>
                      <w:bCs/>
                    </w:rPr>
                  </w:pPr>
                  <w:r w:rsidRPr="00EB4495">
                    <w:rPr>
                      <w:rFonts w:ascii="Arial" w:hAnsi="Arial" w:cs="Arial"/>
                      <w:color w:val="000000"/>
                    </w:rPr>
                    <w:t>+</w:t>
                  </w:r>
                  <w:r>
                    <w:rPr>
                      <w:rFonts w:ascii="Arial" w:hAnsi="Arial" w:cs="Arial"/>
                      <w:color w:val="000000"/>
                    </w:rPr>
                    <w:t>12.</w:t>
                  </w:r>
                  <w:r w:rsidR="002D7E21">
                    <w:rPr>
                      <w:rFonts w:ascii="Arial" w:hAnsi="Arial" w:cs="Arial"/>
                      <w:color w:val="000000"/>
                    </w:rPr>
                    <w:t>5</w:t>
                  </w:r>
                  <w:r w:rsidRPr="00EB4495">
                    <w:rPr>
                      <w:rFonts w:ascii="Arial" w:hAnsi="Arial" w:cs="Arial"/>
                      <w:color w:val="000000"/>
                    </w:rPr>
                    <w:t>%</w:t>
                  </w:r>
                </w:p>
              </w:tc>
            </w:tr>
            <w:tr w:rsidR="00A752DD" w:rsidRPr="00EB4495" w14:paraId="59405F36" w14:textId="77777777" w:rsidTr="003306C4">
              <w:trPr>
                <w:gridAfter w:val="1"/>
                <w:wAfter w:w="25" w:type="pct"/>
                <w:trHeight w:val="289"/>
              </w:trPr>
              <w:tc>
                <w:tcPr>
                  <w:tcW w:w="1900" w:type="pct"/>
                  <w:vAlign w:val="center"/>
                </w:tcPr>
                <w:p w14:paraId="6A2E9406" w14:textId="77777777" w:rsidR="00A752DD" w:rsidRPr="00EB4495" w:rsidRDefault="00A752DD" w:rsidP="00A752DD">
                  <w:pPr>
                    <w:jc w:val="left"/>
                    <w:rPr>
                      <w:rFonts w:ascii="Arial" w:hAnsi="Arial" w:cs="Arial"/>
                      <w:b/>
                    </w:rPr>
                  </w:pPr>
                  <w:r w:rsidRPr="00EB4495">
                    <w:rPr>
                      <w:rFonts w:ascii="Arial" w:hAnsi="Arial" w:cs="Arial"/>
                      <w:b/>
                    </w:rPr>
                    <w:t>Other International</w:t>
                  </w:r>
                </w:p>
              </w:tc>
              <w:tc>
                <w:tcPr>
                  <w:tcW w:w="615" w:type="pct"/>
                  <w:vAlign w:val="center"/>
                </w:tcPr>
                <w:p w14:paraId="17F18AC4" w14:textId="69914D73" w:rsidR="00A752DD" w:rsidRPr="00EB4495" w:rsidRDefault="00A752DD" w:rsidP="00A752DD">
                  <w:pPr>
                    <w:jc w:val="right"/>
                    <w:rPr>
                      <w:rFonts w:ascii="Arial" w:hAnsi="Arial" w:cs="Arial"/>
                      <w:b/>
                    </w:rPr>
                  </w:pPr>
                  <w:r w:rsidRPr="00EB4495">
                    <w:rPr>
                      <w:rFonts w:ascii="Arial" w:hAnsi="Arial" w:cs="Arial"/>
                      <w:b/>
                    </w:rPr>
                    <w:t>+</w:t>
                  </w:r>
                  <w:r>
                    <w:rPr>
                      <w:rFonts w:ascii="Arial" w:hAnsi="Arial" w:cs="Arial"/>
                      <w:b/>
                    </w:rPr>
                    <w:t>22.2</w:t>
                  </w:r>
                  <w:r w:rsidRPr="00EB4495">
                    <w:rPr>
                      <w:rFonts w:ascii="Arial" w:hAnsi="Arial" w:cs="Arial"/>
                      <w:b/>
                    </w:rPr>
                    <w:t>%</w:t>
                  </w:r>
                </w:p>
              </w:tc>
              <w:tc>
                <w:tcPr>
                  <w:tcW w:w="615" w:type="pct"/>
                  <w:vAlign w:val="center"/>
                </w:tcPr>
                <w:p w14:paraId="286539DA" w14:textId="0BB66BB1" w:rsidR="00A752DD" w:rsidRPr="00EB4495" w:rsidRDefault="00A752DD" w:rsidP="00A752DD">
                  <w:pPr>
                    <w:jc w:val="right"/>
                    <w:rPr>
                      <w:rFonts w:ascii="Arial" w:hAnsi="Arial" w:cs="Arial"/>
                      <w:b/>
                    </w:rPr>
                  </w:pPr>
                  <w:r w:rsidRPr="00EB4495">
                    <w:rPr>
                      <w:rFonts w:ascii="Arial" w:hAnsi="Arial" w:cs="Arial"/>
                      <w:b/>
                    </w:rPr>
                    <w:t>+</w:t>
                  </w:r>
                  <w:r>
                    <w:rPr>
                      <w:rFonts w:ascii="Arial" w:hAnsi="Arial" w:cs="Arial"/>
                      <w:b/>
                    </w:rPr>
                    <w:t>25.7</w:t>
                  </w:r>
                  <w:r w:rsidRPr="00EB4495">
                    <w:rPr>
                      <w:rFonts w:ascii="Arial" w:hAnsi="Arial" w:cs="Arial"/>
                      <w:b/>
                    </w:rPr>
                    <w:t>%</w:t>
                  </w:r>
                </w:p>
              </w:tc>
              <w:tc>
                <w:tcPr>
                  <w:tcW w:w="615" w:type="pct"/>
                  <w:vAlign w:val="center"/>
                </w:tcPr>
                <w:p w14:paraId="4E691FF5" w14:textId="15C1E5C6" w:rsidR="00A752DD" w:rsidRPr="00EB4495" w:rsidRDefault="00A752DD" w:rsidP="00A752DD">
                  <w:pPr>
                    <w:jc w:val="right"/>
                    <w:rPr>
                      <w:rFonts w:ascii="Arial" w:hAnsi="Arial" w:cs="Arial"/>
                      <w:b/>
                    </w:rPr>
                  </w:pPr>
                  <w:r w:rsidRPr="00EB4495">
                    <w:rPr>
                      <w:rFonts w:ascii="Arial" w:hAnsi="Arial" w:cs="Arial"/>
                      <w:b/>
                    </w:rPr>
                    <w:t>+</w:t>
                  </w:r>
                  <w:r>
                    <w:rPr>
                      <w:rFonts w:ascii="Arial" w:hAnsi="Arial" w:cs="Arial"/>
                      <w:b/>
                    </w:rPr>
                    <w:t>23.1</w:t>
                  </w:r>
                  <w:r w:rsidRPr="00EB4495">
                    <w:rPr>
                      <w:rFonts w:ascii="Arial" w:hAnsi="Arial" w:cs="Arial"/>
                      <w:b/>
                    </w:rPr>
                    <w:t>%</w:t>
                  </w:r>
                </w:p>
              </w:tc>
              <w:tc>
                <w:tcPr>
                  <w:tcW w:w="615" w:type="pct"/>
                  <w:vAlign w:val="center"/>
                </w:tcPr>
                <w:p w14:paraId="31FBE9F3" w14:textId="3FAFBD4E" w:rsidR="00A752DD" w:rsidRPr="00EB4495" w:rsidRDefault="00A752DD" w:rsidP="00A752DD">
                  <w:pPr>
                    <w:jc w:val="right"/>
                    <w:rPr>
                      <w:rFonts w:ascii="Arial" w:hAnsi="Arial" w:cs="Arial"/>
                      <w:b/>
                    </w:rPr>
                  </w:pPr>
                  <w:r w:rsidRPr="00EB4495">
                    <w:rPr>
                      <w:rFonts w:ascii="Arial" w:hAnsi="Arial" w:cs="Arial"/>
                      <w:b/>
                    </w:rPr>
                    <w:t>+</w:t>
                  </w:r>
                  <w:r w:rsidR="006759E0">
                    <w:rPr>
                      <w:rFonts w:ascii="Arial" w:hAnsi="Arial" w:cs="Arial"/>
                      <w:b/>
                    </w:rPr>
                    <w:t>12</w:t>
                  </w:r>
                  <w:r>
                    <w:rPr>
                      <w:rFonts w:ascii="Arial" w:hAnsi="Arial" w:cs="Arial"/>
                      <w:b/>
                    </w:rPr>
                    <w:t>.</w:t>
                  </w:r>
                  <w:r w:rsidR="006759E0">
                    <w:rPr>
                      <w:rFonts w:ascii="Arial" w:hAnsi="Arial" w:cs="Arial"/>
                      <w:b/>
                    </w:rPr>
                    <w:t>7</w:t>
                  </w:r>
                  <w:r w:rsidRPr="00EB4495">
                    <w:rPr>
                      <w:rFonts w:ascii="Arial" w:hAnsi="Arial" w:cs="Arial"/>
                      <w:b/>
                    </w:rPr>
                    <w:t>%</w:t>
                  </w:r>
                </w:p>
              </w:tc>
              <w:tc>
                <w:tcPr>
                  <w:tcW w:w="615" w:type="pct"/>
                  <w:vAlign w:val="center"/>
                </w:tcPr>
                <w:p w14:paraId="284AD0FE" w14:textId="57CB460C" w:rsidR="00A752DD" w:rsidRPr="00EB4495" w:rsidRDefault="00A752DD" w:rsidP="00A752DD">
                  <w:pPr>
                    <w:jc w:val="right"/>
                    <w:rPr>
                      <w:rFonts w:ascii="Arial" w:hAnsi="Arial" w:cs="Arial"/>
                      <w:b/>
                    </w:rPr>
                  </w:pPr>
                  <w:r w:rsidRPr="00EB4495">
                    <w:rPr>
                      <w:rFonts w:ascii="Arial" w:hAnsi="Arial" w:cs="Arial"/>
                      <w:b/>
                    </w:rPr>
                    <w:t>+</w:t>
                  </w:r>
                  <w:r>
                    <w:rPr>
                      <w:rFonts w:ascii="Arial" w:hAnsi="Arial" w:cs="Arial"/>
                      <w:b/>
                    </w:rPr>
                    <w:t>2</w:t>
                  </w:r>
                  <w:r w:rsidR="00AB03E6">
                    <w:rPr>
                      <w:rFonts w:ascii="Arial" w:hAnsi="Arial" w:cs="Arial"/>
                      <w:b/>
                    </w:rPr>
                    <w:t>1</w:t>
                  </w:r>
                  <w:r>
                    <w:rPr>
                      <w:rFonts w:ascii="Arial" w:hAnsi="Arial" w:cs="Arial"/>
                      <w:b/>
                    </w:rPr>
                    <w:t>.</w:t>
                  </w:r>
                  <w:r w:rsidR="00AB03E6">
                    <w:rPr>
                      <w:rFonts w:ascii="Arial" w:hAnsi="Arial" w:cs="Arial"/>
                      <w:b/>
                    </w:rPr>
                    <w:t>5</w:t>
                  </w:r>
                  <w:r w:rsidRPr="00EB4495">
                    <w:rPr>
                      <w:rFonts w:ascii="Arial" w:hAnsi="Arial" w:cs="Arial"/>
                      <w:b/>
                    </w:rPr>
                    <w:t>%</w:t>
                  </w:r>
                </w:p>
              </w:tc>
            </w:tr>
            <w:tr w:rsidR="00A752DD" w:rsidRPr="00EB4495" w14:paraId="026DA565" w14:textId="77777777" w:rsidTr="003306C4">
              <w:trPr>
                <w:gridAfter w:val="1"/>
                <w:wAfter w:w="25" w:type="pct"/>
                <w:trHeight w:val="289"/>
              </w:trPr>
              <w:tc>
                <w:tcPr>
                  <w:tcW w:w="1900" w:type="pct"/>
                  <w:vAlign w:val="center"/>
                </w:tcPr>
                <w:p w14:paraId="15918AA3" w14:textId="77777777" w:rsidR="00A752DD" w:rsidRPr="00EB4495" w:rsidRDefault="00A752DD" w:rsidP="00A752DD">
                  <w:pPr>
                    <w:jc w:val="left"/>
                    <w:rPr>
                      <w:rFonts w:ascii="Arial" w:hAnsi="Arial" w:cs="Arial"/>
                      <w:b/>
                    </w:rPr>
                  </w:pPr>
                  <w:r w:rsidRPr="00EB4495">
                    <w:rPr>
                      <w:rFonts w:ascii="Arial" w:hAnsi="Arial" w:cs="Arial"/>
                      <w:bCs/>
                    </w:rPr>
                    <w:t>- Poland</w:t>
                  </w:r>
                </w:p>
              </w:tc>
              <w:tc>
                <w:tcPr>
                  <w:tcW w:w="615" w:type="pct"/>
                  <w:vAlign w:val="center"/>
                </w:tcPr>
                <w:p w14:paraId="0B8057E6" w14:textId="7CE03591" w:rsidR="00A752DD" w:rsidRPr="00EB4495" w:rsidRDefault="00A752DD" w:rsidP="00A752DD">
                  <w:pPr>
                    <w:jc w:val="right"/>
                    <w:rPr>
                      <w:rFonts w:ascii="Arial" w:hAnsi="Arial" w:cs="Arial"/>
                      <w:b/>
                    </w:rPr>
                  </w:pPr>
                  <w:r>
                    <w:rPr>
                      <w:rFonts w:ascii="Arial" w:hAnsi="Arial" w:cs="Arial"/>
                    </w:rPr>
                    <w:t>+22</w:t>
                  </w:r>
                  <w:r w:rsidRPr="00EB4495">
                    <w:rPr>
                      <w:rFonts w:ascii="Arial" w:hAnsi="Arial" w:cs="Arial"/>
                    </w:rPr>
                    <w:t>.</w:t>
                  </w:r>
                  <w:r>
                    <w:rPr>
                      <w:rFonts w:ascii="Arial" w:hAnsi="Arial" w:cs="Arial"/>
                    </w:rPr>
                    <w:t>8</w:t>
                  </w:r>
                  <w:r w:rsidRPr="00EB4495">
                    <w:rPr>
                      <w:rFonts w:ascii="Arial" w:hAnsi="Arial" w:cs="Arial"/>
                    </w:rPr>
                    <w:t>%</w:t>
                  </w:r>
                </w:p>
              </w:tc>
              <w:tc>
                <w:tcPr>
                  <w:tcW w:w="615" w:type="pct"/>
                  <w:vAlign w:val="center"/>
                </w:tcPr>
                <w:p w14:paraId="55B8CD5F" w14:textId="3E0E276A" w:rsidR="00A752DD" w:rsidRPr="00EB4495" w:rsidRDefault="00A752DD" w:rsidP="00A752DD">
                  <w:pPr>
                    <w:jc w:val="right"/>
                    <w:rPr>
                      <w:rFonts w:ascii="Arial" w:hAnsi="Arial" w:cs="Arial"/>
                      <w:b/>
                    </w:rPr>
                  </w:pPr>
                  <w:r>
                    <w:rPr>
                      <w:rFonts w:ascii="Arial" w:hAnsi="Arial" w:cs="Arial"/>
                    </w:rPr>
                    <w:t>+25</w:t>
                  </w:r>
                  <w:r w:rsidRPr="00EB4495">
                    <w:rPr>
                      <w:rFonts w:ascii="Arial" w:hAnsi="Arial" w:cs="Arial"/>
                    </w:rPr>
                    <w:t>.</w:t>
                  </w:r>
                  <w:r>
                    <w:rPr>
                      <w:rFonts w:ascii="Arial" w:hAnsi="Arial" w:cs="Arial"/>
                    </w:rPr>
                    <w:t>2</w:t>
                  </w:r>
                  <w:r w:rsidRPr="00EB4495">
                    <w:rPr>
                      <w:rFonts w:ascii="Arial" w:hAnsi="Arial" w:cs="Arial"/>
                    </w:rPr>
                    <w:t>%</w:t>
                  </w:r>
                </w:p>
              </w:tc>
              <w:tc>
                <w:tcPr>
                  <w:tcW w:w="615" w:type="pct"/>
                  <w:vAlign w:val="center"/>
                </w:tcPr>
                <w:p w14:paraId="2DABA5E8" w14:textId="0E25A999" w:rsidR="00A752DD" w:rsidRPr="00EB4495" w:rsidRDefault="00A752DD" w:rsidP="00A752DD">
                  <w:pPr>
                    <w:jc w:val="right"/>
                    <w:rPr>
                      <w:rFonts w:ascii="Arial" w:hAnsi="Arial" w:cs="Arial"/>
                      <w:b/>
                    </w:rPr>
                  </w:pPr>
                  <w:r>
                    <w:rPr>
                      <w:rFonts w:ascii="Arial" w:hAnsi="Arial" w:cs="Arial"/>
                    </w:rPr>
                    <w:t>+21.3</w:t>
                  </w:r>
                  <w:r w:rsidRPr="00EB4495">
                    <w:rPr>
                      <w:rFonts w:ascii="Arial" w:hAnsi="Arial" w:cs="Arial"/>
                    </w:rPr>
                    <w:t>%</w:t>
                  </w:r>
                </w:p>
              </w:tc>
              <w:tc>
                <w:tcPr>
                  <w:tcW w:w="615" w:type="pct"/>
                  <w:vAlign w:val="center"/>
                </w:tcPr>
                <w:p w14:paraId="2D087A71" w14:textId="0D3412BF" w:rsidR="00A752DD" w:rsidRPr="00EB4495" w:rsidRDefault="00A752DD" w:rsidP="00A752DD">
                  <w:pPr>
                    <w:jc w:val="right"/>
                    <w:rPr>
                      <w:rFonts w:ascii="Arial" w:hAnsi="Arial" w:cs="Arial"/>
                      <w:b/>
                    </w:rPr>
                  </w:pPr>
                  <w:r>
                    <w:rPr>
                      <w:rFonts w:ascii="Arial" w:hAnsi="Arial" w:cs="Arial"/>
                    </w:rPr>
                    <w:t>+</w:t>
                  </w:r>
                  <w:r w:rsidR="006759E0">
                    <w:rPr>
                      <w:rFonts w:ascii="Arial" w:hAnsi="Arial" w:cs="Arial"/>
                    </w:rPr>
                    <w:t>9</w:t>
                  </w:r>
                  <w:r>
                    <w:rPr>
                      <w:rFonts w:ascii="Arial" w:hAnsi="Arial" w:cs="Arial"/>
                    </w:rPr>
                    <w:t>.</w:t>
                  </w:r>
                  <w:r w:rsidR="006759E0">
                    <w:rPr>
                      <w:rFonts w:ascii="Arial" w:hAnsi="Arial" w:cs="Arial"/>
                    </w:rPr>
                    <w:t>4</w:t>
                  </w:r>
                  <w:r w:rsidRPr="00EB4495">
                    <w:rPr>
                      <w:rFonts w:ascii="Arial" w:hAnsi="Arial" w:cs="Arial"/>
                    </w:rPr>
                    <w:t>%</w:t>
                  </w:r>
                </w:p>
              </w:tc>
              <w:tc>
                <w:tcPr>
                  <w:tcW w:w="615" w:type="pct"/>
                  <w:vAlign w:val="center"/>
                </w:tcPr>
                <w:p w14:paraId="394E0DA1" w14:textId="41505D54" w:rsidR="00A752DD" w:rsidRPr="00EB4495" w:rsidRDefault="00A752DD" w:rsidP="00A752DD">
                  <w:pPr>
                    <w:jc w:val="right"/>
                    <w:rPr>
                      <w:rFonts w:ascii="Arial" w:hAnsi="Arial" w:cs="Arial"/>
                      <w:b/>
                    </w:rPr>
                  </w:pPr>
                  <w:r>
                    <w:rPr>
                      <w:rFonts w:ascii="Arial" w:hAnsi="Arial" w:cs="Arial"/>
                    </w:rPr>
                    <w:t>+1</w:t>
                  </w:r>
                  <w:r w:rsidR="00AB03E6">
                    <w:rPr>
                      <w:rFonts w:ascii="Arial" w:hAnsi="Arial" w:cs="Arial"/>
                    </w:rPr>
                    <w:t>9</w:t>
                  </w:r>
                  <w:r>
                    <w:rPr>
                      <w:rFonts w:ascii="Arial" w:hAnsi="Arial" w:cs="Arial"/>
                    </w:rPr>
                    <w:t>.</w:t>
                  </w:r>
                  <w:r w:rsidR="00AB03E6">
                    <w:rPr>
                      <w:rFonts w:ascii="Arial" w:hAnsi="Arial" w:cs="Arial"/>
                    </w:rPr>
                    <w:t>8</w:t>
                  </w:r>
                  <w:r w:rsidRPr="00EB4495">
                    <w:rPr>
                      <w:rFonts w:ascii="Arial" w:hAnsi="Arial" w:cs="Arial"/>
                    </w:rPr>
                    <w:t>%</w:t>
                  </w:r>
                </w:p>
              </w:tc>
            </w:tr>
            <w:tr w:rsidR="00A752DD" w:rsidRPr="00EB4495" w14:paraId="6EC571E1" w14:textId="77777777" w:rsidTr="003306C4">
              <w:trPr>
                <w:gridAfter w:val="1"/>
                <w:wAfter w:w="25" w:type="pct"/>
                <w:trHeight w:val="289"/>
              </w:trPr>
              <w:tc>
                <w:tcPr>
                  <w:tcW w:w="1900" w:type="pct"/>
                  <w:vAlign w:val="center"/>
                </w:tcPr>
                <w:p w14:paraId="436EC73E" w14:textId="77777777" w:rsidR="00A752DD" w:rsidRPr="00EB4495" w:rsidRDefault="00A752DD" w:rsidP="00A752DD">
                  <w:pPr>
                    <w:jc w:val="left"/>
                    <w:rPr>
                      <w:rFonts w:ascii="Arial" w:hAnsi="Arial" w:cs="Arial"/>
                      <w:b/>
                    </w:rPr>
                  </w:pPr>
                  <w:r w:rsidRPr="00EB4495">
                    <w:rPr>
                      <w:rFonts w:ascii="Arial" w:hAnsi="Arial" w:cs="Arial"/>
                      <w:bCs/>
                    </w:rPr>
                    <w:t>- Iberia</w:t>
                  </w:r>
                </w:p>
              </w:tc>
              <w:tc>
                <w:tcPr>
                  <w:tcW w:w="615" w:type="pct"/>
                  <w:vAlign w:val="center"/>
                </w:tcPr>
                <w:p w14:paraId="0BDE6E2B" w14:textId="7D4BB3A6" w:rsidR="00A752DD" w:rsidRPr="00EB4495" w:rsidRDefault="00A752DD" w:rsidP="00A752DD">
                  <w:pPr>
                    <w:jc w:val="right"/>
                    <w:rPr>
                      <w:rFonts w:ascii="Arial" w:hAnsi="Arial" w:cs="Arial"/>
                      <w:b/>
                    </w:rPr>
                  </w:pPr>
                  <w:r w:rsidRPr="00EB4495">
                    <w:rPr>
                      <w:rFonts w:ascii="Arial" w:hAnsi="Arial" w:cs="Arial"/>
                      <w:color w:val="000000"/>
                    </w:rPr>
                    <w:t>+11.</w:t>
                  </w:r>
                  <w:r>
                    <w:rPr>
                      <w:rFonts w:ascii="Arial" w:hAnsi="Arial" w:cs="Arial"/>
                      <w:color w:val="000000"/>
                    </w:rPr>
                    <w:t>8</w:t>
                  </w:r>
                  <w:r w:rsidRPr="00EB4495">
                    <w:rPr>
                      <w:rFonts w:ascii="Arial" w:hAnsi="Arial" w:cs="Arial"/>
                      <w:color w:val="000000"/>
                    </w:rPr>
                    <w:t>%</w:t>
                  </w:r>
                </w:p>
              </w:tc>
              <w:tc>
                <w:tcPr>
                  <w:tcW w:w="615" w:type="pct"/>
                  <w:vAlign w:val="center"/>
                </w:tcPr>
                <w:p w14:paraId="6F352D87" w14:textId="64FEB753" w:rsidR="00A752DD" w:rsidRPr="00EB4495" w:rsidRDefault="00A752DD" w:rsidP="00A752DD">
                  <w:pPr>
                    <w:jc w:val="right"/>
                    <w:rPr>
                      <w:rFonts w:ascii="Arial" w:hAnsi="Arial" w:cs="Arial"/>
                      <w:b/>
                    </w:rPr>
                  </w:pPr>
                  <w:r w:rsidRPr="00EB4495">
                    <w:rPr>
                      <w:rFonts w:ascii="Arial" w:hAnsi="Arial" w:cs="Arial"/>
                      <w:color w:val="000000"/>
                    </w:rPr>
                    <w:t>+1</w:t>
                  </w:r>
                  <w:r>
                    <w:rPr>
                      <w:rFonts w:ascii="Arial" w:hAnsi="Arial" w:cs="Arial"/>
                      <w:color w:val="000000"/>
                    </w:rPr>
                    <w:t>8</w:t>
                  </w:r>
                  <w:r w:rsidRPr="00EB4495">
                    <w:rPr>
                      <w:rFonts w:ascii="Arial" w:hAnsi="Arial" w:cs="Arial"/>
                      <w:color w:val="000000"/>
                    </w:rPr>
                    <w:t>.</w:t>
                  </w:r>
                  <w:r>
                    <w:rPr>
                      <w:rFonts w:ascii="Arial" w:hAnsi="Arial" w:cs="Arial"/>
                      <w:color w:val="000000"/>
                    </w:rPr>
                    <w:t>8</w:t>
                  </w:r>
                  <w:r w:rsidRPr="00EB4495">
                    <w:rPr>
                      <w:rFonts w:ascii="Arial" w:hAnsi="Arial" w:cs="Arial"/>
                      <w:color w:val="000000"/>
                    </w:rPr>
                    <w:t>%</w:t>
                  </w:r>
                </w:p>
              </w:tc>
              <w:tc>
                <w:tcPr>
                  <w:tcW w:w="615" w:type="pct"/>
                  <w:vAlign w:val="center"/>
                </w:tcPr>
                <w:p w14:paraId="66207FF0" w14:textId="00B1DD7F" w:rsidR="00A752DD" w:rsidRPr="00EB4495" w:rsidRDefault="00A752DD" w:rsidP="00A752DD">
                  <w:pPr>
                    <w:jc w:val="right"/>
                    <w:rPr>
                      <w:rFonts w:ascii="Arial" w:hAnsi="Arial" w:cs="Arial"/>
                      <w:b/>
                    </w:rPr>
                  </w:pPr>
                  <w:r w:rsidRPr="00EB4495">
                    <w:rPr>
                      <w:rFonts w:ascii="Arial" w:hAnsi="Arial" w:cs="Arial"/>
                      <w:color w:val="000000"/>
                    </w:rPr>
                    <w:t>+</w:t>
                  </w:r>
                  <w:r>
                    <w:rPr>
                      <w:rFonts w:ascii="Arial" w:hAnsi="Arial" w:cs="Arial"/>
                      <w:color w:val="000000"/>
                    </w:rPr>
                    <w:t>19.8</w:t>
                  </w:r>
                  <w:r w:rsidRPr="00EB4495">
                    <w:rPr>
                      <w:rFonts w:ascii="Arial" w:hAnsi="Arial" w:cs="Arial"/>
                      <w:color w:val="000000"/>
                    </w:rPr>
                    <w:t>%</w:t>
                  </w:r>
                </w:p>
              </w:tc>
              <w:tc>
                <w:tcPr>
                  <w:tcW w:w="615" w:type="pct"/>
                  <w:vAlign w:val="center"/>
                </w:tcPr>
                <w:p w14:paraId="07D9099C" w14:textId="11DB105A" w:rsidR="00A752DD" w:rsidRPr="00EB4495" w:rsidRDefault="00A752DD" w:rsidP="00A752DD">
                  <w:pPr>
                    <w:jc w:val="right"/>
                    <w:rPr>
                      <w:rFonts w:ascii="Arial" w:hAnsi="Arial" w:cs="Arial"/>
                      <w:b/>
                    </w:rPr>
                  </w:pPr>
                  <w:r w:rsidRPr="00EB4495">
                    <w:rPr>
                      <w:rFonts w:ascii="Arial" w:hAnsi="Arial" w:cs="Arial"/>
                      <w:color w:val="000000"/>
                    </w:rPr>
                    <w:t>+</w:t>
                  </w:r>
                  <w:r>
                    <w:rPr>
                      <w:rFonts w:ascii="Arial" w:hAnsi="Arial" w:cs="Arial"/>
                      <w:color w:val="000000"/>
                    </w:rPr>
                    <w:t>1</w:t>
                  </w:r>
                  <w:r w:rsidR="006759E0">
                    <w:rPr>
                      <w:rFonts w:ascii="Arial" w:hAnsi="Arial" w:cs="Arial"/>
                      <w:color w:val="000000"/>
                    </w:rPr>
                    <w:t>6</w:t>
                  </w:r>
                  <w:r>
                    <w:rPr>
                      <w:rFonts w:ascii="Arial" w:hAnsi="Arial" w:cs="Arial"/>
                      <w:color w:val="000000"/>
                    </w:rPr>
                    <w:t>.</w:t>
                  </w:r>
                  <w:r w:rsidR="006759E0">
                    <w:rPr>
                      <w:rFonts w:ascii="Arial" w:hAnsi="Arial" w:cs="Arial"/>
                      <w:color w:val="000000"/>
                    </w:rPr>
                    <w:t>2</w:t>
                  </w:r>
                  <w:r w:rsidRPr="00EB4495">
                    <w:rPr>
                      <w:rFonts w:ascii="Arial" w:hAnsi="Arial" w:cs="Arial"/>
                      <w:color w:val="000000"/>
                    </w:rPr>
                    <w:t>%</w:t>
                  </w:r>
                </w:p>
              </w:tc>
              <w:tc>
                <w:tcPr>
                  <w:tcW w:w="615" w:type="pct"/>
                  <w:vAlign w:val="center"/>
                </w:tcPr>
                <w:p w14:paraId="2C525CF8" w14:textId="19647FC8" w:rsidR="00A752DD" w:rsidRPr="00EB4495" w:rsidRDefault="00A752DD" w:rsidP="00A752DD">
                  <w:pPr>
                    <w:jc w:val="right"/>
                    <w:rPr>
                      <w:rFonts w:ascii="Arial" w:hAnsi="Arial" w:cs="Arial"/>
                      <w:b/>
                    </w:rPr>
                  </w:pPr>
                  <w:r w:rsidRPr="00EB4495">
                    <w:rPr>
                      <w:rFonts w:ascii="Arial" w:hAnsi="Arial" w:cs="Arial"/>
                      <w:color w:val="000000"/>
                    </w:rPr>
                    <w:t>+</w:t>
                  </w:r>
                  <w:r>
                    <w:rPr>
                      <w:rFonts w:ascii="Arial" w:hAnsi="Arial" w:cs="Arial"/>
                      <w:color w:val="000000"/>
                    </w:rPr>
                    <w:t>1</w:t>
                  </w:r>
                  <w:r w:rsidR="00AB03E6">
                    <w:rPr>
                      <w:rFonts w:ascii="Arial" w:hAnsi="Arial" w:cs="Arial"/>
                      <w:color w:val="000000"/>
                    </w:rPr>
                    <w:t>6</w:t>
                  </w:r>
                  <w:r>
                    <w:rPr>
                      <w:rFonts w:ascii="Arial" w:hAnsi="Arial" w:cs="Arial"/>
                      <w:color w:val="000000"/>
                    </w:rPr>
                    <w:t>.</w:t>
                  </w:r>
                  <w:r w:rsidR="00AB03E6">
                    <w:rPr>
                      <w:rFonts w:ascii="Arial" w:hAnsi="Arial" w:cs="Arial"/>
                      <w:color w:val="000000"/>
                    </w:rPr>
                    <w:t>7</w:t>
                  </w:r>
                  <w:r w:rsidRPr="00EB4495">
                    <w:rPr>
                      <w:rFonts w:ascii="Arial" w:hAnsi="Arial" w:cs="Arial"/>
                      <w:color w:val="000000"/>
                    </w:rPr>
                    <w:t>%</w:t>
                  </w:r>
                </w:p>
              </w:tc>
            </w:tr>
            <w:tr w:rsidR="00A752DD" w:rsidRPr="00EB4495" w14:paraId="425D4D6B" w14:textId="77777777" w:rsidTr="003306C4">
              <w:trPr>
                <w:gridAfter w:val="1"/>
                <w:wAfter w:w="25" w:type="pct"/>
                <w:trHeight w:val="289"/>
              </w:trPr>
              <w:tc>
                <w:tcPr>
                  <w:tcW w:w="1900" w:type="pct"/>
                  <w:tcBorders>
                    <w:bottom w:val="single" w:sz="4" w:space="0" w:color="auto"/>
                  </w:tcBorders>
                  <w:vAlign w:val="center"/>
                  <w:hideMark/>
                </w:tcPr>
                <w:p w14:paraId="27AEB223" w14:textId="77777777" w:rsidR="00A752DD" w:rsidRPr="00EB4495" w:rsidRDefault="00A752DD" w:rsidP="00A752DD">
                  <w:pPr>
                    <w:jc w:val="left"/>
                    <w:rPr>
                      <w:rFonts w:ascii="Arial" w:hAnsi="Arial" w:cs="Arial"/>
                      <w:bCs/>
                    </w:rPr>
                  </w:pPr>
                  <w:r w:rsidRPr="00EB4495">
                    <w:rPr>
                      <w:rFonts w:ascii="Arial" w:hAnsi="Arial" w:cs="Arial"/>
                      <w:bCs/>
                    </w:rPr>
                    <w:t>- Romania</w:t>
                  </w:r>
                  <w:r w:rsidRPr="00EB4495">
                    <w:rPr>
                      <w:rFonts w:ascii="Arial" w:hAnsi="Arial" w:cs="Arial"/>
                      <w:bCs/>
                      <w:vertAlign w:val="superscript"/>
                    </w:rPr>
                    <w:t>(</w:t>
                  </w:r>
                  <w:r>
                    <w:rPr>
                      <w:rFonts w:ascii="Arial" w:hAnsi="Arial" w:cs="Arial"/>
                      <w:bCs/>
                      <w:vertAlign w:val="superscript"/>
                    </w:rPr>
                    <w:t>2</w:t>
                  </w:r>
                  <w:r w:rsidRPr="00EB4495">
                    <w:rPr>
                      <w:rFonts w:ascii="Arial" w:hAnsi="Arial" w:cs="Arial"/>
                      <w:bCs/>
                      <w:vertAlign w:val="superscript"/>
                    </w:rPr>
                    <w:t>)</w:t>
                  </w:r>
                </w:p>
              </w:tc>
              <w:tc>
                <w:tcPr>
                  <w:tcW w:w="615" w:type="pct"/>
                  <w:tcBorders>
                    <w:bottom w:val="single" w:sz="4" w:space="0" w:color="auto"/>
                  </w:tcBorders>
                  <w:vAlign w:val="center"/>
                  <w:hideMark/>
                </w:tcPr>
                <w:p w14:paraId="73F4A3AE" w14:textId="16D82FDF" w:rsidR="00A752DD" w:rsidRPr="00EB4495" w:rsidRDefault="00A752DD" w:rsidP="00A752DD">
                  <w:pPr>
                    <w:jc w:val="right"/>
                    <w:rPr>
                      <w:rFonts w:ascii="Arial" w:hAnsi="Arial" w:cs="Arial"/>
                      <w:bCs/>
                    </w:rPr>
                  </w:pPr>
                  <w:r w:rsidRPr="00EB4495">
                    <w:rPr>
                      <w:rFonts w:ascii="Arial" w:hAnsi="Arial" w:cs="Arial"/>
                      <w:color w:val="000000"/>
                    </w:rPr>
                    <w:t>+</w:t>
                  </w:r>
                  <w:r>
                    <w:rPr>
                      <w:rFonts w:ascii="Arial" w:hAnsi="Arial" w:cs="Arial"/>
                      <w:color w:val="000000"/>
                    </w:rPr>
                    <w:t>32</w:t>
                  </w:r>
                  <w:r w:rsidRPr="00EB4495">
                    <w:rPr>
                      <w:rFonts w:ascii="Arial" w:hAnsi="Arial" w:cs="Arial"/>
                      <w:color w:val="000000"/>
                    </w:rPr>
                    <w:t>.</w:t>
                  </w:r>
                  <w:r>
                    <w:rPr>
                      <w:rFonts w:ascii="Arial" w:hAnsi="Arial" w:cs="Arial"/>
                      <w:color w:val="000000"/>
                    </w:rPr>
                    <w:t>8</w:t>
                  </w:r>
                  <w:r w:rsidRPr="00EB4495">
                    <w:rPr>
                      <w:rFonts w:ascii="Arial" w:hAnsi="Arial" w:cs="Arial"/>
                      <w:color w:val="000000"/>
                    </w:rPr>
                    <w:t>%</w:t>
                  </w:r>
                </w:p>
              </w:tc>
              <w:tc>
                <w:tcPr>
                  <w:tcW w:w="615" w:type="pct"/>
                  <w:tcBorders>
                    <w:bottom w:val="single" w:sz="4" w:space="0" w:color="auto"/>
                  </w:tcBorders>
                  <w:vAlign w:val="center"/>
                </w:tcPr>
                <w:p w14:paraId="0B38488B" w14:textId="6E6B3E17" w:rsidR="00A752DD" w:rsidRPr="00EB4495" w:rsidRDefault="00A752DD" w:rsidP="00A752DD">
                  <w:pPr>
                    <w:jc w:val="right"/>
                    <w:rPr>
                      <w:rFonts w:ascii="Arial" w:hAnsi="Arial" w:cs="Arial"/>
                      <w:bCs/>
                    </w:rPr>
                  </w:pPr>
                  <w:r w:rsidRPr="00EB4495">
                    <w:rPr>
                      <w:rFonts w:ascii="Arial" w:hAnsi="Arial" w:cs="Arial"/>
                      <w:color w:val="000000"/>
                    </w:rPr>
                    <w:t>+</w:t>
                  </w:r>
                  <w:r>
                    <w:rPr>
                      <w:rFonts w:ascii="Arial" w:hAnsi="Arial" w:cs="Arial"/>
                      <w:color w:val="000000"/>
                    </w:rPr>
                    <w:t>46</w:t>
                  </w:r>
                  <w:r w:rsidRPr="00EB4495">
                    <w:rPr>
                      <w:rFonts w:ascii="Arial" w:hAnsi="Arial" w:cs="Arial"/>
                      <w:color w:val="000000"/>
                    </w:rPr>
                    <w:t>.</w:t>
                  </w:r>
                  <w:r>
                    <w:rPr>
                      <w:rFonts w:ascii="Arial" w:hAnsi="Arial" w:cs="Arial"/>
                      <w:color w:val="000000"/>
                    </w:rPr>
                    <w:t>7</w:t>
                  </w:r>
                  <w:r w:rsidRPr="00EB4495">
                    <w:rPr>
                      <w:rFonts w:ascii="Arial" w:hAnsi="Arial" w:cs="Arial"/>
                      <w:color w:val="000000"/>
                    </w:rPr>
                    <w:t>%</w:t>
                  </w:r>
                </w:p>
              </w:tc>
              <w:tc>
                <w:tcPr>
                  <w:tcW w:w="615" w:type="pct"/>
                  <w:tcBorders>
                    <w:bottom w:val="single" w:sz="4" w:space="0" w:color="auto"/>
                  </w:tcBorders>
                  <w:vAlign w:val="center"/>
                </w:tcPr>
                <w:p w14:paraId="0943B991" w14:textId="5995DC18" w:rsidR="00A752DD" w:rsidRPr="00EB4495" w:rsidRDefault="00A752DD" w:rsidP="00A752DD">
                  <w:pPr>
                    <w:jc w:val="right"/>
                    <w:rPr>
                      <w:rFonts w:ascii="Arial" w:hAnsi="Arial" w:cs="Arial"/>
                      <w:bCs/>
                    </w:rPr>
                  </w:pPr>
                  <w:r w:rsidRPr="00EB4495">
                    <w:rPr>
                      <w:rFonts w:ascii="Arial" w:hAnsi="Arial" w:cs="Arial"/>
                      <w:color w:val="000000"/>
                    </w:rPr>
                    <w:t>+</w:t>
                  </w:r>
                  <w:r>
                    <w:rPr>
                      <w:rFonts w:ascii="Arial" w:hAnsi="Arial" w:cs="Arial"/>
                      <w:color w:val="000000"/>
                    </w:rPr>
                    <w:t>34.6</w:t>
                  </w:r>
                  <w:r w:rsidRPr="00EB4495">
                    <w:rPr>
                      <w:rFonts w:ascii="Arial" w:hAnsi="Arial" w:cs="Arial"/>
                      <w:color w:val="000000"/>
                    </w:rPr>
                    <w:t>%</w:t>
                  </w:r>
                </w:p>
              </w:tc>
              <w:tc>
                <w:tcPr>
                  <w:tcW w:w="615" w:type="pct"/>
                  <w:tcBorders>
                    <w:bottom w:val="single" w:sz="4" w:space="0" w:color="auto"/>
                  </w:tcBorders>
                  <w:vAlign w:val="center"/>
                </w:tcPr>
                <w:p w14:paraId="0632A494" w14:textId="427690E6" w:rsidR="00A752DD" w:rsidRPr="00EB4495" w:rsidRDefault="00A752DD" w:rsidP="00A752DD">
                  <w:pPr>
                    <w:jc w:val="right"/>
                    <w:rPr>
                      <w:rFonts w:ascii="Arial" w:hAnsi="Arial" w:cs="Arial"/>
                      <w:bCs/>
                    </w:rPr>
                  </w:pPr>
                  <w:r w:rsidRPr="00EB4495">
                    <w:rPr>
                      <w:rFonts w:ascii="Arial" w:hAnsi="Arial" w:cs="Arial"/>
                      <w:color w:val="000000"/>
                    </w:rPr>
                    <w:t>+</w:t>
                  </w:r>
                  <w:r w:rsidR="006759E0">
                    <w:rPr>
                      <w:rFonts w:ascii="Arial" w:hAnsi="Arial" w:cs="Arial"/>
                      <w:color w:val="000000"/>
                    </w:rPr>
                    <w:t>29</w:t>
                  </w:r>
                  <w:r>
                    <w:rPr>
                      <w:rFonts w:ascii="Arial" w:hAnsi="Arial" w:cs="Arial"/>
                      <w:color w:val="000000"/>
                    </w:rPr>
                    <w:t>.6</w:t>
                  </w:r>
                  <w:r w:rsidRPr="00EB4495">
                    <w:rPr>
                      <w:rFonts w:ascii="Arial" w:hAnsi="Arial" w:cs="Arial"/>
                      <w:color w:val="000000"/>
                    </w:rPr>
                    <w:t>%</w:t>
                  </w:r>
                </w:p>
              </w:tc>
              <w:tc>
                <w:tcPr>
                  <w:tcW w:w="615" w:type="pct"/>
                  <w:tcBorders>
                    <w:bottom w:val="single" w:sz="4" w:space="0" w:color="auto"/>
                  </w:tcBorders>
                  <w:vAlign w:val="center"/>
                  <w:hideMark/>
                </w:tcPr>
                <w:p w14:paraId="5FE07E62" w14:textId="2D79975A" w:rsidR="00A752DD" w:rsidRPr="00EB4495" w:rsidRDefault="00A752DD" w:rsidP="00A752DD">
                  <w:pPr>
                    <w:jc w:val="right"/>
                    <w:rPr>
                      <w:rFonts w:ascii="Arial" w:hAnsi="Arial" w:cs="Arial"/>
                      <w:bCs/>
                    </w:rPr>
                  </w:pPr>
                  <w:r w:rsidRPr="00EB4495">
                    <w:rPr>
                      <w:rFonts w:ascii="Arial" w:hAnsi="Arial" w:cs="Arial"/>
                      <w:color w:val="000000"/>
                    </w:rPr>
                    <w:t>+</w:t>
                  </w:r>
                  <w:r>
                    <w:rPr>
                      <w:rFonts w:ascii="Arial" w:hAnsi="Arial" w:cs="Arial"/>
                      <w:color w:val="000000"/>
                    </w:rPr>
                    <w:t>3</w:t>
                  </w:r>
                  <w:r w:rsidR="00AB03E6">
                    <w:rPr>
                      <w:rFonts w:ascii="Arial" w:hAnsi="Arial" w:cs="Arial"/>
                      <w:color w:val="000000"/>
                    </w:rPr>
                    <w:t>8</w:t>
                  </w:r>
                  <w:r>
                    <w:rPr>
                      <w:rFonts w:ascii="Arial" w:hAnsi="Arial" w:cs="Arial"/>
                      <w:color w:val="000000"/>
                    </w:rPr>
                    <w:t>.</w:t>
                  </w:r>
                  <w:r w:rsidR="00AB03E6">
                    <w:rPr>
                      <w:rFonts w:ascii="Arial" w:hAnsi="Arial" w:cs="Arial"/>
                      <w:color w:val="000000"/>
                    </w:rPr>
                    <w:t>0</w:t>
                  </w:r>
                  <w:r w:rsidRPr="00EB4495">
                    <w:rPr>
                      <w:rFonts w:ascii="Arial" w:hAnsi="Arial" w:cs="Arial"/>
                      <w:color w:val="000000"/>
                    </w:rPr>
                    <w:t>%</w:t>
                  </w:r>
                </w:p>
              </w:tc>
            </w:tr>
            <w:tr w:rsidR="00A752DD" w:rsidRPr="00EB4495" w14:paraId="7DF453C0" w14:textId="77777777" w:rsidTr="003306C4">
              <w:trPr>
                <w:gridAfter w:val="1"/>
                <w:wAfter w:w="25" w:type="pct"/>
                <w:trHeight w:val="289"/>
              </w:trPr>
              <w:tc>
                <w:tcPr>
                  <w:tcW w:w="1900" w:type="pct"/>
                  <w:tcBorders>
                    <w:top w:val="single" w:sz="4" w:space="0" w:color="auto"/>
                    <w:left w:val="nil"/>
                    <w:bottom w:val="single" w:sz="4" w:space="0" w:color="auto"/>
                    <w:right w:val="nil"/>
                  </w:tcBorders>
                  <w:vAlign w:val="center"/>
                  <w:hideMark/>
                </w:tcPr>
                <w:p w14:paraId="106FD738" w14:textId="77777777" w:rsidR="00A752DD" w:rsidRPr="00EB4495" w:rsidRDefault="00A752DD" w:rsidP="00A752DD">
                  <w:pPr>
                    <w:jc w:val="left"/>
                    <w:rPr>
                      <w:rFonts w:ascii="Arial" w:hAnsi="Arial" w:cs="Arial"/>
                      <w:bCs/>
                    </w:rPr>
                  </w:pPr>
                  <w:r w:rsidRPr="00EB4495">
                    <w:rPr>
                      <w:rFonts w:ascii="Arial" w:hAnsi="Arial" w:cs="Arial"/>
                      <w:b/>
                      <w:bCs/>
                    </w:rPr>
                    <w:t>Group LFL</w:t>
                  </w:r>
                  <w:r w:rsidRPr="00EB4495">
                    <w:rPr>
                      <w:rFonts w:ascii="Arial" w:hAnsi="Arial" w:cs="Arial"/>
                      <w:b/>
                      <w:bCs/>
                      <w:vertAlign w:val="superscript"/>
                    </w:rPr>
                    <w:t>(</w:t>
                  </w:r>
                  <w:r>
                    <w:rPr>
                      <w:rFonts w:ascii="Arial" w:hAnsi="Arial" w:cs="Arial"/>
                      <w:b/>
                      <w:bCs/>
                      <w:vertAlign w:val="superscript"/>
                    </w:rPr>
                    <w:t>3</w:t>
                  </w:r>
                  <w:r w:rsidRPr="00EB4495">
                    <w:rPr>
                      <w:rFonts w:ascii="Arial" w:hAnsi="Arial" w:cs="Arial"/>
                      <w:b/>
                      <w:bCs/>
                      <w:vertAlign w:val="superscript"/>
                    </w:rPr>
                    <w:t>)</w:t>
                  </w:r>
                </w:p>
              </w:tc>
              <w:tc>
                <w:tcPr>
                  <w:tcW w:w="615" w:type="pct"/>
                  <w:tcBorders>
                    <w:top w:val="single" w:sz="4" w:space="0" w:color="auto"/>
                    <w:left w:val="nil"/>
                    <w:bottom w:val="single" w:sz="4" w:space="0" w:color="auto"/>
                    <w:right w:val="nil"/>
                  </w:tcBorders>
                  <w:vAlign w:val="center"/>
                  <w:hideMark/>
                </w:tcPr>
                <w:p w14:paraId="2DA02E8D" w14:textId="7E1904B3" w:rsidR="00A752DD" w:rsidRPr="00EB4495" w:rsidRDefault="00A752DD" w:rsidP="00A752DD">
                  <w:pPr>
                    <w:jc w:val="right"/>
                    <w:rPr>
                      <w:rFonts w:ascii="Arial" w:hAnsi="Arial" w:cs="Arial"/>
                      <w:b/>
                      <w:bCs/>
                    </w:rPr>
                  </w:pPr>
                  <w:r w:rsidRPr="00EB4495">
                    <w:rPr>
                      <w:rFonts w:ascii="Arial" w:hAnsi="Arial" w:cs="Arial"/>
                      <w:b/>
                    </w:rPr>
                    <w:t>+</w:t>
                  </w:r>
                  <w:r>
                    <w:rPr>
                      <w:rFonts w:ascii="Arial" w:hAnsi="Arial" w:cs="Arial"/>
                      <w:b/>
                    </w:rPr>
                    <w:t>16</w:t>
                  </w:r>
                  <w:r w:rsidRPr="00EB4495">
                    <w:rPr>
                      <w:rFonts w:ascii="Arial" w:hAnsi="Arial" w:cs="Arial"/>
                      <w:b/>
                    </w:rPr>
                    <w:t>.2%</w:t>
                  </w:r>
                </w:p>
              </w:tc>
              <w:tc>
                <w:tcPr>
                  <w:tcW w:w="615" w:type="pct"/>
                  <w:tcBorders>
                    <w:top w:val="single" w:sz="4" w:space="0" w:color="auto"/>
                    <w:left w:val="nil"/>
                    <w:bottom w:val="single" w:sz="4" w:space="0" w:color="auto"/>
                    <w:right w:val="nil"/>
                  </w:tcBorders>
                  <w:vAlign w:val="center"/>
                </w:tcPr>
                <w:p w14:paraId="75269B54" w14:textId="54E531DF" w:rsidR="00A752DD" w:rsidRPr="00EB4495" w:rsidRDefault="00A752DD" w:rsidP="00A752DD">
                  <w:pPr>
                    <w:jc w:val="right"/>
                    <w:rPr>
                      <w:rFonts w:ascii="Arial" w:hAnsi="Arial" w:cs="Arial"/>
                      <w:b/>
                      <w:bCs/>
                    </w:rPr>
                  </w:pPr>
                  <w:r w:rsidRPr="00EB4495">
                    <w:rPr>
                      <w:rFonts w:ascii="Arial" w:hAnsi="Arial" w:cs="Arial"/>
                      <w:b/>
                    </w:rPr>
                    <w:t>+</w:t>
                  </w:r>
                  <w:r>
                    <w:rPr>
                      <w:rFonts w:ascii="Arial" w:hAnsi="Arial" w:cs="Arial"/>
                      <w:b/>
                    </w:rPr>
                    <w:t>16</w:t>
                  </w:r>
                  <w:r w:rsidRPr="00EB4495">
                    <w:rPr>
                      <w:rFonts w:ascii="Arial" w:hAnsi="Arial" w:cs="Arial"/>
                      <w:b/>
                    </w:rPr>
                    <w:t>.</w:t>
                  </w:r>
                  <w:r>
                    <w:rPr>
                      <w:rFonts w:ascii="Arial" w:hAnsi="Arial" w:cs="Arial"/>
                      <w:b/>
                    </w:rPr>
                    <w:t>7</w:t>
                  </w:r>
                  <w:r w:rsidRPr="00EB4495">
                    <w:rPr>
                      <w:rFonts w:ascii="Arial" w:hAnsi="Arial" w:cs="Arial"/>
                      <w:b/>
                    </w:rPr>
                    <w:t>%</w:t>
                  </w:r>
                </w:p>
              </w:tc>
              <w:tc>
                <w:tcPr>
                  <w:tcW w:w="615" w:type="pct"/>
                  <w:tcBorders>
                    <w:top w:val="single" w:sz="4" w:space="0" w:color="auto"/>
                    <w:left w:val="nil"/>
                    <w:bottom w:val="single" w:sz="4" w:space="0" w:color="auto"/>
                    <w:right w:val="nil"/>
                  </w:tcBorders>
                  <w:vAlign w:val="center"/>
                </w:tcPr>
                <w:p w14:paraId="6521E9FD" w14:textId="2BC3B140" w:rsidR="00A752DD" w:rsidRPr="00EB4495" w:rsidRDefault="00A752DD" w:rsidP="00A752DD">
                  <w:pPr>
                    <w:jc w:val="right"/>
                    <w:rPr>
                      <w:rFonts w:ascii="Arial" w:hAnsi="Arial" w:cs="Arial"/>
                      <w:b/>
                      <w:bCs/>
                    </w:rPr>
                  </w:pPr>
                  <w:r w:rsidRPr="00EB4495">
                    <w:rPr>
                      <w:rFonts w:ascii="Arial" w:hAnsi="Arial" w:cs="Arial"/>
                      <w:b/>
                    </w:rPr>
                    <w:t>+</w:t>
                  </w:r>
                  <w:r>
                    <w:rPr>
                      <w:rFonts w:ascii="Arial" w:hAnsi="Arial" w:cs="Arial"/>
                      <w:b/>
                    </w:rPr>
                    <w:t>15.3</w:t>
                  </w:r>
                  <w:r w:rsidRPr="00EB4495">
                    <w:rPr>
                      <w:rFonts w:ascii="Arial" w:hAnsi="Arial" w:cs="Arial"/>
                      <w:b/>
                    </w:rPr>
                    <w:t>%</w:t>
                  </w:r>
                </w:p>
              </w:tc>
              <w:tc>
                <w:tcPr>
                  <w:tcW w:w="615" w:type="pct"/>
                  <w:tcBorders>
                    <w:top w:val="single" w:sz="4" w:space="0" w:color="auto"/>
                    <w:left w:val="nil"/>
                    <w:bottom w:val="single" w:sz="4" w:space="0" w:color="auto"/>
                    <w:right w:val="nil"/>
                  </w:tcBorders>
                  <w:vAlign w:val="center"/>
                </w:tcPr>
                <w:p w14:paraId="611A6E24" w14:textId="1E39E5B6" w:rsidR="00A752DD" w:rsidRPr="00EB4495" w:rsidRDefault="00A752DD" w:rsidP="00A752DD">
                  <w:pPr>
                    <w:jc w:val="right"/>
                    <w:rPr>
                      <w:rFonts w:ascii="Arial" w:hAnsi="Arial" w:cs="Arial"/>
                      <w:b/>
                      <w:bCs/>
                    </w:rPr>
                  </w:pPr>
                  <w:r w:rsidRPr="00EB4495">
                    <w:rPr>
                      <w:rFonts w:ascii="Arial" w:hAnsi="Arial" w:cs="Arial"/>
                      <w:b/>
                    </w:rPr>
                    <w:t>+</w:t>
                  </w:r>
                  <w:r>
                    <w:rPr>
                      <w:rFonts w:ascii="Arial" w:hAnsi="Arial" w:cs="Arial"/>
                      <w:b/>
                    </w:rPr>
                    <w:t>1</w:t>
                  </w:r>
                  <w:r w:rsidR="006759E0">
                    <w:rPr>
                      <w:rFonts w:ascii="Arial" w:hAnsi="Arial" w:cs="Arial"/>
                      <w:b/>
                    </w:rPr>
                    <w:t>3</w:t>
                  </w:r>
                  <w:r>
                    <w:rPr>
                      <w:rFonts w:ascii="Arial" w:hAnsi="Arial" w:cs="Arial"/>
                      <w:b/>
                    </w:rPr>
                    <w:t>.</w:t>
                  </w:r>
                  <w:r w:rsidR="006759E0">
                    <w:rPr>
                      <w:rFonts w:ascii="Arial" w:hAnsi="Arial" w:cs="Arial"/>
                      <w:b/>
                    </w:rPr>
                    <w:t>7</w:t>
                  </w:r>
                  <w:r w:rsidRPr="00EB4495">
                    <w:rPr>
                      <w:rFonts w:ascii="Arial" w:hAnsi="Arial" w:cs="Arial"/>
                      <w:b/>
                    </w:rPr>
                    <w:t>%</w:t>
                  </w:r>
                </w:p>
              </w:tc>
              <w:tc>
                <w:tcPr>
                  <w:tcW w:w="615" w:type="pct"/>
                  <w:tcBorders>
                    <w:top w:val="single" w:sz="4" w:space="0" w:color="auto"/>
                    <w:left w:val="nil"/>
                    <w:bottom w:val="single" w:sz="4" w:space="0" w:color="auto"/>
                    <w:right w:val="nil"/>
                  </w:tcBorders>
                  <w:vAlign w:val="center"/>
                  <w:hideMark/>
                </w:tcPr>
                <w:p w14:paraId="4E00561C" w14:textId="797C3427" w:rsidR="00A752DD" w:rsidRPr="00EB4495" w:rsidRDefault="00A752DD" w:rsidP="00A752DD">
                  <w:pPr>
                    <w:jc w:val="right"/>
                    <w:rPr>
                      <w:rFonts w:ascii="Arial" w:hAnsi="Arial" w:cs="Arial"/>
                      <w:b/>
                      <w:bCs/>
                    </w:rPr>
                  </w:pPr>
                  <w:r w:rsidRPr="00EB4495">
                    <w:rPr>
                      <w:rFonts w:ascii="Arial" w:hAnsi="Arial" w:cs="Arial"/>
                      <w:b/>
                    </w:rPr>
                    <w:t>+</w:t>
                  </w:r>
                  <w:r w:rsidR="004E6DD6">
                    <w:rPr>
                      <w:rFonts w:ascii="Arial" w:hAnsi="Arial" w:cs="Arial"/>
                      <w:b/>
                    </w:rPr>
                    <w:t>15</w:t>
                  </w:r>
                  <w:r>
                    <w:rPr>
                      <w:rFonts w:ascii="Arial" w:hAnsi="Arial" w:cs="Arial"/>
                      <w:b/>
                    </w:rPr>
                    <w:t>.</w:t>
                  </w:r>
                  <w:r w:rsidR="004E6DD6">
                    <w:rPr>
                      <w:rFonts w:ascii="Arial" w:hAnsi="Arial" w:cs="Arial"/>
                      <w:b/>
                    </w:rPr>
                    <w:t>6</w:t>
                  </w:r>
                  <w:r w:rsidRPr="00EB4495">
                    <w:rPr>
                      <w:rFonts w:ascii="Arial" w:hAnsi="Arial" w:cs="Arial"/>
                      <w:b/>
                    </w:rPr>
                    <w:t>%</w:t>
                  </w:r>
                </w:p>
              </w:tc>
            </w:tr>
            <w:tr w:rsidR="00A752DD" w:rsidRPr="00EB4495" w14:paraId="1A8D668C" w14:textId="77777777" w:rsidTr="003306C4">
              <w:trPr>
                <w:gridAfter w:val="1"/>
                <w:wAfter w:w="25" w:type="pct"/>
                <w:trHeight w:val="289"/>
              </w:trPr>
              <w:tc>
                <w:tcPr>
                  <w:tcW w:w="1900" w:type="pct"/>
                  <w:tcBorders>
                    <w:top w:val="single" w:sz="4" w:space="0" w:color="auto"/>
                    <w:left w:val="nil"/>
                    <w:bottom w:val="nil"/>
                    <w:right w:val="nil"/>
                  </w:tcBorders>
                  <w:vAlign w:val="center"/>
                  <w:hideMark/>
                </w:tcPr>
                <w:p w14:paraId="213DD5F4" w14:textId="77777777" w:rsidR="00A752DD" w:rsidRPr="00EB4495" w:rsidRDefault="00A752DD" w:rsidP="00A752DD">
                  <w:pPr>
                    <w:jc w:val="left"/>
                    <w:rPr>
                      <w:rFonts w:ascii="Arial" w:hAnsi="Arial" w:cs="Arial"/>
                      <w:b/>
                      <w:bCs/>
                    </w:rPr>
                  </w:pPr>
                  <w:r>
                    <w:rPr>
                      <w:rFonts w:ascii="Arial" w:hAnsi="Arial" w:cs="Arial"/>
                      <w:b/>
                      <w:bCs/>
                    </w:rPr>
                    <w:t>Total e</w:t>
                  </w:r>
                  <w:r w:rsidRPr="00EB4495">
                    <w:rPr>
                      <w:rFonts w:ascii="Arial" w:hAnsi="Arial" w:cs="Arial"/>
                      <w:b/>
                      <w:bCs/>
                    </w:rPr>
                    <w:t>-commerce sales</w:t>
                  </w:r>
                  <w:r w:rsidRPr="00EB4495">
                    <w:rPr>
                      <w:rFonts w:ascii="Arial" w:hAnsi="Arial" w:cs="Arial"/>
                      <w:b/>
                      <w:bCs/>
                      <w:vertAlign w:val="superscript"/>
                    </w:rPr>
                    <w:t>(</w:t>
                  </w:r>
                  <w:r>
                    <w:rPr>
                      <w:rFonts w:ascii="Arial" w:hAnsi="Arial" w:cs="Arial"/>
                      <w:b/>
                      <w:bCs/>
                      <w:vertAlign w:val="superscript"/>
                    </w:rPr>
                    <w:t>4</w:t>
                  </w:r>
                  <w:r w:rsidRPr="00EB4495">
                    <w:rPr>
                      <w:rFonts w:ascii="Arial" w:hAnsi="Arial" w:cs="Arial"/>
                      <w:b/>
                      <w:bCs/>
                      <w:vertAlign w:val="superscript"/>
                    </w:rPr>
                    <w:t>)</w:t>
                  </w:r>
                </w:p>
              </w:tc>
              <w:tc>
                <w:tcPr>
                  <w:tcW w:w="615" w:type="pct"/>
                  <w:tcBorders>
                    <w:top w:val="single" w:sz="4" w:space="0" w:color="auto"/>
                    <w:left w:val="nil"/>
                    <w:bottom w:val="nil"/>
                    <w:right w:val="nil"/>
                  </w:tcBorders>
                  <w:vAlign w:val="center"/>
                  <w:hideMark/>
                </w:tcPr>
                <w:p w14:paraId="5C45A604" w14:textId="0D921320" w:rsidR="00A752DD" w:rsidRPr="00EB4495" w:rsidRDefault="00A752DD" w:rsidP="00A752DD">
                  <w:pPr>
                    <w:jc w:val="right"/>
                    <w:rPr>
                      <w:rFonts w:ascii="Arial" w:hAnsi="Arial" w:cs="Arial"/>
                      <w:b/>
                      <w:bCs/>
                    </w:rPr>
                  </w:pPr>
                  <w:r w:rsidRPr="00EB4495">
                    <w:rPr>
                      <w:rFonts w:ascii="Arial" w:hAnsi="Arial" w:cs="Arial"/>
                      <w:b/>
                      <w:bCs/>
                    </w:rPr>
                    <w:t>+</w:t>
                  </w:r>
                  <w:r>
                    <w:rPr>
                      <w:rFonts w:ascii="Arial" w:hAnsi="Arial" w:cs="Arial"/>
                      <w:b/>
                      <w:bCs/>
                    </w:rPr>
                    <w:t>163.</w:t>
                  </w:r>
                  <w:r w:rsidR="00472341">
                    <w:rPr>
                      <w:rFonts w:ascii="Arial" w:hAnsi="Arial" w:cs="Arial"/>
                      <w:b/>
                      <w:bCs/>
                    </w:rPr>
                    <w:t>9</w:t>
                  </w:r>
                  <w:r w:rsidRPr="00EB4495">
                    <w:rPr>
                      <w:rFonts w:ascii="Arial" w:hAnsi="Arial" w:cs="Arial"/>
                      <w:b/>
                      <w:bCs/>
                    </w:rPr>
                    <w:t>%</w:t>
                  </w:r>
                </w:p>
              </w:tc>
              <w:tc>
                <w:tcPr>
                  <w:tcW w:w="615" w:type="pct"/>
                  <w:tcBorders>
                    <w:top w:val="single" w:sz="4" w:space="0" w:color="auto"/>
                    <w:left w:val="nil"/>
                    <w:bottom w:val="nil"/>
                    <w:right w:val="nil"/>
                  </w:tcBorders>
                  <w:vAlign w:val="center"/>
                </w:tcPr>
                <w:p w14:paraId="76FEC004" w14:textId="33258C2D" w:rsidR="00A752DD" w:rsidRPr="00EB4495" w:rsidRDefault="00A752DD" w:rsidP="00A752DD">
                  <w:pPr>
                    <w:jc w:val="right"/>
                    <w:rPr>
                      <w:rFonts w:ascii="Arial" w:hAnsi="Arial" w:cs="Arial"/>
                      <w:b/>
                      <w:bCs/>
                    </w:rPr>
                  </w:pPr>
                  <w:r w:rsidRPr="00EB4495">
                    <w:rPr>
                      <w:rFonts w:ascii="Arial" w:hAnsi="Arial" w:cs="Arial"/>
                      <w:b/>
                      <w:bCs/>
                    </w:rPr>
                    <w:t>+</w:t>
                  </w:r>
                  <w:r>
                    <w:rPr>
                      <w:rFonts w:ascii="Arial" w:hAnsi="Arial" w:cs="Arial"/>
                      <w:b/>
                      <w:bCs/>
                    </w:rPr>
                    <w:t>1</w:t>
                  </w:r>
                  <w:r w:rsidR="000C2810">
                    <w:rPr>
                      <w:rFonts w:ascii="Arial" w:hAnsi="Arial" w:cs="Arial"/>
                      <w:b/>
                      <w:bCs/>
                    </w:rPr>
                    <w:t>49</w:t>
                  </w:r>
                  <w:r>
                    <w:rPr>
                      <w:rFonts w:ascii="Arial" w:hAnsi="Arial" w:cs="Arial"/>
                      <w:b/>
                      <w:bCs/>
                    </w:rPr>
                    <w:t>.</w:t>
                  </w:r>
                  <w:r w:rsidR="000C2810">
                    <w:rPr>
                      <w:rFonts w:ascii="Arial" w:hAnsi="Arial" w:cs="Arial"/>
                      <w:b/>
                      <w:bCs/>
                    </w:rPr>
                    <w:t>9</w:t>
                  </w:r>
                  <w:r w:rsidRPr="00EB4495">
                    <w:rPr>
                      <w:rFonts w:ascii="Arial" w:hAnsi="Arial" w:cs="Arial"/>
                      <w:b/>
                      <w:bCs/>
                    </w:rPr>
                    <w:t>%</w:t>
                  </w:r>
                </w:p>
              </w:tc>
              <w:tc>
                <w:tcPr>
                  <w:tcW w:w="615" w:type="pct"/>
                  <w:tcBorders>
                    <w:top w:val="single" w:sz="4" w:space="0" w:color="auto"/>
                    <w:left w:val="nil"/>
                    <w:bottom w:val="nil"/>
                    <w:right w:val="nil"/>
                  </w:tcBorders>
                  <w:vAlign w:val="center"/>
                </w:tcPr>
                <w:p w14:paraId="26194E1E" w14:textId="427F680C" w:rsidR="00A752DD" w:rsidRPr="00EB4495" w:rsidRDefault="00A752DD" w:rsidP="00A752DD">
                  <w:pPr>
                    <w:jc w:val="right"/>
                    <w:rPr>
                      <w:rFonts w:ascii="Arial" w:hAnsi="Arial" w:cs="Arial"/>
                      <w:b/>
                      <w:bCs/>
                    </w:rPr>
                  </w:pPr>
                  <w:r w:rsidRPr="00EB4495">
                    <w:rPr>
                      <w:rFonts w:ascii="Arial" w:hAnsi="Arial" w:cs="Arial"/>
                      <w:b/>
                      <w:bCs/>
                    </w:rPr>
                    <w:t>+</w:t>
                  </w:r>
                  <w:r w:rsidR="0054708C">
                    <w:rPr>
                      <w:rFonts w:ascii="Arial" w:hAnsi="Arial" w:cs="Arial"/>
                      <w:b/>
                      <w:bCs/>
                    </w:rPr>
                    <w:t>13</w:t>
                  </w:r>
                  <w:r w:rsidR="000C2810">
                    <w:rPr>
                      <w:rFonts w:ascii="Arial" w:hAnsi="Arial" w:cs="Arial"/>
                      <w:b/>
                      <w:bCs/>
                    </w:rPr>
                    <w:t>7</w:t>
                  </w:r>
                  <w:r w:rsidR="0054708C">
                    <w:rPr>
                      <w:rFonts w:ascii="Arial" w:hAnsi="Arial" w:cs="Arial"/>
                      <w:b/>
                      <w:bCs/>
                    </w:rPr>
                    <w:t>.</w:t>
                  </w:r>
                  <w:r w:rsidR="000C2810">
                    <w:rPr>
                      <w:rFonts w:ascii="Arial" w:hAnsi="Arial" w:cs="Arial"/>
                      <w:b/>
                      <w:bCs/>
                    </w:rPr>
                    <w:t>2</w:t>
                  </w:r>
                  <w:r w:rsidRPr="00EB4495">
                    <w:rPr>
                      <w:rFonts w:ascii="Arial" w:hAnsi="Arial" w:cs="Arial"/>
                      <w:b/>
                      <w:bCs/>
                    </w:rPr>
                    <w:t>%</w:t>
                  </w:r>
                </w:p>
              </w:tc>
              <w:tc>
                <w:tcPr>
                  <w:tcW w:w="615" w:type="pct"/>
                  <w:tcBorders>
                    <w:top w:val="single" w:sz="4" w:space="0" w:color="auto"/>
                    <w:left w:val="nil"/>
                    <w:bottom w:val="nil"/>
                    <w:right w:val="nil"/>
                  </w:tcBorders>
                  <w:vAlign w:val="center"/>
                </w:tcPr>
                <w:p w14:paraId="33D6A7B2" w14:textId="2CC77C10" w:rsidR="00A752DD" w:rsidRPr="004364F2" w:rsidRDefault="00A752DD" w:rsidP="00A752DD">
                  <w:pPr>
                    <w:jc w:val="right"/>
                    <w:rPr>
                      <w:rFonts w:ascii="Arial" w:hAnsi="Arial" w:cs="Arial"/>
                      <w:b/>
                      <w:bCs/>
                    </w:rPr>
                  </w:pPr>
                  <w:r w:rsidRPr="00EB4495">
                    <w:rPr>
                      <w:rFonts w:ascii="Arial" w:hAnsi="Arial" w:cs="Arial"/>
                      <w:b/>
                      <w:bCs/>
                    </w:rPr>
                    <w:t>+</w:t>
                  </w:r>
                  <w:r w:rsidR="00B22D75">
                    <w:rPr>
                      <w:rFonts w:ascii="Arial" w:hAnsi="Arial" w:cs="Arial"/>
                      <w:b/>
                      <w:bCs/>
                    </w:rPr>
                    <w:t>13</w:t>
                  </w:r>
                  <w:r w:rsidR="008D7286">
                    <w:rPr>
                      <w:rFonts w:ascii="Arial" w:hAnsi="Arial" w:cs="Arial"/>
                      <w:b/>
                      <w:bCs/>
                    </w:rPr>
                    <w:t>5</w:t>
                  </w:r>
                  <w:r w:rsidR="00B22D75">
                    <w:rPr>
                      <w:rFonts w:ascii="Arial" w:hAnsi="Arial" w:cs="Arial"/>
                      <w:b/>
                      <w:bCs/>
                    </w:rPr>
                    <w:t>.</w:t>
                  </w:r>
                  <w:r w:rsidR="008D7286">
                    <w:rPr>
                      <w:rFonts w:ascii="Arial" w:hAnsi="Arial" w:cs="Arial"/>
                      <w:b/>
                      <w:bCs/>
                    </w:rPr>
                    <w:t>2</w:t>
                  </w:r>
                  <w:r w:rsidRPr="00EB4495">
                    <w:rPr>
                      <w:rFonts w:ascii="Arial" w:hAnsi="Arial" w:cs="Arial"/>
                      <w:b/>
                      <w:bCs/>
                    </w:rPr>
                    <w:t>%</w:t>
                  </w:r>
                </w:p>
              </w:tc>
              <w:tc>
                <w:tcPr>
                  <w:tcW w:w="615" w:type="pct"/>
                  <w:tcBorders>
                    <w:top w:val="single" w:sz="4" w:space="0" w:color="auto"/>
                    <w:left w:val="nil"/>
                    <w:bottom w:val="nil"/>
                    <w:right w:val="nil"/>
                  </w:tcBorders>
                  <w:vAlign w:val="center"/>
                  <w:hideMark/>
                </w:tcPr>
                <w:p w14:paraId="4CEC267D" w14:textId="7BEF3445" w:rsidR="00A752DD" w:rsidRPr="004364F2" w:rsidRDefault="00A752DD" w:rsidP="00A752DD">
                  <w:pPr>
                    <w:jc w:val="right"/>
                    <w:rPr>
                      <w:rFonts w:ascii="Arial" w:hAnsi="Arial" w:cs="Arial"/>
                      <w:b/>
                      <w:bCs/>
                    </w:rPr>
                  </w:pPr>
                  <w:r w:rsidRPr="00EB4495">
                    <w:rPr>
                      <w:rFonts w:ascii="Arial" w:hAnsi="Arial" w:cs="Arial"/>
                      <w:b/>
                      <w:bCs/>
                    </w:rPr>
                    <w:t>+</w:t>
                  </w:r>
                  <w:r w:rsidR="00E533F7">
                    <w:rPr>
                      <w:rFonts w:ascii="Arial" w:hAnsi="Arial" w:cs="Arial"/>
                      <w:b/>
                      <w:bCs/>
                    </w:rPr>
                    <w:t>146.</w:t>
                  </w:r>
                  <w:r w:rsidR="008D7286">
                    <w:rPr>
                      <w:rFonts w:ascii="Arial" w:hAnsi="Arial" w:cs="Arial"/>
                      <w:b/>
                      <w:bCs/>
                    </w:rPr>
                    <w:t>1</w:t>
                  </w:r>
                  <w:r w:rsidRPr="00EB4495">
                    <w:rPr>
                      <w:rFonts w:ascii="Arial" w:hAnsi="Arial" w:cs="Arial"/>
                      <w:b/>
                      <w:bCs/>
                    </w:rPr>
                    <w:t>%</w:t>
                  </w:r>
                </w:p>
              </w:tc>
            </w:tr>
          </w:tbl>
          <w:p w14:paraId="3DA3DA3B" w14:textId="77777777" w:rsidR="001461FA" w:rsidRPr="00EB4495" w:rsidRDefault="001461FA" w:rsidP="003306C4">
            <w:pPr>
              <w:jc w:val="left"/>
              <w:rPr>
                <w:rFonts w:ascii="Arial" w:hAnsi="Arial" w:cs="Arial"/>
                <w:b/>
                <w:bCs/>
                <w:sz w:val="22"/>
                <w:szCs w:val="22"/>
              </w:rPr>
            </w:pPr>
          </w:p>
        </w:tc>
      </w:tr>
    </w:tbl>
    <w:p w14:paraId="2F57F4C6" w14:textId="231C317B" w:rsidR="001461FA" w:rsidRDefault="001461FA" w:rsidP="001461FA">
      <w:pPr>
        <w:jc w:val="left"/>
        <w:rPr>
          <w:rFonts w:ascii="Arial" w:hAnsi="Arial" w:cs="Arial"/>
        </w:rPr>
      </w:pPr>
    </w:p>
    <w:p w14:paraId="1A6314A4" w14:textId="2627B7DB" w:rsidR="00D04AA1" w:rsidRPr="002D735D" w:rsidRDefault="00D04AA1" w:rsidP="00D04AA1">
      <w:pPr>
        <w:jc w:val="left"/>
        <w:rPr>
          <w:rFonts w:ascii="Arial" w:hAnsi="Arial" w:cs="Arial"/>
          <w:b/>
          <w:bCs/>
          <w:u w:val="single"/>
        </w:rPr>
      </w:pPr>
      <w:r w:rsidRPr="002D735D">
        <w:rPr>
          <w:rFonts w:ascii="Arial" w:hAnsi="Arial" w:cs="Arial"/>
          <w:b/>
          <w:bCs/>
          <w:u w:val="single"/>
        </w:rPr>
        <w:t>Trading in Q</w:t>
      </w:r>
      <w:r w:rsidR="004E6DD6">
        <w:rPr>
          <w:rFonts w:ascii="Arial" w:hAnsi="Arial" w:cs="Arial"/>
          <w:b/>
          <w:bCs/>
          <w:u w:val="single"/>
        </w:rPr>
        <w:t>4</w:t>
      </w:r>
      <w:r w:rsidRPr="002D735D">
        <w:rPr>
          <w:rFonts w:ascii="Arial" w:hAnsi="Arial" w:cs="Arial"/>
          <w:b/>
          <w:bCs/>
          <w:u w:val="single"/>
        </w:rPr>
        <w:t xml:space="preserve"> 2</w:t>
      </w:r>
      <w:r>
        <w:rPr>
          <w:rFonts w:ascii="Arial" w:hAnsi="Arial" w:cs="Arial"/>
          <w:b/>
          <w:bCs/>
          <w:u w:val="single"/>
        </w:rPr>
        <w:t>2</w:t>
      </w:r>
      <w:r w:rsidRPr="002D735D">
        <w:rPr>
          <w:rFonts w:ascii="Arial" w:hAnsi="Arial" w:cs="Arial"/>
          <w:b/>
          <w:bCs/>
          <w:u w:val="single"/>
        </w:rPr>
        <w:t>/2</w:t>
      </w:r>
      <w:r>
        <w:rPr>
          <w:rFonts w:ascii="Arial" w:hAnsi="Arial" w:cs="Arial"/>
          <w:b/>
          <w:bCs/>
          <w:u w:val="single"/>
        </w:rPr>
        <w:t>3</w:t>
      </w:r>
      <w:r w:rsidRPr="002D735D">
        <w:rPr>
          <w:rFonts w:ascii="Arial" w:hAnsi="Arial" w:cs="Arial"/>
          <w:b/>
          <w:bCs/>
          <w:u w:val="single"/>
        </w:rPr>
        <w:t xml:space="preserve"> </w:t>
      </w:r>
    </w:p>
    <w:p w14:paraId="661B8B5A" w14:textId="71ECB834" w:rsidR="00D04AA1" w:rsidRDefault="00D04AA1" w:rsidP="00D04AA1">
      <w:pPr>
        <w:jc w:val="left"/>
        <w:rPr>
          <w:rFonts w:ascii="Arial" w:hAnsi="Arial" w:cs="Arial"/>
        </w:rPr>
      </w:pPr>
      <w:r w:rsidRPr="00EB4495">
        <w:rPr>
          <w:rFonts w:ascii="Arial" w:hAnsi="Arial" w:cs="Arial"/>
        </w:rPr>
        <w:t xml:space="preserve">LFL sales were </w:t>
      </w:r>
      <w:r w:rsidR="00E44A7A">
        <w:rPr>
          <w:rFonts w:ascii="Arial" w:hAnsi="Arial" w:cs="Arial"/>
        </w:rPr>
        <w:t xml:space="preserve">flat </w:t>
      </w:r>
      <w:r w:rsidRPr="00EB4495">
        <w:rPr>
          <w:rFonts w:ascii="Arial" w:hAnsi="Arial" w:cs="Arial"/>
        </w:rPr>
        <w:t>in Q</w:t>
      </w:r>
      <w:r w:rsidR="00E44A7A">
        <w:rPr>
          <w:rFonts w:ascii="Arial" w:hAnsi="Arial" w:cs="Arial"/>
        </w:rPr>
        <w:t>4</w:t>
      </w:r>
      <w:r w:rsidDel="00AB24BD">
        <w:rPr>
          <w:rFonts w:ascii="Arial" w:hAnsi="Arial" w:cs="Arial"/>
        </w:rPr>
        <w:t xml:space="preserve"> </w:t>
      </w:r>
      <w:r>
        <w:rPr>
          <w:rFonts w:ascii="Arial" w:hAnsi="Arial" w:cs="Arial"/>
        </w:rPr>
        <w:t>and up 1</w:t>
      </w:r>
      <w:r w:rsidR="00E44A7A">
        <w:rPr>
          <w:rFonts w:ascii="Arial" w:hAnsi="Arial" w:cs="Arial"/>
        </w:rPr>
        <w:t>3</w:t>
      </w:r>
      <w:r>
        <w:rPr>
          <w:rFonts w:ascii="Arial" w:hAnsi="Arial" w:cs="Arial"/>
        </w:rPr>
        <w:t>.7% on a 3</w:t>
      </w:r>
      <w:r w:rsidRPr="00EB4495">
        <w:rPr>
          <w:rFonts w:ascii="Arial" w:hAnsi="Arial" w:cs="Arial"/>
        </w:rPr>
        <w:t xml:space="preserve">-year </w:t>
      </w:r>
      <w:r>
        <w:rPr>
          <w:rFonts w:ascii="Arial" w:hAnsi="Arial" w:cs="Arial"/>
        </w:rPr>
        <w:t>basis,</w:t>
      </w:r>
      <w:r w:rsidRPr="00EB4495">
        <w:rPr>
          <w:rFonts w:ascii="Arial" w:hAnsi="Arial" w:cs="Arial"/>
        </w:rPr>
        <w:t xml:space="preserve"> </w:t>
      </w:r>
      <w:r w:rsidR="0093497B">
        <w:rPr>
          <w:rFonts w:ascii="Arial" w:hAnsi="Arial" w:cs="Arial"/>
        </w:rPr>
        <w:t xml:space="preserve">broadly consistent with the sales trends seen in </w:t>
      </w:r>
      <w:r>
        <w:rPr>
          <w:rFonts w:ascii="Arial" w:hAnsi="Arial" w:cs="Arial"/>
        </w:rPr>
        <w:t>Q</w:t>
      </w:r>
      <w:r w:rsidR="0093497B">
        <w:rPr>
          <w:rFonts w:ascii="Arial" w:hAnsi="Arial" w:cs="Arial"/>
        </w:rPr>
        <w:t>3</w:t>
      </w:r>
      <w:r>
        <w:rPr>
          <w:rFonts w:ascii="Arial" w:hAnsi="Arial" w:cs="Arial"/>
        </w:rPr>
        <w:t xml:space="preserve">. </w:t>
      </w:r>
      <w:r w:rsidRPr="00EB4495">
        <w:rPr>
          <w:rFonts w:ascii="Arial" w:hAnsi="Arial" w:cs="Arial"/>
        </w:rPr>
        <w:t xml:space="preserve">E-commerce sales were </w:t>
      </w:r>
      <w:r w:rsidR="00D1550B">
        <w:rPr>
          <w:rFonts w:ascii="Arial" w:hAnsi="Arial" w:cs="Arial"/>
        </w:rPr>
        <w:t xml:space="preserve">up </w:t>
      </w:r>
      <w:r w:rsidRPr="00EB4495">
        <w:rPr>
          <w:rFonts w:ascii="Arial" w:hAnsi="Arial" w:cs="Arial"/>
        </w:rPr>
        <w:t xml:space="preserve">by </w:t>
      </w:r>
      <w:r w:rsidR="00810F42">
        <w:rPr>
          <w:rFonts w:ascii="Arial" w:hAnsi="Arial" w:cs="Arial"/>
        </w:rPr>
        <w:t>5</w:t>
      </w:r>
      <w:r w:rsidR="00D1550B">
        <w:rPr>
          <w:rFonts w:ascii="Arial" w:hAnsi="Arial" w:cs="Arial"/>
        </w:rPr>
        <w:t>.</w:t>
      </w:r>
      <w:r w:rsidR="00810F42">
        <w:rPr>
          <w:rFonts w:ascii="Arial" w:hAnsi="Arial" w:cs="Arial"/>
        </w:rPr>
        <w:t>4</w:t>
      </w:r>
      <w:r w:rsidRPr="00525A29">
        <w:rPr>
          <w:rFonts w:ascii="Arial" w:hAnsi="Arial" w:cs="Arial"/>
        </w:rPr>
        <w:t>%</w:t>
      </w:r>
      <w:r w:rsidRPr="00EB4495">
        <w:rPr>
          <w:rFonts w:ascii="Arial" w:hAnsi="Arial" w:cs="Arial"/>
        </w:rPr>
        <w:t xml:space="preserve"> </w:t>
      </w:r>
      <w:r>
        <w:rPr>
          <w:rFonts w:ascii="Arial" w:hAnsi="Arial" w:cs="Arial"/>
        </w:rPr>
        <w:t>in Q</w:t>
      </w:r>
      <w:r w:rsidR="00D1550B">
        <w:rPr>
          <w:rFonts w:ascii="Arial" w:hAnsi="Arial" w:cs="Arial"/>
        </w:rPr>
        <w:t>4, supported by the continued</w:t>
      </w:r>
      <w:r>
        <w:rPr>
          <w:rFonts w:ascii="Arial" w:hAnsi="Arial" w:cs="Arial"/>
        </w:rPr>
        <w:t xml:space="preserve"> </w:t>
      </w:r>
      <w:r w:rsidR="00D1550B">
        <w:rPr>
          <w:rFonts w:ascii="Arial" w:hAnsi="Arial" w:cs="Arial"/>
        </w:rPr>
        <w:t xml:space="preserve">strong </w:t>
      </w:r>
      <w:r w:rsidR="00D97015">
        <w:rPr>
          <w:rFonts w:ascii="Arial" w:hAnsi="Arial" w:cs="Arial"/>
        </w:rPr>
        <w:t xml:space="preserve">growth </w:t>
      </w:r>
      <w:r w:rsidR="00D1550B">
        <w:rPr>
          <w:rFonts w:ascii="Arial" w:hAnsi="Arial" w:cs="Arial"/>
        </w:rPr>
        <w:t xml:space="preserve">momentum from </w:t>
      </w:r>
      <w:r w:rsidR="00D97015">
        <w:rPr>
          <w:rFonts w:ascii="Arial" w:hAnsi="Arial" w:cs="Arial"/>
        </w:rPr>
        <w:t>B&amp;Q’s e-commerce marketplace</w:t>
      </w:r>
      <w:r w:rsidR="0098424F">
        <w:rPr>
          <w:rFonts w:ascii="Arial" w:hAnsi="Arial" w:cs="Arial"/>
        </w:rPr>
        <w:t xml:space="preserve">. </w:t>
      </w:r>
      <w:r w:rsidR="006D5ECD">
        <w:rPr>
          <w:rFonts w:ascii="Arial" w:hAnsi="Arial" w:cs="Arial"/>
        </w:rPr>
        <w:t xml:space="preserve">Sales </w:t>
      </w:r>
      <w:r>
        <w:rPr>
          <w:rFonts w:ascii="Arial" w:hAnsi="Arial" w:cs="Arial"/>
        </w:rPr>
        <w:t xml:space="preserve">remained resilient across our </w:t>
      </w:r>
      <w:r w:rsidR="00880308">
        <w:rPr>
          <w:rFonts w:ascii="Arial" w:hAnsi="Arial" w:cs="Arial"/>
        </w:rPr>
        <w:t>regions</w:t>
      </w:r>
      <w:r w:rsidR="00880308" w:rsidRPr="00880308">
        <w:rPr>
          <w:rFonts w:ascii="Arial" w:hAnsi="Arial" w:cs="Arial"/>
        </w:rPr>
        <w:t xml:space="preserve"> </w:t>
      </w:r>
      <w:r w:rsidR="00880308">
        <w:rPr>
          <w:rFonts w:ascii="Arial" w:hAnsi="Arial" w:cs="Arial"/>
        </w:rPr>
        <w:t>and customer segments (DIY* and DIFM*/trade)</w:t>
      </w:r>
      <w:r>
        <w:rPr>
          <w:rFonts w:ascii="Arial" w:hAnsi="Arial" w:cs="Arial"/>
        </w:rPr>
        <w:t>, with double-digit 3-year LFL growth</w:t>
      </w:r>
      <w:r w:rsidR="0086400B">
        <w:rPr>
          <w:rFonts w:ascii="Arial" w:hAnsi="Arial" w:cs="Arial"/>
        </w:rPr>
        <w:t xml:space="preserve"> in the UK &amp; Ireland, France and Other International</w:t>
      </w:r>
      <w:r>
        <w:rPr>
          <w:rFonts w:ascii="Arial" w:hAnsi="Arial" w:cs="Arial"/>
        </w:rPr>
        <w:t xml:space="preserve">. This resulted in trading in line with our expectations, supported by our focus on execution and market share gains. </w:t>
      </w:r>
      <w:r w:rsidRPr="00EB4495">
        <w:rPr>
          <w:rFonts w:ascii="Arial" w:hAnsi="Arial" w:cs="Arial"/>
        </w:rPr>
        <w:t xml:space="preserve"> </w:t>
      </w:r>
    </w:p>
    <w:p w14:paraId="49BDE93D" w14:textId="77777777" w:rsidR="00D04AA1" w:rsidRDefault="00D04AA1" w:rsidP="00D04AA1">
      <w:pPr>
        <w:jc w:val="left"/>
        <w:rPr>
          <w:rFonts w:ascii="Arial" w:hAnsi="Arial" w:cs="Arial"/>
        </w:rPr>
      </w:pPr>
    </w:p>
    <w:p w14:paraId="6506D49A" w14:textId="12001C33" w:rsidR="00D04AA1" w:rsidRDefault="00D04AA1" w:rsidP="00D04AA1">
      <w:pPr>
        <w:jc w:val="left"/>
        <w:rPr>
          <w:rFonts w:ascii="Arial" w:hAnsi="Arial" w:cs="Arial"/>
        </w:rPr>
      </w:pPr>
      <w:r>
        <w:rPr>
          <w:rFonts w:ascii="Arial" w:hAnsi="Arial" w:cs="Arial"/>
        </w:rPr>
        <w:t xml:space="preserve">In the UK, </w:t>
      </w:r>
      <w:r w:rsidR="005E0A13">
        <w:rPr>
          <w:rFonts w:ascii="Arial" w:hAnsi="Arial" w:cs="Arial"/>
        </w:rPr>
        <w:t xml:space="preserve">Screwfix </w:t>
      </w:r>
      <w:r>
        <w:rPr>
          <w:rFonts w:ascii="Arial" w:hAnsi="Arial" w:cs="Arial"/>
        </w:rPr>
        <w:t xml:space="preserve">saw </w:t>
      </w:r>
      <w:r w:rsidR="00F20530">
        <w:rPr>
          <w:rFonts w:ascii="Arial" w:hAnsi="Arial" w:cs="Arial"/>
        </w:rPr>
        <w:t xml:space="preserve">a strong </w:t>
      </w:r>
      <w:r>
        <w:rPr>
          <w:rFonts w:ascii="Arial" w:hAnsi="Arial" w:cs="Arial"/>
        </w:rPr>
        <w:t>improvement in</w:t>
      </w:r>
      <w:r w:rsidR="00566DD3">
        <w:rPr>
          <w:rFonts w:ascii="Arial" w:hAnsi="Arial" w:cs="Arial"/>
        </w:rPr>
        <w:t xml:space="preserve"> </w:t>
      </w:r>
      <w:r w:rsidR="00F20530">
        <w:rPr>
          <w:rFonts w:ascii="Arial" w:hAnsi="Arial" w:cs="Arial"/>
        </w:rPr>
        <w:t xml:space="preserve">its </w:t>
      </w:r>
      <w:r w:rsidR="00566DD3">
        <w:rPr>
          <w:rFonts w:ascii="Arial" w:hAnsi="Arial" w:cs="Arial"/>
        </w:rPr>
        <w:t>1-year</w:t>
      </w:r>
      <w:r>
        <w:rPr>
          <w:rFonts w:ascii="Arial" w:hAnsi="Arial" w:cs="Arial"/>
        </w:rPr>
        <w:t xml:space="preserve"> </w:t>
      </w:r>
      <w:r w:rsidR="007C4123">
        <w:rPr>
          <w:rFonts w:ascii="Arial" w:hAnsi="Arial" w:cs="Arial"/>
        </w:rPr>
        <w:t xml:space="preserve">and 3-year </w:t>
      </w:r>
      <w:r>
        <w:rPr>
          <w:rFonts w:ascii="Arial" w:hAnsi="Arial" w:cs="Arial"/>
        </w:rPr>
        <w:t>LFL trends from Q</w:t>
      </w:r>
      <w:r w:rsidR="005E0A13">
        <w:rPr>
          <w:rFonts w:ascii="Arial" w:hAnsi="Arial" w:cs="Arial"/>
        </w:rPr>
        <w:t>3</w:t>
      </w:r>
      <w:r>
        <w:rPr>
          <w:rFonts w:ascii="Arial" w:hAnsi="Arial" w:cs="Arial"/>
        </w:rPr>
        <w:t xml:space="preserve"> to Q</w:t>
      </w:r>
      <w:r w:rsidR="005E0A13">
        <w:rPr>
          <w:rFonts w:ascii="Arial" w:hAnsi="Arial" w:cs="Arial"/>
        </w:rPr>
        <w:t>4</w:t>
      </w:r>
      <w:r>
        <w:rPr>
          <w:rFonts w:ascii="Arial" w:hAnsi="Arial" w:cs="Arial"/>
        </w:rPr>
        <w:t xml:space="preserve">, </w:t>
      </w:r>
      <w:r w:rsidR="00562E37">
        <w:rPr>
          <w:rFonts w:ascii="Arial" w:hAnsi="Arial" w:cs="Arial"/>
        </w:rPr>
        <w:t xml:space="preserve">supported by </w:t>
      </w:r>
      <w:r w:rsidR="00CC315E">
        <w:rPr>
          <w:rFonts w:ascii="Arial" w:hAnsi="Arial" w:cs="Arial"/>
        </w:rPr>
        <w:t>strong demand from trade customers</w:t>
      </w:r>
      <w:r>
        <w:rPr>
          <w:rFonts w:ascii="Arial" w:hAnsi="Arial" w:cs="Arial"/>
        </w:rPr>
        <w:t xml:space="preserve">. In France, </w:t>
      </w:r>
      <w:r w:rsidR="003D15D9">
        <w:rPr>
          <w:rFonts w:ascii="Arial" w:hAnsi="Arial" w:cs="Arial"/>
        </w:rPr>
        <w:t>1</w:t>
      </w:r>
      <w:r>
        <w:rPr>
          <w:rFonts w:ascii="Arial" w:hAnsi="Arial" w:cs="Arial"/>
        </w:rPr>
        <w:t>-year LFL trends were similar from Q</w:t>
      </w:r>
      <w:r w:rsidR="003D15D9">
        <w:rPr>
          <w:rFonts w:ascii="Arial" w:hAnsi="Arial" w:cs="Arial"/>
        </w:rPr>
        <w:t>3</w:t>
      </w:r>
      <w:r>
        <w:rPr>
          <w:rFonts w:ascii="Arial" w:hAnsi="Arial" w:cs="Arial"/>
        </w:rPr>
        <w:t xml:space="preserve"> to Q</w:t>
      </w:r>
      <w:r w:rsidR="003D15D9">
        <w:rPr>
          <w:rFonts w:ascii="Arial" w:hAnsi="Arial" w:cs="Arial"/>
        </w:rPr>
        <w:t>4</w:t>
      </w:r>
      <w:r w:rsidR="00E83F79">
        <w:rPr>
          <w:rFonts w:ascii="Arial" w:hAnsi="Arial" w:cs="Arial"/>
        </w:rPr>
        <w:t>, with 3-year growth remaining in the double-digits</w:t>
      </w:r>
      <w:r w:rsidR="00042F48">
        <w:rPr>
          <w:rFonts w:ascii="Arial" w:hAnsi="Arial" w:cs="Arial"/>
        </w:rPr>
        <w:t>.</w:t>
      </w:r>
      <w:r w:rsidR="00F72660">
        <w:rPr>
          <w:rFonts w:ascii="Arial" w:hAnsi="Arial" w:cs="Arial"/>
        </w:rPr>
        <w:t xml:space="preserve"> </w:t>
      </w:r>
      <w:r w:rsidR="00D01849" w:rsidRPr="00EB4495">
        <w:rPr>
          <w:rFonts w:ascii="Arial" w:hAnsi="Arial" w:cs="Arial"/>
        </w:rPr>
        <w:t xml:space="preserve">As </w:t>
      </w:r>
      <w:r w:rsidR="00D01849">
        <w:rPr>
          <w:rFonts w:ascii="Arial" w:hAnsi="Arial" w:cs="Arial"/>
        </w:rPr>
        <w:t>expected</w:t>
      </w:r>
      <w:r w:rsidR="00D01849" w:rsidRPr="00EB4495">
        <w:rPr>
          <w:rFonts w:ascii="Arial" w:hAnsi="Arial" w:cs="Arial"/>
        </w:rPr>
        <w:t xml:space="preserve">, </w:t>
      </w:r>
      <w:r w:rsidR="00E83F79">
        <w:rPr>
          <w:rFonts w:ascii="Arial" w:hAnsi="Arial" w:cs="Arial"/>
        </w:rPr>
        <w:t xml:space="preserve">France’s </w:t>
      </w:r>
      <w:r w:rsidR="00D01849">
        <w:rPr>
          <w:rFonts w:ascii="Arial" w:hAnsi="Arial" w:cs="Arial"/>
        </w:rPr>
        <w:t>3</w:t>
      </w:r>
      <w:r w:rsidR="00D01849" w:rsidRPr="00EB4495">
        <w:rPr>
          <w:rFonts w:ascii="Arial" w:hAnsi="Arial" w:cs="Arial"/>
        </w:rPr>
        <w:t>-year</w:t>
      </w:r>
      <w:r w:rsidR="00E83F79">
        <w:rPr>
          <w:rFonts w:ascii="Arial" w:hAnsi="Arial" w:cs="Arial"/>
        </w:rPr>
        <w:t xml:space="preserve"> LFL </w:t>
      </w:r>
      <w:r w:rsidR="00D01849" w:rsidRPr="00EB4495">
        <w:rPr>
          <w:rFonts w:ascii="Arial" w:hAnsi="Arial" w:cs="Arial"/>
        </w:rPr>
        <w:t>slowed in Q4 (relative to Q3)</w:t>
      </w:r>
      <w:r w:rsidR="00D01849">
        <w:rPr>
          <w:rFonts w:ascii="Arial" w:hAnsi="Arial" w:cs="Arial"/>
        </w:rPr>
        <w:t xml:space="preserve"> </w:t>
      </w:r>
      <w:r w:rsidR="00E83F79">
        <w:rPr>
          <w:rFonts w:ascii="Arial" w:hAnsi="Arial" w:cs="Arial"/>
        </w:rPr>
        <w:t xml:space="preserve">due to </w:t>
      </w:r>
      <w:r w:rsidR="00D01849">
        <w:rPr>
          <w:rFonts w:ascii="Arial" w:hAnsi="Arial" w:cs="Arial"/>
        </w:rPr>
        <w:t xml:space="preserve">a </w:t>
      </w:r>
      <w:r w:rsidR="00E83F79">
        <w:rPr>
          <w:rFonts w:ascii="Arial" w:hAnsi="Arial" w:cs="Arial"/>
        </w:rPr>
        <w:t xml:space="preserve">significantly </w:t>
      </w:r>
      <w:r w:rsidR="00D01849" w:rsidRPr="00EB4495">
        <w:rPr>
          <w:rFonts w:ascii="Arial" w:hAnsi="Arial" w:cs="Arial"/>
        </w:rPr>
        <w:t xml:space="preserve">stronger </w:t>
      </w:r>
      <w:r w:rsidR="001A6CE0">
        <w:rPr>
          <w:rFonts w:ascii="Arial" w:hAnsi="Arial" w:cs="Arial"/>
        </w:rPr>
        <w:t>3</w:t>
      </w:r>
      <w:r w:rsidR="00D01849" w:rsidRPr="00EB4495">
        <w:rPr>
          <w:rFonts w:ascii="Arial" w:hAnsi="Arial" w:cs="Arial"/>
        </w:rPr>
        <w:t xml:space="preserve">-year comparative in Q4 19/20 relative to the first nine months of FY 19/20. </w:t>
      </w:r>
      <w:r w:rsidR="001A6CE0">
        <w:rPr>
          <w:rFonts w:ascii="Arial" w:hAnsi="Arial" w:cs="Arial"/>
        </w:rPr>
        <w:t xml:space="preserve">France </w:t>
      </w:r>
      <w:r w:rsidR="00D01849" w:rsidRPr="00EB4495">
        <w:rPr>
          <w:rFonts w:ascii="Arial" w:hAnsi="Arial" w:cs="Arial"/>
        </w:rPr>
        <w:t xml:space="preserve">LFL sales in Q4 19/20 were over eight percentage points higher than </w:t>
      </w:r>
      <w:r w:rsidR="006B7383">
        <w:rPr>
          <w:rFonts w:ascii="Arial" w:hAnsi="Arial" w:cs="Arial"/>
        </w:rPr>
        <w:t xml:space="preserve">the first nine months of FY </w:t>
      </w:r>
      <w:r w:rsidR="00D01849" w:rsidRPr="00EB4495">
        <w:rPr>
          <w:rFonts w:ascii="Arial" w:hAnsi="Arial" w:cs="Arial"/>
        </w:rPr>
        <w:t>19/20.</w:t>
      </w:r>
    </w:p>
    <w:p w14:paraId="52170497" w14:textId="77777777" w:rsidR="00D04AA1" w:rsidRDefault="00D04AA1" w:rsidP="00D04AA1">
      <w:pPr>
        <w:jc w:val="left"/>
        <w:rPr>
          <w:rFonts w:ascii="Arial" w:hAnsi="Arial" w:cs="Arial"/>
        </w:rPr>
      </w:pPr>
    </w:p>
    <w:p w14:paraId="2B5A9B40" w14:textId="3F412F51" w:rsidR="00D04AA1" w:rsidRDefault="000B25B6" w:rsidP="00D04AA1">
      <w:pPr>
        <w:jc w:val="left"/>
        <w:rPr>
          <w:rFonts w:ascii="Arial" w:hAnsi="Arial" w:cs="Arial"/>
        </w:rPr>
      </w:pPr>
      <w:r w:rsidRPr="005C2EAC">
        <w:rPr>
          <w:rFonts w:ascii="Arial" w:hAnsi="Arial"/>
        </w:rPr>
        <w:t xml:space="preserve">Castorama </w:t>
      </w:r>
      <w:r w:rsidR="00D04AA1" w:rsidRPr="005C2EAC">
        <w:rPr>
          <w:rFonts w:ascii="Arial" w:hAnsi="Arial"/>
        </w:rPr>
        <w:t>Poland</w:t>
      </w:r>
      <w:r w:rsidR="00904061" w:rsidRPr="005C2EAC">
        <w:rPr>
          <w:rFonts w:ascii="Arial" w:hAnsi="Arial"/>
        </w:rPr>
        <w:t xml:space="preserve"> </w:t>
      </w:r>
      <w:r w:rsidR="00CE7C0C" w:rsidRPr="00AF48F6">
        <w:rPr>
          <w:rFonts w:ascii="Arial" w:hAnsi="Arial"/>
        </w:rPr>
        <w:t xml:space="preserve">grew </w:t>
      </w:r>
      <w:r w:rsidR="00AF48F6" w:rsidRPr="00AF48F6">
        <w:rPr>
          <w:rFonts w:ascii="Arial" w:hAnsi="Arial"/>
        </w:rPr>
        <w:t xml:space="preserve">slightly </w:t>
      </w:r>
      <w:r w:rsidR="00CE7C0C" w:rsidRPr="009759B8">
        <w:rPr>
          <w:rFonts w:ascii="Arial" w:hAnsi="Arial"/>
        </w:rPr>
        <w:t>faster</w:t>
      </w:r>
      <w:r w:rsidR="00AF48F6" w:rsidRPr="00AF48F6">
        <w:rPr>
          <w:rFonts w:ascii="Arial" w:hAnsi="Arial"/>
        </w:rPr>
        <w:t xml:space="preserve"> than</w:t>
      </w:r>
      <w:r w:rsidR="00CE7C0C" w:rsidRPr="005C2EAC">
        <w:rPr>
          <w:rFonts w:ascii="Arial" w:hAnsi="Arial"/>
        </w:rPr>
        <w:t xml:space="preserve"> the market in Q4</w:t>
      </w:r>
      <w:r w:rsidR="00772759" w:rsidRPr="005C2EAC">
        <w:rPr>
          <w:rFonts w:ascii="Arial" w:hAnsi="Arial"/>
        </w:rPr>
        <w:t>, though the market itself</w:t>
      </w:r>
      <w:r w:rsidR="00CE7C0C" w:rsidRPr="005C2EAC">
        <w:rPr>
          <w:rFonts w:ascii="Arial" w:hAnsi="Arial"/>
        </w:rPr>
        <w:t xml:space="preserve"> </w:t>
      </w:r>
      <w:r w:rsidR="00904061" w:rsidRPr="005C2EAC">
        <w:rPr>
          <w:rFonts w:ascii="Arial" w:hAnsi="Arial"/>
        </w:rPr>
        <w:t xml:space="preserve">was </w:t>
      </w:r>
      <w:r w:rsidR="00512C50" w:rsidRPr="005C2EAC">
        <w:rPr>
          <w:rFonts w:ascii="Arial" w:hAnsi="Arial"/>
        </w:rPr>
        <w:t xml:space="preserve">impacted by </w:t>
      </w:r>
      <w:r w:rsidR="0070539C" w:rsidRPr="00BF4BC0">
        <w:rPr>
          <w:rFonts w:ascii="Arial" w:hAnsi="Arial"/>
        </w:rPr>
        <w:t xml:space="preserve">macroeconomic challenges and </w:t>
      </w:r>
      <w:r w:rsidR="0014162F" w:rsidRPr="005C2EAC">
        <w:rPr>
          <w:rFonts w:ascii="Arial" w:hAnsi="Arial"/>
        </w:rPr>
        <w:t>significantly adverse weather conditions</w:t>
      </w:r>
      <w:r w:rsidR="001D639D" w:rsidRPr="005C2EAC">
        <w:rPr>
          <w:rFonts w:ascii="Arial" w:hAnsi="Arial"/>
        </w:rPr>
        <w:t>, especially</w:t>
      </w:r>
      <w:r w:rsidR="0014162F" w:rsidRPr="005C2EAC">
        <w:rPr>
          <w:rFonts w:ascii="Arial" w:hAnsi="Arial"/>
        </w:rPr>
        <w:t xml:space="preserve"> in the latter part of the quarter</w:t>
      </w:r>
      <w:r w:rsidR="005667FD" w:rsidRPr="005C2EAC">
        <w:rPr>
          <w:rFonts w:ascii="Arial" w:hAnsi="Arial"/>
        </w:rPr>
        <w:t>.</w:t>
      </w:r>
      <w:r w:rsidR="005667FD" w:rsidRPr="006407E0">
        <w:rPr>
          <w:rFonts w:ascii="Arial" w:hAnsi="Arial"/>
        </w:rPr>
        <w:t xml:space="preserve"> </w:t>
      </w:r>
      <w:r w:rsidR="000D7C14" w:rsidRPr="006407E0">
        <w:rPr>
          <w:rFonts w:ascii="Arial" w:hAnsi="Arial" w:cs="Arial"/>
        </w:rPr>
        <w:t>Iberia</w:t>
      </w:r>
      <w:r w:rsidR="00EC1FC3" w:rsidRPr="006407E0">
        <w:rPr>
          <w:rFonts w:ascii="Arial" w:hAnsi="Arial" w:cs="Arial"/>
        </w:rPr>
        <w:t>’s</w:t>
      </w:r>
      <w:r w:rsidR="00EC1FC3">
        <w:rPr>
          <w:rFonts w:ascii="Arial" w:hAnsi="Arial" w:cs="Arial"/>
        </w:rPr>
        <w:t xml:space="preserve"> sales trend</w:t>
      </w:r>
      <w:r w:rsidR="00066742">
        <w:rPr>
          <w:rFonts w:ascii="Arial" w:hAnsi="Arial" w:cs="Arial"/>
        </w:rPr>
        <w:t xml:space="preserve"> was lower in Q4 due a very strong comparative quarter,</w:t>
      </w:r>
      <w:r w:rsidR="000D7C14">
        <w:rPr>
          <w:rFonts w:ascii="Arial" w:hAnsi="Arial" w:cs="Arial"/>
        </w:rPr>
        <w:t xml:space="preserve"> </w:t>
      </w:r>
      <w:r w:rsidR="00066742">
        <w:rPr>
          <w:rFonts w:ascii="Arial" w:hAnsi="Arial" w:cs="Arial"/>
        </w:rPr>
        <w:t xml:space="preserve">while </w:t>
      </w:r>
      <w:r w:rsidR="00D04AA1">
        <w:rPr>
          <w:rFonts w:ascii="Arial" w:hAnsi="Arial" w:cs="Arial"/>
        </w:rPr>
        <w:t xml:space="preserve">Romania saw </w:t>
      </w:r>
      <w:r w:rsidR="004C4605">
        <w:rPr>
          <w:rFonts w:ascii="Arial" w:hAnsi="Arial" w:cs="Arial"/>
        </w:rPr>
        <w:t xml:space="preserve">strong </w:t>
      </w:r>
      <w:r w:rsidR="00D04AA1">
        <w:rPr>
          <w:rFonts w:ascii="Arial" w:hAnsi="Arial" w:cs="Arial"/>
        </w:rPr>
        <w:t xml:space="preserve">growth on a 1-year basis and </w:t>
      </w:r>
      <w:r w:rsidR="00066742">
        <w:rPr>
          <w:rFonts w:ascii="Arial" w:hAnsi="Arial" w:cs="Arial"/>
        </w:rPr>
        <w:t xml:space="preserve">continued strength in its </w:t>
      </w:r>
      <w:r w:rsidR="00D04AA1">
        <w:rPr>
          <w:rFonts w:ascii="Arial" w:hAnsi="Arial" w:cs="Arial"/>
        </w:rPr>
        <w:t>3-year trends, driven by strengthening competitive positions and effective trading activities.</w:t>
      </w:r>
      <w:r w:rsidR="00D04AA1">
        <w:rPr>
          <w:rFonts w:ascii="Arial" w:hAnsi="Arial" w:cs="Arial"/>
        </w:rPr>
        <w:br w:type="page"/>
      </w:r>
    </w:p>
    <w:p w14:paraId="4E029F6B" w14:textId="4B78C03F" w:rsidR="00D04AA1" w:rsidRPr="00EB4495" w:rsidRDefault="00D04AA1" w:rsidP="00D04AA1">
      <w:pPr>
        <w:jc w:val="left"/>
        <w:rPr>
          <w:rFonts w:ascii="Arial" w:hAnsi="Arial" w:cs="Arial"/>
          <w:u w:val="single"/>
        </w:rPr>
      </w:pPr>
      <w:bookmarkStart w:id="19" w:name="_Hlk129808307"/>
      <w:bookmarkStart w:id="20" w:name="_Hlk98748227"/>
      <w:r>
        <w:rPr>
          <w:rFonts w:ascii="Arial" w:hAnsi="Arial" w:cs="Arial"/>
          <w:b/>
          <w:bCs/>
          <w:u w:val="single"/>
        </w:rPr>
        <w:lastRenderedPageBreak/>
        <w:t>Current t</w:t>
      </w:r>
      <w:r w:rsidRPr="00EB4495">
        <w:rPr>
          <w:rFonts w:ascii="Arial" w:hAnsi="Arial" w:cs="Arial"/>
          <w:b/>
          <w:bCs/>
          <w:u w:val="single"/>
        </w:rPr>
        <w:t xml:space="preserve">rading </w:t>
      </w:r>
      <w:r>
        <w:rPr>
          <w:rFonts w:ascii="Arial" w:hAnsi="Arial" w:cs="Arial"/>
          <w:b/>
          <w:bCs/>
          <w:u w:val="single"/>
        </w:rPr>
        <w:t>in Q</w:t>
      </w:r>
      <w:r w:rsidR="00CB72A2">
        <w:rPr>
          <w:rFonts w:ascii="Arial" w:hAnsi="Arial" w:cs="Arial"/>
          <w:b/>
          <w:bCs/>
          <w:u w:val="single"/>
        </w:rPr>
        <w:t>1</w:t>
      </w:r>
      <w:r>
        <w:rPr>
          <w:rFonts w:ascii="Arial" w:hAnsi="Arial" w:cs="Arial"/>
          <w:b/>
          <w:bCs/>
          <w:u w:val="single"/>
        </w:rPr>
        <w:t xml:space="preserve"> 2</w:t>
      </w:r>
      <w:r w:rsidR="00CB72A2">
        <w:rPr>
          <w:rFonts w:ascii="Arial" w:hAnsi="Arial" w:cs="Arial"/>
          <w:b/>
          <w:bCs/>
          <w:u w:val="single"/>
        </w:rPr>
        <w:t>3</w:t>
      </w:r>
      <w:r>
        <w:rPr>
          <w:rFonts w:ascii="Arial" w:hAnsi="Arial" w:cs="Arial"/>
          <w:b/>
          <w:bCs/>
          <w:u w:val="single"/>
        </w:rPr>
        <w:t>/2</w:t>
      </w:r>
      <w:r w:rsidR="00CB72A2">
        <w:rPr>
          <w:rFonts w:ascii="Arial" w:hAnsi="Arial" w:cs="Arial"/>
          <w:b/>
          <w:bCs/>
          <w:u w:val="single"/>
        </w:rPr>
        <w:t>4</w:t>
      </w:r>
    </w:p>
    <w:p w14:paraId="78B7F270" w14:textId="0B09A4CC" w:rsidR="00A66C45" w:rsidRDefault="003F765C" w:rsidP="00D04AA1">
      <w:pPr>
        <w:jc w:val="left"/>
        <w:rPr>
          <w:rFonts w:ascii="Arial" w:hAnsi="Arial" w:cs="Arial"/>
        </w:rPr>
      </w:pPr>
      <w:bookmarkStart w:id="21" w:name="_Hlk65580252"/>
      <w:r w:rsidRPr="003F765C">
        <w:rPr>
          <w:rFonts w:ascii="Arial" w:hAnsi="Arial" w:cs="Arial"/>
        </w:rPr>
        <w:t xml:space="preserve">February </w:t>
      </w:r>
      <w:r w:rsidR="00D04AA1" w:rsidRPr="003F765C">
        <w:rPr>
          <w:rFonts w:ascii="Arial" w:hAnsi="Arial" w:cs="Arial"/>
        </w:rPr>
        <w:t>2</w:t>
      </w:r>
      <w:r w:rsidR="00CB572E" w:rsidRPr="003F765C">
        <w:rPr>
          <w:rFonts w:ascii="Arial" w:hAnsi="Arial" w:cs="Arial"/>
        </w:rPr>
        <w:t>3</w:t>
      </w:r>
      <w:r w:rsidR="00D04AA1" w:rsidRPr="003F765C">
        <w:rPr>
          <w:rFonts w:ascii="Arial" w:hAnsi="Arial" w:cs="Arial"/>
        </w:rPr>
        <w:t>/2</w:t>
      </w:r>
      <w:r w:rsidR="00CB572E" w:rsidRPr="003F765C">
        <w:rPr>
          <w:rFonts w:ascii="Arial" w:hAnsi="Arial" w:cs="Arial"/>
        </w:rPr>
        <w:t>4</w:t>
      </w:r>
      <w:r w:rsidR="00D04AA1" w:rsidRPr="003F765C">
        <w:rPr>
          <w:rFonts w:ascii="Arial" w:hAnsi="Arial" w:cs="Arial"/>
        </w:rPr>
        <w:t xml:space="preserve"> </w:t>
      </w:r>
      <w:r w:rsidR="00982B99" w:rsidRPr="003F765C">
        <w:rPr>
          <w:rFonts w:ascii="Arial" w:hAnsi="Arial" w:cs="Arial"/>
        </w:rPr>
        <w:t xml:space="preserve">total </w:t>
      </w:r>
      <w:r w:rsidR="00D04AA1" w:rsidRPr="003F765C">
        <w:rPr>
          <w:rFonts w:ascii="Arial" w:hAnsi="Arial" w:cs="Arial"/>
        </w:rPr>
        <w:t xml:space="preserve">sales </w:t>
      </w:r>
      <w:r w:rsidR="00863206">
        <w:rPr>
          <w:rFonts w:ascii="Arial" w:hAnsi="Arial" w:cs="Arial"/>
        </w:rPr>
        <w:t xml:space="preserve">were </w:t>
      </w:r>
      <w:r w:rsidR="00874AF3" w:rsidRPr="00CC7A94">
        <w:rPr>
          <w:rFonts w:ascii="Arial" w:hAnsi="Arial" w:cs="Arial"/>
        </w:rPr>
        <w:t>up</w:t>
      </w:r>
      <w:r w:rsidR="00D04AA1" w:rsidRPr="00CC7A94">
        <w:rPr>
          <w:rFonts w:ascii="Arial" w:hAnsi="Arial"/>
        </w:rPr>
        <w:t xml:space="preserve"> </w:t>
      </w:r>
      <w:r w:rsidRPr="00CC7A94">
        <w:rPr>
          <w:rFonts w:ascii="Arial" w:hAnsi="Arial"/>
        </w:rPr>
        <w:t>1</w:t>
      </w:r>
      <w:r w:rsidR="00CB572E" w:rsidRPr="00CC7A94">
        <w:rPr>
          <w:rFonts w:ascii="Arial" w:hAnsi="Arial"/>
        </w:rPr>
        <w:t>.</w:t>
      </w:r>
      <w:r w:rsidRPr="00CC7A94">
        <w:rPr>
          <w:rFonts w:ascii="Arial" w:hAnsi="Arial"/>
        </w:rPr>
        <w:t>9</w:t>
      </w:r>
      <w:r w:rsidR="00D04AA1" w:rsidRPr="003F765C">
        <w:rPr>
          <w:rFonts w:ascii="Arial" w:hAnsi="Arial" w:cs="Arial"/>
        </w:rPr>
        <w:t>%</w:t>
      </w:r>
      <w:r w:rsidR="00A45777" w:rsidRPr="003F765C">
        <w:rPr>
          <w:rFonts w:ascii="Arial" w:hAnsi="Arial" w:cs="Arial"/>
        </w:rPr>
        <w:t xml:space="preserve">, </w:t>
      </w:r>
      <w:r w:rsidR="00982B99" w:rsidRPr="003F765C">
        <w:rPr>
          <w:rFonts w:ascii="Arial" w:hAnsi="Arial" w:cs="Arial"/>
        </w:rPr>
        <w:t xml:space="preserve">with </w:t>
      </w:r>
      <w:r w:rsidR="00A45777" w:rsidRPr="003F765C">
        <w:rPr>
          <w:rFonts w:ascii="Arial" w:hAnsi="Arial" w:cs="Arial"/>
        </w:rPr>
        <w:t xml:space="preserve">LFL sales </w:t>
      </w:r>
      <w:r>
        <w:rPr>
          <w:rFonts w:ascii="Arial" w:hAnsi="Arial" w:cs="Arial"/>
        </w:rPr>
        <w:t>up</w:t>
      </w:r>
      <w:r w:rsidRPr="00CC7A94">
        <w:rPr>
          <w:rFonts w:ascii="Arial" w:hAnsi="Arial" w:cs="Arial"/>
        </w:rPr>
        <w:t xml:space="preserve"> </w:t>
      </w:r>
      <w:r>
        <w:rPr>
          <w:rFonts w:ascii="Arial" w:hAnsi="Arial" w:cs="Arial"/>
        </w:rPr>
        <w:t>0</w:t>
      </w:r>
      <w:r w:rsidR="000F0B53" w:rsidRPr="00CC7A94">
        <w:rPr>
          <w:rFonts w:ascii="Arial" w:hAnsi="Arial" w:cs="Arial"/>
        </w:rPr>
        <w:t>.</w:t>
      </w:r>
      <w:r>
        <w:rPr>
          <w:rFonts w:ascii="Arial" w:hAnsi="Arial" w:cs="Arial"/>
        </w:rPr>
        <w:t>5</w:t>
      </w:r>
      <w:r w:rsidR="00A45777" w:rsidRPr="003F765C">
        <w:rPr>
          <w:rFonts w:ascii="Arial" w:hAnsi="Arial" w:cs="Arial"/>
        </w:rPr>
        <w:t>%</w:t>
      </w:r>
      <w:r w:rsidR="000F0B53" w:rsidRPr="003F765C">
        <w:rPr>
          <w:rFonts w:ascii="Arial" w:hAnsi="Arial" w:cs="Arial"/>
          <w:vertAlign w:val="superscript"/>
        </w:rPr>
        <w:t>(5)</w:t>
      </w:r>
      <w:r w:rsidR="004C7703">
        <w:rPr>
          <w:rFonts w:ascii="Arial" w:hAnsi="Arial" w:cs="Arial"/>
        </w:rPr>
        <w:t>.</w:t>
      </w:r>
      <w:r>
        <w:rPr>
          <w:rFonts w:ascii="Arial" w:hAnsi="Arial" w:cs="Arial"/>
        </w:rPr>
        <w:t xml:space="preserve"> </w:t>
      </w:r>
      <w:r w:rsidR="004C7703">
        <w:rPr>
          <w:rFonts w:ascii="Arial" w:hAnsi="Arial" w:cs="Arial"/>
        </w:rPr>
        <w:t xml:space="preserve">The main driver was </w:t>
      </w:r>
      <w:r>
        <w:rPr>
          <w:rFonts w:ascii="Arial" w:hAnsi="Arial" w:cs="Arial"/>
        </w:rPr>
        <w:t xml:space="preserve">a </w:t>
      </w:r>
      <w:r w:rsidR="004C7703">
        <w:rPr>
          <w:rFonts w:ascii="Arial" w:hAnsi="Arial" w:cs="Arial"/>
        </w:rPr>
        <w:t xml:space="preserve">good </w:t>
      </w:r>
      <w:r>
        <w:rPr>
          <w:rFonts w:ascii="Arial" w:hAnsi="Arial" w:cs="Arial"/>
        </w:rPr>
        <w:t xml:space="preserve">performance in the UK &amp; Ireland, </w:t>
      </w:r>
      <w:r w:rsidR="004C7703">
        <w:rPr>
          <w:rFonts w:ascii="Arial" w:hAnsi="Arial" w:cs="Arial"/>
        </w:rPr>
        <w:t>with LFL</w:t>
      </w:r>
      <w:r w:rsidR="00CB440E">
        <w:rPr>
          <w:rFonts w:ascii="Arial" w:hAnsi="Arial" w:cs="Arial"/>
        </w:rPr>
        <w:t xml:space="preserve"> sales growth</w:t>
      </w:r>
      <w:r w:rsidR="004C7703">
        <w:rPr>
          <w:rFonts w:ascii="Arial" w:hAnsi="Arial" w:cs="Arial"/>
        </w:rPr>
        <w:t xml:space="preserve"> </w:t>
      </w:r>
      <w:r w:rsidR="00D30B4E">
        <w:rPr>
          <w:rFonts w:ascii="Arial" w:hAnsi="Arial" w:cs="Arial"/>
        </w:rPr>
        <w:t>at</w:t>
      </w:r>
      <w:r w:rsidR="004C7703">
        <w:rPr>
          <w:rFonts w:ascii="Arial" w:hAnsi="Arial" w:cs="Arial"/>
        </w:rPr>
        <w:t xml:space="preserve"> both B&amp;Q and Screwfix. In France, </w:t>
      </w:r>
      <w:r w:rsidR="00CB440E">
        <w:rPr>
          <w:rFonts w:ascii="Arial" w:hAnsi="Arial" w:cs="Arial"/>
        </w:rPr>
        <w:t xml:space="preserve">Castorama delivered flat </w:t>
      </w:r>
      <w:r w:rsidR="008B419B">
        <w:rPr>
          <w:rFonts w:ascii="Arial" w:hAnsi="Arial" w:cs="Arial"/>
        </w:rPr>
        <w:t xml:space="preserve">LFL </w:t>
      </w:r>
      <w:r w:rsidR="00CB440E">
        <w:rPr>
          <w:rFonts w:ascii="Arial" w:hAnsi="Arial" w:cs="Arial"/>
        </w:rPr>
        <w:t xml:space="preserve">sales YoY, while </w:t>
      </w:r>
      <w:r w:rsidR="004C7703">
        <w:rPr>
          <w:rFonts w:ascii="Arial" w:hAnsi="Arial" w:cs="Arial"/>
        </w:rPr>
        <w:t xml:space="preserve">Brico </w:t>
      </w:r>
      <w:r w:rsidR="004C7703" w:rsidRPr="00EB4495">
        <w:rPr>
          <w:rFonts w:ascii="Arial" w:hAnsi="Arial" w:cs="Arial"/>
          <w:bCs/>
        </w:rPr>
        <w:t>Dépôt</w:t>
      </w:r>
      <w:r w:rsidR="00CB440E">
        <w:rPr>
          <w:rFonts w:ascii="Arial" w:hAnsi="Arial" w:cs="Arial"/>
          <w:bCs/>
        </w:rPr>
        <w:t xml:space="preserve">’s LFL </w:t>
      </w:r>
      <w:r w:rsidR="008B419B">
        <w:rPr>
          <w:rFonts w:ascii="Arial" w:hAnsi="Arial" w:cs="Arial"/>
          <w:bCs/>
        </w:rPr>
        <w:t xml:space="preserve">sales were </w:t>
      </w:r>
      <w:r w:rsidR="00CB440E">
        <w:rPr>
          <w:rFonts w:ascii="Arial" w:hAnsi="Arial" w:cs="Arial"/>
          <w:bCs/>
        </w:rPr>
        <w:t xml:space="preserve">down </w:t>
      </w:r>
      <w:r w:rsidR="006930B1">
        <w:rPr>
          <w:rFonts w:ascii="Arial" w:hAnsi="Arial" w:cs="Arial"/>
          <w:bCs/>
        </w:rPr>
        <w:t>due to the timing of promotional campaigns</w:t>
      </w:r>
      <w:r w:rsidR="00CB440E">
        <w:rPr>
          <w:rFonts w:ascii="Arial" w:hAnsi="Arial" w:cs="Arial"/>
          <w:bCs/>
        </w:rPr>
        <w:t xml:space="preserve">. </w:t>
      </w:r>
      <w:r w:rsidR="008B419B">
        <w:rPr>
          <w:rFonts w:ascii="Arial" w:hAnsi="Arial" w:cs="Arial"/>
        </w:rPr>
        <w:t xml:space="preserve">Both banners were also impacted by the national pension reform strikes. </w:t>
      </w:r>
      <w:r w:rsidR="00CB440E">
        <w:rPr>
          <w:rFonts w:ascii="Arial" w:hAnsi="Arial" w:cs="Arial"/>
        </w:rPr>
        <w:t xml:space="preserve">Castorama Poland’s LFL sales were down, </w:t>
      </w:r>
      <w:r w:rsidR="00A66C45">
        <w:rPr>
          <w:rFonts w:ascii="Arial" w:hAnsi="Arial" w:cs="Arial"/>
        </w:rPr>
        <w:t xml:space="preserve">against </w:t>
      </w:r>
      <w:r w:rsidR="00CC7A94">
        <w:rPr>
          <w:rFonts w:ascii="Arial" w:hAnsi="Arial" w:cs="Arial"/>
        </w:rPr>
        <w:t xml:space="preserve">a </w:t>
      </w:r>
      <w:r w:rsidR="00494487">
        <w:rPr>
          <w:rFonts w:ascii="Arial" w:hAnsi="Arial" w:cs="Arial"/>
        </w:rPr>
        <w:t xml:space="preserve">strong </w:t>
      </w:r>
      <w:r w:rsidR="00752EBB">
        <w:rPr>
          <w:rFonts w:ascii="Arial" w:hAnsi="Arial" w:cs="Arial"/>
        </w:rPr>
        <w:t xml:space="preserve">prior year </w:t>
      </w:r>
      <w:r w:rsidR="00494487">
        <w:rPr>
          <w:rFonts w:ascii="Arial" w:hAnsi="Arial" w:cs="Arial"/>
        </w:rPr>
        <w:t xml:space="preserve">comparative </w:t>
      </w:r>
      <w:r w:rsidR="00DD6A3F">
        <w:rPr>
          <w:rFonts w:ascii="Arial" w:hAnsi="Arial" w:cs="Arial"/>
        </w:rPr>
        <w:t>(</w:t>
      </w:r>
      <w:r w:rsidR="00CB440E">
        <w:rPr>
          <w:rFonts w:ascii="Arial" w:hAnsi="Arial" w:cs="Arial"/>
        </w:rPr>
        <w:t xml:space="preserve">its </w:t>
      </w:r>
      <w:r w:rsidR="00DD6A3F">
        <w:rPr>
          <w:rFonts w:ascii="Arial" w:hAnsi="Arial" w:cs="Arial"/>
        </w:rPr>
        <w:t xml:space="preserve">LFL sales </w:t>
      </w:r>
      <w:r w:rsidR="00CB440E">
        <w:rPr>
          <w:rFonts w:ascii="Arial" w:hAnsi="Arial" w:cs="Arial"/>
        </w:rPr>
        <w:t xml:space="preserve">were </w:t>
      </w:r>
      <w:r w:rsidR="00DD6A3F">
        <w:rPr>
          <w:rFonts w:ascii="Arial" w:hAnsi="Arial" w:cs="Arial"/>
        </w:rPr>
        <w:t>+11.4% in February 2022</w:t>
      </w:r>
      <w:r w:rsidR="00CB440E">
        <w:rPr>
          <w:rFonts w:ascii="Arial" w:hAnsi="Arial" w:cs="Arial"/>
        </w:rPr>
        <w:t xml:space="preserve">, </w:t>
      </w:r>
      <w:r w:rsidR="008B419B">
        <w:rPr>
          <w:rFonts w:ascii="Arial" w:hAnsi="Arial" w:cs="Arial"/>
        </w:rPr>
        <w:t xml:space="preserve">driven by </w:t>
      </w:r>
      <w:r w:rsidR="00CB440E">
        <w:rPr>
          <w:rFonts w:ascii="Arial" w:hAnsi="Arial" w:cs="Arial"/>
        </w:rPr>
        <w:t>a successful promotional campaign</w:t>
      </w:r>
      <w:r w:rsidR="00DD6A3F">
        <w:rPr>
          <w:rFonts w:ascii="Arial" w:hAnsi="Arial" w:cs="Arial"/>
        </w:rPr>
        <w:t>)</w:t>
      </w:r>
      <w:r w:rsidR="00205049" w:rsidRPr="00CC7A94">
        <w:rPr>
          <w:rFonts w:ascii="Arial" w:hAnsi="Arial" w:cs="Arial"/>
        </w:rPr>
        <w:t>.</w:t>
      </w:r>
      <w:r w:rsidR="00205049" w:rsidRPr="003F765C">
        <w:rPr>
          <w:rFonts w:ascii="Arial" w:hAnsi="Arial" w:cs="Arial"/>
        </w:rPr>
        <w:t xml:space="preserve"> </w:t>
      </w:r>
    </w:p>
    <w:p w14:paraId="37FE299D" w14:textId="77777777" w:rsidR="00A66C45" w:rsidRDefault="00A66C45" w:rsidP="00D04AA1">
      <w:pPr>
        <w:jc w:val="left"/>
        <w:rPr>
          <w:rFonts w:ascii="Arial" w:hAnsi="Arial" w:cs="Arial"/>
        </w:rPr>
      </w:pPr>
    </w:p>
    <w:p w14:paraId="6D7D2F88" w14:textId="5765B9BC" w:rsidR="008B419B" w:rsidRDefault="00CD2587" w:rsidP="00D04AA1">
      <w:pPr>
        <w:jc w:val="left"/>
        <w:rPr>
          <w:rFonts w:ascii="Arial" w:hAnsi="Arial" w:cs="Arial"/>
        </w:rPr>
      </w:pPr>
      <w:r w:rsidRPr="003F765C">
        <w:rPr>
          <w:rFonts w:ascii="Arial" w:hAnsi="Arial" w:cs="Arial"/>
        </w:rPr>
        <w:t xml:space="preserve">We </w:t>
      </w:r>
      <w:r w:rsidR="00E770D3">
        <w:rPr>
          <w:rFonts w:ascii="Arial" w:hAnsi="Arial" w:cs="Arial"/>
        </w:rPr>
        <w:t xml:space="preserve">have seen </w:t>
      </w:r>
      <w:r w:rsidR="00F41C35" w:rsidRPr="003F765C">
        <w:rPr>
          <w:rFonts w:ascii="Arial" w:hAnsi="Arial" w:cs="Arial"/>
        </w:rPr>
        <w:t>resilie</w:t>
      </w:r>
      <w:r w:rsidR="007C59DA" w:rsidRPr="003F765C">
        <w:rPr>
          <w:rFonts w:ascii="Arial" w:hAnsi="Arial" w:cs="Arial"/>
        </w:rPr>
        <w:t>nt sales trends</w:t>
      </w:r>
      <w:r w:rsidR="00F41C35" w:rsidRPr="003F765C">
        <w:rPr>
          <w:rFonts w:ascii="Arial" w:hAnsi="Arial" w:cs="Arial"/>
        </w:rPr>
        <w:t xml:space="preserve"> in our </w:t>
      </w:r>
      <w:r w:rsidR="0083191B">
        <w:rPr>
          <w:rFonts w:ascii="Arial" w:hAnsi="Arial" w:cs="Arial"/>
        </w:rPr>
        <w:t xml:space="preserve">‘big-ticket’ </w:t>
      </w:r>
      <w:r w:rsidR="006565DF">
        <w:rPr>
          <w:rFonts w:ascii="Arial" w:hAnsi="Arial" w:cs="Arial"/>
        </w:rPr>
        <w:t>categories</w:t>
      </w:r>
      <w:r w:rsidR="00E770D3">
        <w:rPr>
          <w:rFonts w:ascii="Arial" w:hAnsi="Arial" w:cs="Arial"/>
        </w:rPr>
        <w:t xml:space="preserve"> (i.e., kitchen</w:t>
      </w:r>
      <w:r w:rsidR="006565DF">
        <w:rPr>
          <w:rFonts w:ascii="Arial" w:hAnsi="Arial" w:cs="Arial"/>
        </w:rPr>
        <w:t xml:space="preserve">, </w:t>
      </w:r>
      <w:r w:rsidR="00E770D3">
        <w:rPr>
          <w:rFonts w:ascii="Arial" w:hAnsi="Arial" w:cs="Arial"/>
        </w:rPr>
        <w:t>bathroom &amp; storage)</w:t>
      </w:r>
      <w:r w:rsidR="0083191B">
        <w:rPr>
          <w:rFonts w:ascii="Arial" w:hAnsi="Arial" w:cs="Arial"/>
        </w:rPr>
        <w:t xml:space="preserve">, along with our surfaces </w:t>
      </w:r>
      <w:r w:rsidR="0083191B" w:rsidRPr="00EC4039">
        <w:rPr>
          <w:rFonts w:ascii="Arial" w:hAnsi="Arial" w:cs="Arial"/>
        </w:rPr>
        <w:t xml:space="preserve">&amp; décor </w:t>
      </w:r>
      <w:r w:rsidR="0083191B">
        <w:rPr>
          <w:rFonts w:ascii="Arial" w:hAnsi="Arial" w:cs="Arial"/>
        </w:rPr>
        <w:t xml:space="preserve">and tools &amp; hardware </w:t>
      </w:r>
      <w:r w:rsidR="00D04AA1" w:rsidRPr="003F765C">
        <w:rPr>
          <w:rFonts w:ascii="Arial" w:hAnsi="Arial" w:cs="Arial"/>
        </w:rPr>
        <w:t xml:space="preserve">categories. E-commerce sales continue to progress well, </w:t>
      </w:r>
      <w:r w:rsidR="00B63CD3" w:rsidRPr="003F765C">
        <w:rPr>
          <w:rFonts w:ascii="Arial" w:hAnsi="Arial" w:cs="Arial"/>
        </w:rPr>
        <w:t xml:space="preserve">supported by the continued </w:t>
      </w:r>
      <w:r w:rsidR="00D04AA1" w:rsidRPr="003F765C">
        <w:rPr>
          <w:rFonts w:ascii="Arial" w:hAnsi="Arial" w:cs="Arial"/>
        </w:rPr>
        <w:t xml:space="preserve">strong </w:t>
      </w:r>
      <w:r w:rsidR="00B63CD3" w:rsidRPr="003F765C">
        <w:rPr>
          <w:rFonts w:ascii="Arial" w:hAnsi="Arial" w:cs="Arial"/>
        </w:rPr>
        <w:t xml:space="preserve">growth </w:t>
      </w:r>
      <w:r w:rsidR="00D04AA1" w:rsidRPr="003F765C">
        <w:rPr>
          <w:rFonts w:ascii="Arial" w:hAnsi="Arial" w:cs="Arial"/>
        </w:rPr>
        <w:t xml:space="preserve">of </w:t>
      </w:r>
      <w:r w:rsidR="00176B17" w:rsidRPr="003F765C">
        <w:rPr>
          <w:rFonts w:ascii="Arial" w:hAnsi="Arial" w:cs="Arial"/>
        </w:rPr>
        <w:t xml:space="preserve">B&amp;Q’s e-commerce </w:t>
      </w:r>
      <w:r w:rsidR="00D04AA1" w:rsidRPr="003F765C">
        <w:rPr>
          <w:rFonts w:ascii="Arial" w:hAnsi="Arial" w:cs="Arial"/>
        </w:rPr>
        <w:t>marketplace</w:t>
      </w:r>
      <w:r w:rsidR="0083191B">
        <w:rPr>
          <w:rFonts w:ascii="Arial" w:hAnsi="Arial" w:cs="Arial"/>
        </w:rPr>
        <w:t xml:space="preserve"> </w:t>
      </w:r>
      <w:r w:rsidR="00A66C45">
        <w:rPr>
          <w:rFonts w:ascii="Arial" w:hAnsi="Arial" w:cs="Arial"/>
        </w:rPr>
        <w:t>(</w:t>
      </w:r>
      <w:r w:rsidR="0083191B">
        <w:rPr>
          <w:rFonts w:ascii="Arial" w:hAnsi="Arial" w:cs="Arial"/>
        </w:rPr>
        <w:t xml:space="preserve">which </w:t>
      </w:r>
      <w:r w:rsidR="0083191B" w:rsidRPr="00EB53AD">
        <w:rPr>
          <w:rFonts w:ascii="Arial" w:hAnsi="Arial" w:cs="Arial"/>
        </w:rPr>
        <w:t>reach</w:t>
      </w:r>
      <w:r w:rsidR="0083191B">
        <w:rPr>
          <w:rFonts w:ascii="Arial" w:hAnsi="Arial" w:cs="Arial"/>
        </w:rPr>
        <w:t>ed</w:t>
      </w:r>
      <w:r w:rsidR="0083191B" w:rsidRPr="00EB53AD">
        <w:rPr>
          <w:rFonts w:ascii="Arial" w:hAnsi="Arial" w:cs="Arial"/>
        </w:rPr>
        <w:t xml:space="preserve"> a marketplace participation of </w:t>
      </w:r>
      <w:r w:rsidR="0083191B">
        <w:rPr>
          <w:rFonts w:ascii="Arial" w:hAnsi="Arial" w:cs="Arial"/>
        </w:rPr>
        <w:t>2</w:t>
      </w:r>
      <w:r w:rsidR="00D136B8">
        <w:rPr>
          <w:rFonts w:ascii="Arial" w:hAnsi="Arial" w:cs="Arial"/>
        </w:rPr>
        <w:t>4</w:t>
      </w:r>
      <w:r w:rsidR="0083191B" w:rsidRPr="00593824">
        <w:rPr>
          <w:rFonts w:ascii="Arial" w:hAnsi="Arial" w:cs="Arial"/>
        </w:rPr>
        <w:t xml:space="preserve">% in </w:t>
      </w:r>
      <w:r w:rsidR="0083191B" w:rsidRPr="005C2EAC">
        <w:rPr>
          <w:rFonts w:ascii="Arial" w:hAnsi="Arial"/>
        </w:rPr>
        <w:t>February</w:t>
      </w:r>
      <w:r w:rsidR="0083191B" w:rsidRPr="00593824">
        <w:rPr>
          <w:rFonts w:ascii="Arial" w:hAnsi="Arial" w:cs="Arial"/>
        </w:rPr>
        <w:t xml:space="preserve"> </w:t>
      </w:r>
      <w:r w:rsidR="00A66C45">
        <w:rPr>
          <w:rFonts w:ascii="Arial" w:hAnsi="Arial" w:cs="Arial"/>
        </w:rPr>
        <w:t xml:space="preserve">– </w:t>
      </w:r>
      <w:r w:rsidR="0083191B" w:rsidRPr="00593824">
        <w:rPr>
          <w:rFonts w:ascii="Arial" w:hAnsi="Arial" w:cs="Arial"/>
        </w:rPr>
        <w:t>i.e.,</w:t>
      </w:r>
      <w:r w:rsidR="0083191B" w:rsidRPr="00EB53AD">
        <w:rPr>
          <w:rFonts w:ascii="Arial" w:hAnsi="Arial" w:cs="Arial"/>
        </w:rPr>
        <w:t xml:space="preserve"> B&amp;Q’s marketplace gross sales</w:t>
      </w:r>
      <w:r w:rsidR="0083191B">
        <w:rPr>
          <w:rFonts w:ascii="Arial" w:hAnsi="Arial" w:cs="Arial"/>
        </w:rPr>
        <w:t>*</w:t>
      </w:r>
      <w:r w:rsidR="0083191B" w:rsidRPr="00EB53AD">
        <w:rPr>
          <w:rFonts w:ascii="Arial" w:hAnsi="Arial" w:cs="Arial"/>
        </w:rPr>
        <w:t xml:space="preserve"> divided by B&amp;Q’s total e-commerce sales)</w:t>
      </w:r>
      <w:r w:rsidR="00D04AA1" w:rsidRPr="003F765C">
        <w:rPr>
          <w:rFonts w:ascii="Arial" w:hAnsi="Arial" w:cs="Arial"/>
        </w:rPr>
        <w:t xml:space="preserve">. </w:t>
      </w:r>
    </w:p>
    <w:p w14:paraId="360C3D42" w14:textId="77777777" w:rsidR="008B419B" w:rsidRDefault="008B419B" w:rsidP="00D04AA1">
      <w:pPr>
        <w:jc w:val="left"/>
        <w:rPr>
          <w:rFonts w:ascii="Arial" w:hAnsi="Arial" w:cs="Arial"/>
        </w:rPr>
      </w:pPr>
    </w:p>
    <w:p w14:paraId="55AABC6A" w14:textId="0076FC33" w:rsidR="00D04AA1" w:rsidRPr="003F765C" w:rsidRDefault="00752EBB" w:rsidP="00D04AA1">
      <w:pPr>
        <w:jc w:val="left"/>
        <w:rPr>
          <w:rFonts w:ascii="Arial" w:hAnsi="Arial" w:cs="Arial"/>
        </w:rPr>
      </w:pPr>
      <w:r>
        <w:rPr>
          <w:rFonts w:ascii="Arial" w:hAnsi="Arial" w:cs="Arial"/>
        </w:rPr>
        <w:t xml:space="preserve">We </w:t>
      </w:r>
      <w:r>
        <w:rPr>
          <w:rFonts w:ascii="Arial" w:eastAsiaTheme="minorHAnsi" w:hAnsi="Arial" w:cs="Arial"/>
        </w:rPr>
        <w:t>e</w:t>
      </w:r>
      <w:r w:rsidRPr="00B664F8">
        <w:rPr>
          <w:rFonts w:ascii="Arial" w:eastAsiaTheme="minorHAnsi" w:hAnsi="Arial" w:cs="Arial"/>
        </w:rPr>
        <w:t xml:space="preserve">xpect some impact in March from adverse weather conditions and </w:t>
      </w:r>
      <w:r w:rsidR="008B419B">
        <w:rPr>
          <w:rFonts w:ascii="Arial" w:eastAsiaTheme="minorHAnsi" w:hAnsi="Arial" w:cs="Arial"/>
        </w:rPr>
        <w:t xml:space="preserve">a </w:t>
      </w:r>
      <w:r w:rsidRPr="00B664F8">
        <w:rPr>
          <w:rFonts w:ascii="Arial" w:eastAsiaTheme="minorHAnsi" w:hAnsi="Arial" w:cs="Arial"/>
        </w:rPr>
        <w:t>strong comp</w:t>
      </w:r>
      <w:r>
        <w:rPr>
          <w:rFonts w:ascii="Arial" w:eastAsiaTheme="minorHAnsi" w:hAnsi="Arial" w:cs="Arial"/>
        </w:rPr>
        <w:t>arative</w:t>
      </w:r>
      <w:r w:rsidRPr="00B664F8">
        <w:rPr>
          <w:rFonts w:ascii="Arial" w:eastAsiaTheme="minorHAnsi" w:hAnsi="Arial" w:cs="Arial"/>
        </w:rPr>
        <w:t xml:space="preserve"> in Poland</w:t>
      </w:r>
      <w:r w:rsidR="00CC7A94">
        <w:rPr>
          <w:rFonts w:ascii="Arial" w:eastAsiaTheme="minorHAnsi" w:hAnsi="Arial" w:cs="Arial"/>
        </w:rPr>
        <w:t>.</w:t>
      </w:r>
      <w:bookmarkEnd w:id="19"/>
    </w:p>
    <w:p w14:paraId="584D9598" w14:textId="77777777" w:rsidR="00D04AA1" w:rsidRPr="00CC7A94" w:rsidRDefault="00D04AA1" w:rsidP="00D04AA1">
      <w:pPr>
        <w:jc w:val="left"/>
        <w:rPr>
          <w:rFonts w:ascii="Arial" w:hAnsi="Arial" w:cs="Arial"/>
        </w:rPr>
      </w:pPr>
      <w:bookmarkStart w:id="22" w:name="_Hlk96778368"/>
      <w:bookmarkEnd w:id="20"/>
      <w:bookmarkEnd w:id="21"/>
    </w:p>
    <w:p w14:paraId="3370BB17" w14:textId="77777777" w:rsidR="00D04AA1" w:rsidRPr="00EB4495" w:rsidRDefault="00D04AA1" w:rsidP="00D04AA1">
      <w:pPr>
        <w:jc w:val="left"/>
        <w:rPr>
          <w:rFonts w:ascii="Arial" w:hAnsi="Arial" w:cs="Arial"/>
          <w:highlight w:val="yellow"/>
        </w:rPr>
      </w:pPr>
    </w:p>
    <w:bookmarkEnd w:id="22"/>
    <w:p w14:paraId="06C63727" w14:textId="77777777" w:rsidR="00D04AA1" w:rsidRPr="00EB4495" w:rsidRDefault="00D04AA1" w:rsidP="00D04AA1">
      <w:pPr>
        <w:jc w:val="left"/>
        <w:rPr>
          <w:rFonts w:ascii="Arial" w:hAnsi="Arial" w:cs="Arial"/>
        </w:rPr>
      </w:pPr>
    </w:p>
    <w:p w14:paraId="7D3E85D1" w14:textId="77777777" w:rsidR="00D04AA1" w:rsidRPr="005A7E5B" w:rsidRDefault="00D04AA1" w:rsidP="00D04AA1">
      <w:pPr>
        <w:jc w:val="left"/>
        <w:rPr>
          <w:rFonts w:ascii="Arial" w:hAnsi="Arial" w:cs="Arial"/>
          <w:b/>
          <w:bCs/>
          <w:sz w:val="18"/>
          <w:szCs w:val="18"/>
        </w:rPr>
      </w:pPr>
      <w:r w:rsidRPr="005A7E5B">
        <w:rPr>
          <w:rFonts w:ascii="Arial" w:hAnsi="Arial" w:cs="Arial"/>
          <w:b/>
          <w:bCs/>
          <w:sz w:val="18"/>
          <w:szCs w:val="18"/>
        </w:rPr>
        <w:t>Footnotes</w:t>
      </w:r>
    </w:p>
    <w:p w14:paraId="62A09B09" w14:textId="146225BE" w:rsidR="00D04AA1" w:rsidRPr="00902364" w:rsidRDefault="00D04AA1" w:rsidP="00D04AA1">
      <w:pPr>
        <w:jc w:val="left"/>
        <w:rPr>
          <w:rFonts w:ascii="Arial" w:hAnsi="Arial" w:cs="Arial"/>
          <w:bCs/>
          <w:sz w:val="18"/>
          <w:szCs w:val="18"/>
        </w:rPr>
      </w:pPr>
      <w:r w:rsidRPr="00902364">
        <w:rPr>
          <w:rFonts w:ascii="Arial" w:hAnsi="Arial" w:cs="Arial"/>
          <w:bCs/>
          <w:sz w:val="18"/>
          <w:szCs w:val="18"/>
          <w:vertAlign w:val="superscript"/>
        </w:rPr>
        <w:t>(1)</w:t>
      </w:r>
      <w:r w:rsidRPr="00902364">
        <w:rPr>
          <w:rFonts w:ascii="Arial" w:hAnsi="Arial" w:cs="Arial"/>
          <w:bCs/>
          <w:sz w:val="18"/>
          <w:szCs w:val="18"/>
        </w:rPr>
        <w:t xml:space="preserve"> Kingfisher’s subsidiary in Romania historically prepared its financial statements to 31 December. In </w:t>
      </w:r>
      <w:r>
        <w:rPr>
          <w:rFonts w:ascii="Arial" w:hAnsi="Arial" w:cs="Arial"/>
          <w:bCs/>
          <w:sz w:val="18"/>
          <w:szCs w:val="18"/>
        </w:rPr>
        <w:t>the prior year (</w:t>
      </w:r>
      <w:r w:rsidRPr="00902364">
        <w:rPr>
          <w:rFonts w:ascii="Arial" w:hAnsi="Arial" w:cs="Arial"/>
          <w:bCs/>
          <w:sz w:val="18"/>
          <w:szCs w:val="18"/>
        </w:rPr>
        <w:t>FY 21/22</w:t>
      </w:r>
      <w:r>
        <w:rPr>
          <w:rFonts w:ascii="Arial" w:hAnsi="Arial" w:cs="Arial"/>
          <w:bCs/>
          <w:sz w:val="18"/>
          <w:szCs w:val="18"/>
        </w:rPr>
        <w:t>)</w:t>
      </w:r>
      <w:r w:rsidRPr="00902364">
        <w:rPr>
          <w:rFonts w:ascii="Arial" w:hAnsi="Arial" w:cs="Arial"/>
          <w:bCs/>
          <w:sz w:val="18"/>
          <w:szCs w:val="18"/>
        </w:rPr>
        <w:t xml:space="preserve">, Romania migrated to Kingfisher’s financial reporting calendar (year ended 31 January). Its retail loss presented </w:t>
      </w:r>
      <w:r>
        <w:rPr>
          <w:rFonts w:ascii="Arial" w:hAnsi="Arial" w:cs="Arial"/>
          <w:bCs/>
          <w:sz w:val="18"/>
          <w:szCs w:val="18"/>
        </w:rPr>
        <w:t xml:space="preserve">in </w:t>
      </w:r>
      <w:r w:rsidR="00BE5E46">
        <w:rPr>
          <w:rFonts w:ascii="Arial" w:hAnsi="Arial" w:cs="Arial"/>
          <w:bCs/>
          <w:sz w:val="18"/>
          <w:szCs w:val="18"/>
        </w:rPr>
        <w:t xml:space="preserve">FY </w:t>
      </w:r>
      <w:r>
        <w:rPr>
          <w:rFonts w:ascii="Arial" w:hAnsi="Arial" w:cs="Arial"/>
          <w:bCs/>
          <w:sz w:val="18"/>
          <w:szCs w:val="18"/>
        </w:rPr>
        <w:t xml:space="preserve">21/22 </w:t>
      </w:r>
      <w:r w:rsidRPr="00902364">
        <w:rPr>
          <w:rFonts w:ascii="Arial" w:hAnsi="Arial" w:cs="Arial"/>
          <w:bCs/>
          <w:sz w:val="18"/>
          <w:szCs w:val="18"/>
        </w:rPr>
        <w:t>therefore include</w:t>
      </w:r>
      <w:r w:rsidR="0026021A">
        <w:rPr>
          <w:rFonts w:ascii="Arial" w:hAnsi="Arial" w:cs="Arial"/>
          <w:bCs/>
          <w:sz w:val="18"/>
          <w:szCs w:val="18"/>
        </w:rPr>
        <w:t>d</w:t>
      </w:r>
      <w:r w:rsidRPr="00902364">
        <w:rPr>
          <w:rFonts w:ascii="Arial" w:hAnsi="Arial" w:cs="Arial"/>
          <w:bCs/>
          <w:sz w:val="18"/>
          <w:szCs w:val="18"/>
        </w:rPr>
        <w:t xml:space="preserve"> one additional month of results (</w:t>
      </w:r>
      <w:r w:rsidR="006D656E">
        <w:rPr>
          <w:rFonts w:ascii="Arial" w:hAnsi="Arial" w:cs="Arial"/>
          <w:bCs/>
          <w:sz w:val="18"/>
          <w:szCs w:val="18"/>
        </w:rPr>
        <w:t xml:space="preserve">January </w:t>
      </w:r>
      <w:r w:rsidRPr="00902364">
        <w:rPr>
          <w:rFonts w:ascii="Arial" w:hAnsi="Arial" w:cs="Arial"/>
          <w:bCs/>
          <w:sz w:val="18"/>
          <w:szCs w:val="18"/>
        </w:rPr>
        <w:t>202</w:t>
      </w:r>
      <w:r w:rsidR="006D656E">
        <w:rPr>
          <w:rFonts w:ascii="Arial" w:hAnsi="Arial" w:cs="Arial"/>
          <w:bCs/>
          <w:sz w:val="18"/>
          <w:szCs w:val="18"/>
        </w:rPr>
        <w:t>2</w:t>
      </w:r>
      <w:r w:rsidRPr="00902364">
        <w:rPr>
          <w:rFonts w:ascii="Arial" w:hAnsi="Arial" w:cs="Arial"/>
          <w:bCs/>
          <w:sz w:val="18"/>
          <w:szCs w:val="18"/>
        </w:rPr>
        <w:t xml:space="preserve">) in order to facilitate the alignment to Kingfisher’s financial reporting calendar. Reported and constant currency variances for Romania’s retail loss are for </w:t>
      </w:r>
      <w:r>
        <w:rPr>
          <w:rFonts w:ascii="Arial" w:hAnsi="Arial" w:cs="Arial"/>
          <w:bCs/>
          <w:sz w:val="18"/>
          <w:szCs w:val="18"/>
        </w:rPr>
        <w:t xml:space="preserve">February </w:t>
      </w:r>
      <w:r w:rsidR="00096030">
        <w:rPr>
          <w:rFonts w:ascii="Arial" w:hAnsi="Arial" w:cs="Arial"/>
          <w:bCs/>
          <w:sz w:val="18"/>
          <w:szCs w:val="18"/>
        </w:rPr>
        <w:t xml:space="preserve">2022 </w:t>
      </w:r>
      <w:r w:rsidRPr="00902364">
        <w:rPr>
          <w:rFonts w:ascii="Arial" w:hAnsi="Arial" w:cs="Arial"/>
          <w:bCs/>
          <w:sz w:val="18"/>
          <w:szCs w:val="18"/>
        </w:rPr>
        <w:t xml:space="preserve">to </w:t>
      </w:r>
      <w:r w:rsidR="00096030">
        <w:rPr>
          <w:rFonts w:ascii="Arial" w:hAnsi="Arial" w:cs="Arial"/>
          <w:bCs/>
          <w:sz w:val="18"/>
          <w:szCs w:val="18"/>
        </w:rPr>
        <w:t xml:space="preserve">January </w:t>
      </w:r>
      <w:r w:rsidRPr="00902364">
        <w:rPr>
          <w:rFonts w:ascii="Arial" w:hAnsi="Arial" w:cs="Arial"/>
          <w:bCs/>
          <w:sz w:val="18"/>
          <w:szCs w:val="18"/>
        </w:rPr>
        <w:t>202</w:t>
      </w:r>
      <w:r w:rsidR="00096030">
        <w:rPr>
          <w:rFonts w:ascii="Arial" w:hAnsi="Arial" w:cs="Arial"/>
          <w:bCs/>
          <w:sz w:val="18"/>
          <w:szCs w:val="18"/>
        </w:rPr>
        <w:t>3</w:t>
      </w:r>
      <w:r w:rsidRPr="00902364">
        <w:rPr>
          <w:rFonts w:ascii="Arial" w:hAnsi="Arial" w:cs="Arial"/>
          <w:bCs/>
          <w:sz w:val="18"/>
          <w:szCs w:val="18"/>
        </w:rPr>
        <w:t xml:space="preserve"> (compared against January </w:t>
      </w:r>
      <w:r w:rsidR="00096030">
        <w:rPr>
          <w:rFonts w:ascii="Arial" w:hAnsi="Arial" w:cs="Arial"/>
          <w:bCs/>
          <w:sz w:val="18"/>
          <w:szCs w:val="18"/>
        </w:rPr>
        <w:t xml:space="preserve">2021 </w:t>
      </w:r>
      <w:r w:rsidRPr="00902364">
        <w:rPr>
          <w:rFonts w:ascii="Arial" w:hAnsi="Arial" w:cs="Arial"/>
          <w:bCs/>
          <w:sz w:val="18"/>
          <w:szCs w:val="18"/>
        </w:rPr>
        <w:t xml:space="preserve">to </w:t>
      </w:r>
      <w:r w:rsidR="00096030">
        <w:rPr>
          <w:rFonts w:ascii="Arial" w:hAnsi="Arial" w:cs="Arial"/>
          <w:bCs/>
          <w:sz w:val="18"/>
          <w:szCs w:val="18"/>
        </w:rPr>
        <w:t xml:space="preserve">January </w:t>
      </w:r>
      <w:r w:rsidRPr="00902364">
        <w:rPr>
          <w:rFonts w:ascii="Arial" w:hAnsi="Arial" w:cs="Arial"/>
          <w:bCs/>
          <w:sz w:val="18"/>
          <w:szCs w:val="18"/>
        </w:rPr>
        <w:t>202</w:t>
      </w:r>
      <w:r w:rsidR="00096030">
        <w:rPr>
          <w:rFonts w:ascii="Arial" w:hAnsi="Arial" w:cs="Arial"/>
          <w:bCs/>
          <w:sz w:val="18"/>
          <w:szCs w:val="18"/>
        </w:rPr>
        <w:t>2</w:t>
      </w:r>
      <w:r w:rsidRPr="00902364">
        <w:rPr>
          <w:rFonts w:ascii="Arial" w:hAnsi="Arial" w:cs="Arial"/>
          <w:bCs/>
          <w:sz w:val="18"/>
          <w:szCs w:val="18"/>
        </w:rPr>
        <w:t>).</w:t>
      </w:r>
    </w:p>
    <w:p w14:paraId="466888B4" w14:textId="77777777" w:rsidR="00D04AA1" w:rsidRPr="00902364" w:rsidRDefault="00D04AA1" w:rsidP="00D04AA1">
      <w:pPr>
        <w:jc w:val="left"/>
        <w:rPr>
          <w:rFonts w:ascii="Arial" w:hAnsi="Arial" w:cs="Arial"/>
          <w:bCs/>
          <w:sz w:val="18"/>
          <w:szCs w:val="18"/>
        </w:rPr>
      </w:pPr>
      <w:r w:rsidRPr="00902364">
        <w:rPr>
          <w:rFonts w:ascii="Arial" w:hAnsi="Arial" w:cs="Arial"/>
          <w:bCs/>
          <w:sz w:val="18"/>
          <w:szCs w:val="18"/>
          <w:vertAlign w:val="superscript"/>
        </w:rPr>
        <w:t>(</w:t>
      </w:r>
      <w:r>
        <w:rPr>
          <w:rFonts w:ascii="Arial" w:hAnsi="Arial" w:cs="Arial"/>
          <w:bCs/>
          <w:sz w:val="18"/>
          <w:szCs w:val="18"/>
          <w:vertAlign w:val="superscript"/>
        </w:rPr>
        <w:t>2</w:t>
      </w:r>
      <w:r w:rsidRPr="00902364">
        <w:rPr>
          <w:rFonts w:ascii="Arial" w:hAnsi="Arial" w:cs="Arial"/>
          <w:bCs/>
          <w:sz w:val="18"/>
          <w:szCs w:val="18"/>
          <w:vertAlign w:val="superscript"/>
        </w:rPr>
        <w:t>)</w:t>
      </w:r>
      <w:r w:rsidRPr="00902364">
        <w:rPr>
          <w:rFonts w:ascii="Arial" w:hAnsi="Arial" w:cs="Arial"/>
          <w:bCs/>
          <w:sz w:val="18"/>
          <w:szCs w:val="18"/>
        </w:rPr>
        <w:t xml:space="preserve"> Further to footnote 1 above, Romania’s </w:t>
      </w:r>
      <w:r>
        <w:rPr>
          <w:rFonts w:ascii="Arial" w:hAnsi="Arial" w:cs="Arial"/>
          <w:bCs/>
          <w:sz w:val="18"/>
          <w:szCs w:val="18"/>
        </w:rPr>
        <w:t>LFL and 3</w:t>
      </w:r>
      <w:r w:rsidRPr="00902364">
        <w:rPr>
          <w:rFonts w:ascii="Arial" w:hAnsi="Arial" w:cs="Arial"/>
          <w:bCs/>
          <w:sz w:val="18"/>
          <w:szCs w:val="18"/>
        </w:rPr>
        <w:t>-year LFL sales growth compares equivalent periods in the current and prior years.</w:t>
      </w:r>
    </w:p>
    <w:p w14:paraId="33513277" w14:textId="31C748FF" w:rsidR="00D04AA1" w:rsidRPr="00902364" w:rsidRDefault="00D04AA1" w:rsidP="00D04AA1">
      <w:pPr>
        <w:jc w:val="left"/>
        <w:rPr>
          <w:rFonts w:ascii="Arial" w:hAnsi="Arial" w:cs="Arial"/>
          <w:bCs/>
          <w:sz w:val="18"/>
          <w:szCs w:val="18"/>
        </w:rPr>
      </w:pPr>
      <w:r w:rsidRPr="00902364">
        <w:rPr>
          <w:rFonts w:ascii="Arial" w:hAnsi="Arial" w:cs="Arial"/>
          <w:bCs/>
          <w:sz w:val="18"/>
          <w:szCs w:val="18"/>
          <w:vertAlign w:val="superscript"/>
        </w:rPr>
        <w:t>(</w:t>
      </w:r>
      <w:r>
        <w:rPr>
          <w:rFonts w:ascii="Arial" w:hAnsi="Arial" w:cs="Arial"/>
          <w:bCs/>
          <w:sz w:val="18"/>
          <w:szCs w:val="18"/>
          <w:vertAlign w:val="superscript"/>
        </w:rPr>
        <w:t>3</w:t>
      </w:r>
      <w:r w:rsidRPr="00902364">
        <w:rPr>
          <w:rFonts w:ascii="Arial" w:hAnsi="Arial" w:cs="Arial"/>
          <w:bCs/>
          <w:sz w:val="18"/>
          <w:szCs w:val="18"/>
          <w:vertAlign w:val="superscript"/>
        </w:rPr>
        <w:t>)</w:t>
      </w:r>
      <w:r w:rsidRPr="00902364">
        <w:rPr>
          <w:rFonts w:ascii="Arial" w:hAnsi="Arial" w:cs="Arial"/>
          <w:bCs/>
          <w:sz w:val="18"/>
          <w:szCs w:val="18"/>
        </w:rPr>
        <w:t xml:space="preserve"> Group LFL includes </w:t>
      </w:r>
      <w:r w:rsidR="00297A86">
        <w:rPr>
          <w:rFonts w:ascii="Arial" w:hAnsi="Arial" w:cs="Arial"/>
          <w:bCs/>
          <w:sz w:val="18"/>
          <w:szCs w:val="18"/>
        </w:rPr>
        <w:t xml:space="preserve">total </w:t>
      </w:r>
      <w:r w:rsidRPr="00902364">
        <w:rPr>
          <w:rFonts w:ascii="Arial" w:hAnsi="Arial" w:cs="Arial"/>
          <w:bCs/>
          <w:sz w:val="18"/>
          <w:szCs w:val="18"/>
        </w:rPr>
        <w:t xml:space="preserve">e-commerce sales, and excludes Koçtaş (Kingfisher’s 50% JV in Turkey). Other International and Group LFL on a </w:t>
      </w:r>
      <w:r>
        <w:rPr>
          <w:rFonts w:ascii="Arial" w:hAnsi="Arial" w:cs="Arial"/>
          <w:bCs/>
          <w:sz w:val="18"/>
          <w:szCs w:val="18"/>
        </w:rPr>
        <w:t>3</w:t>
      </w:r>
      <w:r w:rsidRPr="00902364">
        <w:rPr>
          <w:rFonts w:ascii="Arial" w:hAnsi="Arial" w:cs="Arial"/>
          <w:bCs/>
          <w:sz w:val="18"/>
          <w:szCs w:val="18"/>
        </w:rPr>
        <w:t>-year basis exclude Russia.</w:t>
      </w:r>
      <w:r>
        <w:rPr>
          <w:rFonts w:ascii="Arial" w:hAnsi="Arial" w:cs="Arial"/>
          <w:bCs/>
          <w:sz w:val="18"/>
          <w:szCs w:val="18"/>
        </w:rPr>
        <w:t xml:space="preserve"> (</w:t>
      </w:r>
      <w:r w:rsidRPr="00BD6F32">
        <w:rPr>
          <w:rFonts w:ascii="Arial" w:hAnsi="Arial" w:cs="Arial"/>
          <w:bCs/>
          <w:sz w:val="18"/>
          <w:szCs w:val="18"/>
        </w:rPr>
        <w:t>Kingfisher completed the sale of Castorama Russia on 30 September 2020.</w:t>
      </w:r>
      <w:r>
        <w:rPr>
          <w:rFonts w:ascii="Arial" w:hAnsi="Arial" w:cs="Arial"/>
          <w:bCs/>
          <w:sz w:val="18"/>
          <w:szCs w:val="18"/>
        </w:rPr>
        <w:t>)</w:t>
      </w:r>
    </w:p>
    <w:p w14:paraId="4D09C73C" w14:textId="7ABF4DE7" w:rsidR="00D04AA1" w:rsidRDefault="00D04AA1" w:rsidP="00D04AA1">
      <w:pPr>
        <w:jc w:val="left"/>
        <w:rPr>
          <w:rFonts w:ascii="Arial" w:hAnsi="Arial" w:cs="Arial"/>
          <w:bCs/>
          <w:sz w:val="18"/>
          <w:szCs w:val="18"/>
        </w:rPr>
      </w:pPr>
      <w:r w:rsidRPr="00902364">
        <w:rPr>
          <w:rFonts w:ascii="Arial" w:hAnsi="Arial" w:cs="Arial"/>
          <w:bCs/>
          <w:sz w:val="18"/>
          <w:szCs w:val="18"/>
          <w:vertAlign w:val="superscript"/>
        </w:rPr>
        <w:t>(</w:t>
      </w:r>
      <w:r>
        <w:rPr>
          <w:rFonts w:ascii="Arial" w:hAnsi="Arial" w:cs="Arial"/>
          <w:bCs/>
          <w:sz w:val="18"/>
          <w:szCs w:val="18"/>
          <w:vertAlign w:val="superscript"/>
        </w:rPr>
        <w:t>4</w:t>
      </w:r>
      <w:r w:rsidRPr="00902364">
        <w:rPr>
          <w:rFonts w:ascii="Arial" w:hAnsi="Arial" w:cs="Arial"/>
          <w:bCs/>
          <w:sz w:val="18"/>
          <w:szCs w:val="18"/>
          <w:vertAlign w:val="superscript"/>
        </w:rPr>
        <w:t>)</w:t>
      </w:r>
      <w:r w:rsidRPr="00902364">
        <w:rPr>
          <w:rFonts w:ascii="Arial" w:hAnsi="Arial" w:cs="Arial"/>
          <w:bCs/>
          <w:sz w:val="18"/>
          <w:szCs w:val="18"/>
        </w:rPr>
        <w:t xml:space="preserve"> </w:t>
      </w:r>
      <w:r w:rsidRPr="009C4836">
        <w:rPr>
          <w:rFonts w:ascii="Arial" w:hAnsi="Arial" w:cs="Arial"/>
          <w:bCs/>
          <w:sz w:val="18"/>
          <w:szCs w:val="18"/>
        </w:rPr>
        <w:t>Total e-commerce sales are first-party e-commerce sales plus marketplace gross sales.</w:t>
      </w:r>
      <w:r>
        <w:rPr>
          <w:rFonts w:ascii="Arial" w:hAnsi="Arial" w:cs="Arial"/>
          <w:bCs/>
          <w:sz w:val="18"/>
          <w:szCs w:val="18"/>
        </w:rPr>
        <w:t xml:space="preserve"> Please refer to the glossary in Section 6 for definitions. </w:t>
      </w:r>
      <w:r w:rsidR="0066335A" w:rsidRPr="00466D72">
        <w:rPr>
          <w:rFonts w:ascii="Arial" w:hAnsi="Arial" w:cs="Arial"/>
          <w:bCs/>
          <w:sz w:val="18"/>
          <w:szCs w:val="18"/>
        </w:rPr>
        <w:t xml:space="preserve">References to digital or e-commerce sales growth relates to growth </w:t>
      </w:r>
      <w:r w:rsidR="00744941">
        <w:rPr>
          <w:rFonts w:ascii="Arial" w:hAnsi="Arial" w:cs="Arial"/>
          <w:bCs/>
          <w:sz w:val="18"/>
          <w:szCs w:val="18"/>
        </w:rPr>
        <w:t>in</w:t>
      </w:r>
      <w:r w:rsidR="00744941" w:rsidRPr="00466D72">
        <w:rPr>
          <w:rFonts w:ascii="Arial" w:hAnsi="Arial" w:cs="Arial"/>
          <w:bCs/>
          <w:sz w:val="18"/>
          <w:szCs w:val="18"/>
        </w:rPr>
        <w:t xml:space="preserve"> </w:t>
      </w:r>
      <w:r w:rsidR="0066335A" w:rsidRPr="00466D72">
        <w:rPr>
          <w:rFonts w:ascii="Arial" w:hAnsi="Arial" w:cs="Arial"/>
          <w:bCs/>
          <w:sz w:val="18"/>
          <w:szCs w:val="18"/>
        </w:rPr>
        <w:t>constant currency</w:t>
      </w:r>
      <w:r w:rsidR="0066335A" w:rsidRPr="00902364" w:rsidDel="0066335A">
        <w:rPr>
          <w:rFonts w:ascii="Arial" w:hAnsi="Arial" w:cs="Arial"/>
          <w:bCs/>
          <w:sz w:val="18"/>
          <w:szCs w:val="18"/>
        </w:rPr>
        <w:t xml:space="preserve"> </w:t>
      </w:r>
      <w:r w:rsidRPr="00902364">
        <w:rPr>
          <w:rFonts w:ascii="Arial" w:hAnsi="Arial" w:cs="Arial"/>
          <w:bCs/>
          <w:sz w:val="18"/>
          <w:szCs w:val="18"/>
        </w:rPr>
        <w:t>and covers the total Group</w:t>
      </w:r>
      <w:r>
        <w:rPr>
          <w:rFonts w:ascii="Arial" w:hAnsi="Arial" w:cs="Arial"/>
          <w:bCs/>
          <w:sz w:val="18"/>
          <w:szCs w:val="18"/>
        </w:rPr>
        <w:t xml:space="preserve">. 3-year </w:t>
      </w:r>
      <w:r w:rsidR="0066335A">
        <w:rPr>
          <w:rFonts w:ascii="Arial" w:hAnsi="Arial" w:cs="Arial"/>
          <w:bCs/>
          <w:sz w:val="18"/>
          <w:szCs w:val="18"/>
        </w:rPr>
        <w:t xml:space="preserve">total </w:t>
      </w:r>
      <w:r>
        <w:rPr>
          <w:rFonts w:ascii="Arial" w:hAnsi="Arial" w:cs="Arial"/>
          <w:bCs/>
          <w:sz w:val="18"/>
          <w:szCs w:val="18"/>
        </w:rPr>
        <w:t>e-commerce sales growth</w:t>
      </w:r>
      <w:r w:rsidRPr="00902364">
        <w:rPr>
          <w:rFonts w:ascii="Arial" w:hAnsi="Arial" w:cs="Arial"/>
          <w:bCs/>
          <w:sz w:val="18"/>
          <w:szCs w:val="18"/>
        </w:rPr>
        <w:t xml:space="preserve"> exclud</w:t>
      </w:r>
      <w:r>
        <w:rPr>
          <w:rFonts w:ascii="Arial" w:hAnsi="Arial" w:cs="Arial"/>
          <w:bCs/>
          <w:sz w:val="18"/>
          <w:szCs w:val="18"/>
        </w:rPr>
        <w:t>es</w:t>
      </w:r>
      <w:r w:rsidRPr="00902364">
        <w:rPr>
          <w:rFonts w:ascii="Arial" w:hAnsi="Arial" w:cs="Arial"/>
          <w:bCs/>
          <w:sz w:val="18"/>
          <w:szCs w:val="18"/>
        </w:rPr>
        <w:t xml:space="preserve"> Russia.</w:t>
      </w:r>
    </w:p>
    <w:p w14:paraId="0B2D37FE" w14:textId="5D938C0E" w:rsidR="00D04AA1" w:rsidRDefault="00D04AA1" w:rsidP="00D04AA1">
      <w:pPr>
        <w:jc w:val="left"/>
        <w:rPr>
          <w:rFonts w:ascii="Arial" w:hAnsi="Arial" w:cs="Arial"/>
          <w:bCs/>
          <w:sz w:val="18"/>
          <w:szCs w:val="18"/>
        </w:rPr>
      </w:pPr>
      <w:r w:rsidRPr="00D53A1F">
        <w:rPr>
          <w:rFonts w:ascii="Arial" w:hAnsi="Arial" w:cs="Arial"/>
          <w:bCs/>
          <w:sz w:val="18"/>
          <w:szCs w:val="18"/>
          <w:vertAlign w:val="superscript"/>
        </w:rPr>
        <w:t>(</w:t>
      </w:r>
      <w:r>
        <w:rPr>
          <w:rFonts w:ascii="Arial" w:hAnsi="Arial" w:cs="Arial"/>
          <w:bCs/>
          <w:sz w:val="18"/>
          <w:szCs w:val="18"/>
          <w:vertAlign w:val="superscript"/>
        </w:rPr>
        <w:t>5</w:t>
      </w:r>
      <w:r w:rsidRPr="00D53A1F">
        <w:rPr>
          <w:rFonts w:ascii="Arial" w:hAnsi="Arial" w:cs="Arial"/>
          <w:bCs/>
          <w:sz w:val="18"/>
          <w:szCs w:val="18"/>
          <w:vertAlign w:val="superscript"/>
        </w:rPr>
        <w:t>)</w:t>
      </w:r>
      <w:r w:rsidRPr="00D53A1F">
        <w:rPr>
          <w:rFonts w:ascii="Arial" w:hAnsi="Arial" w:cs="Arial"/>
          <w:bCs/>
          <w:sz w:val="18"/>
          <w:szCs w:val="18"/>
        </w:rPr>
        <w:t xml:space="preserve"> </w:t>
      </w:r>
      <w:r w:rsidR="00CC7A94">
        <w:rPr>
          <w:rFonts w:ascii="Arial" w:hAnsi="Arial" w:cs="Arial"/>
          <w:bCs/>
          <w:sz w:val="18"/>
          <w:szCs w:val="18"/>
        </w:rPr>
        <w:t xml:space="preserve">February </w:t>
      </w:r>
      <w:r w:rsidRPr="00BD4713">
        <w:rPr>
          <w:rFonts w:ascii="Arial" w:hAnsi="Arial" w:cs="Arial"/>
          <w:bCs/>
          <w:sz w:val="18"/>
          <w:szCs w:val="18"/>
        </w:rPr>
        <w:t>2</w:t>
      </w:r>
      <w:r w:rsidR="00E32D10">
        <w:rPr>
          <w:rFonts w:ascii="Arial" w:hAnsi="Arial" w:cs="Arial"/>
          <w:bCs/>
          <w:sz w:val="18"/>
          <w:szCs w:val="18"/>
        </w:rPr>
        <w:t>3</w:t>
      </w:r>
      <w:r w:rsidRPr="00BD4713">
        <w:rPr>
          <w:rFonts w:ascii="Arial" w:hAnsi="Arial" w:cs="Arial"/>
          <w:bCs/>
          <w:sz w:val="18"/>
          <w:szCs w:val="18"/>
        </w:rPr>
        <w:t>/2</w:t>
      </w:r>
      <w:r w:rsidR="00E32D10">
        <w:rPr>
          <w:rFonts w:ascii="Arial" w:hAnsi="Arial" w:cs="Arial"/>
          <w:bCs/>
          <w:sz w:val="18"/>
          <w:szCs w:val="18"/>
        </w:rPr>
        <w:t>4</w:t>
      </w:r>
      <w:r w:rsidRPr="00BD4713">
        <w:rPr>
          <w:rFonts w:ascii="Arial" w:hAnsi="Arial" w:cs="Arial"/>
          <w:bCs/>
          <w:sz w:val="18"/>
          <w:szCs w:val="18"/>
        </w:rPr>
        <w:t xml:space="preserve"> </w:t>
      </w:r>
      <w:r w:rsidR="00884B5D">
        <w:rPr>
          <w:rFonts w:ascii="Arial" w:hAnsi="Arial" w:cs="Arial"/>
          <w:bCs/>
          <w:sz w:val="18"/>
          <w:szCs w:val="18"/>
        </w:rPr>
        <w:t xml:space="preserve">total and </w:t>
      </w:r>
      <w:r w:rsidRPr="00BD4713">
        <w:rPr>
          <w:rFonts w:ascii="Arial" w:hAnsi="Arial" w:cs="Arial"/>
          <w:bCs/>
          <w:sz w:val="18"/>
          <w:szCs w:val="18"/>
        </w:rPr>
        <w:t>LFL sales represent</w:t>
      </w:r>
      <w:r w:rsidR="00CC7A94">
        <w:rPr>
          <w:rFonts w:ascii="Arial" w:hAnsi="Arial" w:cs="Arial"/>
          <w:bCs/>
          <w:sz w:val="18"/>
          <w:szCs w:val="18"/>
        </w:rPr>
        <w:t>s</w:t>
      </w:r>
      <w:r w:rsidRPr="00BD4713">
        <w:rPr>
          <w:rFonts w:ascii="Arial" w:hAnsi="Arial" w:cs="Arial"/>
          <w:bCs/>
          <w:sz w:val="18"/>
          <w:szCs w:val="18"/>
        </w:rPr>
        <w:t xml:space="preserve"> the </w:t>
      </w:r>
      <w:r w:rsidR="00CC7A94">
        <w:rPr>
          <w:rFonts w:ascii="Arial" w:hAnsi="Arial" w:cs="Arial"/>
          <w:bCs/>
          <w:sz w:val="18"/>
          <w:szCs w:val="18"/>
        </w:rPr>
        <w:t xml:space="preserve">calendar month February </w:t>
      </w:r>
      <w:r w:rsidRPr="00BD4713">
        <w:rPr>
          <w:rFonts w:ascii="Arial" w:hAnsi="Arial" w:cs="Arial"/>
          <w:bCs/>
          <w:sz w:val="18"/>
          <w:szCs w:val="18"/>
        </w:rPr>
        <w:t>202</w:t>
      </w:r>
      <w:r w:rsidR="00F409E2">
        <w:rPr>
          <w:rFonts w:ascii="Arial" w:hAnsi="Arial" w:cs="Arial"/>
          <w:bCs/>
          <w:sz w:val="18"/>
          <w:szCs w:val="18"/>
        </w:rPr>
        <w:t>3</w:t>
      </w:r>
      <w:r w:rsidRPr="00BD4713">
        <w:rPr>
          <w:rFonts w:ascii="Arial" w:hAnsi="Arial" w:cs="Arial"/>
          <w:bCs/>
          <w:sz w:val="18"/>
          <w:szCs w:val="18"/>
        </w:rPr>
        <w:t xml:space="preserve"> compared against </w:t>
      </w:r>
      <w:r w:rsidR="00CC7A94">
        <w:rPr>
          <w:rFonts w:ascii="Arial" w:hAnsi="Arial" w:cs="Arial"/>
          <w:bCs/>
          <w:sz w:val="18"/>
          <w:szCs w:val="18"/>
        </w:rPr>
        <w:t xml:space="preserve">February 2022, </w:t>
      </w:r>
      <w:r w:rsidR="005C6AE6">
        <w:rPr>
          <w:rFonts w:ascii="Arial" w:hAnsi="Arial" w:cs="Arial"/>
          <w:bCs/>
          <w:sz w:val="18"/>
          <w:szCs w:val="18"/>
        </w:rPr>
        <w:t>in constant currency</w:t>
      </w:r>
      <w:r w:rsidRPr="00BD4713">
        <w:rPr>
          <w:rFonts w:ascii="Arial" w:hAnsi="Arial" w:cs="Arial"/>
          <w:bCs/>
          <w:sz w:val="18"/>
          <w:szCs w:val="18"/>
        </w:rPr>
        <w:t>. The figure</w:t>
      </w:r>
      <w:r w:rsidR="005C6AE6">
        <w:rPr>
          <w:rFonts w:ascii="Arial" w:hAnsi="Arial" w:cs="Arial"/>
          <w:bCs/>
          <w:sz w:val="18"/>
          <w:szCs w:val="18"/>
        </w:rPr>
        <w:t>s</w:t>
      </w:r>
      <w:r w:rsidRPr="00BD4713">
        <w:rPr>
          <w:rFonts w:ascii="Arial" w:hAnsi="Arial" w:cs="Arial"/>
          <w:bCs/>
          <w:sz w:val="18"/>
          <w:szCs w:val="18"/>
        </w:rPr>
        <w:t xml:space="preserve"> </w:t>
      </w:r>
      <w:r w:rsidR="005C6AE6">
        <w:rPr>
          <w:rFonts w:ascii="Arial" w:hAnsi="Arial" w:cs="Arial"/>
          <w:bCs/>
          <w:sz w:val="18"/>
          <w:szCs w:val="18"/>
        </w:rPr>
        <w:t xml:space="preserve">are </w:t>
      </w:r>
      <w:r w:rsidRPr="00BD4713">
        <w:rPr>
          <w:rFonts w:ascii="Arial" w:hAnsi="Arial" w:cs="Arial"/>
          <w:bCs/>
          <w:sz w:val="18"/>
          <w:szCs w:val="18"/>
        </w:rPr>
        <w:t>provisional.</w:t>
      </w:r>
    </w:p>
    <w:p w14:paraId="60C9D407" w14:textId="77777777" w:rsidR="00D04AA1" w:rsidRDefault="00D04AA1" w:rsidP="00D04AA1">
      <w:pPr>
        <w:jc w:val="left"/>
        <w:rPr>
          <w:rFonts w:ascii="Arial" w:hAnsi="Arial" w:cs="Arial"/>
          <w:bCs/>
          <w:sz w:val="18"/>
          <w:szCs w:val="18"/>
        </w:rPr>
      </w:pPr>
    </w:p>
    <w:p w14:paraId="39D7F8B2" w14:textId="77777777" w:rsidR="00D04AA1" w:rsidRPr="00F33A20" w:rsidRDefault="00D04AA1" w:rsidP="00D04AA1">
      <w:pPr>
        <w:jc w:val="left"/>
        <w:rPr>
          <w:rFonts w:ascii="Arial" w:hAnsi="Arial" w:cs="Arial"/>
          <w:bCs/>
          <w:sz w:val="18"/>
          <w:szCs w:val="18"/>
        </w:rPr>
      </w:pPr>
    </w:p>
    <w:p w14:paraId="2B3BE497" w14:textId="1F82B93D" w:rsidR="00D04AA1" w:rsidRDefault="00D04AA1" w:rsidP="00D04AA1">
      <w:pPr>
        <w:jc w:val="left"/>
        <w:rPr>
          <w:rFonts w:ascii="Arial" w:hAnsi="Arial" w:cs="Arial"/>
          <w:bCs/>
          <w:sz w:val="18"/>
          <w:szCs w:val="18"/>
        </w:rPr>
      </w:pPr>
      <w:r>
        <w:rPr>
          <w:rFonts w:ascii="Arial" w:hAnsi="Arial" w:cs="Arial"/>
          <w:bCs/>
          <w:sz w:val="18"/>
          <w:szCs w:val="18"/>
        </w:rPr>
        <w:br w:type="page"/>
      </w:r>
    </w:p>
    <w:p w14:paraId="2B18A2D7" w14:textId="77777777" w:rsidR="00DA1CC3" w:rsidRPr="001C26C2" w:rsidRDefault="00DA1CC3" w:rsidP="00DA1CC3">
      <w:pPr>
        <w:pBdr>
          <w:top w:val="single" w:sz="4" w:space="1" w:color="auto"/>
          <w:left w:val="single" w:sz="4" w:space="4" w:color="auto"/>
          <w:bottom w:val="single" w:sz="4" w:space="1" w:color="auto"/>
          <w:right w:val="single" w:sz="4" w:space="4" w:color="auto"/>
        </w:pBdr>
        <w:shd w:val="clear" w:color="auto" w:fill="0070C0"/>
        <w:jc w:val="left"/>
        <w:rPr>
          <w:rFonts w:ascii="Arial" w:hAnsi="Arial" w:cs="Arial"/>
          <w:b/>
          <w:bCs/>
          <w:color w:val="FFFFFF" w:themeColor="background1"/>
        </w:rPr>
      </w:pPr>
      <w:r w:rsidRPr="001C26C2">
        <w:rPr>
          <w:rFonts w:ascii="Arial" w:hAnsi="Arial" w:cs="Arial"/>
          <w:b/>
          <w:bCs/>
          <w:color w:val="FFFFFF" w:themeColor="background1"/>
        </w:rPr>
        <w:lastRenderedPageBreak/>
        <w:t>Section 2: Group update (including ‘Powered by Kingfisher’ strategic plan)</w:t>
      </w:r>
    </w:p>
    <w:p w14:paraId="6B2BEA38" w14:textId="49203A5E" w:rsidR="00DA1CC3" w:rsidRDefault="00DA1CC3" w:rsidP="00DA1CC3">
      <w:pPr>
        <w:jc w:val="left"/>
        <w:rPr>
          <w:rFonts w:ascii="Arial" w:hAnsi="Arial" w:cs="Arial"/>
        </w:rPr>
      </w:pPr>
    </w:p>
    <w:p w14:paraId="3E33F88B" w14:textId="77777777" w:rsidR="00EC20AB" w:rsidRPr="00EB53AD" w:rsidRDefault="00EC20AB" w:rsidP="00EC20AB">
      <w:pPr>
        <w:jc w:val="left"/>
        <w:rPr>
          <w:rFonts w:ascii="Arial" w:hAnsi="Arial" w:cs="Arial"/>
          <w:b/>
          <w:bCs/>
        </w:rPr>
      </w:pPr>
      <w:r w:rsidRPr="00BF5EAC">
        <w:rPr>
          <w:rFonts w:ascii="Arial" w:hAnsi="Arial" w:cs="Arial"/>
          <w:b/>
          <w:bCs/>
        </w:rPr>
        <w:t>At Kingfisher, we believe a better world starts with better homes.</w:t>
      </w:r>
    </w:p>
    <w:p w14:paraId="6AD2CBF4" w14:textId="79050856" w:rsidR="00EC20AB" w:rsidRPr="00EB53AD" w:rsidRDefault="00EC20AB" w:rsidP="00EC20AB">
      <w:pPr>
        <w:jc w:val="left"/>
        <w:rPr>
          <w:rFonts w:ascii="Arial" w:hAnsi="Arial" w:cs="Arial"/>
        </w:rPr>
      </w:pPr>
    </w:p>
    <w:p w14:paraId="33E73937" w14:textId="77777777" w:rsidR="00EC20AB" w:rsidRPr="00EB53AD" w:rsidRDefault="00EC20AB" w:rsidP="00EC20AB">
      <w:pPr>
        <w:jc w:val="left"/>
        <w:rPr>
          <w:rFonts w:ascii="Arial" w:hAnsi="Arial" w:cs="Arial"/>
        </w:rPr>
      </w:pPr>
      <w:r w:rsidRPr="00EB53AD">
        <w:rPr>
          <w:rFonts w:ascii="Arial" w:hAnsi="Arial" w:cs="Arial"/>
        </w:rPr>
        <w:t xml:space="preserve">In June 2020, we announced our strategic plan – </w:t>
      </w:r>
      <w:r w:rsidRPr="00EB53AD">
        <w:rPr>
          <w:rFonts w:ascii="Arial" w:hAnsi="Arial" w:cs="Arial"/>
          <w:b/>
          <w:bCs/>
        </w:rPr>
        <w:t>‘Powered by Kingfisher’</w:t>
      </w:r>
      <w:r w:rsidRPr="00EB53AD">
        <w:rPr>
          <w:rFonts w:ascii="Arial" w:hAnsi="Arial" w:cs="Arial"/>
        </w:rPr>
        <w:t xml:space="preserve">. This plan aims to maximise the benefits of combining our </w:t>
      </w:r>
      <w:r w:rsidRPr="00EB53AD">
        <w:rPr>
          <w:rFonts w:ascii="Arial" w:hAnsi="Arial" w:cs="Arial"/>
          <w:b/>
        </w:rPr>
        <w:t>distinct retail banners</w:t>
      </w:r>
      <w:r w:rsidRPr="00EB53AD">
        <w:rPr>
          <w:rFonts w:ascii="Arial" w:hAnsi="Arial" w:cs="Arial"/>
          <w:bCs/>
        </w:rPr>
        <w:t xml:space="preserve"> (which serve a range of different customer needs) with the </w:t>
      </w:r>
      <w:r w:rsidRPr="00EB53AD">
        <w:rPr>
          <w:rFonts w:ascii="Arial" w:hAnsi="Arial" w:cs="Arial"/>
          <w:b/>
        </w:rPr>
        <w:t>scale, strength and expertise of the Kingfisher Group</w:t>
      </w:r>
      <w:r w:rsidRPr="00EB53AD">
        <w:rPr>
          <w:rFonts w:ascii="Arial" w:hAnsi="Arial" w:cs="Arial"/>
        </w:rPr>
        <w:t xml:space="preserve">. We believe this combination, effected through a balanced local-Group operating model, enables us to deliver on our purpose of helping to make better homes accessible for everyone, while addressing the many profitable growth opportunities we see in the home improvement market. </w:t>
      </w:r>
    </w:p>
    <w:p w14:paraId="488ACA46" w14:textId="77777777" w:rsidR="00EC20AB" w:rsidRPr="00EB53AD" w:rsidRDefault="00EC20AB" w:rsidP="00EC20AB">
      <w:pPr>
        <w:jc w:val="left"/>
        <w:rPr>
          <w:rFonts w:ascii="Arial" w:hAnsi="Arial" w:cs="Arial"/>
          <w:bCs/>
        </w:rPr>
      </w:pPr>
    </w:p>
    <w:p w14:paraId="0F7EAA5C" w14:textId="77777777" w:rsidR="00EC20AB" w:rsidRPr="00EB53AD" w:rsidRDefault="00EC20AB" w:rsidP="00EC20AB">
      <w:pPr>
        <w:jc w:val="left"/>
        <w:rPr>
          <w:rFonts w:ascii="Arial" w:hAnsi="Arial" w:cs="Arial"/>
        </w:rPr>
      </w:pPr>
      <w:r w:rsidRPr="00EB53AD">
        <w:rPr>
          <w:rFonts w:ascii="Arial" w:hAnsi="Arial" w:cs="Arial"/>
        </w:rPr>
        <w:t xml:space="preserve">The differentiation of our retail banners across trade (Screwfix, TradePoint), discounters (Brico Dépôt France, Brico Dépôt Iberia), and more general DIY needs (B&amp;Q, Castorama France, Castorama Poland, Brico Dépôt Romania, Koçtaş) is a unique strength for us; more so in a more volatile and uncertain world. </w:t>
      </w:r>
    </w:p>
    <w:p w14:paraId="095A577A" w14:textId="77777777" w:rsidR="00EC20AB" w:rsidRPr="00EB53AD" w:rsidRDefault="00EC20AB" w:rsidP="00EC20AB">
      <w:pPr>
        <w:jc w:val="left"/>
        <w:rPr>
          <w:rFonts w:ascii="Arial" w:hAnsi="Arial" w:cs="Arial"/>
        </w:rPr>
      </w:pPr>
    </w:p>
    <w:p w14:paraId="69DAA4CE" w14:textId="77777777" w:rsidR="00EC20AB" w:rsidRPr="00EB53AD" w:rsidRDefault="00EC20AB" w:rsidP="00EC20AB">
      <w:pPr>
        <w:jc w:val="left"/>
        <w:rPr>
          <w:rFonts w:ascii="Arial" w:hAnsi="Arial" w:cs="Arial"/>
        </w:rPr>
      </w:pPr>
      <w:r w:rsidRPr="00EB53AD">
        <w:rPr>
          <w:rFonts w:ascii="Arial" w:hAnsi="Arial" w:cs="Arial"/>
        </w:rPr>
        <w:t xml:space="preserve">Equally, Kingfisher’s scale and resources are a critical source of competitive advantage for our banners, providing Group-wide OEB product development and supply, leading-edge technology platforms and digital capabilities, international sourcing and buying scale, data-driven tools, products &amp; services, shared services and best practices, and cost and inventory management support. </w:t>
      </w:r>
    </w:p>
    <w:p w14:paraId="03F1699A" w14:textId="77777777" w:rsidR="00EC20AB" w:rsidRPr="00EB53AD" w:rsidRDefault="00EC20AB" w:rsidP="00EC20AB">
      <w:pPr>
        <w:jc w:val="left"/>
        <w:rPr>
          <w:rFonts w:ascii="Arial" w:hAnsi="Arial" w:cs="Arial"/>
        </w:rPr>
      </w:pPr>
    </w:p>
    <w:p w14:paraId="5F6CE899" w14:textId="1477DD13" w:rsidR="00EC20AB" w:rsidRPr="00EB53AD" w:rsidRDefault="00EC20AB" w:rsidP="00EC20AB">
      <w:pPr>
        <w:jc w:val="left"/>
        <w:rPr>
          <w:rFonts w:ascii="Arial" w:hAnsi="Arial" w:cs="Arial"/>
          <w:bCs/>
        </w:rPr>
      </w:pPr>
      <w:r w:rsidRPr="00EB53AD">
        <w:rPr>
          <w:rFonts w:ascii="Arial" w:hAnsi="Arial" w:cs="Arial"/>
        </w:rPr>
        <w:t xml:space="preserve">We are pleased with the progress we have made over the last three years. The business has executed strongly against its core strategic priorities in order to power its retail banners, leading to stronger propositions for our customers and market share growth. Sales </w:t>
      </w:r>
      <w:r w:rsidRPr="00EB53AD">
        <w:rPr>
          <w:rFonts w:ascii="Arial" w:hAnsi="Arial" w:cs="Arial"/>
          <w:bCs/>
        </w:rPr>
        <w:t xml:space="preserve">growth in the UK, France and Poland, which together represent </w:t>
      </w:r>
      <w:r w:rsidR="00DE52F2">
        <w:rPr>
          <w:rFonts w:ascii="Arial" w:hAnsi="Arial" w:cs="Arial"/>
          <w:bCs/>
        </w:rPr>
        <w:t>c.</w:t>
      </w:r>
      <w:r w:rsidRPr="00EB53AD">
        <w:rPr>
          <w:rFonts w:ascii="Arial" w:hAnsi="Arial" w:cs="Arial"/>
          <w:bCs/>
        </w:rPr>
        <w:t>95% of Kingfisher’s sales, has outperformed the growth of the home improvement industry, with a 3-year total sales CAGR of 5.9% compared to a market CAGR of 4.9%.</w:t>
      </w:r>
    </w:p>
    <w:p w14:paraId="70242380" w14:textId="77777777" w:rsidR="00EC20AB" w:rsidRPr="00EB53AD" w:rsidRDefault="00EC20AB" w:rsidP="00EC20AB">
      <w:pPr>
        <w:jc w:val="left"/>
        <w:rPr>
          <w:rFonts w:ascii="Arial" w:hAnsi="Arial" w:cs="Arial"/>
          <w:bCs/>
        </w:rPr>
      </w:pPr>
    </w:p>
    <w:p w14:paraId="3572D13F" w14:textId="331F45FB" w:rsidR="00EC20AB" w:rsidRPr="00EB53AD" w:rsidRDefault="00EC20AB" w:rsidP="00EC20AB">
      <w:pPr>
        <w:jc w:val="left"/>
        <w:rPr>
          <w:rFonts w:ascii="Arial" w:hAnsi="Arial" w:cs="Arial"/>
        </w:rPr>
      </w:pPr>
      <w:r w:rsidRPr="00EB53AD">
        <w:rPr>
          <w:rFonts w:ascii="Arial" w:hAnsi="Arial" w:cs="Arial"/>
        </w:rPr>
        <w:t>This has been achieved against the backdrop of an extraordinary operating environment, which has presented challenges as well as opportunities for our business. Reflect</w:t>
      </w:r>
      <w:r w:rsidR="00A84630">
        <w:rPr>
          <w:rFonts w:ascii="Arial" w:hAnsi="Arial" w:cs="Arial"/>
        </w:rPr>
        <w:t>ing</w:t>
      </w:r>
      <w:r w:rsidRPr="00EB53AD">
        <w:rPr>
          <w:rFonts w:ascii="Arial" w:hAnsi="Arial" w:cs="Arial"/>
        </w:rPr>
        <w:t xml:space="preserve"> the fast-moving world in which we live, we’ve adapted our strategic focus areas to ensure data, trade, culture and agility are given increased prominence and focus, and to better align to our investments for growth in multiple areas of the business.</w:t>
      </w:r>
    </w:p>
    <w:p w14:paraId="10D23F86" w14:textId="77777777" w:rsidR="00EC20AB" w:rsidRPr="00EB53AD" w:rsidRDefault="00EC20AB" w:rsidP="00EC20AB">
      <w:pPr>
        <w:jc w:val="left"/>
        <w:rPr>
          <w:rFonts w:ascii="Arial" w:hAnsi="Arial" w:cs="Arial"/>
        </w:rPr>
      </w:pPr>
    </w:p>
    <w:p w14:paraId="6CDB9ECA" w14:textId="3BFAFC7A" w:rsidR="00EC20AB" w:rsidRPr="00EB53AD" w:rsidRDefault="00EC20AB" w:rsidP="00EC20AB">
      <w:pPr>
        <w:jc w:val="left"/>
        <w:rPr>
          <w:rFonts w:ascii="Arial" w:hAnsi="Arial" w:cs="Arial"/>
        </w:rPr>
      </w:pPr>
      <w:bookmarkStart w:id="23" w:name="_Hlk80620100"/>
      <w:bookmarkStart w:id="24" w:name="_Hlk80620086"/>
      <w:r w:rsidRPr="00EB53AD">
        <w:rPr>
          <w:rFonts w:ascii="Arial" w:hAnsi="Arial" w:cs="Arial"/>
        </w:rPr>
        <w:t xml:space="preserve">The following section covers the progress made to date against our key strategic focus areas under the refreshed pillars of </w:t>
      </w:r>
      <w:r w:rsidRPr="005D6FF5">
        <w:rPr>
          <w:rFonts w:ascii="Arial" w:hAnsi="Arial"/>
          <w:b/>
        </w:rPr>
        <w:t>‘Powered by Kingfisher’</w:t>
      </w:r>
      <w:r w:rsidRPr="00EB53AD">
        <w:rPr>
          <w:rFonts w:ascii="Arial" w:hAnsi="Arial" w:cs="Arial"/>
        </w:rPr>
        <w:t xml:space="preserve">: </w:t>
      </w:r>
    </w:p>
    <w:bookmarkEnd w:id="23"/>
    <w:p w14:paraId="4067A48B" w14:textId="77777777" w:rsidR="00EC20AB" w:rsidRPr="00EB53AD" w:rsidRDefault="00EC20AB" w:rsidP="00EC20AB">
      <w:pPr>
        <w:jc w:val="left"/>
        <w:rPr>
          <w:rFonts w:ascii="Arial" w:hAnsi="Arial" w:cs="Arial"/>
        </w:rPr>
      </w:pPr>
    </w:p>
    <w:p w14:paraId="63203765" w14:textId="77777777" w:rsidR="00EC20AB" w:rsidRPr="00EB53AD" w:rsidRDefault="00EC20AB" w:rsidP="00EC20AB">
      <w:pPr>
        <w:numPr>
          <w:ilvl w:val="0"/>
          <w:numId w:val="20"/>
        </w:numPr>
        <w:tabs>
          <w:tab w:val="clear" w:pos="2140"/>
          <w:tab w:val="num" w:pos="1843"/>
        </w:tabs>
        <w:ind w:left="357" w:hanging="357"/>
        <w:jc w:val="left"/>
        <w:rPr>
          <w:rFonts w:ascii="Arial" w:hAnsi="Arial" w:cs="Arial"/>
          <w:b/>
        </w:rPr>
      </w:pPr>
      <w:r w:rsidRPr="00EB53AD">
        <w:rPr>
          <w:rFonts w:ascii="Arial" w:hAnsi="Arial" w:cs="Arial"/>
          <w:b/>
        </w:rPr>
        <w:t>Grow by building on our different banners</w:t>
      </w:r>
    </w:p>
    <w:p w14:paraId="65FA01CB" w14:textId="77777777" w:rsidR="00EC20AB" w:rsidRPr="00EB53AD" w:rsidRDefault="00EC20AB" w:rsidP="00EC20AB">
      <w:pPr>
        <w:numPr>
          <w:ilvl w:val="0"/>
          <w:numId w:val="20"/>
        </w:numPr>
        <w:tabs>
          <w:tab w:val="clear" w:pos="2140"/>
          <w:tab w:val="num" w:pos="1843"/>
        </w:tabs>
        <w:ind w:left="357" w:hanging="357"/>
        <w:jc w:val="left"/>
        <w:rPr>
          <w:rFonts w:ascii="Arial" w:hAnsi="Arial" w:cs="Arial"/>
          <w:b/>
        </w:rPr>
      </w:pPr>
      <w:r w:rsidRPr="00EB53AD">
        <w:rPr>
          <w:rFonts w:ascii="Arial" w:hAnsi="Arial" w:cs="Arial"/>
          <w:b/>
        </w:rPr>
        <w:t>Accelerate e-commerce through speed and choice</w:t>
      </w:r>
    </w:p>
    <w:p w14:paraId="4323BC5C" w14:textId="77777777" w:rsidR="00EC20AB" w:rsidRPr="00EB53AD" w:rsidRDefault="00EC20AB" w:rsidP="00EC20AB">
      <w:pPr>
        <w:numPr>
          <w:ilvl w:val="0"/>
          <w:numId w:val="20"/>
        </w:numPr>
        <w:tabs>
          <w:tab w:val="clear" w:pos="2140"/>
          <w:tab w:val="num" w:pos="1843"/>
        </w:tabs>
        <w:ind w:left="357" w:hanging="357"/>
        <w:jc w:val="left"/>
        <w:rPr>
          <w:rFonts w:ascii="Arial" w:hAnsi="Arial" w:cs="Arial"/>
          <w:b/>
        </w:rPr>
      </w:pPr>
      <w:r w:rsidRPr="00EB53AD">
        <w:rPr>
          <w:rFonts w:ascii="Arial" w:hAnsi="Arial" w:cs="Arial"/>
          <w:b/>
        </w:rPr>
        <w:t>Build a data-led customer experience</w:t>
      </w:r>
    </w:p>
    <w:p w14:paraId="4CFDF9AD" w14:textId="77777777" w:rsidR="00EC20AB" w:rsidRPr="00EB53AD" w:rsidRDefault="00EC20AB" w:rsidP="00EC20AB">
      <w:pPr>
        <w:numPr>
          <w:ilvl w:val="0"/>
          <w:numId w:val="20"/>
        </w:numPr>
        <w:tabs>
          <w:tab w:val="clear" w:pos="2140"/>
          <w:tab w:val="num" w:pos="1843"/>
        </w:tabs>
        <w:ind w:left="357" w:hanging="357"/>
        <w:jc w:val="left"/>
        <w:rPr>
          <w:rFonts w:ascii="Arial" w:hAnsi="Arial" w:cs="Arial"/>
          <w:b/>
        </w:rPr>
      </w:pPr>
      <w:r w:rsidRPr="00EB53AD">
        <w:rPr>
          <w:rFonts w:ascii="Arial" w:hAnsi="Arial" w:cs="Arial"/>
          <w:b/>
        </w:rPr>
        <w:t>Differentiate and win through own exclusive brands (OEB)</w:t>
      </w:r>
    </w:p>
    <w:p w14:paraId="46603D09" w14:textId="77777777" w:rsidR="00EC20AB" w:rsidRPr="00EB53AD" w:rsidRDefault="00EC20AB" w:rsidP="00EC20AB">
      <w:pPr>
        <w:numPr>
          <w:ilvl w:val="0"/>
          <w:numId w:val="20"/>
        </w:numPr>
        <w:tabs>
          <w:tab w:val="clear" w:pos="2140"/>
          <w:tab w:val="num" w:pos="1843"/>
        </w:tabs>
        <w:ind w:left="357" w:hanging="357"/>
        <w:jc w:val="left"/>
        <w:rPr>
          <w:rFonts w:ascii="Arial" w:hAnsi="Arial" w:cs="Arial"/>
          <w:b/>
        </w:rPr>
      </w:pPr>
      <w:r w:rsidRPr="00EB53AD">
        <w:rPr>
          <w:rFonts w:ascii="Arial" w:hAnsi="Arial" w:cs="Arial"/>
          <w:b/>
        </w:rPr>
        <w:t>Develop our trade business</w:t>
      </w:r>
    </w:p>
    <w:p w14:paraId="75125E47" w14:textId="77777777" w:rsidR="00EC20AB" w:rsidRPr="00EB53AD" w:rsidRDefault="00EC20AB" w:rsidP="00EC20AB">
      <w:pPr>
        <w:numPr>
          <w:ilvl w:val="0"/>
          <w:numId w:val="20"/>
        </w:numPr>
        <w:tabs>
          <w:tab w:val="clear" w:pos="2140"/>
          <w:tab w:val="num" w:pos="1843"/>
        </w:tabs>
        <w:ind w:left="357" w:hanging="357"/>
        <w:jc w:val="left"/>
        <w:rPr>
          <w:rFonts w:ascii="Arial" w:hAnsi="Arial" w:cs="Arial"/>
          <w:b/>
        </w:rPr>
      </w:pPr>
      <w:r w:rsidRPr="00EB53AD">
        <w:rPr>
          <w:rFonts w:ascii="Arial" w:hAnsi="Arial" w:cs="Arial"/>
          <w:b/>
        </w:rPr>
        <w:t>Roll out compact store formats</w:t>
      </w:r>
    </w:p>
    <w:p w14:paraId="5CB7CC18" w14:textId="77777777" w:rsidR="00EC20AB" w:rsidRPr="00EB53AD" w:rsidRDefault="00EC20AB" w:rsidP="00EC20AB">
      <w:pPr>
        <w:numPr>
          <w:ilvl w:val="0"/>
          <w:numId w:val="20"/>
        </w:numPr>
        <w:tabs>
          <w:tab w:val="clear" w:pos="2140"/>
          <w:tab w:val="num" w:pos="1843"/>
        </w:tabs>
        <w:ind w:left="357" w:hanging="357"/>
        <w:jc w:val="left"/>
        <w:rPr>
          <w:rFonts w:ascii="Arial" w:hAnsi="Arial" w:cs="Arial"/>
          <w:b/>
        </w:rPr>
      </w:pPr>
      <w:r w:rsidRPr="00EB53AD">
        <w:rPr>
          <w:rFonts w:ascii="Arial" w:hAnsi="Arial" w:cs="Arial"/>
          <w:b/>
        </w:rPr>
        <w:t>Lead the industry in Responsible Business and energy efficiency</w:t>
      </w:r>
    </w:p>
    <w:p w14:paraId="121D89C4" w14:textId="77777777" w:rsidR="00EC20AB" w:rsidRPr="00EB53AD" w:rsidRDefault="00EC20AB" w:rsidP="00EC20AB">
      <w:pPr>
        <w:numPr>
          <w:ilvl w:val="0"/>
          <w:numId w:val="20"/>
        </w:numPr>
        <w:tabs>
          <w:tab w:val="clear" w:pos="2140"/>
          <w:tab w:val="num" w:pos="1843"/>
        </w:tabs>
        <w:ind w:left="357" w:hanging="357"/>
        <w:jc w:val="left"/>
        <w:rPr>
          <w:rFonts w:ascii="Arial" w:hAnsi="Arial" w:cs="Arial"/>
          <w:b/>
          <w:u w:val="single"/>
        </w:rPr>
      </w:pPr>
      <w:r w:rsidRPr="00EB53AD">
        <w:rPr>
          <w:rFonts w:ascii="Arial" w:hAnsi="Arial" w:cs="Arial"/>
          <w:b/>
        </w:rPr>
        <w:t>Human, agile and lean</w:t>
      </w:r>
      <w:bookmarkStart w:id="25" w:name="_Hlk80620298"/>
      <w:bookmarkEnd w:id="24"/>
    </w:p>
    <w:p w14:paraId="123ADDE7" w14:textId="77777777" w:rsidR="00EC20AB" w:rsidRPr="005D6FF5" w:rsidRDefault="00EC20AB" w:rsidP="00EC20AB">
      <w:pPr>
        <w:jc w:val="left"/>
        <w:rPr>
          <w:rFonts w:ascii="Arial" w:hAnsi="Arial"/>
        </w:rPr>
      </w:pPr>
    </w:p>
    <w:p w14:paraId="775F9525" w14:textId="77777777" w:rsidR="00EC20AB" w:rsidRPr="00EB53AD" w:rsidRDefault="00EC20AB" w:rsidP="00EC20AB">
      <w:pPr>
        <w:numPr>
          <w:ilvl w:val="0"/>
          <w:numId w:val="23"/>
        </w:numPr>
        <w:jc w:val="left"/>
        <w:rPr>
          <w:rFonts w:ascii="Arial" w:hAnsi="Arial" w:cs="Arial"/>
          <w:b/>
          <w:u w:val="single"/>
        </w:rPr>
      </w:pPr>
      <w:r w:rsidRPr="00EB53AD">
        <w:rPr>
          <w:rFonts w:ascii="Arial" w:hAnsi="Arial" w:cs="Arial"/>
          <w:b/>
          <w:u w:val="single"/>
        </w:rPr>
        <w:t>Grow by building on our different banners</w:t>
      </w:r>
    </w:p>
    <w:p w14:paraId="28E9AF6B" w14:textId="77777777" w:rsidR="00EC20AB" w:rsidRPr="00EB53AD" w:rsidRDefault="00EC20AB" w:rsidP="00EC20AB">
      <w:pPr>
        <w:jc w:val="left"/>
        <w:rPr>
          <w:rFonts w:ascii="Arial" w:hAnsi="Arial" w:cs="Arial"/>
          <w:i/>
          <w:iCs/>
        </w:rPr>
      </w:pPr>
      <w:r w:rsidRPr="00EB53AD">
        <w:rPr>
          <w:rFonts w:ascii="Arial" w:hAnsi="Arial" w:cs="Arial"/>
          <w:i/>
          <w:iCs/>
        </w:rPr>
        <w:t xml:space="preserve">Our retail banners occupy number one or two positions in all our key markets. </w:t>
      </w:r>
      <w:r w:rsidRPr="00EB53AD">
        <w:rPr>
          <w:rFonts w:ascii="Arial" w:hAnsi="Arial" w:cs="Arial"/>
          <w:i/>
          <w:iCs/>
          <w:lang w:val="en-US"/>
        </w:rPr>
        <w:t xml:space="preserve">These banners address a diverse range of customer needs, each operating different models tailored to these needs, with clear positionings and plans. Our </w:t>
      </w:r>
      <w:r w:rsidRPr="00EB53AD">
        <w:rPr>
          <w:rFonts w:ascii="Arial" w:hAnsi="Arial" w:cs="Arial"/>
          <w:i/>
          <w:iCs/>
        </w:rPr>
        <w:t>goal is to grow by building on our different formats in existing and new markets, leveraging the power of Kingfisher.</w:t>
      </w:r>
    </w:p>
    <w:p w14:paraId="27FB62D4" w14:textId="77777777" w:rsidR="00EC20AB" w:rsidRPr="00EB53AD" w:rsidRDefault="00EC20AB" w:rsidP="00EC20AB">
      <w:pPr>
        <w:jc w:val="left"/>
        <w:rPr>
          <w:rFonts w:ascii="Arial" w:hAnsi="Arial" w:cs="Arial"/>
        </w:rPr>
      </w:pPr>
    </w:p>
    <w:p w14:paraId="720B3960" w14:textId="77777777" w:rsidR="00EC20AB" w:rsidRPr="00EB53AD" w:rsidRDefault="00EC20AB" w:rsidP="00EC20AB">
      <w:pPr>
        <w:jc w:val="left"/>
        <w:rPr>
          <w:rFonts w:ascii="Arial" w:hAnsi="Arial" w:cs="Arial"/>
        </w:rPr>
      </w:pPr>
      <w:r w:rsidRPr="00EB53AD">
        <w:rPr>
          <w:rFonts w:ascii="Arial" w:hAnsi="Arial" w:cs="Arial"/>
        </w:rPr>
        <w:t>With the business in a strong position, our banners are investing for growth.</w:t>
      </w:r>
    </w:p>
    <w:p w14:paraId="33A51A54" w14:textId="77777777" w:rsidR="00EC20AB" w:rsidRPr="00EB53AD" w:rsidRDefault="00EC20AB" w:rsidP="00EC20AB">
      <w:pPr>
        <w:jc w:val="left"/>
        <w:rPr>
          <w:rFonts w:ascii="Arial" w:hAnsi="Arial" w:cs="Arial"/>
        </w:rPr>
      </w:pPr>
    </w:p>
    <w:p w14:paraId="0139E86C" w14:textId="46C9C599" w:rsidR="00BD2BFA" w:rsidRDefault="00EC20AB" w:rsidP="00BD2BFA">
      <w:pPr>
        <w:jc w:val="left"/>
        <w:rPr>
          <w:rFonts w:ascii="Arial" w:hAnsi="Arial" w:cs="Arial"/>
        </w:rPr>
      </w:pPr>
      <w:r w:rsidRPr="00EB53AD">
        <w:rPr>
          <w:rFonts w:ascii="Arial" w:hAnsi="Arial" w:cs="Arial"/>
        </w:rPr>
        <w:t>B&amp;Q (UK &amp; Ireland) and Castorama (France) continue to build world-class omni-channel proposition</w:t>
      </w:r>
      <w:r w:rsidR="00FE7A14">
        <w:rPr>
          <w:rFonts w:ascii="Arial" w:hAnsi="Arial" w:cs="Arial"/>
        </w:rPr>
        <w:t>s</w:t>
      </w:r>
      <w:r w:rsidRPr="00EB53AD">
        <w:rPr>
          <w:rFonts w:ascii="Arial" w:hAnsi="Arial" w:cs="Arial"/>
        </w:rPr>
        <w:t xml:space="preserve"> for DIY, DIFM and trade customers alike, with stores at the heart of their strategies. For B&amp;Q in the UK, we believe there are </w:t>
      </w:r>
      <w:r w:rsidR="00385419">
        <w:rPr>
          <w:rFonts w:ascii="Arial" w:hAnsi="Arial" w:cs="Arial"/>
        </w:rPr>
        <w:t xml:space="preserve">around </w:t>
      </w:r>
      <w:r w:rsidRPr="00EB53AD">
        <w:rPr>
          <w:rFonts w:ascii="Arial" w:hAnsi="Arial" w:cs="Arial"/>
        </w:rPr>
        <w:t xml:space="preserve">50 catchments or geographic ‘white spaces’ where </w:t>
      </w:r>
      <w:r w:rsidR="00DA60AB">
        <w:rPr>
          <w:rFonts w:ascii="Arial" w:hAnsi="Arial" w:cs="Arial"/>
        </w:rPr>
        <w:t xml:space="preserve">B&amp;Q is currently </w:t>
      </w:r>
      <w:r w:rsidR="00385419">
        <w:rPr>
          <w:rFonts w:ascii="Arial" w:hAnsi="Arial" w:cs="Arial"/>
        </w:rPr>
        <w:t>under-represented</w:t>
      </w:r>
      <w:r w:rsidRPr="00EB53AD">
        <w:rPr>
          <w:rFonts w:ascii="Arial" w:hAnsi="Arial" w:cs="Arial"/>
        </w:rPr>
        <w:t xml:space="preserve">. Please refer to </w:t>
      </w:r>
      <w:r w:rsidRPr="00EB53AD">
        <w:rPr>
          <w:rFonts w:ascii="Arial" w:hAnsi="Arial" w:cs="Arial"/>
          <w:i/>
          <w:iCs/>
        </w:rPr>
        <w:t>‘Roll out compact store formats’</w:t>
      </w:r>
      <w:r w:rsidRPr="00EB53AD">
        <w:rPr>
          <w:rFonts w:ascii="Arial" w:hAnsi="Arial" w:cs="Arial"/>
        </w:rPr>
        <w:t xml:space="preserve"> below for further details of B&amp;Q and Castorama France’s evolving store footprint.</w:t>
      </w:r>
      <w:r w:rsidR="00BD2BFA">
        <w:rPr>
          <w:rFonts w:ascii="Arial" w:hAnsi="Arial" w:cs="Arial"/>
        </w:rPr>
        <w:br w:type="page"/>
      </w:r>
    </w:p>
    <w:p w14:paraId="6CEA23F6" w14:textId="77777777" w:rsidR="00EC20AB" w:rsidRPr="00EB53AD" w:rsidRDefault="00EC20AB" w:rsidP="00BD2BFA">
      <w:pPr>
        <w:jc w:val="left"/>
        <w:rPr>
          <w:rFonts w:ascii="Arial" w:hAnsi="Arial" w:cs="Arial"/>
        </w:rPr>
      </w:pPr>
      <w:r w:rsidRPr="00EB53AD">
        <w:rPr>
          <w:rFonts w:ascii="Arial" w:hAnsi="Arial" w:cs="Arial"/>
        </w:rPr>
        <w:lastRenderedPageBreak/>
        <w:t xml:space="preserve">B&amp;Q’s trade-focused banner, TradePoint, is the Group’s fastest growing banner over the last three years with a 3-year LFL of +31.5%, reaching </w:t>
      </w:r>
      <w:r w:rsidRPr="00EB53AD">
        <w:rPr>
          <w:rFonts w:ascii="Arial" w:hAnsi="Arial" w:cs="Arial"/>
          <w:bCs/>
        </w:rPr>
        <w:t>22% sales penetration within B&amp;Q</w:t>
      </w:r>
      <w:r w:rsidRPr="00EB53AD">
        <w:rPr>
          <w:rFonts w:ascii="Arial" w:hAnsi="Arial" w:cs="Arial"/>
        </w:rPr>
        <w:t xml:space="preserve">. The business aims to extend its presence within B&amp;Q’s existing stores in the UK, having opened 30 new trade counters over the last three years and launching in Ireland in all B&amp;Q stores in FY 22/23. Please refer to </w:t>
      </w:r>
      <w:r w:rsidRPr="00EB53AD">
        <w:rPr>
          <w:rFonts w:ascii="Arial" w:hAnsi="Arial" w:cs="Arial"/>
          <w:i/>
          <w:iCs/>
        </w:rPr>
        <w:t>‘Develop our trade business’</w:t>
      </w:r>
      <w:r w:rsidRPr="00EB53AD">
        <w:rPr>
          <w:rFonts w:ascii="Arial" w:hAnsi="Arial" w:cs="Arial"/>
        </w:rPr>
        <w:t xml:space="preserve"> below for further details of TradePoint’s progress and plans.</w:t>
      </w:r>
    </w:p>
    <w:p w14:paraId="6D72904C" w14:textId="77777777" w:rsidR="00EC20AB" w:rsidRPr="00EB53AD" w:rsidRDefault="00EC20AB" w:rsidP="00EC20AB">
      <w:pPr>
        <w:jc w:val="left"/>
        <w:rPr>
          <w:rFonts w:ascii="Arial" w:hAnsi="Arial" w:cs="Arial"/>
        </w:rPr>
      </w:pPr>
    </w:p>
    <w:p w14:paraId="5F169E3B" w14:textId="1AA5002F" w:rsidR="00EC20AB" w:rsidRPr="00EB53AD" w:rsidRDefault="00EC20AB" w:rsidP="00EC20AB">
      <w:pPr>
        <w:jc w:val="left"/>
        <w:rPr>
          <w:rFonts w:ascii="Arial" w:hAnsi="Arial" w:cs="Arial"/>
        </w:rPr>
      </w:pPr>
      <w:r w:rsidRPr="00EB53AD">
        <w:rPr>
          <w:rFonts w:ascii="Arial" w:hAnsi="Arial" w:cs="Arial"/>
        </w:rPr>
        <w:t xml:space="preserve">Further increasing engagement with trade customers is a key driver of Kingfisher’s growth ambitions. Screwfix, the UK’s number one trade retailer, continues to expand through its capital-light and high-return small format outlets. In FY 22/23 the business opened 82 stores, including 72 in the UK and 10 in Ireland, bringing the total number of stores to 872 in both countries as of 31 January 2023. Ultra-convenience remains a key differentiator for Screwfix, and the business plans to </w:t>
      </w:r>
      <w:r w:rsidRPr="00E15683">
        <w:rPr>
          <w:rFonts w:ascii="Arial" w:hAnsi="Arial" w:cs="Arial"/>
        </w:rPr>
        <w:t xml:space="preserve">open </w:t>
      </w:r>
      <w:r w:rsidRPr="00CD09A1">
        <w:rPr>
          <w:rFonts w:ascii="Arial" w:hAnsi="Arial"/>
        </w:rPr>
        <w:t>up to 60</w:t>
      </w:r>
      <w:r w:rsidRPr="00E15683">
        <w:rPr>
          <w:rFonts w:ascii="Arial" w:hAnsi="Arial" w:cs="Arial"/>
        </w:rPr>
        <w:t xml:space="preserve"> more</w:t>
      </w:r>
      <w:r w:rsidRPr="00EB53AD">
        <w:rPr>
          <w:rFonts w:ascii="Arial" w:hAnsi="Arial" w:cs="Arial"/>
        </w:rPr>
        <w:t xml:space="preserve"> stores in the UK and Ireland in FY 23/24, keeping it on track to reach its medium</w:t>
      </w:r>
      <w:r w:rsidR="006855FD">
        <w:rPr>
          <w:rFonts w:ascii="Arial" w:hAnsi="Arial" w:cs="Arial"/>
        </w:rPr>
        <w:t>-</w:t>
      </w:r>
      <w:r w:rsidRPr="00EB53AD">
        <w:rPr>
          <w:rFonts w:ascii="Arial" w:hAnsi="Arial" w:cs="Arial"/>
        </w:rPr>
        <w:t xml:space="preserve">term goal of more than 1,000 stores. </w:t>
      </w:r>
    </w:p>
    <w:p w14:paraId="01C1298F" w14:textId="77777777" w:rsidR="00EC20AB" w:rsidRPr="00EB53AD" w:rsidRDefault="00EC20AB" w:rsidP="00EC20AB">
      <w:pPr>
        <w:jc w:val="left"/>
        <w:rPr>
          <w:rFonts w:ascii="Arial" w:hAnsi="Arial" w:cs="Arial"/>
        </w:rPr>
      </w:pPr>
    </w:p>
    <w:p w14:paraId="6A640A8B" w14:textId="42C11822" w:rsidR="00EC20AB" w:rsidRPr="00A655F6" w:rsidRDefault="00EC20AB" w:rsidP="00EC20AB">
      <w:pPr>
        <w:jc w:val="left"/>
        <w:rPr>
          <w:rFonts w:ascii="Arial" w:hAnsi="Arial" w:cs="Arial"/>
        </w:rPr>
      </w:pPr>
      <w:r w:rsidRPr="00EB53AD">
        <w:rPr>
          <w:rFonts w:ascii="Arial" w:hAnsi="Arial" w:cs="Arial"/>
        </w:rPr>
        <w:t xml:space="preserve">As part of its international expansion plans, Screwfix launched as a pure-play online retailer in France in April 2021. Following encouraging results and learnings over an 18-month period, including customer NPS scores on a par </w:t>
      </w:r>
      <w:r w:rsidR="0044261E">
        <w:rPr>
          <w:rFonts w:ascii="Arial" w:hAnsi="Arial" w:cs="Arial"/>
        </w:rPr>
        <w:t xml:space="preserve">with </w:t>
      </w:r>
      <w:r w:rsidRPr="00EB53AD">
        <w:rPr>
          <w:rFonts w:ascii="Arial" w:hAnsi="Arial" w:cs="Arial"/>
        </w:rPr>
        <w:t xml:space="preserve">Screwfix UK, the business opened its first store in France in October 2022 and ended the financial year with five stores in operation. During the year, the business successfully implemented a tailored IT operating system, opened its first French distribution centre, onboarded a strong selection of local and national vendors, and accelerated its marketing efforts. In FY 23/24 the business plans to </w:t>
      </w:r>
      <w:r w:rsidRPr="006407E0">
        <w:rPr>
          <w:rFonts w:ascii="Arial" w:hAnsi="Arial" w:cs="Arial"/>
        </w:rPr>
        <w:t xml:space="preserve">open </w:t>
      </w:r>
      <w:r w:rsidRPr="005C2EAC">
        <w:rPr>
          <w:rFonts w:ascii="Arial" w:hAnsi="Arial"/>
        </w:rPr>
        <w:t>up to 25</w:t>
      </w:r>
      <w:r w:rsidRPr="006407E0">
        <w:rPr>
          <w:rFonts w:ascii="Arial" w:hAnsi="Arial" w:cs="Arial"/>
        </w:rPr>
        <w:t xml:space="preserve"> further st</w:t>
      </w:r>
      <w:r w:rsidRPr="00EB53AD">
        <w:rPr>
          <w:rFonts w:ascii="Arial" w:hAnsi="Arial" w:cs="Arial"/>
        </w:rPr>
        <w:t xml:space="preserve">ores, with the pace of these openings being determined by the trading environment, the strength of brand awareness, and the speed at which customers are embracing Screwfix’s innovative business model. The business is well </w:t>
      </w:r>
      <w:r w:rsidRPr="00A655F6">
        <w:rPr>
          <w:rFonts w:ascii="Arial" w:hAnsi="Arial" w:cs="Arial"/>
        </w:rPr>
        <w:t>positioned to start taking share from the large trade segment in France, which has an estimated total market size of over €</w:t>
      </w:r>
      <w:r w:rsidRPr="00A655F6">
        <w:rPr>
          <w:rFonts w:ascii="Arial" w:hAnsi="Arial"/>
        </w:rPr>
        <w:t>2</w:t>
      </w:r>
      <w:r w:rsidR="00C9071E" w:rsidRPr="00A655F6">
        <w:rPr>
          <w:rFonts w:ascii="Arial" w:hAnsi="Arial"/>
        </w:rPr>
        <w:t>9</w:t>
      </w:r>
      <w:r w:rsidRPr="00A655F6">
        <w:rPr>
          <w:rFonts w:ascii="Arial" w:hAnsi="Arial" w:cs="Arial"/>
        </w:rPr>
        <w:t xml:space="preserve">bn. </w:t>
      </w:r>
      <w:r w:rsidR="00593824" w:rsidRPr="00A655F6">
        <w:rPr>
          <w:rFonts w:ascii="Arial" w:hAnsi="Arial"/>
        </w:rPr>
        <w:t xml:space="preserve">We </w:t>
      </w:r>
      <w:r w:rsidR="00593824" w:rsidRPr="005C2EAC">
        <w:rPr>
          <w:rFonts w:ascii="Arial" w:hAnsi="Arial" w:cs="Arial"/>
        </w:rPr>
        <w:t>are pleased with</w:t>
      </w:r>
      <w:r w:rsidR="00593824" w:rsidRPr="00A655F6">
        <w:rPr>
          <w:rFonts w:ascii="Arial" w:hAnsi="Arial"/>
        </w:rPr>
        <w:t xml:space="preserve"> the </w:t>
      </w:r>
      <w:r w:rsidR="00593824" w:rsidRPr="005C2EAC">
        <w:rPr>
          <w:rFonts w:ascii="Arial" w:hAnsi="Arial" w:cs="Arial"/>
        </w:rPr>
        <w:t>first few months of operations and</w:t>
      </w:r>
      <w:r w:rsidR="004919FE">
        <w:rPr>
          <w:rFonts w:ascii="Arial" w:hAnsi="Arial" w:cs="Arial"/>
        </w:rPr>
        <w:t>,</w:t>
      </w:r>
      <w:r w:rsidR="00593824" w:rsidRPr="005C2EAC">
        <w:rPr>
          <w:rFonts w:ascii="Arial" w:hAnsi="Arial" w:cs="Arial"/>
        </w:rPr>
        <w:t xml:space="preserve"> assuming the success of the format is confirmed</w:t>
      </w:r>
      <w:r w:rsidR="00593824" w:rsidRPr="00A655F6">
        <w:rPr>
          <w:rFonts w:ascii="Arial" w:hAnsi="Arial"/>
        </w:rPr>
        <w:t xml:space="preserve">, </w:t>
      </w:r>
      <w:r w:rsidR="004C532F">
        <w:rPr>
          <w:rFonts w:ascii="Arial" w:hAnsi="Arial"/>
        </w:rPr>
        <w:t>we see</w:t>
      </w:r>
      <w:r w:rsidRPr="00A655F6">
        <w:rPr>
          <w:rFonts w:ascii="Arial" w:hAnsi="Arial"/>
        </w:rPr>
        <w:t xml:space="preserve"> the potential for </w:t>
      </w:r>
      <w:r w:rsidRPr="005C2EAC">
        <w:rPr>
          <w:rFonts w:ascii="Arial" w:hAnsi="Arial" w:cs="Arial"/>
        </w:rPr>
        <w:t>more than</w:t>
      </w:r>
      <w:r w:rsidRPr="005C2EAC">
        <w:rPr>
          <w:rFonts w:ascii="Arial" w:hAnsi="Arial"/>
        </w:rPr>
        <w:t xml:space="preserve"> 600</w:t>
      </w:r>
      <w:r w:rsidRPr="00A655F6">
        <w:rPr>
          <w:rFonts w:ascii="Arial" w:hAnsi="Arial"/>
        </w:rPr>
        <w:t xml:space="preserve"> stores in France over the longer term</w:t>
      </w:r>
      <w:r w:rsidRPr="005C2EAC">
        <w:rPr>
          <w:rFonts w:ascii="Arial" w:hAnsi="Arial" w:cs="Arial"/>
        </w:rPr>
        <w:t>.</w:t>
      </w:r>
    </w:p>
    <w:p w14:paraId="1AF56E29" w14:textId="77777777" w:rsidR="00EC20AB" w:rsidRPr="00A655F6" w:rsidRDefault="00EC20AB" w:rsidP="00EC20AB">
      <w:pPr>
        <w:jc w:val="left"/>
        <w:rPr>
          <w:rFonts w:ascii="Arial" w:hAnsi="Arial" w:cs="Arial"/>
        </w:rPr>
      </w:pPr>
    </w:p>
    <w:p w14:paraId="548FE872" w14:textId="77777777" w:rsidR="00EC20AB" w:rsidRPr="00EB53AD" w:rsidRDefault="00EC20AB" w:rsidP="00EC20AB">
      <w:pPr>
        <w:jc w:val="left"/>
        <w:rPr>
          <w:rFonts w:ascii="Arial" w:hAnsi="Arial" w:cs="Arial"/>
        </w:rPr>
      </w:pPr>
      <w:r w:rsidRPr="00EB53AD">
        <w:rPr>
          <w:rFonts w:ascii="Arial" w:hAnsi="Arial" w:cs="Arial"/>
        </w:rPr>
        <w:t>Brico Dépôt France is one of the global home improvement industry’s best hard discounters. With its 123 stores in France, strong sales densities, and agile &amp; lean operating model, the business is well positioned to penetrate more of the geographic ‘white space’ that exists in France. In FY 23/24, Brico Dépôt France will test its first ever compact store – a 1,000 sqm format.</w:t>
      </w:r>
    </w:p>
    <w:p w14:paraId="2FD5372E" w14:textId="77777777" w:rsidR="00EC20AB" w:rsidRPr="00EB53AD" w:rsidRDefault="00EC20AB" w:rsidP="00EC20AB">
      <w:pPr>
        <w:jc w:val="left"/>
        <w:rPr>
          <w:rFonts w:ascii="Arial" w:hAnsi="Arial" w:cs="Arial"/>
        </w:rPr>
      </w:pPr>
    </w:p>
    <w:p w14:paraId="21B2AA6B" w14:textId="2A7639AD" w:rsidR="00EC20AB" w:rsidRPr="00EB53AD" w:rsidRDefault="00EC20AB" w:rsidP="00EC20AB">
      <w:pPr>
        <w:jc w:val="left"/>
        <w:rPr>
          <w:rFonts w:ascii="Arial" w:hAnsi="Arial" w:cs="Arial"/>
        </w:rPr>
      </w:pPr>
      <w:r w:rsidRPr="00EB53AD">
        <w:rPr>
          <w:rFonts w:ascii="Arial" w:hAnsi="Arial" w:cs="Arial"/>
        </w:rPr>
        <w:t xml:space="preserve">In Poland, Castorama is the market leader and the most trusted and reputable home improvement brand. During the year, the business strengthened its position through investments in new OEB-driven product ranges, new services for customers, and the rapid development of its e-commerce proposition. In FY 22/23, it opened seven new stores, bringing its total to 97 stores. The business has a proven track record of expansion, delivering attractive returns on invested capital. It plans to address the significant ‘white space’ that exists in Poland through </w:t>
      </w:r>
      <w:r w:rsidR="00083DF5">
        <w:rPr>
          <w:rFonts w:ascii="Arial" w:hAnsi="Arial" w:cs="Arial"/>
        </w:rPr>
        <w:t>80</w:t>
      </w:r>
      <w:r w:rsidR="00083DF5" w:rsidRPr="00EB53AD">
        <w:rPr>
          <w:rFonts w:ascii="Arial" w:hAnsi="Arial" w:cs="Arial"/>
        </w:rPr>
        <w:t xml:space="preserve"> </w:t>
      </w:r>
      <w:r w:rsidRPr="00EB53AD">
        <w:rPr>
          <w:rFonts w:ascii="Arial" w:hAnsi="Arial" w:cs="Arial"/>
        </w:rPr>
        <w:t>medium-box</w:t>
      </w:r>
      <w:r w:rsidR="004F7CCF">
        <w:rPr>
          <w:rFonts w:ascii="Arial" w:hAnsi="Arial" w:cs="Arial"/>
        </w:rPr>
        <w:t xml:space="preserve"> and compact</w:t>
      </w:r>
      <w:r w:rsidRPr="00EB53AD">
        <w:rPr>
          <w:rFonts w:ascii="Arial" w:hAnsi="Arial" w:cs="Arial"/>
        </w:rPr>
        <w:t xml:space="preserve"> store openings over the next </w:t>
      </w:r>
      <w:r w:rsidR="00083DF5">
        <w:rPr>
          <w:rFonts w:ascii="Arial" w:hAnsi="Arial" w:cs="Arial"/>
        </w:rPr>
        <w:t>five</w:t>
      </w:r>
      <w:r w:rsidR="00083DF5" w:rsidRPr="00EB53AD">
        <w:rPr>
          <w:rFonts w:ascii="Arial" w:hAnsi="Arial" w:cs="Arial"/>
        </w:rPr>
        <w:t xml:space="preserve"> </w:t>
      </w:r>
      <w:r w:rsidRPr="00EB53AD">
        <w:rPr>
          <w:rFonts w:ascii="Arial" w:hAnsi="Arial" w:cs="Arial"/>
        </w:rPr>
        <w:t>years.</w:t>
      </w:r>
    </w:p>
    <w:p w14:paraId="5E408204" w14:textId="77777777" w:rsidR="00EC20AB" w:rsidRPr="00EB53AD" w:rsidRDefault="00EC20AB" w:rsidP="00EC20AB">
      <w:pPr>
        <w:jc w:val="left"/>
        <w:rPr>
          <w:rFonts w:ascii="Arial" w:hAnsi="Arial" w:cs="Arial"/>
        </w:rPr>
      </w:pPr>
    </w:p>
    <w:p w14:paraId="6BC8C7AA" w14:textId="4F1F66D2" w:rsidR="00EC20AB" w:rsidRPr="00EB53AD" w:rsidRDefault="00EC20AB" w:rsidP="00EC20AB">
      <w:pPr>
        <w:jc w:val="left"/>
        <w:rPr>
          <w:rFonts w:ascii="Arial" w:hAnsi="Arial" w:cs="Arial"/>
        </w:rPr>
      </w:pPr>
      <w:r w:rsidRPr="00EB53AD">
        <w:rPr>
          <w:rFonts w:ascii="Arial" w:hAnsi="Arial" w:cs="Arial"/>
        </w:rPr>
        <w:t>In Turkey, Kingfisher’s 50% joint venture, Koçtaş, opened 12</w:t>
      </w:r>
      <w:r w:rsidR="004E70DE">
        <w:rPr>
          <w:rFonts w:ascii="Arial" w:hAnsi="Arial" w:cs="Arial"/>
        </w:rPr>
        <w:t>9</w:t>
      </w:r>
      <w:r w:rsidR="001D4E55">
        <w:rPr>
          <w:rFonts w:ascii="Arial" w:hAnsi="Arial" w:cs="Arial"/>
        </w:rPr>
        <w:t xml:space="preserve"> mostly compact</w:t>
      </w:r>
      <w:r w:rsidRPr="00EB53AD">
        <w:rPr>
          <w:rFonts w:ascii="Arial" w:hAnsi="Arial" w:cs="Arial"/>
        </w:rPr>
        <w:t xml:space="preserve"> stores in </w:t>
      </w:r>
      <w:r w:rsidR="0078271F">
        <w:rPr>
          <w:rFonts w:ascii="Arial" w:hAnsi="Arial" w:cs="Arial"/>
        </w:rPr>
        <w:t>their financial year to 31 December 2022</w:t>
      </w:r>
      <w:r w:rsidRPr="00EB53AD">
        <w:rPr>
          <w:rFonts w:ascii="Arial" w:hAnsi="Arial" w:cs="Arial"/>
        </w:rPr>
        <w:t xml:space="preserve">, bringing its total store count to 355. The growth opportunity for the home improvement industry in Turkey is significant, and </w:t>
      </w:r>
      <w:r>
        <w:rPr>
          <w:rFonts w:ascii="Arial" w:hAnsi="Arial" w:cs="Arial"/>
        </w:rPr>
        <w:t xml:space="preserve">in FY 23/24 the business plans to open over </w:t>
      </w:r>
      <w:r w:rsidR="00E4747D">
        <w:rPr>
          <w:rFonts w:ascii="Arial" w:hAnsi="Arial" w:cs="Arial"/>
        </w:rPr>
        <w:t xml:space="preserve">80 </w:t>
      </w:r>
      <w:r>
        <w:rPr>
          <w:rFonts w:ascii="Arial" w:hAnsi="Arial" w:cs="Arial"/>
        </w:rPr>
        <w:t>new stores</w:t>
      </w:r>
      <w:r w:rsidRPr="00EB53AD">
        <w:rPr>
          <w:rFonts w:ascii="Arial" w:hAnsi="Arial" w:cs="Arial"/>
        </w:rPr>
        <w:t xml:space="preserve">, supported by Koçtaş’ </w:t>
      </w:r>
      <w:r>
        <w:rPr>
          <w:rFonts w:ascii="Arial" w:hAnsi="Arial" w:cs="Arial"/>
        </w:rPr>
        <w:t xml:space="preserve">innovative </w:t>
      </w:r>
      <w:r w:rsidR="002336F7">
        <w:rPr>
          <w:rFonts w:ascii="Arial" w:hAnsi="Arial" w:cs="Arial"/>
          <w:i/>
          <w:iCs/>
        </w:rPr>
        <w:t>‘</w:t>
      </w:r>
      <w:r w:rsidRPr="00EB53AD">
        <w:rPr>
          <w:rFonts w:ascii="Arial" w:hAnsi="Arial" w:cs="Arial"/>
          <w:i/>
          <w:iCs/>
        </w:rPr>
        <w:t>Fix’</w:t>
      </w:r>
      <w:r w:rsidRPr="00EB53AD">
        <w:rPr>
          <w:rFonts w:ascii="Arial" w:hAnsi="Arial" w:cs="Arial"/>
        </w:rPr>
        <w:t xml:space="preserve"> compact store format.</w:t>
      </w:r>
    </w:p>
    <w:p w14:paraId="10A0BA66" w14:textId="77777777" w:rsidR="00EC20AB" w:rsidRPr="00EB53AD" w:rsidRDefault="00EC20AB" w:rsidP="00EC20AB">
      <w:pPr>
        <w:jc w:val="left"/>
        <w:rPr>
          <w:rFonts w:ascii="Arial" w:hAnsi="Arial" w:cs="Arial"/>
        </w:rPr>
      </w:pPr>
    </w:p>
    <w:p w14:paraId="011B956E" w14:textId="77777777" w:rsidR="00EC20AB" w:rsidRPr="00EB53AD" w:rsidRDefault="00EC20AB" w:rsidP="00EC20AB">
      <w:pPr>
        <w:jc w:val="left"/>
        <w:rPr>
          <w:rFonts w:ascii="Arial" w:hAnsi="Arial" w:cs="Arial"/>
        </w:rPr>
      </w:pPr>
      <w:r w:rsidRPr="00EB53AD">
        <w:rPr>
          <w:rFonts w:ascii="Arial" w:hAnsi="Arial" w:cs="Arial"/>
        </w:rPr>
        <w:t xml:space="preserve">A common thread is that compact stores are a key enabler for expansion in all our banners and markets. The customer demand for speed and convenience is driving the need for a wider network of smaller and more easily accessible stores, and so we believe compact stores unlock the opportunity for rapid expansion into smaller cities and geographic ‘white spaces’. Please refer to </w:t>
      </w:r>
      <w:r w:rsidRPr="00EB53AD">
        <w:rPr>
          <w:rFonts w:ascii="Arial" w:hAnsi="Arial" w:cs="Arial"/>
          <w:i/>
          <w:iCs/>
        </w:rPr>
        <w:t xml:space="preserve">‘Roll </w:t>
      </w:r>
      <w:r w:rsidRPr="00EB53AD">
        <w:rPr>
          <w:rFonts w:ascii="Arial" w:hAnsi="Arial" w:cs="Arial"/>
          <w:i/>
        </w:rPr>
        <w:t xml:space="preserve">out </w:t>
      </w:r>
      <w:r w:rsidRPr="00EB53AD">
        <w:rPr>
          <w:rFonts w:ascii="Arial" w:hAnsi="Arial" w:cs="Arial"/>
          <w:i/>
          <w:iCs/>
        </w:rPr>
        <w:t>compact</w:t>
      </w:r>
      <w:r w:rsidRPr="00EB53AD">
        <w:rPr>
          <w:rFonts w:ascii="Arial" w:hAnsi="Arial" w:cs="Arial"/>
          <w:i/>
        </w:rPr>
        <w:t xml:space="preserve"> store </w:t>
      </w:r>
      <w:r w:rsidRPr="00EB53AD">
        <w:rPr>
          <w:rFonts w:ascii="Arial" w:hAnsi="Arial" w:cs="Arial"/>
          <w:i/>
          <w:iCs/>
        </w:rPr>
        <w:t>formats’</w:t>
      </w:r>
      <w:r w:rsidRPr="00EB53AD">
        <w:rPr>
          <w:rFonts w:ascii="Arial" w:hAnsi="Arial" w:cs="Arial"/>
        </w:rPr>
        <w:t xml:space="preserve"> below for further details.</w:t>
      </w:r>
    </w:p>
    <w:p w14:paraId="1A403D2F" w14:textId="77777777" w:rsidR="00EC20AB" w:rsidRPr="00EB53AD" w:rsidRDefault="00EC20AB" w:rsidP="00EC20AB">
      <w:pPr>
        <w:jc w:val="left"/>
        <w:rPr>
          <w:rFonts w:ascii="Arial" w:hAnsi="Arial" w:cs="Arial"/>
        </w:rPr>
      </w:pPr>
    </w:p>
    <w:p w14:paraId="2D77EB99" w14:textId="0CAF6F9A" w:rsidR="00EC20AB" w:rsidRPr="00EB53AD" w:rsidRDefault="00EC20AB" w:rsidP="00EC20AB">
      <w:pPr>
        <w:jc w:val="left"/>
        <w:rPr>
          <w:rFonts w:ascii="Arial" w:hAnsi="Arial" w:cs="Arial"/>
        </w:rPr>
      </w:pPr>
      <w:r w:rsidRPr="00EB53AD">
        <w:rPr>
          <w:rFonts w:ascii="Arial" w:hAnsi="Arial" w:cs="Arial"/>
        </w:rPr>
        <w:t xml:space="preserve">Longer term, we also believe new markets, franchise </w:t>
      </w:r>
      <w:r w:rsidR="00283D41">
        <w:rPr>
          <w:rFonts w:ascii="Arial" w:hAnsi="Arial" w:cs="Arial"/>
        </w:rPr>
        <w:t xml:space="preserve">and wholesale </w:t>
      </w:r>
      <w:r w:rsidRPr="00EB53AD">
        <w:rPr>
          <w:rFonts w:ascii="Arial" w:hAnsi="Arial" w:cs="Arial"/>
        </w:rPr>
        <w:t>models could be an attractive source of growth. In FY 22/23 we opened our first two franchise stores under the B&amp;Q banner in the Middle East, now supported by an e-commerce platform that was launched in February 2023. The stores and support office functions are fully operated and staffed by the Al-Futtaim Group (</w:t>
      </w:r>
      <w:hyperlink r:id="rId15" w:history="1">
        <w:r w:rsidRPr="00EB53AD">
          <w:rPr>
            <w:rStyle w:val="Hyperlink"/>
            <w:rFonts w:ascii="Arial" w:hAnsi="Arial" w:cs="Arial"/>
          </w:rPr>
          <w:t>https://www.alfuttaim.com/</w:t>
        </w:r>
      </w:hyperlink>
      <w:r w:rsidRPr="00EB53AD">
        <w:rPr>
          <w:rFonts w:ascii="Arial" w:hAnsi="Arial" w:cs="Arial"/>
        </w:rPr>
        <w:t>).</w:t>
      </w:r>
    </w:p>
    <w:p w14:paraId="6C962269" w14:textId="21F3A55B" w:rsidR="00715CCC" w:rsidRDefault="00715CCC" w:rsidP="0092378A">
      <w:pPr>
        <w:jc w:val="left"/>
        <w:rPr>
          <w:rFonts w:ascii="Arial" w:hAnsi="Arial" w:cs="Arial"/>
        </w:rPr>
      </w:pPr>
      <w:bookmarkStart w:id="26" w:name="_Hlk80620761"/>
      <w:bookmarkEnd w:id="25"/>
      <w:r>
        <w:rPr>
          <w:rFonts w:ascii="Arial" w:hAnsi="Arial" w:cs="Arial"/>
        </w:rPr>
        <w:br w:type="page"/>
      </w:r>
    </w:p>
    <w:p w14:paraId="56B305D3" w14:textId="77777777" w:rsidR="00EC20AB" w:rsidRPr="00EB53AD" w:rsidRDefault="00EC20AB" w:rsidP="00EC20AB">
      <w:pPr>
        <w:pStyle w:val="ListParagraph"/>
        <w:numPr>
          <w:ilvl w:val="0"/>
          <w:numId w:val="23"/>
        </w:numPr>
        <w:jc w:val="left"/>
        <w:rPr>
          <w:rFonts w:ascii="Arial" w:hAnsi="Arial" w:cs="Arial"/>
          <w:b/>
          <w:u w:val="single"/>
        </w:rPr>
      </w:pPr>
      <w:r w:rsidRPr="00EB53AD">
        <w:rPr>
          <w:rFonts w:ascii="Arial" w:hAnsi="Arial" w:cs="Arial"/>
          <w:b/>
          <w:u w:val="single"/>
        </w:rPr>
        <w:lastRenderedPageBreak/>
        <w:t>Accelerate e-commerce through speed and choice</w:t>
      </w:r>
    </w:p>
    <w:p w14:paraId="2CF352A2" w14:textId="76582324" w:rsidR="00EC20AB" w:rsidRPr="00EB53AD" w:rsidRDefault="00EC20AB" w:rsidP="00EC20AB">
      <w:pPr>
        <w:jc w:val="left"/>
        <w:rPr>
          <w:rFonts w:ascii="Arial" w:hAnsi="Arial" w:cs="Arial"/>
          <w:i/>
          <w:iCs/>
        </w:rPr>
      </w:pPr>
      <w:bookmarkStart w:id="27" w:name="_Hlk65689300"/>
      <w:r w:rsidRPr="00EB53AD">
        <w:rPr>
          <w:rFonts w:ascii="Arial" w:hAnsi="Arial" w:cs="Arial"/>
          <w:i/>
          <w:iCs/>
        </w:rPr>
        <w:t xml:space="preserve">We plan to accelerate our e-commerce sales, with the </w:t>
      </w:r>
      <w:r w:rsidR="00901EE8">
        <w:rPr>
          <w:rFonts w:ascii="Arial" w:hAnsi="Arial" w:cs="Arial"/>
          <w:i/>
          <w:iCs/>
        </w:rPr>
        <w:t xml:space="preserve">ambition </w:t>
      </w:r>
      <w:r w:rsidRPr="00EB53AD">
        <w:rPr>
          <w:rFonts w:ascii="Arial" w:hAnsi="Arial" w:cs="Arial"/>
          <w:i/>
          <w:iCs/>
        </w:rPr>
        <w:t>of reaching 25% e-commerce sales penetration. We will do this by building on our progress over the last three years to further enhance speed, choice and convenience for our customers, supported by our e-commerce marketplace and data-led propositions. Furthermore, as we facilitate the development of more customer-centric digital tools and services, this will drive the growth of our digitally-enabled sales</w:t>
      </w:r>
      <w:r w:rsidR="00727EA0">
        <w:rPr>
          <w:rFonts w:ascii="Arial" w:hAnsi="Arial" w:cs="Arial"/>
          <w:i/>
          <w:iCs/>
        </w:rPr>
        <w:t>*</w:t>
      </w:r>
      <w:r w:rsidRPr="00EB53AD">
        <w:rPr>
          <w:rFonts w:ascii="Arial" w:hAnsi="Arial" w:cs="Arial"/>
          <w:i/>
          <w:iCs/>
        </w:rPr>
        <w:t>.</w:t>
      </w:r>
    </w:p>
    <w:p w14:paraId="0DB5E8AC" w14:textId="77777777" w:rsidR="00EC20AB" w:rsidRPr="00EB53AD" w:rsidRDefault="00EC20AB" w:rsidP="00EC20AB">
      <w:pPr>
        <w:jc w:val="left"/>
        <w:rPr>
          <w:rFonts w:ascii="Arial" w:hAnsi="Arial" w:cs="Arial"/>
        </w:rPr>
      </w:pPr>
    </w:p>
    <w:p w14:paraId="16ABBD78" w14:textId="77777777" w:rsidR="00EC20AB" w:rsidRPr="00EB53AD" w:rsidRDefault="00EC20AB" w:rsidP="00EC20AB">
      <w:pPr>
        <w:jc w:val="left"/>
        <w:rPr>
          <w:rFonts w:ascii="Arial" w:hAnsi="Arial" w:cs="Arial"/>
        </w:rPr>
      </w:pPr>
      <w:r w:rsidRPr="00EB53AD">
        <w:rPr>
          <w:rFonts w:ascii="Arial" w:hAnsi="Arial" w:cs="Arial"/>
        </w:rPr>
        <w:t xml:space="preserve">E-commerce sales remain significantly ahead of pre-pandemic trends, driven by improvements to our e-commerce proposition that offer our customers more convenience, broader product choice and faster fulfilment of orders, powered by our store assets. We are now pivoting towards the next phase of our e-commerce journey with a stronger focus on acquiring and retaining digital customers, further improving e-commerce channel economics, scaling our e-commerce marketplace offering, and accelerating the development of data-driven products and solutions (please refer to </w:t>
      </w:r>
      <w:r w:rsidRPr="00EB53AD">
        <w:rPr>
          <w:rFonts w:ascii="Arial" w:hAnsi="Arial" w:cs="Arial"/>
          <w:i/>
          <w:iCs/>
        </w:rPr>
        <w:t xml:space="preserve">‘Build a data-led customer experience’ </w:t>
      </w:r>
      <w:r w:rsidRPr="00EB53AD">
        <w:rPr>
          <w:rFonts w:ascii="Arial" w:hAnsi="Arial" w:cs="Arial"/>
        </w:rPr>
        <w:t>below for further details).</w:t>
      </w:r>
    </w:p>
    <w:p w14:paraId="559053CC" w14:textId="77777777" w:rsidR="00EC20AB" w:rsidRPr="00EB53AD" w:rsidRDefault="00EC20AB" w:rsidP="00EC20AB">
      <w:pPr>
        <w:jc w:val="left"/>
        <w:rPr>
          <w:rFonts w:ascii="Arial" w:hAnsi="Arial" w:cs="Arial"/>
        </w:rPr>
      </w:pPr>
    </w:p>
    <w:p w14:paraId="1CEBA396" w14:textId="43777B3B" w:rsidR="00EC20AB" w:rsidRPr="00EB53AD" w:rsidRDefault="00EC20AB" w:rsidP="00EC20AB">
      <w:pPr>
        <w:jc w:val="left"/>
        <w:rPr>
          <w:rFonts w:ascii="Arial" w:hAnsi="Arial" w:cs="Arial"/>
        </w:rPr>
      </w:pPr>
      <w:r w:rsidRPr="00EB53AD">
        <w:rPr>
          <w:rFonts w:ascii="Arial" w:hAnsi="Arial" w:cs="Arial"/>
        </w:rPr>
        <w:t>Total e-commerce sales, which includes gross sales from third-party e-commerce marketplace transactions, as well as first-party e-commerce sales*, were £2.1bn in FY 22/23. This represents an increase of 14</w:t>
      </w:r>
      <w:r w:rsidR="000D67E4">
        <w:rPr>
          <w:rFonts w:ascii="Arial" w:hAnsi="Arial" w:cs="Arial"/>
        </w:rPr>
        <w:t>6</w:t>
      </w:r>
      <w:r w:rsidRPr="00EB53AD">
        <w:rPr>
          <w:rFonts w:ascii="Arial" w:hAnsi="Arial" w:cs="Arial"/>
        </w:rPr>
        <w:t>% on a 3-year basis</w:t>
      </w:r>
      <w:r>
        <w:rPr>
          <w:rFonts w:ascii="Arial" w:hAnsi="Arial" w:cs="Arial"/>
        </w:rPr>
        <w:t>,</w:t>
      </w:r>
      <w:r w:rsidRPr="00EB53AD">
        <w:rPr>
          <w:rFonts w:ascii="Arial" w:hAnsi="Arial" w:cs="Arial"/>
        </w:rPr>
        <w:t xml:space="preserve"> a</w:t>
      </w:r>
      <w:r>
        <w:rPr>
          <w:rFonts w:ascii="Arial" w:hAnsi="Arial" w:cs="Arial"/>
        </w:rPr>
        <w:t>nd a</w:t>
      </w:r>
      <w:r w:rsidRPr="00EB53AD">
        <w:rPr>
          <w:rFonts w:ascii="Arial" w:hAnsi="Arial" w:cs="Arial"/>
        </w:rPr>
        <w:t xml:space="preserve"> decline of 9% YoY (in constant currency). Overall </w:t>
      </w:r>
      <w:r w:rsidRPr="00EB53AD">
        <w:rPr>
          <w:rFonts w:ascii="Arial" w:hAnsi="Arial" w:cs="Arial"/>
          <w:b/>
          <w:bCs/>
        </w:rPr>
        <w:t>e-commerce sales penetration</w:t>
      </w:r>
      <w:r w:rsidRPr="00EB53AD">
        <w:rPr>
          <w:rFonts w:ascii="Arial" w:hAnsi="Arial" w:cs="Arial"/>
        </w:rPr>
        <w:t xml:space="preserve"> was 16</w:t>
      </w:r>
      <w:r w:rsidR="003E3371">
        <w:rPr>
          <w:rFonts w:ascii="Arial" w:hAnsi="Arial" w:cs="Arial"/>
        </w:rPr>
        <w:t>.3</w:t>
      </w:r>
      <w:r w:rsidRPr="00EB53AD">
        <w:rPr>
          <w:rFonts w:ascii="Arial" w:hAnsi="Arial" w:cs="Arial"/>
        </w:rPr>
        <w:t>% (FY 21/22: 1</w:t>
      </w:r>
      <w:r w:rsidR="001B7842">
        <w:rPr>
          <w:rFonts w:ascii="Arial" w:hAnsi="Arial" w:cs="Arial"/>
        </w:rPr>
        <w:t>7.9</w:t>
      </w:r>
      <w:r w:rsidRPr="00EB53AD">
        <w:rPr>
          <w:rFonts w:ascii="Arial" w:hAnsi="Arial" w:cs="Arial"/>
        </w:rPr>
        <w:t xml:space="preserve">%; FY 19/20: </w:t>
      </w:r>
      <w:r w:rsidR="001B7842">
        <w:rPr>
          <w:rFonts w:ascii="Arial" w:hAnsi="Arial" w:cs="Arial"/>
        </w:rPr>
        <w:t>7.9</w:t>
      </w:r>
      <w:r w:rsidRPr="00EB53AD">
        <w:rPr>
          <w:rFonts w:ascii="Arial" w:hAnsi="Arial" w:cs="Arial"/>
        </w:rPr>
        <w:t xml:space="preserve">%). </w:t>
      </w:r>
    </w:p>
    <w:p w14:paraId="16EF693E" w14:textId="77777777" w:rsidR="00EC20AB" w:rsidRPr="00EB53AD" w:rsidRDefault="00EC20AB" w:rsidP="00EC20AB">
      <w:pPr>
        <w:jc w:val="left"/>
        <w:rPr>
          <w:rFonts w:ascii="Arial" w:hAnsi="Arial" w:cs="Arial"/>
        </w:rPr>
      </w:pPr>
    </w:p>
    <w:p w14:paraId="79A52864" w14:textId="59BF5C9A" w:rsidR="00EC20AB" w:rsidRPr="00EB53AD" w:rsidRDefault="00EC20AB" w:rsidP="00EC20AB">
      <w:pPr>
        <w:jc w:val="left"/>
        <w:rPr>
          <w:rFonts w:ascii="Arial" w:hAnsi="Arial" w:cs="Arial"/>
        </w:rPr>
      </w:pPr>
      <w:r w:rsidRPr="00EB53AD">
        <w:rPr>
          <w:rFonts w:ascii="Arial" w:hAnsi="Arial" w:cs="Arial"/>
        </w:rPr>
        <w:t>Sales from C&amp;C, our most popular online fulfilment channel, were down 12% YoY reflecting very strong prior year comparatives, although remain ahead of pre-pandemic levels with growth of 180% on a 3-year basis. C&amp;C accounted for 87% of total e-commerce orders (FY 21/22: 87%) and 7</w:t>
      </w:r>
      <w:r w:rsidR="00896554">
        <w:rPr>
          <w:rFonts w:ascii="Arial" w:hAnsi="Arial" w:cs="Arial"/>
        </w:rPr>
        <w:t>1</w:t>
      </w:r>
      <w:r w:rsidRPr="00EB53AD">
        <w:rPr>
          <w:rFonts w:ascii="Arial" w:hAnsi="Arial" w:cs="Arial"/>
        </w:rPr>
        <w:t xml:space="preserve">% of total e-commerce sales (FY 21/22: 73%). The popularity of this fulfilment channel has been supported by significant enhancements to the options available to customers to collect their orders, including car park collection capabilities in France, as well as contactless ‘drive-thru’ collections in both France and Poland for all our medium-box and larger stores. During the year we completed the roll-out of C&amp;C lockers to </w:t>
      </w:r>
      <w:r w:rsidR="00081DDF">
        <w:rPr>
          <w:rFonts w:ascii="Arial" w:hAnsi="Arial" w:cs="Arial"/>
        </w:rPr>
        <w:t xml:space="preserve">all </w:t>
      </w:r>
      <w:r w:rsidRPr="00EB53AD">
        <w:rPr>
          <w:rFonts w:ascii="Arial" w:hAnsi="Arial" w:cs="Arial"/>
        </w:rPr>
        <w:t>Castorama Poland stores and continued testing C&amp;C lockers at some B&amp;Q stores. Our new store format trials are also increasing C&amp;C options for customers, in particular through our high street compact stores which allow us to expand into city centres.</w:t>
      </w:r>
    </w:p>
    <w:p w14:paraId="500B7F5C" w14:textId="77777777" w:rsidR="00EC20AB" w:rsidRPr="00EB53AD" w:rsidRDefault="00EC20AB" w:rsidP="00EC20AB">
      <w:pPr>
        <w:jc w:val="left"/>
        <w:rPr>
          <w:rFonts w:ascii="Arial" w:hAnsi="Arial" w:cs="Arial"/>
        </w:rPr>
      </w:pPr>
    </w:p>
    <w:p w14:paraId="6421D026" w14:textId="2DEA8D32" w:rsidR="00EC20AB" w:rsidRPr="00EB53AD" w:rsidRDefault="00EC20AB" w:rsidP="00EC20AB">
      <w:pPr>
        <w:pStyle w:val="NormalWeb"/>
        <w:shd w:val="clear" w:color="auto" w:fill="FFFFFF"/>
        <w:spacing w:before="0" w:beforeAutospacing="0" w:after="0" w:afterAutospacing="0"/>
        <w:rPr>
          <w:rFonts w:ascii="Arial" w:hAnsi="Arial" w:cs="Arial"/>
          <w:sz w:val="22"/>
          <w:szCs w:val="22"/>
        </w:rPr>
      </w:pPr>
      <w:r w:rsidRPr="00EB53AD">
        <w:rPr>
          <w:rFonts w:ascii="Arial" w:hAnsi="Arial" w:cs="Arial"/>
          <w:sz w:val="22"/>
          <w:szCs w:val="22"/>
        </w:rPr>
        <w:t xml:space="preserve">Home delivery sales were down by just </w:t>
      </w:r>
      <w:r w:rsidR="00D01A8E">
        <w:rPr>
          <w:rFonts w:ascii="Arial" w:hAnsi="Arial" w:cs="Arial"/>
          <w:sz w:val="22"/>
          <w:szCs w:val="22"/>
        </w:rPr>
        <w:t>2</w:t>
      </w:r>
      <w:r w:rsidRPr="00EB53AD">
        <w:rPr>
          <w:rFonts w:ascii="Arial" w:hAnsi="Arial" w:cs="Arial"/>
          <w:sz w:val="22"/>
          <w:szCs w:val="22"/>
        </w:rPr>
        <w:t>% YoY, and up by 9</w:t>
      </w:r>
      <w:r w:rsidR="00D01A8E">
        <w:rPr>
          <w:rFonts w:ascii="Arial" w:hAnsi="Arial" w:cs="Arial"/>
          <w:sz w:val="22"/>
          <w:szCs w:val="22"/>
        </w:rPr>
        <w:t>1</w:t>
      </w:r>
      <w:r w:rsidRPr="00EB53AD">
        <w:rPr>
          <w:rFonts w:ascii="Arial" w:hAnsi="Arial" w:cs="Arial"/>
          <w:sz w:val="22"/>
          <w:szCs w:val="22"/>
        </w:rPr>
        <w:t xml:space="preserve">% on a 3-year basis reflecting the development of our e-commerce marketplace and same-day delivery propositions. Faster fulfilment is a key competitive advantage for our banners, in particular over ‘pure-play’ online peers, so we have increased our focus on next-day and same-day home delivery. In August 2021, Screwfix launched Screwfix </w:t>
      </w:r>
      <w:r w:rsidRPr="00EB53AD">
        <w:rPr>
          <w:rFonts w:ascii="Arial" w:hAnsi="Arial" w:cs="Arial"/>
          <w:i/>
          <w:iCs/>
          <w:sz w:val="22"/>
          <w:szCs w:val="22"/>
        </w:rPr>
        <w:t>Sprint</w:t>
      </w:r>
      <w:r w:rsidRPr="00EB53AD">
        <w:rPr>
          <w:rFonts w:ascii="Arial" w:hAnsi="Arial" w:cs="Arial"/>
          <w:sz w:val="22"/>
          <w:szCs w:val="22"/>
        </w:rPr>
        <w:t xml:space="preserve">, offering delivery direct to home or site within one hour. </w:t>
      </w:r>
      <w:r w:rsidRPr="00EB53AD">
        <w:rPr>
          <w:rFonts w:ascii="Arial" w:hAnsi="Arial" w:cs="Arial"/>
          <w:i/>
          <w:iCs/>
          <w:sz w:val="22"/>
          <w:szCs w:val="22"/>
        </w:rPr>
        <w:t>Sprint</w:t>
      </w:r>
      <w:r w:rsidRPr="00EB53AD">
        <w:rPr>
          <w:rFonts w:ascii="Arial" w:hAnsi="Arial" w:cs="Arial"/>
          <w:sz w:val="22"/>
          <w:szCs w:val="22"/>
        </w:rPr>
        <w:t xml:space="preserve"> is currently available from over 300 stores, covering c.45% of UK postcodes. The average number of products in a </w:t>
      </w:r>
      <w:r w:rsidRPr="005D6FF5">
        <w:rPr>
          <w:rFonts w:ascii="Arial" w:hAnsi="Arial"/>
          <w:i/>
          <w:sz w:val="22"/>
        </w:rPr>
        <w:t>Sprint</w:t>
      </w:r>
      <w:r w:rsidRPr="00EB53AD">
        <w:rPr>
          <w:rFonts w:ascii="Arial" w:hAnsi="Arial" w:cs="Arial"/>
          <w:sz w:val="22"/>
          <w:szCs w:val="22"/>
        </w:rPr>
        <w:t xml:space="preserve"> order is approximately 50% higher than a C&amp;C order, and feedback from our customers has been strong. Our focus in FY 23/24 is to drive higher customer awareness and adoption of </w:t>
      </w:r>
      <w:r w:rsidRPr="00EB53AD">
        <w:rPr>
          <w:rFonts w:ascii="Arial" w:hAnsi="Arial" w:cs="Arial"/>
          <w:i/>
          <w:iCs/>
          <w:sz w:val="22"/>
          <w:szCs w:val="22"/>
        </w:rPr>
        <w:t>Sprint</w:t>
      </w:r>
      <w:r w:rsidRPr="00EB53AD">
        <w:rPr>
          <w:rFonts w:ascii="Arial" w:hAnsi="Arial" w:cs="Arial"/>
          <w:sz w:val="22"/>
          <w:szCs w:val="22"/>
        </w:rPr>
        <w:t xml:space="preserve"> from a wider trade customer base. In H2, B&amp;Q and our banners in France began testing an optimised carrier management service, with the potential to provide greater efficiency and convenience for customers (for example, by improving the order cut-off for next-day home delivery orders by two hours).</w:t>
      </w:r>
    </w:p>
    <w:p w14:paraId="003B38F2" w14:textId="77777777" w:rsidR="00EC20AB" w:rsidRPr="00EB53AD" w:rsidRDefault="00EC20AB" w:rsidP="00EC20AB">
      <w:pPr>
        <w:jc w:val="left"/>
        <w:rPr>
          <w:rFonts w:ascii="Arial" w:hAnsi="Arial" w:cs="Arial"/>
        </w:rPr>
      </w:pPr>
    </w:p>
    <w:p w14:paraId="7B04480B" w14:textId="2E490B5A" w:rsidR="00EC20AB" w:rsidRPr="00EB53AD" w:rsidRDefault="00EC20AB" w:rsidP="00EC20AB">
      <w:pPr>
        <w:jc w:val="left"/>
        <w:rPr>
          <w:rFonts w:ascii="Arial" w:hAnsi="Arial" w:cs="Arial"/>
        </w:rPr>
      </w:pPr>
      <w:r w:rsidRPr="00EB53AD">
        <w:rPr>
          <w:rFonts w:ascii="Arial" w:hAnsi="Arial" w:cs="Arial"/>
        </w:rPr>
        <w:t xml:space="preserve">Moving to store-based picking and fulfilment has been critical in enabling us to serve our customers more efficiently. This also gives us the ability to flex up or down in response to short term changes in demand, without being exposed to high fixed costs. In FY 22/23, we picked </w:t>
      </w:r>
      <w:r w:rsidRPr="00020CBB">
        <w:rPr>
          <w:rFonts w:ascii="Arial" w:hAnsi="Arial"/>
        </w:rPr>
        <w:t>91</w:t>
      </w:r>
      <w:r w:rsidRPr="00EB53AD">
        <w:rPr>
          <w:rFonts w:ascii="Arial" w:hAnsi="Arial" w:cs="Arial"/>
        </w:rPr>
        <w:t xml:space="preserve">% of the Group’s e-commerce orders in store (excluding Screwfix: </w:t>
      </w:r>
      <w:r w:rsidRPr="00020CBB">
        <w:rPr>
          <w:rFonts w:ascii="Arial" w:hAnsi="Arial"/>
        </w:rPr>
        <w:t>8</w:t>
      </w:r>
      <w:r w:rsidRPr="00203147">
        <w:rPr>
          <w:rFonts w:ascii="Arial" w:hAnsi="Arial"/>
        </w:rPr>
        <w:t>9</w:t>
      </w:r>
      <w:r w:rsidRPr="00EB53AD">
        <w:rPr>
          <w:rFonts w:ascii="Arial" w:hAnsi="Arial" w:cs="Arial"/>
        </w:rPr>
        <w:t>%). We also continue to leverage our stores to improve the speed and cost of home deliveries, introducing a new order management tool in the UK during the year which utilises B&amp;Q’s hub stores to cast a wider net for the availability of products ordered online, thereby lowering the rate of abandonment of online baskets. At present, 5</w:t>
      </w:r>
      <w:r w:rsidR="004A2213">
        <w:rPr>
          <w:rFonts w:ascii="Arial" w:hAnsi="Arial" w:cs="Arial"/>
        </w:rPr>
        <w:t>3</w:t>
      </w:r>
      <w:r w:rsidRPr="00EB53AD">
        <w:rPr>
          <w:rFonts w:ascii="Arial" w:hAnsi="Arial" w:cs="Arial"/>
        </w:rPr>
        <w:t xml:space="preserve"> B&amp;Q stores are being used as ‘digital hubs’ for fulfilling home deliveries, serving nearly 100% of UK postcodes. These hub stores are selected based on their catchment and the depth of their in-store range. Similar models have been introduced at Castorama France and Castorama Poland.</w:t>
      </w:r>
    </w:p>
    <w:p w14:paraId="6E4CCDAC" w14:textId="77777777" w:rsidR="00EC20AB" w:rsidRPr="00EB53AD" w:rsidRDefault="00EC20AB" w:rsidP="00EC20AB">
      <w:pPr>
        <w:jc w:val="left"/>
        <w:rPr>
          <w:rFonts w:ascii="Arial" w:hAnsi="Arial" w:cs="Arial"/>
        </w:rPr>
      </w:pPr>
    </w:p>
    <w:p w14:paraId="137B3B7E" w14:textId="7138BB24" w:rsidR="00EC20AB" w:rsidRPr="00EB53AD" w:rsidRDefault="00EC20AB" w:rsidP="00EC20AB">
      <w:pPr>
        <w:jc w:val="left"/>
        <w:rPr>
          <w:rFonts w:ascii="Arial" w:hAnsi="Arial" w:cs="Arial"/>
        </w:rPr>
      </w:pPr>
      <w:r w:rsidRPr="00EB53AD">
        <w:rPr>
          <w:rFonts w:ascii="Arial" w:hAnsi="Arial" w:cs="Arial"/>
        </w:rPr>
        <w:t xml:space="preserve">Expanding customer choice is a key driver of our e-commerce ambitions. Using scalable technology built by Kingfisher alongside </w:t>
      </w:r>
      <w:r w:rsidRPr="005D6FF5">
        <w:rPr>
          <w:rFonts w:ascii="Arial" w:hAnsi="Arial"/>
          <w:i/>
        </w:rPr>
        <w:t>Mirakl</w:t>
      </w:r>
      <w:r w:rsidRPr="00EB53AD">
        <w:rPr>
          <w:rFonts w:ascii="Arial" w:hAnsi="Arial" w:cs="Arial"/>
        </w:rPr>
        <w:t xml:space="preserve">, the leading marketplace platform provider, we launched our first e-commerce marketplace on B&amp;Q’s </w:t>
      </w:r>
      <w:r w:rsidRPr="005D6FF5">
        <w:rPr>
          <w:rFonts w:ascii="Arial" w:hAnsi="Arial"/>
          <w:i/>
        </w:rPr>
        <w:t>diy.com</w:t>
      </w:r>
      <w:r w:rsidRPr="00EB53AD">
        <w:rPr>
          <w:rFonts w:ascii="Arial" w:hAnsi="Arial" w:cs="Arial"/>
        </w:rPr>
        <w:t xml:space="preserve"> in March 2022. There are now approximately 400 carefully selected third-party sellers on </w:t>
      </w:r>
      <w:r w:rsidRPr="00EB53AD">
        <w:rPr>
          <w:rFonts w:ascii="Arial" w:hAnsi="Arial" w:cs="Arial"/>
          <w:i/>
          <w:iCs/>
        </w:rPr>
        <w:t>diy.com</w:t>
      </w:r>
      <w:r w:rsidRPr="00EB53AD">
        <w:rPr>
          <w:rFonts w:ascii="Arial" w:hAnsi="Arial" w:cs="Arial"/>
        </w:rPr>
        <w:t xml:space="preserve">, with products across 18 home improvement categories, enabling B&amp;Q to offer over 340,000 additional home improvement SKUs, compared to its previous offer of c.40,000 </w:t>
      </w:r>
      <w:r w:rsidRPr="00EB53AD">
        <w:rPr>
          <w:rFonts w:ascii="Arial" w:hAnsi="Arial" w:cs="Arial"/>
        </w:rPr>
        <w:lastRenderedPageBreak/>
        <w:t>products. B</w:t>
      </w:r>
      <w:bookmarkStart w:id="28" w:name="_Hlk112327120"/>
      <w:r w:rsidRPr="00EB53AD">
        <w:rPr>
          <w:rFonts w:ascii="Arial" w:hAnsi="Arial" w:cs="Arial"/>
        </w:rPr>
        <w:t xml:space="preserve">&amp;Q’s marketplace has grown quickly since </w:t>
      </w:r>
      <w:r w:rsidR="00EF2193">
        <w:rPr>
          <w:rFonts w:ascii="Arial" w:hAnsi="Arial" w:cs="Arial"/>
        </w:rPr>
        <w:t>its launch</w:t>
      </w:r>
      <w:r w:rsidRPr="00EB53AD">
        <w:rPr>
          <w:rFonts w:ascii="Arial" w:hAnsi="Arial" w:cs="Arial"/>
        </w:rPr>
        <w:t xml:space="preserve">, reaching a marketplace participation of </w:t>
      </w:r>
      <w:r w:rsidR="00593824">
        <w:rPr>
          <w:rFonts w:ascii="Arial" w:hAnsi="Arial" w:cs="Arial"/>
        </w:rPr>
        <w:t>2</w:t>
      </w:r>
      <w:r w:rsidR="00EC2A39">
        <w:rPr>
          <w:rFonts w:ascii="Arial" w:hAnsi="Arial" w:cs="Arial"/>
        </w:rPr>
        <w:t>4</w:t>
      </w:r>
      <w:r w:rsidRPr="00593824">
        <w:rPr>
          <w:rFonts w:ascii="Arial" w:hAnsi="Arial" w:cs="Arial"/>
        </w:rPr>
        <w:t xml:space="preserve">% in </w:t>
      </w:r>
      <w:r w:rsidR="009A56BD" w:rsidRPr="005C2EAC">
        <w:rPr>
          <w:rFonts w:ascii="Arial" w:hAnsi="Arial"/>
        </w:rPr>
        <w:t>February</w:t>
      </w:r>
      <w:r w:rsidR="009A56BD" w:rsidRPr="00593824">
        <w:rPr>
          <w:rFonts w:ascii="Arial" w:hAnsi="Arial" w:cs="Arial"/>
        </w:rPr>
        <w:t xml:space="preserve"> </w:t>
      </w:r>
      <w:r w:rsidRPr="00593824">
        <w:rPr>
          <w:rFonts w:ascii="Arial" w:hAnsi="Arial" w:cs="Arial"/>
        </w:rPr>
        <w:t xml:space="preserve">2023 </w:t>
      </w:r>
      <w:bookmarkEnd w:id="28"/>
      <w:r w:rsidRPr="00593824">
        <w:rPr>
          <w:rFonts w:ascii="Arial" w:hAnsi="Arial" w:cs="Arial"/>
        </w:rPr>
        <w:t>(i.e.,</w:t>
      </w:r>
      <w:r w:rsidRPr="00EB53AD">
        <w:rPr>
          <w:rFonts w:ascii="Arial" w:hAnsi="Arial" w:cs="Arial"/>
        </w:rPr>
        <w:t xml:space="preserve"> B&amp;Q’s marketplace gross sales divided by B&amp;Q’s total e-commerce sales). In November, we launched e-commerce marketplaces in Brico Dépôt Spain and Portugal. Over the medium term, further rapid expansion of the number of SKUs is</w:t>
      </w:r>
      <w:r w:rsidRPr="00EB53AD" w:rsidDel="00E42F4D">
        <w:rPr>
          <w:rFonts w:ascii="Arial" w:hAnsi="Arial" w:cs="Arial"/>
        </w:rPr>
        <w:t xml:space="preserve"> </w:t>
      </w:r>
      <w:r w:rsidRPr="00EB53AD">
        <w:rPr>
          <w:rFonts w:ascii="Arial" w:hAnsi="Arial" w:cs="Arial"/>
        </w:rPr>
        <w:t>planned, and in addition we are preparing for the roll-out of marketplaces in Poland and France.</w:t>
      </w:r>
    </w:p>
    <w:p w14:paraId="79A61BEC" w14:textId="77777777" w:rsidR="00EC20AB" w:rsidRPr="00EB53AD" w:rsidRDefault="00EC20AB" w:rsidP="00EC20AB">
      <w:pPr>
        <w:jc w:val="left"/>
        <w:rPr>
          <w:rFonts w:ascii="Arial" w:hAnsi="Arial" w:cs="Arial"/>
        </w:rPr>
      </w:pPr>
    </w:p>
    <w:p w14:paraId="748A340D" w14:textId="77777777" w:rsidR="00EC20AB" w:rsidRPr="00EB53AD" w:rsidRDefault="00EC20AB" w:rsidP="00EC20AB">
      <w:pPr>
        <w:jc w:val="left"/>
        <w:rPr>
          <w:rFonts w:ascii="Arial" w:hAnsi="Arial" w:cs="Arial"/>
        </w:rPr>
      </w:pPr>
      <w:r w:rsidRPr="00EB53AD">
        <w:rPr>
          <w:rFonts w:ascii="Arial" w:hAnsi="Arial" w:cs="Arial"/>
        </w:rPr>
        <w:t xml:space="preserve">Across all our banners, we continue to optimise the website and mobile user experience through Group-driven technology and capabilities, resulting in faster page-loading times, enhanced ‘search, shop and pay’ features, and new mobile tools and features. During the year, Brico Dépôt France implemented </w:t>
      </w:r>
      <w:r w:rsidRPr="00EB53AD">
        <w:rPr>
          <w:rFonts w:ascii="Arial" w:hAnsi="Arial" w:cs="Arial"/>
          <w:i/>
        </w:rPr>
        <w:t>Fasterize</w:t>
      </w:r>
      <w:r w:rsidRPr="00EB53AD">
        <w:rPr>
          <w:rFonts w:ascii="Arial" w:hAnsi="Arial" w:cs="Arial"/>
        </w:rPr>
        <w:t xml:space="preserve">, a software-as-a-service solution, resulting in a 30% improvement of its website’s speed and page-load times. We also continued to test different payment options online, with ‘Buy Now, Pay Later’ and ‘Pay in Instalments’ options now available via </w:t>
      </w:r>
      <w:r w:rsidRPr="00EB53AD">
        <w:rPr>
          <w:rFonts w:ascii="Arial" w:hAnsi="Arial" w:cs="Arial"/>
          <w:i/>
          <w:iCs/>
        </w:rPr>
        <w:t>PayPal</w:t>
      </w:r>
      <w:r w:rsidRPr="00EB53AD">
        <w:rPr>
          <w:rFonts w:ascii="Arial" w:hAnsi="Arial" w:cs="Arial"/>
        </w:rPr>
        <w:t xml:space="preserve"> in the UK and France. Following the successful launch of </w:t>
      </w:r>
      <w:r w:rsidRPr="00EB53AD">
        <w:rPr>
          <w:rFonts w:ascii="Arial" w:hAnsi="Arial" w:cs="Arial"/>
          <w:i/>
          <w:iCs/>
        </w:rPr>
        <w:t>ApplePay</w:t>
      </w:r>
      <w:r w:rsidRPr="00EB53AD">
        <w:rPr>
          <w:rFonts w:ascii="Arial" w:hAnsi="Arial" w:cs="Arial"/>
        </w:rPr>
        <w:t xml:space="preserve"> and </w:t>
      </w:r>
      <w:r w:rsidRPr="00EB53AD">
        <w:rPr>
          <w:rFonts w:ascii="Arial" w:hAnsi="Arial" w:cs="Arial"/>
          <w:i/>
          <w:iCs/>
        </w:rPr>
        <w:t>GooglePay</w:t>
      </w:r>
      <w:r w:rsidRPr="00EB53AD">
        <w:rPr>
          <w:rFonts w:ascii="Arial" w:hAnsi="Arial" w:cs="Arial"/>
        </w:rPr>
        <w:t xml:space="preserve"> on </w:t>
      </w:r>
      <w:r w:rsidRPr="00EB53AD">
        <w:rPr>
          <w:rFonts w:ascii="Arial" w:hAnsi="Arial" w:cs="Arial"/>
          <w:i/>
          <w:iCs/>
        </w:rPr>
        <w:t>diy.com</w:t>
      </w:r>
      <w:r w:rsidRPr="00EB53AD">
        <w:rPr>
          <w:rFonts w:ascii="Arial" w:hAnsi="Arial" w:cs="Arial"/>
        </w:rPr>
        <w:t xml:space="preserve">, our UK trade customers can now also use these features on </w:t>
      </w:r>
      <w:r w:rsidRPr="00EB53AD">
        <w:rPr>
          <w:rFonts w:ascii="Arial" w:hAnsi="Arial" w:cs="Arial"/>
          <w:i/>
          <w:iCs/>
        </w:rPr>
        <w:t>tradepoint.co.uk</w:t>
      </w:r>
      <w:r w:rsidRPr="00EB53AD">
        <w:rPr>
          <w:rFonts w:ascii="Arial" w:hAnsi="Arial" w:cs="Arial"/>
        </w:rPr>
        <w:t xml:space="preserve">. </w:t>
      </w:r>
    </w:p>
    <w:p w14:paraId="74FBD8B8" w14:textId="77777777" w:rsidR="00EC20AB" w:rsidRPr="005D6FF5" w:rsidRDefault="00EC20AB" w:rsidP="00EC20AB">
      <w:pPr>
        <w:jc w:val="left"/>
        <w:rPr>
          <w:rFonts w:ascii="Arial" w:hAnsi="Arial"/>
          <w:highlight w:val="yellow"/>
        </w:rPr>
      </w:pPr>
    </w:p>
    <w:p w14:paraId="7CB610BD" w14:textId="77777777" w:rsidR="00EC20AB" w:rsidRPr="00EB53AD" w:rsidRDefault="00EC20AB" w:rsidP="00EC20AB">
      <w:pPr>
        <w:jc w:val="left"/>
        <w:rPr>
          <w:rFonts w:ascii="Arial" w:hAnsi="Arial" w:cs="Arial"/>
        </w:rPr>
      </w:pPr>
      <w:r w:rsidRPr="00EB53AD">
        <w:rPr>
          <w:rFonts w:ascii="Arial" w:hAnsi="Arial" w:cs="Arial"/>
        </w:rPr>
        <w:t>Mobile remains our largest and fastest growing channel (versus desktop and tablet) and has performed strongly compared to pre-pandemic levels, up 260% on a 3-year basis. Sales through the mobile channel declined in FY 22/23 by 10%, with a decline of 19% in H1 followed by a 1% increase in H2. Mobile sales accounted for 54% of our first-party e-commerce sales (FY 21/22: 51%), representing an increase of 18 percentage points versus FY 19/20.</w:t>
      </w:r>
    </w:p>
    <w:p w14:paraId="6FAD1346" w14:textId="77777777" w:rsidR="00EC20AB" w:rsidRPr="00EB53AD" w:rsidRDefault="00EC20AB" w:rsidP="00EC20AB">
      <w:pPr>
        <w:jc w:val="left"/>
        <w:rPr>
          <w:rFonts w:ascii="Arial" w:hAnsi="Arial" w:cs="Arial"/>
        </w:rPr>
      </w:pPr>
    </w:p>
    <w:p w14:paraId="5DC964EE" w14:textId="77777777" w:rsidR="00EC20AB" w:rsidRPr="00EB53AD" w:rsidRDefault="00EC20AB" w:rsidP="00EC20AB">
      <w:pPr>
        <w:jc w:val="left"/>
        <w:rPr>
          <w:rFonts w:ascii="Arial" w:hAnsi="Arial" w:cs="Arial"/>
        </w:rPr>
      </w:pPr>
      <w:r w:rsidRPr="00EB53AD">
        <w:rPr>
          <w:rFonts w:ascii="Arial" w:hAnsi="Arial" w:cs="Arial"/>
        </w:rPr>
        <w:t xml:space="preserve">Our retail banners are providing customers with unique, app-first experiences such as Screwfix </w:t>
      </w:r>
      <w:r w:rsidRPr="00EB53AD">
        <w:rPr>
          <w:rFonts w:ascii="Arial" w:hAnsi="Arial" w:cs="Arial"/>
          <w:i/>
          <w:iCs/>
        </w:rPr>
        <w:t>Sprint</w:t>
      </w:r>
      <w:r w:rsidRPr="00EB53AD">
        <w:rPr>
          <w:rFonts w:ascii="Arial" w:hAnsi="Arial" w:cs="Arial"/>
        </w:rPr>
        <w:t xml:space="preserve">, together with features that enable greater customer convenience and self-service within our stores. Since its launch in February 2021, the new Screwfix app has been downloaded more than 2.8m times, accounting for 23% of its e-commerce sales (compared to the previous version of the app which accounted for 4% of e-commerce sales). In H1, Brico Dépôt Iberia successfully launched its trade customer loyalty app, and trialled an extension for non-trade customers in H2 with positive early results. </w:t>
      </w:r>
    </w:p>
    <w:p w14:paraId="1231EC16" w14:textId="77777777" w:rsidR="00EC20AB" w:rsidRPr="00EB53AD" w:rsidRDefault="00EC20AB" w:rsidP="00EC20AB">
      <w:pPr>
        <w:jc w:val="left"/>
        <w:rPr>
          <w:rFonts w:ascii="Arial" w:eastAsia="Arial" w:hAnsi="Arial" w:cs="Arial"/>
        </w:rPr>
      </w:pPr>
    </w:p>
    <w:p w14:paraId="203AB181" w14:textId="07403040" w:rsidR="00EC20AB" w:rsidRPr="00EB53AD" w:rsidRDefault="00EC20AB" w:rsidP="00EC20AB">
      <w:pPr>
        <w:jc w:val="left"/>
        <w:rPr>
          <w:rFonts w:ascii="Arial" w:hAnsi="Arial" w:cs="Arial"/>
        </w:rPr>
      </w:pPr>
      <w:r w:rsidRPr="00EB53AD">
        <w:rPr>
          <w:rFonts w:ascii="Arial" w:hAnsi="Arial" w:cs="Arial"/>
        </w:rPr>
        <w:t xml:space="preserve">More broadly, Kingfisher’s </w:t>
      </w:r>
      <w:r w:rsidRPr="00EB53AD">
        <w:rPr>
          <w:rFonts w:ascii="Arial" w:hAnsi="Arial" w:cs="Arial"/>
          <w:b/>
          <w:bCs/>
        </w:rPr>
        <w:t>digitally-enabled sales</w:t>
      </w:r>
      <w:r w:rsidRPr="00EB53AD">
        <w:rPr>
          <w:rFonts w:ascii="Arial" w:hAnsi="Arial" w:cs="Arial"/>
        </w:rPr>
        <w:t xml:space="preserve"> </w:t>
      </w:r>
      <w:r w:rsidRPr="004B6714">
        <w:rPr>
          <w:rFonts w:ascii="Arial" w:hAnsi="Arial" w:cs="Arial"/>
        </w:rPr>
        <w:t xml:space="preserve">were </w:t>
      </w:r>
      <w:r w:rsidRPr="00CD09A1">
        <w:rPr>
          <w:rFonts w:ascii="Arial" w:hAnsi="Arial"/>
        </w:rPr>
        <w:t>24</w:t>
      </w:r>
      <w:r w:rsidRPr="00AB2FD5">
        <w:rPr>
          <w:rFonts w:ascii="Arial" w:hAnsi="Arial" w:cs="Arial"/>
        </w:rPr>
        <w:t xml:space="preserve">% in the year (FY 21/22: 26%; </w:t>
      </w:r>
      <w:r w:rsidRPr="005D7E21">
        <w:rPr>
          <w:rFonts w:ascii="Arial" w:hAnsi="Arial" w:cs="Arial"/>
        </w:rPr>
        <w:t>FY 19/20: 20%</w:t>
      </w:r>
      <w:r w:rsidRPr="00AB2FD5">
        <w:rPr>
          <w:rFonts w:ascii="Arial" w:hAnsi="Arial" w:cs="Arial"/>
        </w:rPr>
        <w:t>), highlighting that nearly a quarter of Group sales are fro</w:t>
      </w:r>
      <w:r w:rsidRPr="00EB53AD">
        <w:rPr>
          <w:rFonts w:ascii="Arial" w:hAnsi="Arial" w:cs="Arial"/>
        </w:rPr>
        <w:t>m e-commerce channels and online orders placed in-store, delivered through pick-up in store or direct to customer homes. We expect digitally-enabled sales to continue to grow over time, in line with the continued evolution of both customer behaviours and our in-store technologies and solutions.</w:t>
      </w:r>
    </w:p>
    <w:p w14:paraId="06B86D78" w14:textId="77777777" w:rsidR="00EC20AB" w:rsidRPr="00EB53AD" w:rsidRDefault="00EC20AB" w:rsidP="00EC20AB">
      <w:pPr>
        <w:jc w:val="left"/>
        <w:rPr>
          <w:rFonts w:ascii="Arial" w:hAnsi="Arial" w:cs="Arial"/>
        </w:rPr>
      </w:pPr>
    </w:p>
    <w:p w14:paraId="6C4C52A2" w14:textId="26B43C00" w:rsidR="00EC20AB" w:rsidRPr="00EB53AD" w:rsidRDefault="00F60C43" w:rsidP="00EC20AB">
      <w:pPr>
        <w:jc w:val="left"/>
        <w:rPr>
          <w:rFonts w:ascii="Arial" w:hAnsi="Arial" w:cs="Arial"/>
        </w:rPr>
      </w:pPr>
      <w:r>
        <w:rPr>
          <w:rFonts w:ascii="Arial" w:hAnsi="Arial" w:cs="Arial"/>
        </w:rPr>
        <w:t>A</w:t>
      </w:r>
      <w:r w:rsidR="00EC20AB" w:rsidRPr="00EB53AD">
        <w:rPr>
          <w:rFonts w:ascii="Arial" w:hAnsi="Arial" w:cs="Arial"/>
        </w:rPr>
        <w:t xml:space="preserve">n example is our now app-integrated ‘Scan &amp; Go’ service in B&amp;Q, Brico Dépôt France and Brico Dépôt Iberia, which allows customers to </w:t>
      </w:r>
      <w:r w:rsidR="006F2747">
        <w:rPr>
          <w:rFonts w:ascii="Arial" w:hAnsi="Arial" w:cs="Arial"/>
        </w:rPr>
        <w:t>scan</w:t>
      </w:r>
      <w:r w:rsidR="00EC20AB" w:rsidRPr="00EB53AD">
        <w:rPr>
          <w:rFonts w:ascii="Arial" w:hAnsi="Arial" w:cs="Arial"/>
        </w:rPr>
        <w:t xml:space="preserve"> their purchases as they shop and transact quickly upon checkout. We are also testing different approaches to make our fuller/extended range of products visible to customers even when not immediately available in-store. Screwfix has now completed the roll-out of their digital catalogue across the entire UK estate. Furthermore, B&amp;Q and Castorama France continue to optimise and improve their in-store digital ordering terminals, with B&amp;Q trialling QR codes in some smaller format stores to bridge from the ‘convenience range’ on-shelf to the fuller/extended range available for delivery or next-day C&amp;C. </w:t>
      </w:r>
    </w:p>
    <w:p w14:paraId="470AF9FA" w14:textId="77777777" w:rsidR="00EC20AB" w:rsidRPr="00EB53AD" w:rsidRDefault="00EC20AB" w:rsidP="00EC20AB">
      <w:pPr>
        <w:jc w:val="left"/>
        <w:rPr>
          <w:rFonts w:ascii="Arial" w:hAnsi="Arial" w:cs="Arial"/>
        </w:rPr>
      </w:pPr>
    </w:p>
    <w:p w14:paraId="0B24BFAB" w14:textId="3ADAC789" w:rsidR="00EC20AB" w:rsidRPr="00EB53AD" w:rsidRDefault="00EC20AB" w:rsidP="00715CCC">
      <w:pPr>
        <w:jc w:val="left"/>
        <w:rPr>
          <w:rFonts w:ascii="Arial" w:hAnsi="Arial" w:cs="Arial"/>
        </w:rPr>
      </w:pPr>
      <w:r w:rsidRPr="00EB53AD">
        <w:rPr>
          <w:rFonts w:ascii="Arial" w:hAnsi="Arial" w:cs="Arial"/>
        </w:rPr>
        <w:t xml:space="preserve">Finally, NeedHelp, our home improvement services marketplace, is now operational in the UK, France, Poland, Switzerland, the Netherlands and Belgium. In FY 22/23, we saw good growth of the platform, with a 22% increase of the gross merchandise value of completed jobs. </w:t>
      </w:r>
      <w:r w:rsidR="00BD03C1" w:rsidRPr="00BD03C1">
        <w:rPr>
          <w:rFonts w:ascii="Arial" w:hAnsi="Arial" w:cs="Arial"/>
        </w:rPr>
        <w:t xml:space="preserve">During the year, </w:t>
      </w:r>
      <w:r w:rsidR="00BD03C1" w:rsidRPr="00BD03C1">
        <w:rPr>
          <w:rFonts w:ascii="Arial" w:hAnsi="Arial" w:cs="Arial"/>
          <w:i/>
          <w:iCs/>
        </w:rPr>
        <w:t>Lapeyre</w:t>
      </w:r>
      <w:r w:rsidR="00BD03C1" w:rsidRPr="00BD03C1">
        <w:rPr>
          <w:rFonts w:ascii="Arial" w:hAnsi="Arial" w:cs="Arial"/>
        </w:rPr>
        <w:t xml:space="preserve"> and </w:t>
      </w:r>
      <w:r w:rsidR="00BD03C1" w:rsidRPr="00BD03C1">
        <w:rPr>
          <w:rFonts w:ascii="Arial" w:hAnsi="Arial" w:cs="Arial"/>
          <w:i/>
          <w:iCs/>
        </w:rPr>
        <w:t>Alinea</w:t>
      </w:r>
      <w:r w:rsidR="00BD03C1" w:rsidRPr="00BD03C1">
        <w:rPr>
          <w:rFonts w:ascii="Arial" w:hAnsi="Arial" w:cs="Arial"/>
        </w:rPr>
        <w:t xml:space="preserve"> launched partnerships with NeedHelp in France and tests were launched with </w:t>
      </w:r>
      <w:r w:rsidR="00BD03C1" w:rsidRPr="00BD03C1">
        <w:rPr>
          <w:rFonts w:ascii="Arial" w:hAnsi="Arial" w:cs="Arial"/>
          <w:i/>
          <w:iCs/>
        </w:rPr>
        <w:t>Darty</w:t>
      </w:r>
      <w:r w:rsidR="00BD03C1" w:rsidRPr="00BD03C1">
        <w:rPr>
          <w:rFonts w:ascii="Arial" w:hAnsi="Arial" w:cs="Arial"/>
        </w:rPr>
        <w:t xml:space="preserve"> and </w:t>
      </w:r>
      <w:r w:rsidR="00BD03C1" w:rsidRPr="00BD03C1">
        <w:rPr>
          <w:rFonts w:ascii="Arial" w:hAnsi="Arial" w:cs="Arial"/>
          <w:i/>
          <w:iCs/>
        </w:rPr>
        <w:t>Conforama</w:t>
      </w:r>
      <w:r w:rsidR="00BD03C1" w:rsidRPr="00BD03C1">
        <w:rPr>
          <w:rFonts w:ascii="Arial" w:hAnsi="Arial" w:cs="Arial"/>
        </w:rPr>
        <w:t xml:space="preserve"> stores.</w:t>
      </w:r>
    </w:p>
    <w:p w14:paraId="551F895D" w14:textId="507BF749" w:rsidR="00206B2D" w:rsidRDefault="00715CCC" w:rsidP="0092378A">
      <w:pPr>
        <w:jc w:val="left"/>
        <w:rPr>
          <w:rFonts w:ascii="Arial" w:eastAsia="Arial" w:hAnsi="Arial" w:cs="Arial"/>
        </w:rPr>
      </w:pPr>
      <w:r>
        <w:rPr>
          <w:rFonts w:ascii="Arial" w:eastAsia="Arial" w:hAnsi="Arial" w:cs="Arial"/>
        </w:rPr>
        <w:br w:type="page"/>
      </w:r>
    </w:p>
    <w:p w14:paraId="0BB76C51" w14:textId="77777777" w:rsidR="00EC20AB" w:rsidRPr="00EB53AD" w:rsidRDefault="00EC20AB" w:rsidP="00EC20AB">
      <w:pPr>
        <w:pStyle w:val="ListParagraph"/>
        <w:numPr>
          <w:ilvl w:val="0"/>
          <w:numId w:val="23"/>
        </w:numPr>
        <w:jc w:val="left"/>
        <w:rPr>
          <w:rFonts w:ascii="Arial" w:hAnsi="Arial" w:cs="Arial"/>
          <w:b/>
          <w:u w:val="single"/>
        </w:rPr>
      </w:pPr>
      <w:bookmarkStart w:id="29" w:name="_Hlk80620351"/>
      <w:bookmarkEnd w:id="26"/>
      <w:bookmarkEnd w:id="27"/>
      <w:r w:rsidRPr="00EB53AD">
        <w:rPr>
          <w:rFonts w:ascii="Arial" w:hAnsi="Arial" w:cs="Arial"/>
          <w:b/>
          <w:u w:val="single"/>
        </w:rPr>
        <w:lastRenderedPageBreak/>
        <w:t>Build a data-led customer experience</w:t>
      </w:r>
    </w:p>
    <w:p w14:paraId="16C30FAF" w14:textId="275DB549" w:rsidR="00EC20AB" w:rsidRPr="00EB53AD" w:rsidRDefault="00EC20AB" w:rsidP="00EC20AB">
      <w:pPr>
        <w:jc w:val="left"/>
        <w:rPr>
          <w:rFonts w:ascii="Arial" w:hAnsi="Arial" w:cs="Arial"/>
          <w:i/>
          <w:iCs/>
        </w:rPr>
      </w:pPr>
      <w:r w:rsidRPr="00EB53AD">
        <w:rPr>
          <w:rFonts w:ascii="Arial" w:hAnsi="Arial" w:cs="Arial"/>
          <w:bCs/>
          <w:i/>
          <w:iCs/>
        </w:rPr>
        <w:t>We are increasingly embedding data within Kingfisher. Our banners are leveraging data to build customer-centric tools and solutions, support better commercial decision-making, and unlock significant new sources of revenue</w:t>
      </w:r>
      <w:r w:rsidR="008E2785">
        <w:rPr>
          <w:rFonts w:ascii="Arial" w:hAnsi="Arial" w:cs="Arial"/>
          <w:bCs/>
          <w:i/>
          <w:iCs/>
        </w:rPr>
        <w:t xml:space="preserve"> an</w:t>
      </w:r>
      <w:r w:rsidR="00DB0793">
        <w:rPr>
          <w:rFonts w:ascii="Arial" w:hAnsi="Arial" w:cs="Arial"/>
          <w:bCs/>
          <w:i/>
          <w:iCs/>
        </w:rPr>
        <w:t xml:space="preserve">d </w:t>
      </w:r>
      <w:r w:rsidR="003854F2">
        <w:rPr>
          <w:rFonts w:ascii="Arial" w:hAnsi="Arial" w:cs="Arial"/>
          <w:bCs/>
          <w:i/>
          <w:iCs/>
        </w:rPr>
        <w:t>profit</w:t>
      </w:r>
      <w:r w:rsidRPr="00EB53AD">
        <w:rPr>
          <w:rFonts w:ascii="Arial" w:hAnsi="Arial" w:cs="Arial"/>
          <w:bCs/>
          <w:i/>
          <w:iCs/>
        </w:rPr>
        <w:t xml:space="preserve"> for the Group.</w:t>
      </w:r>
    </w:p>
    <w:p w14:paraId="543D5F26" w14:textId="77777777" w:rsidR="00EC20AB" w:rsidRPr="00EB53AD" w:rsidRDefault="00EC20AB" w:rsidP="00EC20AB">
      <w:pPr>
        <w:jc w:val="left"/>
        <w:rPr>
          <w:rFonts w:ascii="Arial" w:hAnsi="Arial" w:cs="Arial"/>
        </w:rPr>
      </w:pPr>
    </w:p>
    <w:p w14:paraId="517825F2" w14:textId="77777777" w:rsidR="00EC20AB" w:rsidRPr="00EB53AD" w:rsidRDefault="00EC20AB" w:rsidP="00EC20AB">
      <w:pPr>
        <w:jc w:val="left"/>
        <w:rPr>
          <w:rFonts w:ascii="Arial" w:hAnsi="Arial" w:cs="Arial"/>
          <w:b/>
          <w:bCs/>
          <w:u w:val="single"/>
        </w:rPr>
      </w:pPr>
      <w:r w:rsidRPr="00EB53AD">
        <w:rPr>
          <w:rFonts w:ascii="Arial" w:hAnsi="Arial" w:cs="Arial"/>
          <w:b/>
          <w:bCs/>
          <w:u w:val="single"/>
        </w:rPr>
        <w:t>Data powering growth</w:t>
      </w:r>
    </w:p>
    <w:p w14:paraId="09549966" w14:textId="77777777" w:rsidR="00EC20AB" w:rsidRPr="00EB53AD" w:rsidRDefault="00EC20AB" w:rsidP="00EC20AB">
      <w:pPr>
        <w:jc w:val="left"/>
        <w:rPr>
          <w:rFonts w:ascii="Arial" w:hAnsi="Arial" w:cs="Arial"/>
        </w:rPr>
      </w:pPr>
      <w:r w:rsidRPr="00EB53AD">
        <w:rPr>
          <w:rFonts w:ascii="Arial" w:hAnsi="Arial" w:cs="Arial"/>
        </w:rPr>
        <w:t xml:space="preserve">Since early 2021 we have been focused on developing new data capabilities for our banners. This has involved building new human and technical foundations to allow us to drive growth, efficiencies and improved customer experiences using data. </w:t>
      </w:r>
    </w:p>
    <w:p w14:paraId="0D8D816D" w14:textId="77777777" w:rsidR="00EC20AB" w:rsidRPr="00EB53AD" w:rsidRDefault="00EC20AB" w:rsidP="00EC20AB">
      <w:pPr>
        <w:jc w:val="left"/>
        <w:rPr>
          <w:rFonts w:ascii="Arial" w:hAnsi="Arial" w:cs="Arial"/>
        </w:rPr>
      </w:pPr>
    </w:p>
    <w:p w14:paraId="08AADBE3" w14:textId="6B6EA4CA" w:rsidR="00EC20AB" w:rsidRPr="00EB53AD" w:rsidRDefault="00EC20AB" w:rsidP="00EC20AB">
      <w:pPr>
        <w:jc w:val="left"/>
        <w:rPr>
          <w:rFonts w:ascii="Arial" w:hAnsi="Arial" w:cs="Arial"/>
        </w:rPr>
      </w:pPr>
      <w:r w:rsidRPr="00EB53AD">
        <w:rPr>
          <w:rFonts w:ascii="Arial" w:hAnsi="Arial" w:cs="Arial"/>
        </w:rPr>
        <w:t xml:space="preserve">We have established a </w:t>
      </w:r>
      <w:r w:rsidR="000A03F8">
        <w:rPr>
          <w:rFonts w:ascii="Arial" w:hAnsi="Arial" w:cs="Arial"/>
        </w:rPr>
        <w:t>‘</w:t>
      </w:r>
      <w:r w:rsidRPr="00EB53AD">
        <w:rPr>
          <w:rFonts w:ascii="Arial" w:hAnsi="Arial" w:cs="Arial"/>
        </w:rPr>
        <w:t>Centre of Excellence</w:t>
      </w:r>
      <w:r w:rsidR="000A03F8">
        <w:rPr>
          <w:rFonts w:ascii="Arial" w:hAnsi="Arial" w:cs="Arial"/>
        </w:rPr>
        <w:t>’</w:t>
      </w:r>
      <w:r w:rsidRPr="00EB53AD">
        <w:rPr>
          <w:rFonts w:ascii="Arial" w:hAnsi="Arial" w:cs="Arial"/>
        </w:rPr>
        <w:t xml:space="preserve"> in data – specifically in artificial intelligence (AI) and machine learning, advanced analytics and data platform engineering. This expertise is being leveraged across Kingfisher to address commercial opportunities within our banners and Group functions. </w:t>
      </w:r>
    </w:p>
    <w:p w14:paraId="1DC24A2A" w14:textId="77777777" w:rsidR="00EC20AB" w:rsidRPr="00EB53AD" w:rsidRDefault="00EC20AB" w:rsidP="00EC20AB">
      <w:pPr>
        <w:jc w:val="left"/>
        <w:rPr>
          <w:rFonts w:ascii="Arial" w:hAnsi="Arial" w:cs="Arial"/>
        </w:rPr>
      </w:pPr>
    </w:p>
    <w:p w14:paraId="41A3F7A9" w14:textId="0EB4BC97" w:rsidR="00EC20AB" w:rsidRPr="00EB53AD" w:rsidRDefault="00EC20AB" w:rsidP="00EC20AB">
      <w:pPr>
        <w:jc w:val="left"/>
        <w:rPr>
          <w:rFonts w:ascii="Arial" w:hAnsi="Arial" w:cs="Arial"/>
        </w:rPr>
      </w:pPr>
      <w:r w:rsidRPr="00EB53AD">
        <w:rPr>
          <w:rFonts w:ascii="Arial" w:hAnsi="Arial" w:cs="Arial"/>
        </w:rPr>
        <w:t>In 2021 and 2022 we focused our efforts on customer data and personalisation in order to drive customer loyalty, and retain customers acquired during the pandemic. We continue to see new customer growth above 2019 levels, with strong revenue retention of customers acquired in 2021 (</w:t>
      </w:r>
      <w:r>
        <w:rPr>
          <w:rFonts w:ascii="Arial" w:hAnsi="Arial" w:cs="Arial"/>
        </w:rPr>
        <w:t>103</w:t>
      </w:r>
      <w:r w:rsidRPr="00EB53AD">
        <w:rPr>
          <w:rFonts w:ascii="Arial" w:hAnsi="Arial" w:cs="Arial"/>
        </w:rPr>
        <w:t xml:space="preserve">% of revenue retained after 12 months). To support these efforts, we have put new technology and data foundations in place. These included rolling out a new customer data platform at Castorama France to support their omni-channel marketing, deploying new data science and marketing automation tools at Screwfix, and developing new customer segmentations and algorithmic recommendation services to improve customer journeys </w:t>
      </w:r>
      <w:r w:rsidR="00B54E33">
        <w:rPr>
          <w:rFonts w:ascii="Arial" w:hAnsi="Arial" w:cs="Arial"/>
        </w:rPr>
        <w:t xml:space="preserve">and drive sales </w:t>
      </w:r>
      <w:r w:rsidRPr="00EB53AD">
        <w:rPr>
          <w:rFonts w:ascii="Arial" w:hAnsi="Arial" w:cs="Arial"/>
        </w:rPr>
        <w:t>at B&amp;Q. As an example of this, during the year B&amp;Q implemented a new product substitution algorithm to help minimise lost online sales, and has expanded its range of customer contact points via in-app notifications and tailored in-store couponing.</w:t>
      </w:r>
    </w:p>
    <w:p w14:paraId="4A60F665" w14:textId="77777777" w:rsidR="00EC20AB" w:rsidRPr="00EB53AD" w:rsidRDefault="00EC20AB" w:rsidP="00EC20AB">
      <w:pPr>
        <w:jc w:val="left"/>
        <w:rPr>
          <w:rFonts w:ascii="Arial" w:hAnsi="Arial" w:cs="Arial"/>
        </w:rPr>
      </w:pPr>
    </w:p>
    <w:p w14:paraId="04D95F08" w14:textId="77777777" w:rsidR="00EC20AB" w:rsidRPr="00EB53AD" w:rsidRDefault="00EC20AB" w:rsidP="00EC20AB">
      <w:pPr>
        <w:jc w:val="left"/>
        <w:rPr>
          <w:rFonts w:ascii="Arial" w:eastAsia="Arial" w:hAnsi="Arial" w:cs="Arial"/>
        </w:rPr>
      </w:pPr>
      <w:r w:rsidRPr="00EB53AD">
        <w:rPr>
          <w:rFonts w:ascii="Arial" w:hAnsi="Arial" w:cs="Arial"/>
        </w:rPr>
        <w:t xml:space="preserve">During the year </w:t>
      </w:r>
      <w:r w:rsidRPr="00EB53AD">
        <w:rPr>
          <w:rFonts w:ascii="Arial" w:eastAsia="Arial" w:hAnsi="Arial" w:cs="Arial"/>
        </w:rPr>
        <w:t xml:space="preserve">Kingfisher developed its first in-house recommendation engine, employing state-of-the-art machine learning and AI technology, to provide a more personalised shopping experience for our customers. The technology has been implemented at B&amp;Q and Screwfix, with further roll-out in other banners planned this year. Although in its early stages, the new recommendation engine is already outperforming the existing solution on </w:t>
      </w:r>
      <w:r w:rsidRPr="00EB53AD">
        <w:rPr>
          <w:rFonts w:ascii="Arial" w:eastAsia="Arial" w:hAnsi="Arial" w:cs="Arial"/>
          <w:i/>
          <w:iCs/>
        </w:rPr>
        <w:t>diy.com</w:t>
      </w:r>
      <w:r w:rsidRPr="00EB53AD">
        <w:rPr>
          <w:rFonts w:ascii="Arial" w:eastAsia="Arial" w:hAnsi="Arial" w:cs="Arial"/>
        </w:rPr>
        <w:t xml:space="preserve"> (+11% click-through rate, +4% add-to-basket rate and 3.5x faster response times), while also providing an opportunity to improve the speed and security of our websites by removing reliance on third-party providers. In addition, the new recommendation engine has been designed to scale and support our e-commerce marketplace products.</w:t>
      </w:r>
    </w:p>
    <w:p w14:paraId="221F5D52" w14:textId="77777777" w:rsidR="00EC20AB" w:rsidRPr="00EB53AD" w:rsidRDefault="00EC20AB" w:rsidP="00EC20AB">
      <w:pPr>
        <w:jc w:val="left"/>
        <w:rPr>
          <w:rFonts w:ascii="Arial" w:hAnsi="Arial" w:cs="Arial"/>
        </w:rPr>
      </w:pPr>
    </w:p>
    <w:p w14:paraId="284BDB19" w14:textId="77777777" w:rsidR="00EC20AB" w:rsidRPr="00EB53AD" w:rsidRDefault="00EC20AB" w:rsidP="00EC20AB">
      <w:pPr>
        <w:jc w:val="left"/>
        <w:rPr>
          <w:rFonts w:ascii="Arial" w:hAnsi="Arial" w:cs="Arial"/>
        </w:rPr>
      </w:pPr>
      <w:r w:rsidRPr="00EB53AD">
        <w:rPr>
          <w:rFonts w:ascii="Arial" w:hAnsi="Arial" w:cs="Arial"/>
        </w:rPr>
        <w:t xml:space="preserve">Finally, in addition to new in-house capabilities, we have established several strategic partnerships to accelerate our progress in data. These include a partnership with </w:t>
      </w:r>
      <w:r w:rsidRPr="00EB53AD">
        <w:rPr>
          <w:rFonts w:ascii="Arial" w:hAnsi="Arial" w:cs="Arial"/>
          <w:i/>
          <w:iCs/>
        </w:rPr>
        <w:t>Braze</w:t>
      </w:r>
      <w:r w:rsidRPr="00EB53AD">
        <w:rPr>
          <w:rFonts w:ascii="Arial" w:hAnsi="Arial" w:cs="Arial"/>
        </w:rPr>
        <w:t xml:space="preserve"> to support us in developing more personalised customer communications; with </w:t>
      </w:r>
      <w:r w:rsidRPr="00EB53AD">
        <w:rPr>
          <w:rFonts w:ascii="Arial" w:hAnsi="Arial" w:cs="Arial"/>
          <w:i/>
          <w:iCs/>
        </w:rPr>
        <w:t>ContentSquare</w:t>
      </w:r>
      <w:r w:rsidRPr="00EB53AD">
        <w:rPr>
          <w:rFonts w:ascii="Arial" w:hAnsi="Arial" w:cs="Arial"/>
        </w:rPr>
        <w:t xml:space="preserve"> to help us build seamless customer journeys with enhanced digital analytics; and with </w:t>
      </w:r>
      <w:r w:rsidRPr="00EB53AD">
        <w:rPr>
          <w:rFonts w:ascii="Arial" w:hAnsi="Arial" w:cs="Arial"/>
          <w:i/>
          <w:iCs/>
        </w:rPr>
        <w:t>Google</w:t>
      </w:r>
      <w:r w:rsidRPr="00EB53AD">
        <w:rPr>
          <w:rFonts w:ascii="Arial" w:hAnsi="Arial" w:cs="Arial"/>
        </w:rPr>
        <w:t xml:space="preserve"> on cloud data and AI-based technologies. </w:t>
      </w:r>
    </w:p>
    <w:p w14:paraId="01210C6D" w14:textId="77777777" w:rsidR="00EC20AB" w:rsidRPr="00EB53AD" w:rsidRDefault="00EC20AB" w:rsidP="00EC20AB">
      <w:pPr>
        <w:jc w:val="left"/>
        <w:rPr>
          <w:rFonts w:ascii="Arial" w:hAnsi="Arial" w:cs="Arial"/>
        </w:rPr>
      </w:pPr>
    </w:p>
    <w:p w14:paraId="6BE669DE" w14:textId="1CBE3C4B" w:rsidR="00EC20AB" w:rsidRPr="00EB53AD" w:rsidRDefault="00EC20AB" w:rsidP="00EC20AB">
      <w:pPr>
        <w:jc w:val="left"/>
        <w:rPr>
          <w:rFonts w:ascii="Arial" w:hAnsi="Arial" w:cs="Arial"/>
        </w:rPr>
      </w:pPr>
      <w:r w:rsidRPr="00EB53AD">
        <w:rPr>
          <w:rFonts w:ascii="Arial" w:hAnsi="Arial" w:cs="Arial"/>
          <w:b/>
          <w:bCs/>
          <w:u w:val="single"/>
        </w:rPr>
        <w:t>Data powering profit</w:t>
      </w:r>
    </w:p>
    <w:p w14:paraId="0178534D" w14:textId="76EF0DF5" w:rsidR="00EC20AB" w:rsidRPr="00EB53AD" w:rsidRDefault="00EC20AB" w:rsidP="00EC20AB">
      <w:pPr>
        <w:jc w:val="left"/>
        <w:rPr>
          <w:rFonts w:ascii="Arial" w:hAnsi="Arial" w:cs="Arial"/>
        </w:rPr>
      </w:pPr>
      <w:r w:rsidRPr="00EB53AD">
        <w:rPr>
          <w:rFonts w:ascii="Arial" w:hAnsi="Arial" w:cs="Arial"/>
        </w:rPr>
        <w:t xml:space="preserve">Through our investments in data capabilities, learning more about our </w:t>
      </w:r>
      <w:r w:rsidRPr="00A808E3">
        <w:rPr>
          <w:rFonts w:ascii="Arial" w:hAnsi="Arial" w:cs="Arial"/>
        </w:rPr>
        <w:t xml:space="preserve">customers, and </w:t>
      </w:r>
      <w:r w:rsidR="00A808E3" w:rsidRPr="00A808E3">
        <w:rPr>
          <w:rFonts w:ascii="Arial" w:hAnsi="Arial" w:cs="Arial"/>
        </w:rPr>
        <w:t>c.</w:t>
      </w:r>
      <w:r w:rsidRPr="007A06FA">
        <w:rPr>
          <w:rFonts w:ascii="Arial" w:hAnsi="Arial"/>
        </w:rPr>
        <w:t>1</w:t>
      </w:r>
      <w:r w:rsidRPr="00A808E3">
        <w:rPr>
          <w:rFonts w:ascii="Arial" w:hAnsi="Arial" w:cs="Arial"/>
        </w:rPr>
        <w:t xml:space="preserve"> billion customer visits across our e-commerce touchpoints, we’re now pivoting our data strategy to create new sources of growth and profit.</w:t>
      </w:r>
      <w:r w:rsidRPr="00EB53AD">
        <w:rPr>
          <w:rFonts w:ascii="Arial" w:hAnsi="Arial" w:cs="Arial"/>
        </w:rPr>
        <w:t xml:space="preserve"> </w:t>
      </w:r>
    </w:p>
    <w:p w14:paraId="00207456" w14:textId="77777777" w:rsidR="00EC20AB" w:rsidRPr="00EB53AD" w:rsidRDefault="00EC20AB" w:rsidP="00EC20AB">
      <w:pPr>
        <w:jc w:val="left"/>
        <w:rPr>
          <w:rFonts w:ascii="Arial" w:hAnsi="Arial" w:cs="Arial"/>
        </w:rPr>
      </w:pPr>
    </w:p>
    <w:p w14:paraId="781BC608" w14:textId="5EFFC2AC" w:rsidR="00EC20AB" w:rsidRPr="00EB53AD" w:rsidRDefault="00EC20AB" w:rsidP="00EC20AB">
      <w:pPr>
        <w:jc w:val="left"/>
        <w:rPr>
          <w:rFonts w:ascii="Arial" w:hAnsi="Arial" w:cs="Arial"/>
        </w:rPr>
      </w:pPr>
      <w:r w:rsidRPr="00EB53AD">
        <w:rPr>
          <w:rFonts w:ascii="Arial" w:hAnsi="Arial" w:cs="Arial"/>
        </w:rPr>
        <w:t>We’re leveraging our capabilities to create a data-driven tool that will support more efficient pricing decisions for better margin realisation, and increase the effectiveness of promotional</w:t>
      </w:r>
      <w:r w:rsidR="006B5663">
        <w:rPr>
          <w:rFonts w:ascii="Arial" w:hAnsi="Arial" w:cs="Arial"/>
        </w:rPr>
        <w:t>, markd</w:t>
      </w:r>
      <w:r w:rsidR="00727E7C">
        <w:rPr>
          <w:rFonts w:ascii="Arial" w:hAnsi="Arial" w:cs="Arial"/>
        </w:rPr>
        <w:t>own</w:t>
      </w:r>
      <w:r w:rsidRPr="00EB53AD">
        <w:rPr>
          <w:rFonts w:ascii="Arial" w:hAnsi="Arial" w:cs="Arial"/>
        </w:rPr>
        <w:t xml:space="preserve"> and clearance campaigns. Development work has commenced on this product, with implementation in our banners expected this year. </w:t>
      </w:r>
    </w:p>
    <w:p w14:paraId="5C890E7C" w14:textId="77777777" w:rsidR="00EC20AB" w:rsidRPr="00EB53AD" w:rsidRDefault="00EC20AB" w:rsidP="00EC20AB">
      <w:pPr>
        <w:jc w:val="left"/>
        <w:rPr>
          <w:rFonts w:ascii="Arial" w:hAnsi="Arial" w:cs="Arial"/>
        </w:rPr>
      </w:pPr>
    </w:p>
    <w:p w14:paraId="10FD9CDE" w14:textId="76259E12" w:rsidR="00EC20AB" w:rsidRPr="00EB53AD" w:rsidRDefault="00EC20AB" w:rsidP="00EC20AB">
      <w:pPr>
        <w:jc w:val="left"/>
        <w:rPr>
          <w:rFonts w:ascii="Arial" w:hAnsi="Arial" w:cs="Arial"/>
        </w:rPr>
      </w:pPr>
      <w:r w:rsidRPr="00EB53AD">
        <w:rPr>
          <w:rFonts w:ascii="Arial" w:hAnsi="Arial" w:cs="Arial"/>
        </w:rPr>
        <w:t xml:space="preserve">We are also developing a supply chain visibility tool to provide our banners with real-time and end-to-end visibility of products from factory to store. The transparency over our supply chain networks will enable our banners to optimise inventory levels and replenishment cycles, resulting in higher availability, reduced inventory days, </w:t>
      </w:r>
      <w:r w:rsidR="00E32712">
        <w:rPr>
          <w:rFonts w:ascii="Arial" w:hAnsi="Arial" w:cs="Arial"/>
        </w:rPr>
        <w:t xml:space="preserve">shorter </w:t>
      </w:r>
      <w:r w:rsidRPr="00EB53AD">
        <w:rPr>
          <w:rFonts w:ascii="Arial" w:hAnsi="Arial" w:cs="Arial"/>
        </w:rPr>
        <w:t>product lead-times, higher profitability</w:t>
      </w:r>
      <w:r w:rsidR="00EB665C">
        <w:rPr>
          <w:rFonts w:ascii="Arial" w:hAnsi="Arial" w:cs="Arial"/>
        </w:rPr>
        <w:t xml:space="preserve"> and, over time, </w:t>
      </w:r>
      <w:r w:rsidR="00EB665C" w:rsidRPr="00EB53AD">
        <w:rPr>
          <w:rFonts w:ascii="Arial" w:hAnsi="Arial" w:cs="Arial"/>
        </w:rPr>
        <w:t>improved demand forecasting</w:t>
      </w:r>
      <w:r w:rsidRPr="00EB53AD">
        <w:rPr>
          <w:rFonts w:ascii="Arial" w:hAnsi="Arial" w:cs="Arial"/>
        </w:rPr>
        <w:t>. Additionally, Kingfisher is exploring the monetisation of our visibility tool by providing suppliers with real-time access to stock level data</w:t>
      </w:r>
      <w:r w:rsidR="00B632D6">
        <w:rPr>
          <w:rFonts w:ascii="Arial" w:hAnsi="Arial" w:cs="Arial"/>
        </w:rPr>
        <w:t xml:space="preserve"> for their products</w:t>
      </w:r>
      <w:r w:rsidRPr="00EB53AD">
        <w:rPr>
          <w:rFonts w:ascii="Arial" w:hAnsi="Arial" w:cs="Arial"/>
        </w:rPr>
        <w:t>, allowing them to better forecast demand and manage production times.</w:t>
      </w:r>
    </w:p>
    <w:p w14:paraId="6C77A0C0" w14:textId="77777777" w:rsidR="00EC20AB" w:rsidRPr="00EB53AD" w:rsidRDefault="00EC20AB" w:rsidP="00EC20AB">
      <w:pPr>
        <w:jc w:val="left"/>
        <w:rPr>
          <w:rFonts w:ascii="Arial" w:hAnsi="Arial" w:cs="Arial"/>
        </w:rPr>
      </w:pPr>
    </w:p>
    <w:p w14:paraId="445ED71E" w14:textId="2882B350" w:rsidR="00EC20AB" w:rsidRPr="00EB53AD" w:rsidRDefault="00EC20AB" w:rsidP="00EC20AB">
      <w:pPr>
        <w:jc w:val="left"/>
        <w:rPr>
          <w:rFonts w:ascii="Arial" w:hAnsi="Arial" w:cs="Arial"/>
        </w:rPr>
      </w:pPr>
      <w:r w:rsidRPr="00EB53AD">
        <w:rPr>
          <w:rFonts w:ascii="Arial" w:hAnsi="Arial" w:cs="Arial"/>
        </w:rPr>
        <w:t xml:space="preserve">We are also developing opportunities to generate new sources of revenue for the Group by monetising through retail media – i.e., advertising placed within our e-commerce platforms and apps. Over the next </w:t>
      </w:r>
      <w:r>
        <w:rPr>
          <w:rFonts w:ascii="Arial" w:hAnsi="Arial" w:cs="Arial"/>
        </w:rPr>
        <w:lastRenderedPageBreak/>
        <w:t>three</w:t>
      </w:r>
      <w:r w:rsidRPr="00EB53AD">
        <w:rPr>
          <w:rFonts w:ascii="Arial" w:hAnsi="Arial" w:cs="Arial"/>
        </w:rPr>
        <w:t xml:space="preserve"> years, the global retail media market is estimated to grow at </w:t>
      </w:r>
      <w:r>
        <w:rPr>
          <w:rFonts w:ascii="Arial" w:hAnsi="Arial" w:cs="Arial"/>
        </w:rPr>
        <w:t>a c.16</w:t>
      </w:r>
      <w:r w:rsidRPr="00EB53AD">
        <w:rPr>
          <w:rFonts w:ascii="Arial" w:hAnsi="Arial" w:cs="Arial"/>
        </w:rPr>
        <w:t xml:space="preserve">% </w:t>
      </w:r>
      <w:r>
        <w:rPr>
          <w:rFonts w:ascii="Arial" w:hAnsi="Arial" w:cs="Arial"/>
        </w:rPr>
        <w:t xml:space="preserve">CAGR </w:t>
      </w:r>
      <w:r w:rsidRPr="00EB53AD">
        <w:rPr>
          <w:rFonts w:ascii="Arial" w:hAnsi="Arial" w:cs="Arial"/>
        </w:rPr>
        <w:t xml:space="preserve">to </w:t>
      </w:r>
      <w:r>
        <w:rPr>
          <w:rFonts w:ascii="Arial" w:hAnsi="Arial" w:cs="Arial"/>
        </w:rPr>
        <w:t>c.</w:t>
      </w:r>
      <w:r w:rsidRPr="00020CBB">
        <w:rPr>
          <w:rFonts w:ascii="Arial" w:hAnsi="Arial" w:cs="Arial"/>
        </w:rPr>
        <w:t>$190bn</w:t>
      </w:r>
      <w:r w:rsidRPr="00923F48">
        <w:rPr>
          <w:rFonts w:ascii="Arial" w:hAnsi="Arial" w:cs="Arial"/>
        </w:rPr>
        <w:t>.</w:t>
      </w:r>
      <w:r w:rsidRPr="00EB53AD">
        <w:rPr>
          <w:rFonts w:ascii="Arial" w:hAnsi="Arial" w:cs="Arial"/>
        </w:rPr>
        <w:t xml:space="preserve"> Many large retailers are </w:t>
      </w:r>
      <w:r w:rsidR="004E1142">
        <w:rPr>
          <w:rFonts w:ascii="Arial" w:hAnsi="Arial" w:cs="Arial"/>
        </w:rPr>
        <w:t xml:space="preserve">already </w:t>
      </w:r>
      <w:r w:rsidRPr="00EB53AD">
        <w:rPr>
          <w:rFonts w:ascii="Arial" w:hAnsi="Arial" w:cs="Arial"/>
        </w:rPr>
        <w:t xml:space="preserve">monetising their existing e-commerce channels through selling advertising space for brands to purchase. With </w:t>
      </w:r>
      <w:r w:rsidR="00A808E3">
        <w:rPr>
          <w:rFonts w:ascii="Arial" w:hAnsi="Arial" w:cs="Arial"/>
        </w:rPr>
        <w:t>c.</w:t>
      </w:r>
      <w:r w:rsidRPr="00EB53AD">
        <w:rPr>
          <w:rFonts w:ascii="Arial" w:hAnsi="Arial" w:cs="Arial"/>
        </w:rPr>
        <w:t xml:space="preserve">1 billion customer visits across our e-commerce touchpoints, Kingfisher is very well placed to benefit from this retail mega-trend. Along with our significant online traffic, </w:t>
      </w:r>
      <w:r w:rsidR="00A639A8">
        <w:rPr>
          <w:rFonts w:ascii="Arial" w:hAnsi="Arial" w:cs="Arial"/>
        </w:rPr>
        <w:t>many of our suppliers – including leading national and international home improvement brands – could become advertisers</w:t>
      </w:r>
      <w:r w:rsidRPr="00EB53AD">
        <w:rPr>
          <w:rFonts w:ascii="Arial" w:hAnsi="Arial" w:cs="Arial"/>
        </w:rPr>
        <w:t xml:space="preserve">. Retail media is attractive for advertisers because it enables more precise targeting of </w:t>
      </w:r>
      <w:r w:rsidR="00662C35">
        <w:rPr>
          <w:rFonts w:ascii="Arial" w:hAnsi="Arial" w:cs="Arial"/>
        </w:rPr>
        <w:t>advertising to</w:t>
      </w:r>
      <w:r w:rsidR="00662C35" w:rsidRPr="00EB53AD">
        <w:rPr>
          <w:rFonts w:ascii="Arial" w:hAnsi="Arial" w:cs="Arial"/>
        </w:rPr>
        <w:t xml:space="preserve"> </w:t>
      </w:r>
      <w:r w:rsidRPr="00EB53AD">
        <w:rPr>
          <w:rFonts w:ascii="Arial" w:hAnsi="Arial" w:cs="Arial"/>
        </w:rPr>
        <w:t xml:space="preserve">customers during their buying journey (e.g., advertising during the product search stage, basket-build stage, or at the point of sale) to build brand awareness and drive product sales. In February 2023, </w:t>
      </w:r>
      <w:r w:rsidR="006C4AC0">
        <w:rPr>
          <w:rFonts w:ascii="Arial" w:hAnsi="Arial" w:cs="Arial"/>
        </w:rPr>
        <w:t>throu</w:t>
      </w:r>
      <w:r w:rsidR="005E58CA">
        <w:rPr>
          <w:rFonts w:ascii="Arial" w:hAnsi="Arial" w:cs="Arial"/>
        </w:rPr>
        <w:t xml:space="preserve">gh a </w:t>
      </w:r>
      <w:r w:rsidR="00CE7CDF">
        <w:rPr>
          <w:rFonts w:ascii="Arial" w:hAnsi="Arial" w:cs="Arial"/>
        </w:rPr>
        <w:t xml:space="preserve">technological </w:t>
      </w:r>
      <w:r w:rsidR="005E58CA">
        <w:rPr>
          <w:rFonts w:ascii="Arial" w:hAnsi="Arial" w:cs="Arial"/>
        </w:rPr>
        <w:t xml:space="preserve">partnership with </w:t>
      </w:r>
      <w:r w:rsidR="005E58CA" w:rsidRPr="00635726">
        <w:rPr>
          <w:rFonts w:ascii="Arial" w:hAnsi="Arial"/>
          <w:i/>
        </w:rPr>
        <w:t>CitrusAd</w:t>
      </w:r>
      <w:r w:rsidR="005E58CA">
        <w:rPr>
          <w:rFonts w:ascii="Arial" w:hAnsi="Arial" w:cs="Arial"/>
        </w:rPr>
        <w:t xml:space="preserve">, </w:t>
      </w:r>
      <w:r w:rsidRPr="00EB53AD">
        <w:rPr>
          <w:rFonts w:ascii="Arial" w:hAnsi="Arial" w:cs="Arial"/>
        </w:rPr>
        <w:t xml:space="preserve">Castorama France </w:t>
      </w:r>
      <w:r w:rsidRPr="00634081">
        <w:rPr>
          <w:rFonts w:ascii="Arial" w:hAnsi="Arial" w:cs="Arial"/>
        </w:rPr>
        <w:t>commenced</w:t>
      </w:r>
      <w:r w:rsidR="005E58CA" w:rsidRPr="006C225F">
        <w:rPr>
          <w:rFonts w:ascii="Arial" w:hAnsi="Arial" w:cs="Arial"/>
        </w:rPr>
        <w:t xml:space="preserve"> </w:t>
      </w:r>
      <w:r w:rsidR="00CE7CDF" w:rsidRPr="006C225F">
        <w:rPr>
          <w:rFonts w:ascii="Arial" w:hAnsi="Arial" w:cs="Arial"/>
        </w:rPr>
        <w:t xml:space="preserve">online </w:t>
      </w:r>
      <w:r w:rsidR="005E58CA" w:rsidRPr="006C225F">
        <w:rPr>
          <w:rFonts w:ascii="Arial" w:hAnsi="Arial" w:cs="Arial"/>
        </w:rPr>
        <w:t>advertising</w:t>
      </w:r>
      <w:r w:rsidRPr="00B409A8">
        <w:rPr>
          <w:rFonts w:ascii="Arial" w:hAnsi="Arial" w:cs="Arial"/>
        </w:rPr>
        <w:t xml:space="preserve"> for product displ</w:t>
      </w:r>
      <w:r w:rsidRPr="007719C8">
        <w:rPr>
          <w:rFonts w:ascii="Arial" w:hAnsi="Arial" w:cs="Arial"/>
        </w:rPr>
        <w:t xml:space="preserve">ay and sponsored search, which is the first of many developments to follow in this area. Over time, we see the potential for retail media revenues to reach </w:t>
      </w:r>
      <w:r w:rsidR="008C4C0F">
        <w:rPr>
          <w:rFonts w:ascii="Arial" w:hAnsi="Arial" w:cs="Arial"/>
        </w:rPr>
        <w:t>up t</w:t>
      </w:r>
      <w:r w:rsidR="005A4D1A">
        <w:rPr>
          <w:rFonts w:ascii="Arial" w:hAnsi="Arial" w:cs="Arial"/>
        </w:rPr>
        <w:t xml:space="preserve">o </w:t>
      </w:r>
      <w:r w:rsidR="00C52119">
        <w:rPr>
          <w:rFonts w:ascii="Arial" w:hAnsi="Arial" w:cs="Arial"/>
        </w:rPr>
        <w:t>3</w:t>
      </w:r>
      <w:r w:rsidRPr="00B409A8">
        <w:rPr>
          <w:rFonts w:ascii="Arial" w:hAnsi="Arial" w:cs="Arial"/>
        </w:rPr>
        <w:t xml:space="preserve">% </w:t>
      </w:r>
      <w:r w:rsidRPr="00EB53AD">
        <w:rPr>
          <w:rFonts w:ascii="Arial" w:hAnsi="Arial" w:cs="Arial"/>
        </w:rPr>
        <w:t>of the Group’s total e-commerce sales.</w:t>
      </w:r>
    </w:p>
    <w:p w14:paraId="056F6CFF" w14:textId="77777777" w:rsidR="00EC20AB" w:rsidRPr="00EB53AD" w:rsidRDefault="00EC20AB" w:rsidP="00EC20AB">
      <w:pPr>
        <w:jc w:val="left"/>
        <w:rPr>
          <w:rFonts w:ascii="Arial" w:hAnsi="Arial" w:cs="Arial"/>
        </w:rPr>
      </w:pPr>
    </w:p>
    <w:p w14:paraId="1EB536F9" w14:textId="3B2CA794" w:rsidR="00EC20AB" w:rsidRPr="00EB53AD" w:rsidRDefault="00EC20AB" w:rsidP="00EC20AB">
      <w:pPr>
        <w:jc w:val="left"/>
        <w:rPr>
          <w:rFonts w:ascii="Arial" w:hAnsi="Arial" w:cs="Arial"/>
        </w:rPr>
      </w:pPr>
      <w:r w:rsidRPr="00EB53AD">
        <w:rPr>
          <w:rFonts w:ascii="Arial" w:hAnsi="Arial" w:cs="Arial"/>
        </w:rPr>
        <w:t xml:space="preserve">These </w:t>
      </w:r>
      <w:r w:rsidR="003323C4">
        <w:rPr>
          <w:rFonts w:ascii="Arial" w:hAnsi="Arial" w:cs="Arial"/>
        </w:rPr>
        <w:t>initiatives</w:t>
      </w:r>
      <w:r w:rsidR="003323C4" w:rsidRPr="00EB53AD">
        <w:rPr>
          <w:rFonts w:ascii="Arial" w:hAnsi="Arial" w:cs="Arial"/>
        </w:rPr>
        <w:t xml:space="preserve"> </w:t>
      </w:r>
      <w:r w:rsidRPr="00EB53AD">
        <w:rPr>
          <w:rFonts w:ascii="Arial" w:hAnsi="Arial" w:cs="Arial"/>
        </w:rPr>
        <w:t xml:space="preserve">are all underpinned by a pan-Kingfisher roll-out of a common data platform, using cloud-based technology. We are convinced that our ongoing investment in this area will drive faster, simpler and more efficient decision-making. The same capability will enable the simple use and re-use of data for business intelligence and analytics, as well as the direct deployment of AI-based technologies to power services for customers. </w:t>
      </w:r>
    </w:p>
    <w:p w14:paraId="290ABB1C" w14:textId="77777777" w:rsidR="00EC20AB" w:rsidRPr="00EB53AD" w:rsidRDefault="00EC20AB" w:rsidP="00EC20AB">
      <w:pPr>
        <w:jc w:val="left"/>
        <w:rPr>
          <w:rFonts w:ascii="Arial" w:hAnsi="Arial" w:cs="Arial"/>
        </w:rPr>
      </w:pPr>
    </w:p>
    <w:p w14:paraId="1BB8F40C" w14:textId="77777777" w:rsidR="00EC20AB" w:rsidRPr="00EB53AD" w:rsidRDefault="00EC20AB" w:rsidP="00EC20AB">
      <w:pPr>
        <w:numPr>
          <w:ilvl w:val="0"/>
          <w:numId w:val="23"/>
        </w:numPr>
        <w:jc w:val="left"/>
        <w:rPr>
          <w:rFonts w:ascii="Arial" w:hAnsi="Arial" w:cs="Arial"/>
          <w:b/>
          <w:u w:val="single"/>
        </w:rPr>
      </w:pPr>
      <w:r w:rsidRPr="00EB53AD">
        <w:rPr>
          <w:rFonts w:ascii="Arial" w:hAnsi="Arial" w:cs="Arial"/>
          <w:b/>
          <w:u w:val="single"/>
        </w:rPr>
        <w:t>Differentiate and win through own exclusive brands (OEB)</w:t>
      </w:r>
    </w:p>
    <w:p w14:paraId="21771FCB" w14:textId="646BAC00" w:rsidR="00EC20AB" w:rsidRPr="00EB53AD" w:rsidRDefault="00EC20AB" w:rsidP="00EC20AB">
      <w:pPr>
        <w:jc w:val="left"/>
        <w:rPr>
          <w:rFonts w:ascii="Arial" w:hAnsi="Arial" w:cs="Arial"/>
          <w:i/>
          <w:iCs/>
        </w:rPr>
      </w:pPr>
      <w:r w:rsidRPr="00EB53AD">
        <w:rPr>
          <w:rFonts w:ascii="Arial" w:hAnsi="Arial" w:cs="Arial"/>
          <w:i/>
          <w:iCs/>
        </w:rPr>
        <w:t xml:space="preserve">We believe that our OEB product development is a significant source of value for our retail banners and their customers. OEBs provide us with the ability to </w:t>
      </w:r>
      <w:r w:rsidR="00F85D4E" w:rsidRPr="00F85D4E">
        <w:rPr>
          <w:rFonts w:ascii="Arial" w:hAnsi="Arial" w:cs="Arial"/>
          <w:i/>
          <w:iCs/>
        </w:rPr>
        <w:t>differentiate ourselves from the rest of the market by delivering simple, innovative</w:t>
      </w:r>
      <w:r w:rsidR="00DC380F">
        <w:rPr>
          <w:rFonts w:ascii="Arial" w:hAnsi="Arial" w:cs="Arial"/>
          <w:i/>
          <w:iCs/>
        </w:rPr>
        <w:t xml:space="preserve"> and </w:t>
      </w:r>
      <w:r w:rsidR="00F85D4E" w:rsidRPr="00F85D4E">
        <w:rPr>
          <w:rFonts w:ascii="Arial" w:hAnsi="Arial" w:cs="Arial"/>
          <w:i/>
          <w:iCs/>
        </w:rPr>
        <w:t>sustainable solutions, at affordable price</w:t>
      </w:r>
      <w:r w:rsidR="00DC380F">
        <w:rPr>
          <w:rFonts w:ascii="Arial" w:hAnsi="Arial" w:cs="Arial"/>
          <w:i/>
          <w:iCs/>
        </w:rPr>
        <w:t>s</w:t>
      </w:r>
      <w:r w:rsidRPr="00EB53AD">
        <w:rPr>
          <w:rFonts w:ascii="Arial" w:hAnsi="Arial" w:cs="Arial"/>
          <w:i/>
          <w:iCs/>
        </w:rPr>
        <w:t xml:space="preserve">. OEBs also carry a higher gross margin (on average) than branded products. We aim to grow our OEB sales further, as we bring even more </w:t>
      </w:r>
      <w:r w:rsidR="00FD6320" w:rsidRPr="00FD6320">
        <w:rPr>
          <w:rFonts w:ascii="Arial" w:hAnsi="Arial" w:cs="Arial"/>
          <w:i/>
          <w:iCs/>
        </w:rPr>
        <w:t xml:space="preserve">innovative </w:t>
      </w:r>
      <w:r w:rsidR="00FD6320">
        <w:rPr>
          <w:rFonts w:ascii="Arial" w:hAnsi="Arial" w:cs="Arial"/>
          <w:i/>
          <w:iCs/>
        </w:rPr>
        <w:t>and</w:t>
      </w:r>
      <w:r w:rsidR="00FD6320" w:rsidRPr="00FD6320">
        <w:rPr>
          <w:rFonts w:ascii="Arial" w:hAnsi="Arial" w:cs="Arial"/>
          <w:i/>
          <w:iCs/>
        </w:rPr>
        <w:t xml:space="preserve"> affordable solutions to our customers</w:t>
      </w:r>
      <w:r w:rsidRPr="00EB53AD">
        <w:rPr>
          <w:rFonts w:ascii="Arial" w:hAnsi="Arial" w:cs="Arial"/>
          <w:i/>
          <w:iCs/>
        </w:rPr>
        <w:t>.</w:t>
      </w:r>
    </w:p>
    <w:p w14:paraId="720B6165" w14:textId="77777777" w:rsidR="00EC20AB" w:rsidRPr="00EB53AD" w:rsidRDefault="00EC20AB" w:rsidP="00EC20AB">
      <w:pPr>
        <w:jc w:val="left"/>
        <w:rPr>
          <w:rFonts w:ascii="Arial" w:hAnsi="Arial" w:cs="Arial"/>
        </w:rPr>
      </w:pPr>
    </w:p>
    <w:p w14:paraId="39A457CD" w14:textId="521DE669" w:rsidR="00EC20AB" w:rsidRPr="00EB53AD" w:rsidRDefault="00EC20AB" w:rsidP="00EC20AB">
      <w:pPr>
        <w:jc w:val="left"/>
        <w:rPr>
          <w:rFonts w:ascii="Arial" w:hAnsi="Arial" w:cs="Arial"/>
        </w:rPr>
      </w:pPr>
      <w:r w:rsidRPr="00EB53AD">
        <w:rPr>
          <w:rFonts w:ascii="Arial" w:hAnsi="Arial" w:cs="Arial"/>
        </w:rPr>
        <w:t xml:space="preserve">The performance of our OEB ranges in FY 22/23 was resilient against very strong prior year comparatives, with LFL sales down 3.2%. LFL sales for OEB were up 15.4% on a 3-year basis, performing in-line the growth of non-OEB ranges. Total OEB </w:t>
      </w:r>
      <w:r w:rsidR="00F90CE3">
        <w:rPr>
          <w:rFonts w:ascii="Arial" w:hAnsi="Arial" w:cs="Arial"/>
        </w:rPr>
        <w:t xml:space="preserve">product </w:t>
      </w:r>
      <w:r w:rsidRPr="00EB53AD">
        <w:rPr>
          <w:rFonts w:ascii="Arial" w:hAnsi="Arial" w:cs="Arial"/>
        </w:rPr>
        <w:t xml:space="preserve">sales were £5.8bn, representing 45% of Group sales (FY 21/22: 45%). This is particularly impressive when considering our retail banners’ renewed focus on offering more choice to customers through a wider range of local and international branded products. </w:t>
      </w:r>
      <w:bookmarkStart w:id="30" w:name="_Hlk128051170"/>
      <w:r w:rsidRPr="00EB53AD">
        <w:rPr>
          <w:rFonts w:ascii="Arial" w:hAnsi="Arial" w:cs="Arial"/>
        </w:rPr>
        <w:t xml:space="preserve">Kingfisher’s top five OEBs, based on their breadth of differentiated ranges, innovation and growth potential, are </w:t>
      </w:r>
      <w:r w:rsidRPr="00EB53AD">
        <w:rPr>
          <w:rFonts w:ascii="Arial" w:hAnsi="Arial" w:cs="Arial"/>
          <w:i/>
          <w:iCs/>
        </w:rPr>
        <w:t>GoodHome</w:t>
      </w:r>
      <w:r w:rsidRPr="00EB53AD">
        <w:rPr>
          <w:rFonts w:ascii="Arial" w:hAnsi="Arial" w:cs="Arial"/>
        </w:rPr>
        <w:t xml:space="preserve">, </w:t>
      </w:r>
      <w:r w:rsidRPr="00EB53AD">
        <w:rPr>
          <w:rFonts w:ascii="Arial" w:hAnsi="Arial" w:cs="Arial"/>
          <w:i/>
          <w:iCs/>
        </w:rPr>
        <w:t>Verve</w:t>
      </w:r>
      <w:r w:rsidRPr="00EB53AD">
        <w:rPr>
          <w:rFonts w:ascii="Arial" w:hAnsi="Arial" w:cs="Arial"/>
        </w:rPr>
        <w:t xml:space="preserve">, </w:t>
      </w:r>
      <w:r w:rsidRPr="00EB53AD">
        <w:rPr>
          <w:rFonts w:ascii="Arial" w:hAnsi="Arial" w:cs="Arial"/>
          <w:i/>
          <w:iCs/>
        </w:rPr>
        <w:t>Erbauer</w:t>
      </w:r>
      <w:r w:rsidRPr="00EB53AD">
        <w:rPr>
          <w:rFonts w:ascii="Arial" w:hAnsi="Arial" w:cs="Arial"/>
        </w:rPr>
        <w:t xml:space="preserve">, </w:t>
      </w:r>
      <w:r w:rsidRPr="00EB53AD">
        <w:rPr>
          <w:rFonts w:ascii="Arial" w:hAnsi="Arial" w:cs="Arial"/>
          <w:i/>
          <w:iCs/>
        </w:rPr>
        <w:t xml:space="preserve">Magnusson </w:t>
      </w:r>
      <w:r w:rsidRPr="00EB53AD">
        <w:rPr>
          <w:rFonts w:ascii="Arial" w:hAnsi="Arial" w:cs="Arial"/>
        </w:rPr>
        <w:t xml:space="preserve">and </w:t>
      </w:r>
      <w:r w:rsidR="007D4C31">
        <w:rPr>
          <w:rFonts w:ascii="Arial" w:hAnsi="Arial" w:cs="Arial"/>
          <w:i/>
          <w:iCs/>
        </w:rPr>
        <w:t>Cooke &amp; Lewis</w:t>
      </w:r>
      <w:r w:rsidRPr="00EB53AD">
        <w:rPr>
          <w:rFonts w:ascii="Arial" w:hAnsi="Arial" w:cs="Arial"/>
        </w:rPr>
        <w:t xml:space="preserve">. These contributed </w:t>
      </w:r>
      <w:r w:rsidR="00FE53FB">
        <w:rPr>
          <w:rFonts w:ascii="Arial" w:hAnsi="Arial" w:cs="Arial"/>
        </w:rPr>
        <w:t>20</w:t>
      </w:r>
      <w:r w:rsidR="00656D6F">
        <w:rPr>
          <w:rFonts w:ascii="Arial" w:hAnsi="Arial" w:cs="Arial"/>
        </w:rPr>
        <w:t>.2</w:t>
      </w:r>
      <w:r w:rsidRPr="00EB53AD">
        <w:rPr>
          <w:rFonts w:ascii="Arial" w:hAnsi="Arial" w:cs="Arial"/>
        </w:rPr>
        <w:t xml:space="preserve">% of total Group sales (FY 21/22: </w:t>
      </w:r>
      <w:r>
        <w:rPr>
          <w:rFonts w:ascii="Arial" w:hAnsi="Arial" w:cs="Arial"/>
        </w:rPr>
        <w:t>1</w:t>
      </w:r>
      <w:r w:rsidR="00656D6F">
        <w:rPr>
          <w:rFonts w:ascii="Arial" w:hAnsi="Arial" w:cs="Arial"/>
        </w:rPr>
        <w:t>9.5</w:t>
      </w:r>
      <w:r w:rsidRPr="00EB53AD">
        <w:rPr>
          <w:rFonts w:ascii="Arial" w:hAnsi="Arial" w:cs="Arial"/>
        </w:rPr>
        <w:t xml:space="preserve">%; FY 19/20: </w:t>
      </w:r>
      <w:r>
        <w:rPr>
          <w:rFonts w:ascii="Arial" w:hAnsi="Arial" w:cs="Arial"/>
        </w:rPr>
        <w:t>1</w:t>
      </w:r>
      <w:r w:rsidR="00656D6F">
        <w:rPr>
          <w:rFonts w:ascii="Arial" w:hAnsi="Arial" w:cs="Arial"/>
        </w:rPr>
        <w:t>4</w:t>
      </w:r>
      <w:r w:rsidR="0042244F">
        <w:rPr>
          <w:rFonts w:ascii="Arial" w:hAnsi="Arial" w:cs="Arial"/>
        </w:rPr>
        <w:t>.3</w:t>
      </w:r>
      <w:r w:rsidRPr="00EB53AD">
        <w:rPr>
          <w:rFonts w:ascii="Arial" w:hAnsi="Arial" w:cs="Arial"/>
        </w:rPr>
        <w:t xml:space="preserve">%). </w:t>
      </w:r>
      <w:bookmarkEnd w:id="30"/>
    </w:p>
    <w:p w14:paraId="70C933E7" w14:textId="77777777" w:rsidR="00EC20AB" w:rsidRPr="00EB53AD" w:rsidRDefault="00EC20AB" w:rsidP="00EC20AB">
      <w:pPr>
        <w:jc w:val="left"/>
        <w:rPr>
          <w:rFonts w:ascii="Arial" w:hAnsi="Arial" w:cs="Arial"/>
        </w:rPr>
      </w:pPr>
    </w:p>
    <w:p w14:paraId="71D91C5A" w14:textId="77777777" w:rsidR="00EC20AB" w:rsidRPr="00EB53AD" w:rsidRDefault="00EC20AB" w:rsidP="00EC20AB">
      <w:pPr>
        <w:jc w:val="left"/>
        <w:rPr>
          <w:rFonts w:ascii="Arial" w:hAnsi="Arial" w:cs="Arial"/>
        </w:rPr>
      </w:pPr>
      <w:r w:rsidRPr="00EB53AD">
        <w:rPr>
          <w:rFonts w:ascii="Arial" w:hAnsi="Arial" w:cs="Arial"/>
        </w:rPr>
        <w:t xml:space="preserve">During the year, we redefined our OEB strategy around three core pillars: </w:t>
      </w:r>
      <w:r w:rsidRPr="00EB53AD">
        <w:rPr>
          <w:rFonts w:ascii="Arial" w:hAnsi="Arial" w:cs="Arial"/>
          <w:b/>
          <w:bCs/>
        </w:rPr>
        <w:t>innovation</w:t>
      </w:r>
      <w:r w:rsidRPr="00EB53AD">
        <w:rPr>
          <w:rFonts w:ascii="Arial" w:hAnsi="Arial" w:cs="Arial"/>
        </w:rPr>
        <w:t xml:space="preserve">, </w:t>
      </w:r>
      <w:r w:rsidRPr="00EB53AD">
        <w:rPr>
          <w:rFonts w:ascii="Arial" w:hAnsi="Arial" w:cs="Arial"/>
          <w:b/>
          <w:bCs/>
        </w:rPr>
        <w:t>affordability</w:t>
      </w:r>
      <w:r w:rsidRPr="00EB53AD">
        <w:rPr>
          <w:rFonts w:ascii="Arial" w:hAnsi="Arial" w:cs="Arial"/>
        </w:rPr>
        <w:t xml:space="preserve"> and </w:t>
      </w:r>
      <w:r w:rsidRPr="00EB53AD">
        <w:rPr>
          <w:rFonts w:ascii="Arial" w:hAnsi="Arial" w:cs="Arial"/>
          <w:b/>
          <w:bCs/>
        </w:rPr>
        <w:t>sustainability</w:t>
      </w:r>
      <w:r w:rsidRPr="00EB53AD">
        <w:rPr>
          <w:rFonts w:ascii="Arial" w:hAnsi="Arial" w:cs="Arial"/>
        </w:rPr>
        <w:t xml:space="preserve">. Moving forward, all new product launches and range reviews will stringently address each of these three pillars. </w:t>
      </w:r>
    </w:p>
    <w:p w14:paraId="31219737" w14:textId="77777777" w:rsidR="00EC20AB" w:rsidRPr="00EB53AD" w:rsidRDefault="00EC20AB" w:rsidP="00EC20AB">
      <w:pPr>
        <w:jc w:val="left"/>
        <w:rPr>
          <w:rFonts w:ascii="Arial" w:hAnsi="Arial" w:cs="Arial"/>
        </w:rPr>
      </w:pPr>
    </w:p>
    <w:p w14:paraId="70B2EFD2" w14:textId="01309FA4" w:rsidR="00EC20AB" w:rsidRPr="00EB53AD" w:rsidRDefault="00EC20AB" w:rsidP="00EC20AB">
      <w:pPr>
        <w:jc w:val="left"/>
        <w:rPr>
          <w:rFonts w:ascii="Arial" w:hAnsi="Arial" w:cs="Arial"/>
        </w:rPr>
      </w:pPr>
      <w:r w:rsidRPr="00EB53AD">
        <w:rPr>
          <w:rFonts w:ascii="Arial" w:hAnsi="Arial" w:cs="Arial"/>
        </w:rPr>
        <w:t xml:space="preserve">With many households in our markets impacted by the rising cost of living, </w:t>
      </w:r>
      <w:r w:rsidR="006E2987">
        <w:rPr>
          <w:rFonts w:ascii="Arial" w:hAnsi="Arial" w:cs="Arial"/>
        </w:rPr>
        <w:t>this</w:t>
      </w:r>
      <w:r w:rsidR="0088362D" w:rsidRPr="0088362D">
        <w:rPr>
          <w:rFonts w:ascii="Arial" w:hAnsi="Arial" w:cs="Arial"/>
        </w:rPr>
        <w:t xml:space="preserve"> has strengthened our resolve </w:t>
      </w:r>
      <w:r w:rsidR="0005617F">
        <w:rPr>
          <w:rFonts w:ascii="Arial" w:hAnsi="Arial" w:cs="Arial"/>
        </w:rPr>
        <w:t xml:space="preserve">to </w:t>
      </w:r>
      <w:r w:rsidR="00B37529">
        <w:rPr>
          <w:rFonts w:ascii="Arial" w:hAnsi="Arial" w:cs="Arial"/>
        </w:rPr>
        <w:t xml:space="preserve">deliver </w:t>
      </w:r>
      <w:r w:rsidR="00B37529" w:rsidRPr="00C844D4">
        <w:rPr>
          <w:rFonts w:ascii="Arial" w:hAnsi="Arial" w:cs="Arial"/>
          <w:b/>
          <w:bCs/>
        </w:rPr>
        <w:t>affordable</w:t>
      </w:r>
      <w:r w:rsidR="00B37529">
        <w:rPr>
          <w:rFonts w:ascii="Arial" w:hAnsi="Arial" w:cs="Arial"/>
        </w:rPr>
        <w:t xml:space="preserve"> prices </w:t>
      </w:r>
      <w:r w:rsidR="00F2236A">
        <w:rPr>
          <w:rFonts w:ascii="Arial" w:hAnsi="Arial" w:cs="Arial"/>
        </w:rPr>
        <w:t xml:space="preserve">to </w:t>
      </w:r>
      <w:r w:rsidR="00B37529">
        <w:rPr>
          <w:rFonts w:ascii="Arial" w:hAnsi="Arial" w:cs="Arial"/>
        </w:rPr>
        <w:t xml:space="preserve">our </w:t>
      </w:r>
      <w:r w:rsidR="0088362D" w:rsidRPr="0088362D">
        <w:rPr>
          <w:rFonts w:ascii="Arial" w:hAnsi="Arial" w:cs="Arial"/>
        </w:rPr>
        <w:t>customers</w:t>
      </w:r>
      <w:r w:rsidR="00357711">
        <w:rPr>
          <w:rFonts w:ascii="Arial" w:hAnsi="Arial" w:cs="Arial"/>
        </w:rPr>
        <w:t xml:space="preserve"> by leveraging our OEBs</w:t>
      </w:r>
      <w:r w:rsidRPr="00EB53AD">
        <w:rPr>
          <w:rFonts w:ascii="Arial" w:hAnsi="Arial" w:cs="Arial"/>
        </w:rPr>
        <w:t xml:space="preserve">. Our OEB products are, on average, 15-30% cheaper than branded products (for example, our </w:t>
      </w:r>
      <w:r w:rsidRPr="00EB53AD">
        <w:rPr>
          <w:rFonts w:ascii="Arial" w:hAnsi="Arial" w:cs="Arial"/>
          <w:i/>
          <w:iCs/>
        </w:rPr>
        <w:t>Erbauer</w:t>
      </w:r>
      <w:r w:rsidRPr="005D6FF5">
        <w:rPr>
          <w:rFonts w:ascii="Arial" w:hAnsi="Arial"/>
          <w:i/>
        </w:rPr>
        <w:t xml:space="preserve"> </w:t>
      </w:r>
      <w:r w:rsidRPr="00EB53AD">
        <w:rPr>
          <w:rFonts w:ascii="Arial" w:hAnsi="Arial" w:cs="Arial"/>
        </w:rPr>
        <w:t xml:space="preserve">brand compared to its branded power tool competitors, and our </w:t>
      </w:r>
      <w:r w:rsidR="00233E81">
        <w:rPr>
          <w:rFonts w:ascii="Arial" w:hAnsi="Arial" w:cs="Arial"/>
          <w:i/>
          <w:iCs/>
        </w:rPr>
        <w:t>Titan</w:t>
      </w:r>
      <w:r w:rsidR="00233E81" w:rsidRPr="00EB53AD">
        <w:rPr>
          <w:rFonts w:ascii="Arial" w:hAnsi="Arial" w:cs="Arial"/>
        </w:rPr>
        <w:t xml:space="preserve"> </w:t>
      </w:r>
      <w:r w:rsidR="00233E81">
        <w:rPr>
          <w:rFonts w:ascii="Arial" w:hAnsi="Arial" w:cs="Arial"/>
        </w:rPr>
        <w:t xml:space="preserve">pressure washers </w:t>
      </w:r>
      <w:r w:rsidRPr="00EB53AD">
        <w:rPr>
          <w:rFonts w:ascii="Arial" w:hAnsi="Arial" w:cs="Arial"/>
        </w:rPr>
        <w:t xml:space="preserve">compared to its </w:t>
      </w:r>
      <w:r w:rsidR="00320629">
        <w:rPr>
          <w:rFonts w:ascii="Arial" w:hAnsi="Arial" w:cs="Arial"/>
        </w:rPr>
        <w:t>main branded</w:t>
      </w:r>
      <w:r w:rsidR="004F444D">
        <w:rPr>
          <w:rFonts w:ascii="Arial" w:hAnsi="Arial" w:cs="Arial"/>
        </w:rPr>
        <w:t xml:space="preserve"> </w:t>
      </w:r>
      <w:r w:rsidRPr="00EB53AD">
        <w:rPr>
          <w:rFonts w:ascii="Arial" w:hAnsi="Arial" w:cs="Arial"/>
        </w:rPr>
        <w:t xml:space="preserve">competitor). We achieve this by maintaining strong range management practices across the OEB offer, strengthening the offer in the lowest selling price quartile, and </w:t>
      </w:r>
      <w:r w:rsidR="00F53304" w:rsidRPr="00F53304">
        <w:rPr>
          <w:rFonts w:ascii="Arial" w:hAnsi="Arial" w:cs="Arial"/>
        </w:rPr>
        <w:t xml:space="preserve">developing the </w:t>
      </w:r>
      <w:r w:rsidR="00907B86">
        <w:rPr>
          <w:rFonts w:ascii="Arial" w:hAnsi="Arial" w:cs="Arial"/>
        </w:rPr>
        <w:t>‘</w:t>
      </w:r>
      <w:r w:rsidR="00F53304" w:rsidRPr="00F53304">
        <w:rPr>
          <w:rFonts w:ascii="Arial" w:hAnsi="Arial" w:cs="Arial"/>
        </w:rPr>
        <w:t>permanent</w:t>
      </w:r>
      <w:r w:rsidR="00907B86">
        <w:rPr>
          <w:rFonts w:ascii="Arial" w:hAnsi="Arial" w:cs="Arial"/>
        </w:rPr>
        <w:t>’</w:t>
      </w:r>
      <w:r w:rsidR="00F53304" w:rsidRPr="00F53304">
        <w:rPr>
          <w:rFonts w:ascii="Arial" w:hAnsi="Arial" w:cs="Arial"/>
        </w:rPr>
        <w:t xml:space="preserve"> OEB range with </w:t>
      </w:r>
      <w:r w:rsidR="00907B86">
        <w:rPr>
          <w:rFonts w:ascii="Arial" w:hAnsi="Arial" w:cs="Arial"/>
        </w:rPr>
        <w:t>b</w:t>
      </w:r>
      <w:r w:rsidR="00F53304" w:rsidRPr="00F53304">
        <w:rPr>
          <w:rFonts w:ascii="Arial" w:hAnsi="Arial" w:cs="Arial"/>
        </w:rPr>
        <w:t xml:space="preserve">anners to form the core of their offer, </w:t>
      </w:r>
      <w:r w:rsidR="00907B86">
        <w:rPr>
          <w:rFonts w:ascii="Arial" w:hAnsi="Arial" w:cs="Arial"/>
        </w:rPr>
        <w:t xml:space="preserve">which is </w:t>
      </w:r>
      <w:r w:rsidR="00F53304" w:rsidRPr="00F53304">
        <w:rPr>
          <w:rFonts w:ascii="Arial" w:hAnsi="Arial" w:cs="Arial"/>
        </w:rPr>
        <w:t xml:space="preserve">complemented by additional </w:t>
      </w:r>
      <w:r w:rsidRPr="00EB53AD">
        <w:rPr>
          <w:rFonts w:ascii="Arial" w:hAnsi="Arial" w:cs="Arial"/>
        </w:rPr>
        <w:t>banner-specific ranges.</w:t>
      </w:r>
    </w:p>
    <w:p w14:paraId="1BA73923" w14:textId="77777777" w:rsidR="00EC20AB" w:rsidRPr="00EB53AD" w:rsidRDefault="00EC20AB" w:rsidP="00EC20AB">
      <w:pPr>
        <w:jc w:val="left"/>
        <w:rPr>
          <w:rFonts w:ascii="Arial" w:hAnsi="Arial" w:cs="Arial"/>
        </w:rPr>
      </w:pPr>
    </w:p>
    <w:p w14:paraId="7947B247" w14:textId="779F16A4" w:rsidR="00EC20AB" w:rsidRPr="00EB53AD" w:rsidRDefault="00EC20AB" w:rsidP="00EC20AB">
      <w:pPr>
        <w:jc w:val="left"/>
        <w:rPr>
          <w:rFonts w:ascii="Arial" w:hAnsi="Arial" w:cs="Arial"/>
        </w:rPr>
      </w:pPr>
      <w:r w:rsidRPr="00EB53AD">
        <w:rPr>
          <w:rFonts w:ascii="Arial" w:hAnsi="Arial" w:cs="Arial"/>
        </w:rPr>
        <w:t xml:space="preserve">We also remain focused on designing </w:t>
      </w:r>
      <w:r w:rsidRPr="00EB53AD">
        <w:rPr>
          <w:rFonts w:ascii="Arial" w:hAnsi="Arial" w:cs="Arial"/>
          <w:b/>
          <w:bCs/>
        </w:rPr>
        <w:t>innovative</w:t>
      </w:r>
      <w:r w:rsidRPr="00EB53AD">
        <w:rPr>
          <w:rFonts w:ascii="Arial" w:hAnsi="Arial" w:cs="Arial"/>
        </w:rPr>
        <w:t xml:space="preserve"> products to make home improvement projects easier, </w:t>
      </w:r>
      <w:r w:rsidR="005B1F61" w:rsidRPr="005B1F61">
        <w:rPr>
          <w:rFonts w:ascii="Arial" w:hAnsi="Arial" w:cs="Arial"/>
        </w:rPr>
        <w:t>by developing a much deeper understanding of customer needs</w:t>
      </w:r>
      <w:r w:rsidR="00C90CC9">
        <w:rPr>
          <w:rFonts w:ascii="Arial" w:hAnsi="Arial" w:cs="Arial"/>
        </w:rPr>
        <w:t xml:space="preserve"> </w:t>
      </w:r>
      <w:r w:rsidRPr="00EB53AD">
        <w:rPr>
          <w:rFonts w:ascii="Arial" w:hAnsi="Arial" w:cs="Arial"/>
        </w:rPr>
        <w:t xml:space="preserve">at every step of the home improvement journey. We are developing disruptive and uniquely designed OEB products to simplify choice and give our customers more confidence to complete projects. An example of such innovation is our new mounting plate system for our range of door handles and knobs, designed to fit any existing door and removing the need to drill new screw holes. We also have plans to launch new flooring ranges in FY 23/24 with an easier-to-install ‘click and drop’ solution. </w:t>
      </w:r>
    </w:p>
    <w:p w14:paraId="4E8F4155" w14:textId="77777777" w:rsidR="00EC20AB" w:rsidRPr="00EB53AD" w:rsidRDefault="00EC20AB" w:rsidP="00EC20AB">
      <w:pPr>
        <w:jc w:val="left"/>
        <w:rPr>
          <w:rFonts w:ascii="Arial" w:hAnsi="Arial" w:cs="Arial"/>
        </w:rPr>
      </w:pPr>
    </w:p>
    <w:p w14:paraId="68CA3750" w14:textId="35B195E2" w:rsidR="00EC20AB" w:rsidRPr="00EB53AD" w:rsidRDefault="00EC20AB" w:rsidP="00EC20AB">
      <w:pPr>
        <w:jc w:val="left"/>
        <w:rPr>
          <w:rFonts w:ascii="Arial" w:hAnsi="Arial" w:cs="Arial"/>
        </w:rPr>
      </w:pPr>
      <w:r w:rsidRPr="00EB53AD">
        <w:rPr>
          <w:rFonts w:ascii="Arial" w:hAnsi="Arial" w:cs="Arial"/>
        </w:rPr>
        <w:t xml:space="preserve">We are leveraging our OEB capabilities to provide differentiated and specialised products for our general home improvement, trade and discounter banners. Over the last two years, we have created an overall portfolio of 32 new and redeveloped OEBs, enabling our banners to differentiate both between themselves and also from branded products within their customer proposition. The roll-out of these OEBs </w:t>
      </w:r>
      <w:r w:rsidRPr="00EB53AD">
        <w:rPr>
          <w:rFonts w:ascii="Arial" w:hAnsi="Arial" w:cs="Arial"/>
        </w:rPr>
        <w:lastRenderedPageBreak/>
        <w:t xml:space="preserve">was completed in H2, and we are now working towards further extending the new OEB pipeline. Examples include our </w:t>
      </w:r>
      <w:r w:rsidRPr="00EB53AD">
        <w:rPr>
          <w:rFonts w:ascii="Arial" w:hAnsi="Arial" w:cs="Arial"/>
          <w:i/>
          <w:iCs/>
        </w:rPr>
        <w:t xml:space="preserve">Flomasta </w:t>
      </w:r>
      <w:r w:rsidRPr="00EB53AD">
        <w:rPr>
          <w:rFonts w:ascii="Arial" w:hAnsi="Arial" w:cs="Arial"/>
        </w:rPr>
        <w:t xml:space="preserve">trade-focused radiators, launched initially in Screwfix, and the </w:t>
      </w:r>
      <w:r w:rsidRPr="00EB53AD">
        <w:rPr>
          <w:rFonts w:ascii="Arial" w:hAnsi="Arial" w:cs="Arial"/>
          <w:i/>
          <w:iCs/>
        </w:rPr>
        <w:t xml:space="preserve">Turbo </w:t>
      </w:r>
      <w:r w:rsidRPr="00EB53AD">
        <w:rPr>
          <w:rFonts w:ascii="Arial" w:hAnsi="Arial" w:cs="Arial"/>
        </w:rPr>
        <w:t xml:space="preserve">high-performance screw range marketed to Screwfix trade customers. </w:t>
      </w:r>
      <w:r w:rsidRPr="00EB53AD">
        <w:rPr>
          <w:rFonts w:ascii="Arial" w:hAnsi="Arial" w:cs="Arial"/>
          <w:i/>
          <w:iCs/>
        </w:rPr>
        <w:t>Evalux</w:t>
      </w:r>
      <w:r w:rsidRPr="00EB53AD">
        <w:rPr>
          <w:rFonts w:ascii="Arial" w:hAnsi="Arial" w:cs="Arial"/>
        </w:rPr>
        <w:t xml:space="preserve">, a high-performance discount paint range sold only at Brico Dépôt France, has performed strongly since its launch in early 2022. During H1 we relaunched </w:t>
      </w:r>
      <w:r w:rsidRPr="00EB53AD">
        <w:rPr>
          <w:rFonts w:ascii="Arial" w:hAnsi="Arial" w:cs="Arial"/>
          <w:i/>
          <w:iCs/>
        </w:rPr>
        <w:t xml:space="preserve">GoodHome </w:t>
      </w:r>
      <w:r w:rsidRPr="00EB53AD">
        <w:rPr>
          <w:rFonts w:ascii="Arial" w:hAnsi="Arial" w:cs="Arial"/>
        </w:rPr>
        <w:t xml:space="preserve">paint in all our general home improvement banners to create an unrivalled paint offering </w:t>
      </w:r>
      <w:r w:rsidR="00CD01C0" w:rsidRPr="00936684">
        <w:rPr>
          <w:rFonts w:ascii="Arial" w:hAnsi="Arial" w:cs="Arial"/>
        </w:rPr>
        <w:t xml:space="preserve">with a curated range of </w:t>
      </w:r>
      <w:r w:rsidRPr="00EB53AD">
        <w:rPr>
          <w:rFonts w:ascii="Arial" w:hAnsi="Arial" w:cs="Arial"/>
        </w:rPr>
        <w:t>ready-mixed colours</w:t>
      </w:r>
      <w:r w:rsidR="00047CDF">
        <w:rPr>
          <w:rFonts w:ascii="Arial" w:hAnsi="Arial" w:cs="Arial"/>
        </w:rPr>
        <w:t>,</w:t>
      </w:r>
      <w:r w:rsidRPr="00EB53AD">
        <w:rPr>
          <w:rFonts w:ascii="Arial" w:hAnsi="Arial" w:cs="Arial"/>
        </w:rPr>
        <w:t xml:space="preserve"> </w:t>
      </w:r>
      <w:r w:rsidR="00047CDF" w:rsidRPr="00936684">
        <w:rPr>
          <w:rFonts w:ascii="Arial" w:hAnsi="Arial" w:cs="Arial"/>
        </w:rPr>
        <w:t xml:space="preserve">alongside our tinting offer </w:t>
      </w:r>
      <w:r w:rsidR="00047CDF">
        <w:rPr>
          <w:rFonts w:ascii="Arial" w:hAnsi="Arial" w:cs="Arial"/>
        </w:rPr>
        <w:t xml:space="preserve">which </w:t>
      </w:r>
      <w:r w:rsidRPr="00EB53AD">
        <w:rPr>
          <w:rFonts w:ascii="Arial" w:hAnsi="Arial" w:cs="Arial"/>
        </w:rPr>
        <w:t>increas</w:t>
      </w:r>
      <w:r w:rsidR="00047CDF">
        <w:rPr>
          <w:rFonts w:ascii="Arial" w:hAnsi="Arial" w:cs="Arial"/>
        </w:rPr>
        <w:t>e</w:t>
      </w:r>
      <w:r w:rsidR="00BA7537">
        <w:rPr>
          <w:rFonts w:ascii="Arial" w:hAnsi="Arial" w:cs="Arial"/>
        </w:rPr>
        <w:t>d</w:t>
      </w:r>
      <w:r w:rsidRPr="00EB53AD">
        <w:rPr>
          <w:rFonts w:ascii="Arial" w:hAnsi="Arial" w:cs="Arial"/>
        </w:rPr>
        <w:t xml:space="preserve"> choice to 2.2 million </w:t>
      </w:r>
      <w:r w:rsidR="00786BCD">
        <w:rPr>
          <w:rFonts w:ascii="Arial" w:hAnsi="Arial" w:cs="Arial"/>
        </w:rPr>
        <w:t>colours</w:t>
      </w:r>
      <w:r w:rsidRPr="00EB53AD">
        <w:rPr>
          <w:rFonts w:ascii="Arial" w:hAnsi="Arial" w:cs="Arial"/>
        </w:rPr>
        <w:t>. Th</w:t>
      </w:r>
      <w:r w:rsidR="00BA7537">
        <w:rPr>
          <w:rFonts w:ascii="Arial" w:hAnsi="Arial" w:cs="Arial"/>
        </w:rPr>
        <w:t>e</w:t>
      </w:r>
      <w:r w:rsidRPr="00EB53AD">
        <w:rPr>
          <w:rFonts w:ascii="Arial" w:hAnsi="Arial" w:cs="Arial"/>
        </w:rPr>
        <w:t xml:space="preserve"> relaunch </w:t>
      </w:r>
      <w:r w:rsidR="00786BCD">
        <w:rPr>
          <w:rFonts w:ascii="Arial" w:hAnsi="Arial" w:cs="Arial"/>
        </w:rPr>
        <w:t xml:space="preserve">also </w:t>
      </w:r>
      <w:r w:rsidRPr="00EB53AD">
        <w:rPr>
          <w:rFonts w:ascii="Arial" w:hAnsi="Arial" w:cs="Arial"/>
        </w:rPr>
        <w:t xml:space="preserve">included our first bio-based paint, </w:t>
      </w:r>
      <w:r w:rsidRPr="00EB53AD">
        <w:rPr>
          <w:rFonts w:ascii="Arial" w:hAnsi="Arial" w:cs="Arial"/>
          <w:bCs/>
          <w:i/>
          <w:iCs/>
        </w:rPr>
        <w:t>Naturéa</w:t>
      </w:r>
      <w:r w:rsidRPr="00EB53AD">
        <w:rPr>
          <w:rFonts w:ascii="Arial" w:hAnsi="Arial" w:cs="Arial"/>
        </w:rPr>
        <w:t xml:space="preserve">. At B&amp;Q and Screwfix, respectively, we have launched new featured ranges for </w:t>
      </w:r>
      <w:r w:rsidRPr="00EB53AD">
        <w:rPr>
          <w:rFonts w:ascii="Arial" w:hAnsi="Arial" w:cs="Arial"/>
          <w:i/>
          <w:iCs/>
        </w:rPr>
        <w:t xml:space="preserve">MacAllister </w:t>
      </w:r>
      <w:r w:rsidRPr="00EB53AD">
        <w:rPr>
          <w:rFonts w:ascii="Arial" w:hAnsi="Arial" w:cs="Arial"/>
        </w:rPr>
        <w:t xml:space="preserve">and </w:t>
      </w:r>
      <w:r w:rsidRPr="00EB53AD">
        <w:rPr>
          <w:rFonts w:ascii="Arial" w:hAnsi="Arial" w:cs="Arial"/>
          <w:i/>
          <w:iCs/>
        </w:rPr>
        <w:t xml:space="preserve">Titan </w:t>
      </w:r>
      <w:r w:rsidRPr="00EB53AD">
        <w:rPr>
          <w:rFonts w:ascii="Arial" w:hAnsi="Arial" w:cs="Arial"/>
        </w:rPr>
        <w:t>power tools incorporating a better battery platform, whilst keeping our selling prices low, helping to make home improvement projects easier and more cost-efficient. One of our key focus areas in FY 23/24 is to drive higher customer awareness and adoption of these new brands.</w:t>
      </w:r>
    </w:p>
    <w:p w14:paraId="7CC3B6F7" w14:textId="56B83A19" w:rsidR="00936684" w:rsidRPr="00EB53AD" w:rsidRDefault="00936684" w:rsidP="00EC20AB">
      <w:pPr>
        <w:jc w:val="left"/>
        <w:rPr>
          <w:rFonts w:ascii="Arial" w:hAnsi="Arial" w:cs="Arial"/>
        </w:rPr>
      </w:pPr>
    </w:p>
    <w:p w14:paraId="4041DB18" w14:textId="79A0947B" w:rsidR="00EC20AB" w:rsidRPr="00EB53AD" w:rsidRDefault="00AE2E90" w:rsidP="00EC20AB">
      <w:pPr>
        <w:jc w:val="left"/>
        <w:rPr>
          <w:rFonts w:ascii="Arial" w:hAnsi="Arial" w:cs="Arial"/>
        </w:rPr>
      </w:pPr>
      <w:r>
        <w:rPr>
          <w:rFonts w:ascii="Arial" w:hAnsi="Arial" w:cs="Arial"/>
        </w:rPr>
        <w:t>Our</w:t>
      </w:r>
      <w:r w:rsidRPr="00EB53AD">
        <w:rPr>
          <w:rFonts w:ascii="Arial" w:hAnsi="Arial" w:cs="Arial"/>
        </w:rPr>
        <w:t xml:space="preserve"> </w:t>
      </w:r>
      <w:r w:rsidR="00EC20AB" w:rsidRPr="00EB53AD">
        <w:rPr>
          <w:rFonts w:ascii="Arial" w:hAnsi="Arial" w:cs="Arial"/>
        </w:rPr>
        <w:t>OEB kitchen range</w:t>
      </w:r>
      <w:r>
        <w:rPr>
          <w:rFonts w:ascii="Arial" w:hAnsi="Arial" w:cs="Arial"/>
        </w:rPr>
        <w:t>s</w:t>
      </w:r>
      <w:r w:rsidR="00EC20AB" w:rsidRPr="00EB53AD">
        <w:rPr>
          <w:rFonts w:ascii="Arial" w:hAnsi="Arial" w:cs="Arial"/>
        </w:rPr>
        <w:t xml:space="preserve"> </w:t>
      </w:r>
      <w:r w:rsidR="0027664E" w:rsidRPr="00EB53AD">
        <w:rPr>
          <w:rFonts w:ascii="Arial" w:hAnsi="Arial" w:cs="Arial"/>
        </w:rPr>
        <w:t>continue</w:t>
      </w:r>
      <w:r w:rsidR="00EC20AB" w:rsidRPr="00EB53AD">
        <w:rPr>
          <w:rFonts w:ascii="Arial" w:hAnsi="Arial" w:cs="Arial"/>
        </w:rPr>
        <w:t xml:space="preserve"> to receive strong customer feedback on design, innovation and value for money. It remains one of our top-performing new ranges for the Group and has been a key contributor to our banners’ market share growth. Supported by market-leading price positioning, installation services and an enhanced in-store sales journey, the Group LFL sales performance of the </w:t>
      </w:r>
      <w:r w:rsidR="00682FD5">
        <w:rPr>
          <w:rFonts w:ascii="Arial" w:hAnsi="Arial" w:cs="Arial"/>
        </w:rPr>
        <w:t xml:space="preserve">OEB </w:t>
      </w:r>
      <w:r w:rsidR="00EC20AB" w:rsidRPr="00EB53AD">
        <w:rPr>
          <w:rFonts w:ascii="Arial" w:hAnsi="Arial" w:cs="Arial"/>
        </w:rPr>
        <w:t>kitchen range</w:t>
      </w:r>
      <w:r w:rsidR="00741419">
        <w:rPr>
          <w:rFonts w:ascii="Arial" w:hAnsi="Arial" w:cs="Arial"/>
        </w:rPr>
        <w:t>s</w:t>
      </w:r>
      <w:r w:rsidR="00EC20AB" w:rsidRPr="00EB53AD">
        <w:rPr>
          <w:rFonts w:ascii="Arial" w:hAnsi="Arial" w:cs="Arial"/>
        </w:rPr>
        <w:t xml:space="preserve"> </w:t>
      </w:r>
      <w:r w:rsidR="000A66F9" w:rsidRPr="00EB53AD">
        <w:rPr>
          <w:rFonts w:ascii="Arial" w:hAnsi="Arial" w:cs="Arial"/>
        </w:rPr>
        <w:t>w</w:t>
      </w:r>
      <w:r w:rsidR="00B83327">
        <w:rPr>
          <w:rFonts w:ascii="Arial" w:hAnsi="Arial" w:cs="Arial"/>
        </w:rPr>
        <w:t>as</w:t>
      </w:r>
      <w:r w:rsidR="00EC20AB" w:rsidRPr="00EB53AD">
        <w:rPr>
          <w:rFonts w:ascii="Arial" w:hAnsi="Arial" w:cs="Arial"/>
        </w:rPr>
        <w:t xml:space="preserve"> positive in FY 22/23, and up by over 50% on a 3-year </w:t>
      </w:r>
      <w:r w:rsidR="00D74788">
        <w:rPr>
          <w:rFonts w:ascii="Arial" w:hAnsi="Arial" w:cs="Arial"/>
        </w:rPr>
        <w:t xml:space="preserve">LFL </w:t>
      </w:r>
      <w:r w:rsidR="00EC20AB" w:rsidRPr="00EB53AD">
        <w:rPr>
          <w:rFonts w:ascii="Arial" w:hAnsi="Arial" w:cs="Arial"/>
        </w:rPr>
        <w:t xml:space="preserve">basis. The performance of our </w:t>
      </w:r>
      <w:r w:rsidR="00487CC6">
        <w:rPr>
          <w:rFonts w:ascii="Arial" w:hAnsi="Arial" w:cs="Arial"/>
        </w:rPr>
        <w:t xml:space="preserve">OEB </w:t>
      </w:r>
      <w:r w:rsidR="00EC20AB" w:rsidRPr="00EB53AD">
        <w:rPr>
          <w:rFonts w:ascii="Arial" w:hAnsi="Arial" w:cs="Arial"/>
        </w:rPr>
        <w:t>kitchen range</w:t>
      </w:r>
      <w:r w:rsidR="008C44B2">
        <w:rPr>
          <w:rFonts w:ascii="Arial" w:hAnsi="Arial" w:cs="Arial"/>
        </w:rPr>
        <w:t>s</w:t>
      </w:r>
      <w:r w:rsidR="00EC20AB" w:rsidRPr="00EB53AD">
        <w:rPr>
          <w:rFonts w:ascii="Arial" w:hAnsi="Arial" w:cs="Arial"/>
        </w:rPr>
        <w:t xml:space="preserve"> at Castorama Poland has demonstrated our ability to create a new market opportunity having the right combination of offer, price and service, delivering LFL sales growth </w:t>
      </w:r>
      <w:r w:rsidR="00D74788">
        <w:rPr>
          <w:rFonts w:ascii="Arial" w:hAnsi="Arial" w:cs="Arial"/>
        </w:rPr>
        <w:t xml:space="preserve">of </w:t>
      </w:r>
      <w:r w:rsidR="00D74788" w:rsidRPr="00EB53AD">
        <w:rPr>
          <w:rFonts w:ascii="Arial" w:hAnsi="Arial" w:cs="Arial"/>
        </w:rPr>
        <w:t xml:space="preserve">over </w:t>
      </w:r>
      <w:r w:rsidR="0008757E">
        <w:rPr>
          <w:rFonts w:ascii="Arial" w:hAnsi="Arial" w:cs="Arial"/>
        </w:rPr>
        <w:t>4</w:t>
      </w:r>
      <w:r w:rsidR="003B78D1">
        <w:rPr>
          <w:rFonts w:ascii="Arial" w:hAnsi="Arial" w:cs="Arial"/>
        </w:rPr>
        <w:t>0</w:t>
      </w:r>
      <w:r w:rsidR="00D74788" w:rsidRPr="00EB53AD">
        <w:rPr>
          <w:rFonts w:ascii="Arial" w:hAnsi="Arial" w:cs="Arial"/>
        </w:rPr>
        <w:t xml:space="preserve">% </w:t>
      </w:r>
      <w:r w:rsidR="00EC20AB" w:rsidRPr="00EB53AD">
        <w:rPr>
          <w:rFonts w:ascii="Arial" w:hAnsi="Arial" w:cs="Arial"/>
        </w:rPr>
        <w:t>in FY 22/23.</w:t>
      </w:r>
    </w:p>
    <w:p w14:paraId="397F07ED" w14:textId="77777777" w:rsidR="00EC20AB" w:rsidRPr="00EB53AD" w:rsidRDefault="00EC20AB" w:rsidP="00EC20AB">
      <w:pPr>
        <w:jc w:val="left"/>
        <w:rPr>
          <w:rFonts w:ascii="Arial" w:hAnsi="Arial" w:cs="Arial"/>
        </w:rPr>
      </w:pPr>
    </w:p>
    <w:p w14:paraId="595FF1A1" w14:textId="1F20860C" w:rsidR="00EC20AB" w:rsidRPr="00EB53AD" w:rsidRDefault="00EC20AB" w:rsidP="00EC20AB">
      <w:pPr>
        <w:jc w:val="left"/>
        <w:rPr>
          <w:rFonts w:ascii="Arial" w:hAnsi="Arial" w:cs="Arial"/>
        </w:rPr>
      </w:pPr>
      <w:r w:rsidRPr="00EB53AD">
        <w:rPr>
          <w:rFonts w:ascii="Arial" w:hAnsi="Arial" w:cs="Arial"/>
        </w:rPr>
        <w:t xml:space="preserve">We are also continuing to embed </w:t>
      </w:r>
      <w:r w:rsidRPr="005D6FF5">
        <w:rPr>
          <w:rFonts w:ascii="Arial" w:hAnsi="Arial"/>
          <w:b/>
        </w:rPr>
        <w:t>sustainability</w:t>
      </w:r>
      <w:r w:rsidRPr="00EB53AD">
        <w:rPr>
          <w:rFonts w:ascii="Arial" w:hAnsi="Arial" w:cs="Arial"/>
        </w:rPr>
        <w:t xml:space="preserve"> </w:t>
      </w:r>
      <w:r w:rsidR="00660161">
        <w:rPr>
          <w:rFonts w:ascii="Arial" w:hAnsi="Arial" w:cs="Arial"/>
        </w:rPr>
        <w:t>consideration</w:t>
      </w:r>
      <w:r w:rsidR="0065093A">
        <w:rPr>
          <w:rFonts w:ascii="Arial" w:hAnsi="Arial" w:cs="Arial"/>
        </w:rPr>
        <w:t>s</w:t>
      </w:r>
      <w:r w:rsidR="00660161">
        <w:rPr>
          <w:rFonts w:ascii="Arial" w:hAnsi="Arial" w:cs="Arial"/>
        </w:rPr>
        <w:t xml:space="preserve"> </w:t>
      </w:r>
      <w:r w:rsidRPr="00EB53AD">
        <w:rPr>
          <w:rFonts w:ascii="Arial" w:hAnsi="Arial" w:cs="Arial"/>
        </w:rPr>
        <w:t xml:space="preserve">at the core of the OEB proposition, all the way from the product design and development phase, through to the procurement and manufacturing phase. Sustainable Home Products (SHPs) </w:t>
      </w:r>
      <w:r w:rsidR="00676159">
        <w:rPr>
          <w:rFonts w:ascii="Arial" w:hAnsi="Arial" w:cs="Arial"/>
        </w:rPr>
        <w:t xml:space="preserve">aim to </w:t>
      </w:r>
      <w:r w:rsidRPr="00EB53AD">
        <w:rPr>
          <w:rFonts w:ascii="Arial" w:hAnsi="Arial" w:cs="Arial"/>
          <w:bCs/>
        </w:rPr>
        <w:t xml:space="preserve">either help our customers </w:t>
      </w:r>
      <w:r w:rsidR="006E2117">
        <w:rPr>
          <w:rFonts w:ascii="Arial" w:hAnsi="Arial" w:cs="Arial"/>
          <w:bCs/>
        </w:rPr>
        <w:t>reduce their environmental impact</w:t>
      </w:r>
      <w:r w:rsidR="006E2117" w:rsidRPr="00EB53AD" w:rsidDel="006E2117">
        <w:rPr>
          <w:rFonts w:ascii="Arial" w:hAnsi="Arial" w:cs="Arial"/>
          <w:bCs/>
        </w:rPr>
        <w:t xml:space="preserve"> </w:t>
      </w:r>
      <w:r w:rsidRPr="00EB53AD">
        <w:rPr>
          <w:rFonts w:ascii="Arial" w:hAnsi="Arial" w:cs="Arial"/>
          <w:bCs/>
        </w:rPr>
        <w:t xml:space="preserve">(such as solar panels, water-saving taps or loft insulation) or are </w:t>
      </w:r>
      <w:r w:rsidR="006E0A9C">
        <w:rPr>
          <w:rFonts w:ascii="Arial" w:hAnsi="Arial" w:cs="Arial"/>
          <w:bCs/>
        </w:rPr>
        <w:t>intended to have a reduced impact on the environment</w:t>
      </w:r>
      <w:r w:rsidRPr="00EB53AD">
        <w:rPr>
          <w:rFonts w:ascii="Arial" w:hAnsi="Arial" w:cs="Arial"/>
          <w:bCs/>
        </w:rPr>
        <w:t xml:space="preserve"> because of their input materials or how they are </w:t>
      </w:r>
      <w:r w:rsidRPr="00A23377">
        <w:rPr>
          <w:rFonts w:ascii="Arial" w:hAnsi="Arial" w:cs="Arial"/>
          <w:bCs/>
        </w:rPr>
        <w:t xml:space="preserve">manufactured (for example, FSC timber, peat-free compost or recycled plastic). In FY 22/23, </w:t>
      </w:r>
      <w:r w:rsidRPr="004F099C">
        <w:rPr>
          <w:rFonts w:ascii="Arial" w:hAnsi="Arial" w:cs="Arial"/>
          <w:bCs/>
        </w:rPr>
        <w:t>5</w:t>
      </w:r>
      <w:r w:rsidR="00E90B5E" w:rsidRPr="004F099C">
        <w:rPr>
          <w:rFonts w:ascii="Arial" w:hAnsi="Arial" w:cs="Arial"/>
          <w:bCs/>
        </w:rPr>
        <w:t>6</w:t>
      </w:r>
      <w:r w:rsidRPr="00A23377">
        <w:rPr>
          <w:rFonts w:ascii="Arial" w:hAnsi="Arial" w:cs="Arial"/>
          <w:bCs/>
        </w:rPr>
        <w:t>% of OEB product sales were SHPs (FY 21/22: 55%)</w:t>
      </w:r>
      <w:r w:rsidRPr="00A23377">
        <w:rPr>
          <w:rFonts w:ascii="Arial" w:hAnsi="Arial" w:cs="Arial"/>
        </w:rPr>
        <w:t xml:space="preserve">. Please also refer to </w:t>
      </w:r>
      <w:r w:rsidRPr="00A23377">
        <w:rPr>
          <w:rFonts w:ascii="Arial" w:hAnsi="Arial" w:cs="Arial"/>
          <w:i/>
          <w:iCs/>
        </w:rPr>
        <w:t>‘Lead the industry in Responsible</w:t>
      </w:r>
      <w:r w:rsidRPr="00EB53AD">
        <w:rPr>
          <w:rFonts w:ascii="Arial" w:hAnsi="Arial" w:cs="Arial"/>
          <w:i/>
          <w:iCs/>
        </w:rPr>
        <w:t xml:space="preserve"> Business and energy efficiency’</w:t>
      </w:r>
      <w:r w:rsidRPr="00EB53AD">
        <w:rPr>
          <w:rFonts w:ascii="Arial" w:hAnsi="Arial" w:cs="Arial"/>
        </w:rPr>
        <w:t xml:space="preserve"> below for further details on how we are using OEB to drive further SHP growth.</w:t>
      </w:r>
    </w:p>
    <w:p w14:paraId="50C581DB" w14:textId="77777777" w:rsidR="00EC20AB" w:rsidRPr="00EB53AD" w:rsidRDefault="00EC20AB" w:rsidP="00EC20AB">
      <w:pPr>
        <w:jc w:val="left"/>
        <w:rPr>
          <w:rFonts w:ascii="Arial" w:hAnsi="Arial" w:cs="Arial"/>
        </w:rPr>
      </w:pPr>
    </w:p>
    <w:p w14:paraId="44139CA1" w14:textId="77777777" w:rsidR="00EC20AB" w:rsidRPr="00EB53AD" w:rsidRDefault="00EC20AB" w:rsidP="00EC20AB">
      <w:pPr>
        <w:numPr>
          <w:ilvl w:val="0"/>
          <w:numId w:val="23"/>
        </w:numPr>
        <w:jc w:val="left"/>
        <w:rPr>
          <w:rFonts w:ascii="Arial" w:hAnsi="Arial" w:cs="Arial"/>
          <w:b/>
          <w:u w:val="single"/>
        </w:rPr>
      </w:pPr>
      <w:r w:rsidRPr="00EB53AD">
        <w:rPr>
          <w:rFonts w:ascii="Arial" w:hAnsi="Arial" w:cs="Arial"/>
          <w:b/>
          <w:u w:val="single"/>
        </w:rPr>
        <w:t>Develop our trade business</w:t>
      </w:r>
    </w:p>
    <w:p w14:paraId="3F6C9FCF" w14:textId="5E973E58" w:rsidR="00EC20AB" w:rsidRPr="00EB53AD" w:rsidRDefault="00EC20AB" w:rsidP="00EC20AB">
      <w:pPr>
        <w:jc w:val="left"/>
        <w:rPr>
          <w:rFonts w:ascii="Arial" w:hAnsi="Arial" w:cs="Arial"/>
          <w:i/>
          <w:iCs/>
        </w:rPr>
      </w:pPr>
      <w:bookmarkStart w:id="31" w:name="_Hlk97191937"/>
      <w:r w:rsidRPr="00EB53AD">
        <w:rPr>
          <w:rFonts w:ascii="Arial" w:hAnsi="Arial" w:cs="Arial"/>
          <w:i/>
          <w:iCs/>
        </w:rPr>
        <w:t xml:space="preserve">Trade customers are an integral part of the home improvement ecosystem and a key priority for Kingfisher. Trade customers tend to visit more frequently and spend more than the average retail customer. The significant opportunities to engage further with trade customers include the further roll-out </w:t>
      </w:r>
      <w:r w:rsidR="003F7504">
        <w:rPr>
          <w:rFonts w:ascii="Arial" w:hAnsi="Arial" w:cs="Arial"/>
          <w:i/>
          <w:iCs/>
        </w:rPr>
        <w:t xml:space="preserve">of </w:t>
      </w:r>
      <w:r w:rsidRPr="00EB53AD">
        <w:rPr>
          <w:rFonts w:ascii="Arial" w:hAnsi="Arial" w:cs="Arial"/>
          <w:i/>
          <w:iCs/>
        </w:rPr>
        <w:t>trade counters, international expansion, digital enhancements, range expansion, loyalty programme optimisation, improved merchandising, more partnerships and new services.</w:t>
      </w:r>
    </w:p>
    <w:p w14:paraId="453BA170" w14:textId="77777777" w:rsidR="00EC20AB" w:rsidRPr="00EB53AD" w:rsidRDefault="00EC20AB" w:rsidP="00EC20AB">
      <w:pPr>
        <w:jc w:val="left"/>
        <w:rPr>
          <w:rFonts w:ascii="Arial" w:hAnsi="Arial" w:cs="Arial"/>
        </w:rPr>
      </w:pPr>
    </w:p>
    <w:bookmarkEnd w:id="31"/>
    <w:p w14:paraId="1BAD2C58" w14:textId="601D379D" w:rsidR="00EC20AB" w:rsidRPr="00EB53AD" w:rsidRDefault="00EC20AB" w:rsidP="00EC20AB">
      <w:pPr>
        <w:jc w:val="left"/>
        <w:rPr>
          <w:rFonts w:ascii="Arial" w:hAnsi="Arial" w:cs="Arial"/>
        </w:rPr>
      </w:pPr>
      <w:r w:rsidRPr="00EB53AD">
        <w:rPr>
          <w:rFonts w:ascii="Arial" w:hAnsi="Arial" w:cs="Arial"/>
        </w:rPr>
        <w:t xml:space="preserve">Screwfix, the UK’s number one trade retailer, continues to expand through its capital-light and high-return small format outlets. The business now operates 872 stores in the UK and Ireland, and five stores in France where it launched in April 2021 (with its first store opening in October 2022). Please refer to </w:t>
      </w:r>
      <w:r w:rsidRPr="00EB53AD">
        <w:rPr>
          <w:rFonts w:ascii="Arial" w:hAnsi="Arial" w:cs="Arial"/>
          <w:i/>
          <w:iCs/>
        </w:rPr>
        <w:t>‘Grow by building on our different banners’</w:t>
      </w:r>
      <w:r w:rsidRPr="00EB53AD">
        <w:rPr>
          <w:rFonts w:ascii="Arial" w:hAnsi="Arial" w:cs="Arial"/>
        </w:rPr>
        <w:t xml:space="preserve"> above for further details. Screwfix is a well-established, large and proven business that has significant penetration of trade customers in the UK</w:t>
      </w:r>
      <w:r w:rsidR="00F90CE3" w:rsidRPr="00EB53AD">
        <w:rPr>
          <w:rFonts w:ascii="Arial" w:hAnsi="Arial" w:cs="Arial"/>
        </w:rPr>
        <w:t>, with approximately 75% of Screwfix’s sales coming from tradespeople</w:t>
      </w:r>
      <w:r w:rsidRPr="00EB53AD">
        <w:rPr>
          <w:rFonts w:ascii="Arial" w:hAnsi="Arial" w:cs="Arial"/>
        </w:rPr>
        <w:t>. It leverages Kingfisher for trade-focused own exclusive brands, technology, sourcing, shared services and best practices</w:t>
      </w:r>
      <w:r w:rsidR="00F90CE3">
        <w:rPr>
          <w:rFonts w:ascii="Arial" w:hAnsi="Arial" w:cs="Arial"/>
        </w:rPr>
        <w:t>.</w:t>
      </w:r>
    </w:p>
    <w:p w14:paraId="5D8AD999" w14:textId="77777777" w:rsidR="00EC20AB" w:rsidRPr="00EB53AD" w:rsidRDefault="00EC20AB" w:rsidP="00EC20AB">
      <w:pPr>
        <w:contextualSpacing/>
        <w:jc w:val="left"/>
        <w:rPr>
          <w:rFonts w:ascii="Arial" w:hAnsi="Arial" w:cs="Arial"/>
        </w:rPr>
      </w:pPr>
    </w:p>
    <w:p w14:paraId="32CAB42D" w14:textId="5BEB6A55" w:rsidR="00EC20AB" w:rsidRPr="00EB53AD" w:rsidRDefault="00EC20AB" w:rsidP="00EC20AB">
      <w:pPr>
        <w:contextualSpacing/>
        <w:jc w:val="left"/>
        <w:rPr>
          <w:rFonts w:ascii="Arial" w:hAnsi="Arial" w:cs="Arial"/>
        </w:rPr>
      </w:pPr>
      <w:r w:rsidRPr="00EB53AD">
        <w:rPr>
          <w:rFonts w:ascii="Arial" w:hAnsi="Arial" w:cs="Arial"/>
        </w:rPr>
        <w:t xml:space="preserve">Another blueprint for our ambitions in trade is B&amp;Q’s trade-focused banner, TradePoint, which continues to build strong foundations for growth. TradePoint’s LFL sales outperformed the rest of B&amp;Q (and Screwfix) in FY 22/23, down just 1.2% for the year and with growth in H2. TradePoint’s 3-year LFL sales were up 31.5% in FY 22/23, bringing the business to £833m of sales, representing 22% of B&amp;Q’s total sales (FY 21/22: </w:t>
      </w:r>
      <w:r w:rsidR="0024066F">
        <w:rPr>
          <w:rFonts w:ascii="Arial" w:hAnsi="Arial" w:cs="Arial"/>
        </w:rPr>
        <w:t>20</w:t>
      </w:r>
      <w:r w:rsidRPr="00EB53AD">
        <w:rPr>
          <w:rFonts w:ascii="Arial" w:hAnsi="Arial" w:cs="Arial"/>
        </w:rPr>
        <w:t xml:space="preserve">%). Looking forward, we have put together a strong plan to drive TradePoint’s annual sales to more than £1bn </w:t>
      </w:r>
      <w:r w:rsidR="00404327">
        <w:rPr>
          <w:rFonts w:ascii="Arial" w:hAnsi="Arial" w:cs="Arial"/>
        </w:rPr>
        <w:t>in</w:t>
      </w:r>
      <w:r w:rsidR="00404327" w:rsidRPr="00EB53AD">
        <w:rPr>
          <w:rFonts w:ascii="Arial" w:hAnsi="Arial" w:cs="Arial"/>
        </w:rPr>
        <w:t xml:space="preserve"> </w:t>
      </w:r>
      <w:r w:rsidRPr="00EB53AD">
        <w:rPr>
          <w:rFonts w:ascii="Arial" w:hAnsi="Arial" w:cs="Arial"/>
        </w:rPr>
        <w:t>the medium term, centred around growing its customer base and increasing its share of trade customer spend through a greater focus on project-related spend. Work is underway to develop and grow TradePoint’s loyalty programme, to implement new trading approaches, update and expand TradePoint’s store counters, implement new trade-specific ranges and services, and enhance the business’ digital and online experience.</w:t>
      </w:r>
    </w:p>
    <w:p w14:paraId="256EE3E9" w14:textId="77777777" w:rsidR="00EC20AB" w:rsidRPr="00EB53AD" w:rsidRDefault="00EC20AB" w:rsidP="00EC20AB">
      <w:pPr>
        <w:contextualSpacing/>
        <w:jc w:val="left"/>
        <w:rPr>
          <w:rFonts w:ascii="Arial" w:hAnsi="Arial" w:cs="Arial"/>
        </w:rPr>
      </w:pPr>
    </w:p>
    <w:p w14:paraId="2A2A3903" w14:textId="3DC34669" w:rsidR="00EC20AB" w:rsidRPr="00EB53AD" w:rsidRDefault="00EC20AB" w:rsidP="00EC20AB">
      <w:pPr>
        <w:contextualSpacing/>
        <w:jc w:val="left"/>
        <w:rPr>
          <w:rFonts w:ascii="Arial" w:hAnsi="Arial" w:cs="Arial"/>
        </w:rPr>
      </w:pPr>
      <w:r w:rsidRPr="00EB53AD">
        <w:rPr>
          <w:rFonts w:ascii="Arial" w:hAnsi="Arial" w:cs="Arial"/>
        </w:rPr>
        <w:t xml:space="preserve">More broadly, we believe there is a significant opportunity to increase trade customer penetration across all other retail banners, benefitting from our expertise in Screwfix and through TradePoint’s successful relaunch. Over time, we expect increased trade customer penetration to contribute to higher sales and </w:t>
      </w:r>
      <w:r w:rsidRPr="00EB53AD">
        <w:rPr>
          <w:rFonts w:ascii="Arial" w:hAnsi="Arial" w:cs="Arial"/>
        </w:rPr>
        <w:lastRenderedPageBreak/>
        <w:t xml:space="preserve">profit growth. During the year we launched </w:t>
      </w:r>
      <w:r w:rsidR="000A03F8">
        <w:rPr>
          <w:rFonts w:ascii="Arial" w:hAnsi="Arial" w:cs="Arial"/>
        </w:rPr>
        <w:t xml:space="preserve">a </w:t>
      </w:r>
      <w:r w:rsidRPr="00EB53AD">
        <w:rPr>
          <w:rFonts w:ascii="Arial" w:hAnsi="Arial" w:cs="Arial"/>
        </w:rPr>
        <w:t xml:space="preserve">‘Centre of Excellence’ </w:t>
      </w:r>
      <w:r w:rsidR="000A03F8">
        <w:rPr>
          <w:rFonts w:ascii="Arial" w:hAnsi="Arial" w:cs="Arial"/>
        </w:rPr>
        <w:t xml:space="preserve">in trade </w:t>
      </w:r>
      <w:r w:rsidRPr="00EB53AD">
        <w:rPr>
          <w:rFonts w:ascii="Arial" w:hAnsi="Arial" w:cs="Arial"/>
        </w:rPr>
        <w:t xml:space="preserve">at Kingfisher, bringing together experts from across our banners and Group functions to share knowledge, insights and feedback from customers. We also aligned our trade strategy across six key pillars: </w:t>
      </w:r>
      <w:r w:rsidRPr="00EB53AD">
        <w:rPr>
          <w:rFonts w:ascii="Arial" w:hAnsi="Arial" w:cs="Arial"/>
          <w:b/>
          <w:bCs/>
        </w:rPr>
        <w:t>store formats</w:t>
      </w:r>
      <w:r w:rsidRPr="00EB53AD">
        <w:rPr>
          <w:rFonts w:ascii="Arial" w:hAnsi="Arial" w:cs="Arial"/>
        </w:rPr>
        <w:t xml:space="preserve">, </w:t>
      </w:r>
      <w:r w:rsidRPr="00EB53AD">
        <w:rPr>
          <w:rFonts w:ascii="Arial" w:hAnsi="Arial" w:cs="Arial"/>
          <w:b/>
          <w:bCs/>
        </w:rPr>
        <w:t>people</w:t>
      </w:r>
      <w:r w:rsidRPr="00EB53AD">
        <w:rPr>
          <w:rFonts w:ascii="Arial" w:hAnsi="Arial" w:cs="Arial"/>
        </w:rPr>
        <w:t xml:space="preserve">, </w:t>
      </w:r>
      <w:r w:rsidRPr="00EB53AD">
        <w:rPr>
          <w:rFonts w:ascii="Arial" w:hAnsi="Arial" w:cs="Arial"/>
          <w:b/>
          <w:bCs/>
        </w:rPr>
        <w:t>services, product range, pricing and loyalty</w:t>
      </w:r>
      <w:r w:rsidRPr="00EB53AD">
        <w:rPr>
          <w:rFonts w:ascii="Arial" w:hAnsi="Arial" w:cs="Arial"/>
        </w:rPr>
        <w:t xml:space="preserve"> and </w:t>
      </w:r>
      <w:r w:rsidRPr="00EB53AD">
        <w:rPr>
          <w:rFonts w:ascii="Arial" w:hAnsi="Arial" w:cs="Arial"/>
          <w:b/>
          <w:bCs/>
        </w:rPr>
        <w:t>digital</w:t>
      </w:r>
      <w:r w:rsidRPr="00EB53AD">
        <w:rPr>
          <w:rFonts w:ascii="Arial" w:hAnsi="Arial" w:cs="Arial"/>
        </w:rPr>
        <w:t>.</w:t>
      </w:r>
    </w:p>
    <w:p w14:paraId="30D9F9FD" w14:textId="77777777" w:rsidR="00EC20AB" w:rsidRPr="00EB53AD" w:rsidRDefault="00EC20AB" w:rsidP="00EC20AB">
      <w:pPr>
        <w:contextualSpacing/>
        <w:jc w:val="left"/>
        <w:rPr>
          <w:rFonts w:ascii="Arial" w:hAnsi="Arial" w:cs="Arial"/>
        </w:rPr>
      </w:pPr>
    </w:p>
    <w:p w14:paraId="355826D8" w14:textId="17CC340A" w:rsidR="00EC20AB" w:rsidRPr="00EB53AD" w:rsidRDefault="00EC20AB" w:rsidP="00EC20AB">
      <w:pPr>
        <w:contextualSpacing/>
        <w:jc w:val="left"/>
        <w:rPr>
          <w:rFonts w:ascii="Arial" w:hAnsi="Arial" w:cs="Arial"/>
        </w:rPr>
      </w:pPr>
      <w:r w:rsidRPr="00EB53AD">
        <w:rPr>
          <w:rFonts w:ascii="Arial" w:hAnsi="Arial" w:cs="Arial"/>
        </w:rPr>
        <w:t xml:space="preserve">Within </w:t>
      </w:r>
      <w:r w:rsidRPr="005D6FF5">
        <w:rPr>
          <w:rFonts w:ascii="Arial" w:hAnsi="Arial"/>
          <w:b/>
        </w:rPr>
        <w:t>store formats</w:t>
      </w:r>
      <w:r w:rsidRPr="00EB53AD">
        <w:rPr>
          <w:rFonts w:ascii="Arial" w:hAnsi="Arial" w:cs="Arial"/>
        </w:rPr>
        <w:t xml:space="preserve"> we have opened 30 new TradePoint counters over the last three years in the UK, for a total of 181 counters currently in operation. These include small format counters that have been implemented in smaller B&amp;Q stores unable to cater for the fuller TradePoint proposition. We are also continuing to make progress updating our legacy TradePoint counters, with 29 stores refreshed during the year. In addition, we successfully launched TradePoint in Ireland in FY 22/23, in all eight B&amp;Q stores. We continue to explore the potential for dedicated trade counters in our banners in France, Poland and Iberia. Castorama Poland is </w:t>
      </w:r>
      <w:r w:rsidR="00EA0E37">
        <w:rPr>
          <w:rFonts w:ascii="Arial" w:hAnsi="Arial" w:cs="Arial"/>
        </w:rPr>
        <w:t xml:space="preserve">also </w:t>
      </w:r>
      <w:r w:rsidRPr="00EB53AD">
        <w:rPr>
          <w:rFonts w:ascii="Arial" w:hAnsi="Arial" w:cs="Arial"/>
        </w:rPr>
        <w:t xml:space="preserve">taking learnings from France to test </w:t>
      </w:r>
      <w:r w:rsidR="00467407">
        <w:rPr>
          <w:rFonts w:ascii="Arial" w:hAnsi="Arial" w:cs="Arial"/>
        </w:rPr>
        <w:t xml:space="preserve">more efficient </w:t>
      </w:r>
      <w:r w:rsidRPr="00EB53AD">
        <w:rPr>
          <w:rFonts w:ascii="Arial" w:hAnsi="Arial" w:cs="Arial"/>
        </w:rPr>
        <w:t xml:space="preserve">builders’ yards. In Romania we have plans to adapt our in-store B2B desks to extend support to smaller trade customers. </w:t>
      </w:r>
    </w:p>
    <w:p w14:paraId="11D6EE55" w14:textId="77777777" w:rsidR="00EC20AB" w:rsidRPr="00EB53AD" w:rsidRDefault="00EC20AB" w:rsidP="00EC20AB">
      <w:pPr>
        <w:contextualSpacing/>
        <w:jc w:val="left"/>
        <w:rPr>
          <w:rFonts w:ascii="Arial" w:hAnsi="Arial" w:cs="Arial"/>
        </w:rPr>
      </w:pPr>
    </w:p>
    <w:p w14:paraId="7D81FFC0" w14:textId="21304570" w:rsidR="00EC20AB" w:rsidRPr="00EB53AD" w:rsidRDefault="00EC20AB" w:rsidP="00EC20AB">
      <w:pPr>
        <w:contextualSpacing/>
        <w:jc w:val="left"/>
        <w:rPr>
          <w:rFonts w:ascii="Arial" w:hAnsi="Arial" w:cs="Arial"/>
        </w:rPr>
      </w:pPr>
      <w:r w:rsidRPr="00EB53AD">
        <w:rPr>
          <w:rFonts w:ascii="Arial" w:hAnsi="Arial" w:cs="Arial"/>
        </w:rPr>
        <w:t xml:space="preserve">In </w:t>
      </w:r>
      <w:r w:rsidRPr="005D6FF5">
        <w:rPr>
          <w:rFonts w:ascii="Arial" w:hAnsi="Arial"/>
          <w:b/>
        </w:rPr>
        <w:t>people</w:t>
      </w:r>
      <w:r w:rsidRPr="00EB53AD">
        <w:rPr>
          <w:rFonts w:ascii="Arial" w:hAnsi="Arial" w:cs="Arial"/>
        </w:rPr>
        <w:t xml:space="preserve">, we are reorganising our team structures and colleague roles at TradePoint to drive higher engagement through building more direct and personalised relationships with trade customers. </w:t>
      </w:r>
      <w:r w:rsidR="00D26298" w:rsidRPr="00D26298">
        <w:rPr>
          <w:rFonts w:ascii="Arial" w:hAnsi="Arial" w:cs="Arial"/>
        </w:rPr>
        <w:t xml:space="preserve">In Brico Dépôt France we </w:t>
      </w:r>
      <w:r w:rsidR="00D26298">
        <w:rPr>
          <w:rFonts w:ascii="Arial" w:hAnsi="Arial" w:cs="Arial"/>
        </w:rPr>
        <w:t xml:space="preserve">are trialling the placement of trade </w:t>
      </w:r>
      <w:r w:rsidR="002C3AE5">
        <w:rPr>
          <w:rFonts w:ascii="Arial" w:hAnsi="Arial" w:cs="Arial"/>
        </w:rPr>
        <w:t>project advisers</w:t>
      </w:r>
      <w:r w:rsidR="00DD3CFF">
        <w:rPr>
          <w:rFonts w:ascii="Arial" w:hAnsi="Arial" w:cs="Arial"/>
        </w:rPr>
        <w:t xml:space="preserve"> </w:t>
      </w:r>
      <w:r w:rsidR="00D26298" w:rsidRPr="00D26298">
        <w:rPr>
          <w:rFonts w:ascii="Arial" w:hAnsi="Arial" w:cs="Arial"/>
        </w:rPr>
        <w:t xml:space="preserve">in-store to </w:t>
      </w:r>
      <w:r w:rsidR="001F024E">
        <w:rPr>
          <w:rFonts w:ascii="Arial" w:hAnsi="Arial" w:cs="Arial"/>
        </w:rPr>
        <w:t xml:space="preserve">provide dedicated support to </w:t>
      </w:r>
      <w:r w:rsidR="00D26298" w:rsidRPr="00D26298">
        <w:rPr>
          <w:rFonts w:ascii="Arial" w:hAnsi="Arial" w:cs="Arial"/>
        </w:rPr>
        <w:t xml:space="preserve">our trade customers </w:t>
      </w:r>
      <w:r w:rsidR="005D4D71">
        <w:rPr>
          <w:rFonts w:ascii="Arial" w:hAnsi="Arial" w:cs="Arial"/>
        </w:rPr>
        <w:t xml:space="preserve">– </w:t>
      </w:r>
      <w:r w:rsidR="00D26298" w:rsidRPr="00D26298">
        <w:rPr>
          <w:rFonts w:ascii="Arial" w:hAnsi="Arial" w:cs="Arial"/>
        </w:rPr>
        <w:t>both in-person and remotely via direct</w:t>
      </w:r>
      <w:r w:rsidR="005D4D71">
        <w:rPr>
          <w:rFonts w:ascii="Arial" w:hAnsi="Arial" w:cs="Arial"/>
        </w:rPr>
        <w:t>-</w:t>
      </w:r>
      <w:r w:rsidR="00D26298" w:rsidRPr="00D26298">
        <w:rPr>
          <w:rFonts w:ascii="Arial" w:hAnsi="Arial" w:cs="Arial"/>
        </w:rPr>
        <w:t>to</w:t>
      </w:r>
      <w:r w:rsidR="005D4D71">
        <w:rPr>
          <w:rFonts w:ascii="Arial" w:hAnsi="Arial" w:cs="Arial"/>
        </w:rPr>
        <w:t>-</w:t>
      </w:r>
      <w:r w:rsidR="00D26298" w:rsidRPr="00D26298">
        <w:rPr>
          <w:rFonts w:ascii="Arial" w:hAnsi="Arial" w:cs="Arial"/>
        </w:rPr>
        <w:t xml:space="preserve">store </w:t>
      </w:r>
      <w:r w:rsidR="005D4D71">
        <w:rPr>
          <w:rFonts w:ascii="Arial" w:hAnsi="Arial" w:cs="Arial"/>
        </w:rPr>
        <w:t>‘</w:t>
      </w:r>
      <w:r w:rsidR="00D26298" w:rsidRPr="00D26298">
        <w:rPr>
          <w:rFonts w:ascii="Arial" w:hAnsi="Arial" w:cs="Arial"/>
        </w:rPr>
        <w:t>pro hotlines</w:t>
      </w:r>
      <w:r w:rsidR="005D4D71">
        <w:rPr>
          <w:rFonts w:ascii="Arial" w:hAnsi="Arial" w:cs="Arial"/>
        </w:rPr>
        <w:t>’</w:t>
      </w:r>
      <w:r w:rsidR="00D26298" w:rsidRPr="00D26298">
        <w:rPr>
          <w:rFonts w:ascii="Arial" w:hAnsi="Arial" w:cs="Arial"/>
        </w:rPr>
        <w:t>.</w:t>
      </w:r>
      <w:r w:rsidR="00D26298">
        <w:rPr>
          <w:rFonts w:ascii="Arial" w:hAnsi="Arial" w:cs="Arial"/>
        </w:rPr>
        <w:t xml:space="preserve"> </w:t>
      </w:r>
      <w:r w:rsidRPr="00EB53AD">
        <w:rPr>
          <w:rFonts w:ascii="Arial" w:hAnsi="Arial" w:cs="Arial"/>
        </w:rPr>
        <w:t xml:space="preserve">In Iberia, trade project </w:t>
      </w:r>
      <w:r w:rsidR="001F024E">
        <w:rPr>
          <w:rFonts w:ascii="Arial" w:hAnsi="Arial" w:cs="Arial"/>
        </w:rPr>
        <w:t xml:space="preserve">advisers </w:t>
      </w:r>
      <w:r w:rsidR="004E24FB">
        <w:rPr>
          <w:rFonts w:ascii="Arial" w:hAnsi="Arial" w:cs="Arial"/>
        </w:rPr>
        <w:t xml:space="preserve">also </w:t>
      </w:r>
      <w:r w:rsidRPr="00EB53AD">
        <w:rPr>
          <w:rFonts w:ascii="Arial" w:hAnsi="Arial" w:cs="Arial"/>
        </w:rPr>
        <w:t xml:space="preserve">now provide dedicated </w:t>
      </w:r>
      <w:r w:rsidR="006A01AC">
        <w:rPr>
          <w:rFonts w:ascii="Arial" w:hAnsi="Arial" w:cs="Arial"/>
        </w:rPr>
        <w:t xml:space="preserve">support </w:t>
      </w:r>
      <w:r w:rsidRPr="00EB53AD">
        <w:rPr>
          <w:rFonts w:ascii="Arial" w:hAnsi="Arial" w:cs="Arial"/>
        </w:rPr>
        <w:t xml:space="preserve">to trade customers, and we will be testing </w:t>
      </w:r>
      <w:r w:rsidR="006A01AC">
        <w:rPr>
          <w:rFonts w:ascii="Arial" w:hAnsi="Arial" w:cs="Arial"/>
        </w:rPr>
        <w:t xml:space="preserve">similar initiatives </w:t>
      </w:r>
      <w:r w:rsidRPr="00EB53AD">
        <w:rPr>
          <w:rFonts w:ascii="Arial" w:hAnsi="Arial" w:cs="Arial"/>
        </w:rPr>
        <w:t xml:space="preserve">(both in-store and via our contact centres) across all banners in FY 23/24. </w:t>
      </w:r>
    </w:p>
    <w:p w14:paraId="7F3D76E3" w14:textId="77777777" w:rsidR="00EC20AB" w:rsidRPr="00EB53AD" w:rsidRDefault="00EC20AB" w:rsidP="00EC20AB">
      <w:pPr>
        <w:contextualSpacing/>
        <w:jc w:val="left"/>
        <w:rPr>
          <w:rFonts w:ascii="Arial" w:hAnsi="Arial" w:cs="Arial"/>
        </w:rPr>
      </w:pPr>
    </w:p>
    <w:p w14:paraId="7406D254" w14:textId="48B98E88" w:rsidR="00EC20AB" w:rsidRPr="00EB53AD" w:rsidRDefault="00EC20AB" w:rsidP="00EC20AB">
      <w:pPr>
        <w:contextualSpacing/>
        <w:jc w:val="left"/>
        <w:rPr>
          <w:rFonts w:ascii="Arial" w:hAnsi="Arial" w:cs="Arial"/>
        </w:rPr>
      </w:pPr>
      <w:r w:rsidRPr="00EB53AD">
        <w:rPr>
          <w:rFonts w:ascii="Arial" w:hAnsi="Arial" w:cs="Arial"/>
        </w:rPr>
        <w:t xml:space="preserve">In </w:t>
      </w:r>
      <w:r w:rsidRPr="005D6FF5">
        <w:rPr>
          <w:rFonts w:ascii="Arial" w:hAnsi="Arial"/>
          <w:b/>
        </w:rPr>
        <w:t>services</w:t>
      </w:r>
      <w:r w:rsidRPr="00EB53AD">
        <w:rPr>
          <w:rFonts w:ascii="Arial" w:hAnsi="Arial" w:cs="Arial"/>
        </w:rPr>
        <w:t xml:space="preserve">, our tool rental partnerships with </w:t>
      </w:r>
      <w:r w:rsidRPr="005D6FF5">
        <w:rPr>
          <w:rFonts w:ascii="Arial" w:hAnsi="Arial"/>
          <w:i/>
        </w:rPr>
        <w:t>SpeedyHire</w:t>
      </w:r>
      <w:r w:rsidRPr="00EB53AD">
        <w:rPr>
          <w:rFonts w:ascii="Arial" w:hAnsi="Arial" w:cs="Arial"/>
        </w:rPr>
        <w:t xml:space="preserve"> (at 3</w:t>
      </w:r>
      <w:r w:rsidR="00692983">
        <w:rPr>
          <w:rFonts w:ascii="Arial" w:hAnsi="Arial" w:cs="Arial"/>
        </w:rPr>
        <w:t>3</w:t>
      </w:r>
      <w:r w:rsidRPr="00EB53AD">
        <w:rPr>
          <w:rFonts w:ascii="Arial" w:hAnsi="Arial" w:cs="Arial"/>
        </w:rPr>
        <w:t xml:space="preserve"> B&amp;Q stores) and </w:t>
      </w:r>
      <w:r w:rsidRPr="005D6FF5">
        <w:rPr>
          <w:rFonts w:ascii="Arial" w:hAnsi="Arial"/>
          <w:i/>
        </w:rPr>
        <w:t>Loxam</w:t>
      </w:r>
      <w:r w:rsidRPr="00EB53AD">
        <w:rPr>
          <w:rFonts w:ascii="Arial" w:hAnsi="Arial" w:cs="Arial"/>
        </w:rPr>
        <w:t xml:space="preserve"> (at 41 Castorama France stores) provide trade customers with heavy machinery and tooling, delivered both in-store and nationwide via our digital platforms. Payment facilities and cash flow are </w:t>
      </w:r>
      <w:r w:rsidR="00C52C54">
        <w:rPr>
          <w:rFonts w:ascii="Arial" w:hAnsi="Arial" w:cs="Arial"/>
        </w:rPr>
        <w:t xml:space="preserve">also </w:t>
      </w:r>
      <w:r w:rsidRPr="00EB53AD">
        <w:rPr>
          <w:rFonts w:ascii="Arial" w:hAnsi="Arial" w:cs="Arial"/>
        </w:rPr>
        <w:t xml:space="preserve">key considerations for our trade customers to successfully operate their businesses. Our dedicated </w:t>
      </w:r>
      <w:r w:rsidRPr="005D6FF5">
        <w:rPr>
          <w:rFonts w:ascii="Arial" w:hAnsi="Arial"/>
          <w:i/>
        </w:rPr>
        <w:t>TradeUK</w:t>
      </w:r>
      <w:r w:rsidRPr="00EB53AD">
        <w:rPr>
          <w:rFonts w:ascii="Arial" w:hAnsi="Arial" w:cs="Arial"/>
        </w:rPr>
        <w:t xml:space="preserve"> proposition continues to provide credit facilities for use across both B&amp;Q and Screwfix. Dedicated financial products for the trade are also being explored in France, Poland and Iberia. Fulfilment is</w:t>
      </w:r>
      <w:r w:rsidR="002336F7" w:rsidRPr="00EB53AD">
        <w:rPr>
          <w:rFonts w:ascii="Arial" w:hAnsi="Arial" w:cs="Arial"/>
        </w:rPr>
        <w:t xml:space="preserve"> </w:t>
      </w:r>
      <w:r w:rsidRPr="00EB53AD">
        <w:rPr>
          <w:rFonts w:ascii="Arial" w:hAnsi="Arial" w:cs="Arial"/>
        </w:rPr>
        <w:t xml:space="preserve">also of crucial importance to the trade, with </w:t>
      </w:r>
      <w:r w:rsidR="00723387">
        <w:rPr>
          <w:rFonts w:ascii="Arial" w:hAnsi="Arial" w:cs="Arial"/>
        </w:rPr>
        <w:t xml:space="preserve">nationwide crane delivery rolled out by </w:t>
      </w:r>
      <w:r w:rsidR="00723387" w:rsidRPr="00B41B88">
        <w:rPr>
          <w:rFonts w:ascii="Arial" w:hAnsi="Arial" w:cs="Arial"/>
        </w:rPr>
        <w:t>Brico Dépôt France</w:t>
      </w:r>
      <w:r w:rsidR="00723387">
        <w:rPr>
          <w:rFonts w:ascii="Arial" w:hAnsi="Arial" w:cs="Arial"/>
        </w:rPr>
        <w:t xml:space="preserve"> </w:t>
      </w:r>
      <w:r w:rsidR="0047248A">
        <w:rPr>
          <w:rFonts w:ascii="Arial" w:hAnsi="Arial" w:cs="Arial"/>
        </w:rPr>
        <w:t xml:space="preserve">during the year, </w:t>
      </w:r>
      <w:r w:rsidR="00723387">
        <w:rPr>
          <w:rFonts w:ascii="Arial" w:hAnsi="Arial" w:cs="Arial"/>
        </w:rPr>
        <w:t>and</w:t>
      </w:r>
      <w:r w:rsidR="00723387" w:rsidRPr="00EB53AD">
        <w:rPr>
          <w:rFonts w:ascii="Arial" w:hAnsi="Arial" w:cs="Arial"/>
        </w:rPr>
        <w:t xml:space="preserve"> </w:t>
      </w:r>
      <w:r w:rsidRPr="00EB53AD">
        <w:rPr>
          <w:rFonts w:ascii="Arial" w:hAnsi="Arial" w:cs="Arial"/>
        </w:rPr>
        <w:t xml:space="preserve">direct-to-site delivery, next-day delivery and ‘timed delivery’ slots all being tested and explored. Furthermore, our responsible waste services in partnership with </w:t>
      </w:r>
      <w:r w:rsidRPr="005D6FF5">
        <w:rPr>
          <w:rFonts w:ascii="Arial" w:hAnsi="Arial"/>
          <w:i/>
        </w:rPr>
        <w:t>AnyJunk</w:t>
      </w:r>
      <w:r w:rsidRPr="00EB53AD">
        <w:rPr>
          <w:rFonts w:ascii="Arial" w:hAnsi="Arial" w:cs="Arial"/>
        </w:rPr>
        <w:t xml:space="preserve"> and </w:t>
      </w:r>
      <w:r w:rsidRPr="005D6FF5">
        <w:rPr>
          <w:rFonts w:ascii="Arial" w:hAnsi="Arial"/>
          <w:i/>
        </w:rPr>
        <w:t>LoveJunk</w:t>
      </w:r>
      <w:r w:rsidRPr="00EB53AD">
        <w:rPr>
          <w:rFonts w:ascii="Arial" w:hAnsi="Arial" w:cs="Arial"/>
        </w:rPr>
        <w:t xml:space="preserve"> are delivering positive results in the UK, with plans to increase awareness and adoption in the coming year. </w:t>
      </w:r>
    </w:p>
    <w:p w14:paraId="44BFE810" w14:textId="77777777" w:rsidR="00EC20AB" w:rsidRPr="00EB53AD" w:rsidRDefault="00EC20AB" w:rsidP="00EC20AB">
      <w:pPr>
        <w:contextualSpacing/>
        <w:jc w:val="left"/>
        <w:rPr>
          <w:rFonts w:ascii="Arial" w:hAnsi="Arial" w:cs="Arial"/>
        </w:rPr>
      </w:pPr>
    </w:p>
    <w:p w14:paraId="113677EB" w14:textId="08706534" w:rsidR="00EC20AB" w:rsidRPr="00EB53AD" w:rsidRDefault="00EC20AB" w:rsidP="00EC20AB">
      <w:pPr>
        <w:contextualSpacing/>
        <w:jc w:val="left"/>
        <w:rPr>
          <w:rFonts w:ascii="Arial" w:hAnsi="Arial" w:cs="Arial"/>
        </w:rPr>
      </w:pPr>
      <w:r w:rsidRPr="00EB53AD">
        <w:rPr>
          <w:rFonts w:ascii="Arial" w:hAnsi="Arial" w:cs="Arial"/>
        </w:rPr>
        <w:t xml:space="preserve">Within </w:t>
      </w:r>
      <w:r w:rsidRPr="00EB53AD">
        <w:rPr>
          <w:rFonts w:ascii="Arial" w:hAnsi="Arial" w:cs="Arial"/>
          <w:b/>
          <w:bCs/>
        </w:rPr>
        <w:t>product</w:t>
      </w:r>
      <w:r w:rsidRPr="005D6FF5">
        <w:rPr>
          <w:rFonts w:ascii="Arial" w:hAnsi="Arial"/>
          <w:b/>
        </w:rPr>
        <w:t xml:space="preserve"> range</w:t>
      </w:r>
      <w:r w:rsidRPr="00EB53AD">
        <w:rPr>
          <w:rFonts w:ascii="Arial" w:hAnsi="Arial" w:cs="Arial"/>
        </w:rPr>
        <w:t xml:space="preserve">, we are leveraging our strength in OEBs to develop and roll out trade-focussed products for our banners. As an example, during the year we launched our new OEB </w:t>
      </w:r>
      <w:r w:rsidRPr="00EB53AD">
        <w:rPr>
          <w:rFonts w:ascii="Arial" w:hAnsi="Arial" w:cs="Arial"/>
          <w:i/>
          <w:iCs/>
        </w:rPr>
        <w:t xml:space="preserve">Erbauer </w:t>
      </w:r>
      <w:r w:rsidRPr="00EB53AD">
        <w:rPr>
          <w:rFonts w:ascii="Arial" w:hAnsi="Arial" w:cs="Arial"/>
        </w:rPr>
        <w:t xml:space="preserve">12V power tool range in Screwfix and Castorama France. The 12V ecosystem provides a more compact range to our 18V offer, bringing power tool capabilities to smaller areas, ideal for tradespeople working in confined spaces or on more intricate work where larger tools are inefficient. </w:t>
      </w:r>
      <w:r w:rsidR="00137A3F" w:rsidRPr="00137A3F">
        <w:rPr>
          <w:rFonts w:ascii="Arial" w:hAnsi="Arial" w:cs="Arial"/>
        </w:rPr>
        <w:t xml:space="preserve">The new range of OEB </w:t>
      </w:r>
      <w:r w:rsidR="00137A3F" w:rsidRPr="00DD54EF">
        <w:rPr>
          <w:rFonts w:ascii="Arial" w:hAnsi="Arial" w:cs="Arial"/>
          <w:i/>
          <w:iCs/>
        </w:rPr>
        <w:t>Flomasta</w:t>
      </w:r>
      <w:r w:rsidR="00137A3F" w:rsidRPr="00137A3F">
        <w:rPr>
          <w:rFonts w:ascii="Arial" w:hAnsi="Arial" w:cs="Arial"/>
        </w:rPr>
        <w:t xml:space="preserve"> </w:t>
      </w:r>
      <w:r w:rsidR="00137A3F">
        <w:rPr>
          <w:rFonts w:ascii="Arial" w:hAnsi="Arial" w:cs="Arial"/>
        </w:rPr>
        <w:t>s</w:t>
      </w:r>
      <w:r w:rsidR="00137A3F" w:rsidRPr="00137A3F">
        <w:rPr>
          <w:rFonts w:ascii="Arial" w:hAnsi="Arial" w:cs="Arial"/>
        </w:rPr>
        <w:t xml:space="preserve">teel </w:t>
      </w:r>
      <w:r w:rsidR="00137A3F">
        <w:rPr>
          <w:rFonts w:ascii="Arial" w:hAnsi="Arial" w:cs="Arial"/>
        </w:rPr>
        <w:t>p</w:t>
      </w:r>
      <w:r w:rsidR="00137A3F" w:rsidRPr="00137A3F">
        <w:rPr>
          <w:rFonts w:ascii="Arial" w:hAnsi="Arial" w:cs="Arial"/>
        </w:rPr>
        <w:t xml:space="preserve">anel </w:t>
      </w:r>
      <w:r w:rsidR="00137A3F">
        <w:rPr>
          <w:rFonts w:ascii="Arial" w:hAnsi="Arial" w:cs="Arial"/>
        </w:rPr>
        <w:t>r</w:t>
      </w:r>
      <w:r w:rsidR="00137A3F" w:rsidRPr="00137A3F">
        <w:rPr>
          <w:rFonts w:ascii="Arial" w:hAnsi="Arial" w:cs="Arial"/>
        </w:rPr>
        <w:t>adiators ha</w:t>
      </w:r>
      <w:r w:rsidR="00137A3F">
        <w:rPr>
          <w:rFonts w:ascii="Arial" w:hAnsi="Arial" w:cs="Arial"/>
        </w:rPr>
        <w:t>s</w:t>
      </w:r>
      <w:r w:rsidR="00137A3F" w:rsidRPr="00137A3F">
        <w:rPr>
          <w:rFonts w:ascii="Arial" w:hAnsi="Arial" w:cs="Arial"/>
        </w:rPr>
        <w:t xml:space="preserve"> also been launched, designed with a deeper understanding of our plumbers and heating engineers’ needs. Alongside positive customer feedback on installation and use, the range is driving </w:t>
      </w:r>
      <w:r w:rsidR="00347B82">
        <w:rPr>
          <w:rFonts w:ascii="Arial" w:hAnsi="Arial" w:cs="Arial"/>
        </w:rPr>
        <w:t xml:space="preserve">higher </w:t>
      </w:r>
      <w:r w:rsidR="00137A3F" w:rsidRPr="00137A3F">
        <w:rPr>
          <w:rFonts w:ascii="Arial" w:hAnsi="Arial" w:cs="Arial"/>
        </w:rPr>
        <w:t>sales and profit</w:t>
      </w:r>
      <w:r w:rsidR="00347B82">
        <w:rPr>
          <w:rFonts w:ascii="Arial" w:hAnsi="Arial" w:cs="Arial"/>
        </w:rPr>
        <w:t>ability</w:t>
      </w:r>
      <w:r w:rsidR="00137A3F" w:rsidRPr="00137A3F">
        <w:rPr>
          <w:rFonts w:ascii="Arial" w:hAnsi="Arial" w:cs="Arial"/>
        </w:rPr>
        <w:t xml:space="preserve"> </w:t>
      </w:r>
      <w:r w:rsidR="00347B82">
        <w:rPr>
          <w:rFonts w:ascii="Arial" w:hAnsi="Arial" w:cs="Arial"/>
        </w:rPr>
        <w:t>compared to our</w:t>
      </w:r>
      <w:r w:rsidR="00137A3F" w:rsidRPr="00137A3F">
        <w:rPr>
          <w:rFonts w:ascii="Arial" w:hAnsi="Arial" w:cs="Arial"/>
        </w:rPr>
        <w:t xml:space="preserve"> previous offer. </w:t>
      </w:r>
      <w:r w:rsidRPr="00EB53AD">
        <w:rPr>
          <w:rFonts w:ascii="Arial" w:hAnsi="Arial" w:cs="Arial"/>
        </w:rPr>
        <w:t xml:space="preserve">Our banners are also reviewing and extending the availability of key trade brands within their markets (for example, extended </w:t>
      </w:r>
      <w:r w:rsidRPr="005D6FF5">
        <w:rPr>
          <w:rFonts w:ascii="Arial" w:hAnsi="Arial"/>
          <w:i/>
        </w:rPr>
        <w:t>Makita</w:t>
      </w:r>
      <w:r w:rsidRPr="00EB53AD">
        <w:rPr>
          <w:rFonts w:ascii="Arial" w:hAnsi="Arial" w:cs="Arial"/>
        </w:rPr>
        <w:t xml:space="preserve"> and </w:t>
      </w:r>
      <w:r w:rsidRPr="005D6FF5">
        <w:rPr>
          <w:rFonts w:ascii="Arial" w:hAnsi="Arial"/>
          <w:i/>
        </w:rPr>
        <w:t>Bosch</w:t>
      </w:r>
      <w:r w:rsidRPr="00EB53AD">
        <w:rPr>
          <w:rFonts w:ascii="Arial" w:hAnsi="Arial" w:cs="Arial"/>
        </w:rPr>
        <w:t xml:space="preserve"> ranges in Brico Dépôt Iberia). </w:t>
      </w:r>
    </w:p>
    <w:p w14:paraId="71A33E7F" w14:textId="77777777" w:rsidR="00EC20AB" w:rsidRPr="00EB53AD" w:rsidRDefault="00EC20AB" w:rsidP="00EC20AB">
      <w:pPr>
        <w:contextualSpacing/>
        <w:jc w:val="left"/>
        <w:rPr>
          <w:rFonts w:ascii="Arial" w:hAnsi="Arial" w:cs="Arial"/>
        </w:rPr>
      </w:pPr>
    </w:p>
    <w:p w14:paraId="1EA17CF5" w14:textId="19960C3F" w:rsidR="00EC20AB" w:rsidRPr="00EB53AD" w:rsidRDefault="00EC20AB" w:rsidP="00EC20AB">
      <w:pPr>
        <w:contextualSpacing/>
        <w:jc w:val="left"/>
        <w:rPr>
          <w:rFonts w:ascii="Arial" w:hAnsi="Arial" w:cs="Arial"/>
        </w:rPr>
      </w:pPr>
      <w:r w:rsidRPr="00EB53AD">
        <w:rPr>
          <w:rFonts w:ascii="Arial" w:hAnsi="Arial" w:cs="Arial"/>
        </w:rPr>
        <w:t xml:space="preserve">In </w:t>
      </w:r>
      <w:r w:rsidRPr="00EB53AD">
        <w:rPr>
          <w:rFonts w:ascii="Arial" w:hAnsi="Arial" w:cs="Arial"/>
          <w:b/>
          <w:bCs/>
        </w:rPr>
        <w:t>pricing and</w:t>
      </w:r>
      <w:r w:rsidRPr="005D6FF5">
        <w:rPr>
          <w:rFonts w:ascii="Arial" w:hAnsi="Arial"/>
          <w:b/>
        </w:rPr>
        <w:t xml:space="preserve"> loyalty</w:t>
      </w:r>
      <w:r w:rsidR="00541082">
        <w:rPr>
          <w:rFonts w:ascii="Arial" w:hAnsi="Arial" w:cs="Arial"/>
        </w:rPr>
        <w:t xml:space="preserve">, </w:t>
      </w:r>
      <w:r w:rsidRPr="00EB53AD">
        <w:rPr>
          <w:rFonts w:ascii="Arial" w:hAnsi="Arial" w:cs="Arial"/>
        </w:rPr>
        <w:t xml:space="preserve">we </w:t>
      </w:r>
      <w:r w:rsidR="00382601" w:rsidRPr="00382601">
        <w:rPr>
          <w:rFonts w:ascii="Arial" w:hAnsi="Arial" w:cs="Arial"/>
        </w:rPr>
        <w:t xml:space="preserve">are testing and rolling out </w:t>
      </w:r>
      <w:r w:rsidRPr="00EB53AD">
        <w:rPr>
          <w:rFonts w:ascii="Arial" w:hAnsi="Arial" w:cs="Arial"/>
        </w:rPr>
        <w:t>dedicated trade loyalty programme</w:t>
      </w:r>
      <w:r w:rsidR="006E3B27">
        <w:rPr>
          <w:rFonts w:ascii="Arial" w:hAnsi="Arial" w:cs="Arial"/>
        </w:rPr>
        <w:t>s</w:t>
      </w:r>
      <w:r w:rsidRPr="00EB53AD">
        <w:rPr>
          <w:rFonts w:ascii="Arial" w:hAnsi="Arial" w:cs="Arial"/>
        </w:rPr>
        <w:t xml:space="preserve"> in Poland and Iberia to establish and maintain strong customer relationships, building on successes at TradePoint and Screwfix. Following positive results and adoption rates, these programme</w:t>
      </w:r>
      <w:r w:rsidR="00541082">
        <w:rPr>
          <w:rFonts w:ascii="Arial" w:hAnsi="Arial" w:cs="Arial"/>
        </w:rPr>
        <w:t>s</w:t>
      </w:r>
      <w:r w:rsidRPr="00EB53AD">
        <w:rPr>
          <w:rFonts w:ascii="Arial" w:hAnsi="Arial" w:cs="Arial"/>
        </w:rPr>
        <w:t xml:space="preserve"> will be further developed across both markets in FY 23/24. In addition, </w:t>
      </w:r>
      <w:r w:rsidR="0051083B">
        <w:rPr>
          <w:rFonts w:ascii="Arial" w:hAnsi="Arial" w:cs="Arial"/>
        </w:rPr>
        <w:t xml:space="preserve">we are driving adoption of our existing </w:t>
      </w:r>
      <w:r w:rsidRPr="00EB53AD">
        <w:rPr>
          <w:rFonts w:ascii="Arial" w:hAnsi="Arial" w:cs="Arial"/>
        </w:rPr>
        <w:t>loyalty scheme at Brico Dépôt France</w:t>
      </w:r>
      <w:r w:rsidR="000C51F8">
        <w:rPr>
          <w:rFonts w:ascii="Arial" w:hAnsi="Arial" w:cs="Arial"/>
        </w:rPr>
        <w:t xml:space="preserve"> through our </w:t>
      </w:r>
      <w:r w:rsidR="006D71CE">
        <w:rPr>
          <w:rFonts w:ascii="Arial" w:hAnsi="Arial" w:cs="Arial"/>
        </w:rPr>
        <w:t xml:space="preserve">‘pro’ </w:t>
      </w:r>
      <w:r w:rsidR="000C51F8">
        <w:rPr>
          <w:rFonts w:ascii="Arial" w:hAnsi="Arial" w:cs="Arial"/>
        </w:rPr>
        <w:t>targeted trials</w:t>
      </w:r>
      <w:r w:rsidRPr="00EB53AD">
        <w:rPr>
          <w:rFonts w:ascii="Arial" w:hAnsi="Arial" w:cs="Arial"/>
        </w:rPr>
        <w:t>. Improvements to the TradePoint programme are also in development, to increase access to membership information for both customers and colleagues to maximise opportunities for higher customer spend. Several of our banners are also testing new pricing mechanisms to drive higher sales, while maintaining competitive trade pricing.</w:t>
      </w:r>
    </w:p>
    <w:p w14:paraId="34438F5B" w14:textId="77777777" w:rsidR="00EC20AB" w:rsidRPr="00EB53AD" w:rsidRDefault="00EC20AB" w:rsidP="00EC20AB">
      <w:pPr>
        <w:jc w:val="left"/>
        <w:rPr>
          <w:rFonts w:ascii="Arial" w:hAnsi="Arial" w:cs="Arial"/>
          <w:bCs/>
        </w:rPr>
      </w:pPr>
    </w:p>
    <w:p w14:paraId="076734BC" w14:textId="1039D6F5" w:rsidR="006A57A6" w:rsidRPr="00CD09A1" w:rsidRDefault="00EC20AB" w:rsidP="0092378A">
      <w:pPr>
        <w:jc w:val="left"/>
        <w:rPr>
          <w:rFonts w:ascii="Arial" w:hAnsi="Arial"/>
        </w:rPr>
      </w:pPr>
      <w:r w:rsidRPr="00EB53AD">
        <w:rPr>
          <w:rFonts w:ascii="Arial" w:hAnsi="Arial" w:cs="Arial"/>
          <w:bCs/>
        </w:rPr>
        <w:t xml:space="preserve">Finally in </w:t>
      </w:r>
      <w:r w:rsidRPr="00EB53AD">
        <w:rPr>
          <w:rFonts w:ascii="Arial" w:hAnsi="Arial" w:cs="Arial"/>
          <w:b/>
        </w:rPr>
        <w:t>digital</w:t>
      </w:r>
      <w:r w:rsidRPr="00EB53AD">
        <w:rPr>
          <w:rFonts w:ascii="Arial" w:hAnsi="Arial" w:cs="Arial"/>
          <w:bCs/>
        </w:rPr>
        <w:t xml:space="preserve">, Screwfix </w:t>
      </w:r>
      <w:r w:rsidRPr="00EB53AD">
        <w:rPr>
          <w:rFonts w:ascii="Arial" w:hAnsi="Arial" w:cs="Arial"/>
          <w:bCs/>
          <w:i/>
          <w:iCs/>
        </w:rPr>
        <w:t>Sprint</w:t>
      </w:r>
      <w:r w:rsidRPr="00EB53AD">
        <w:rPr>
          <w:rFonts w:ascii="Arial" w:hAnsi="Arial" w:cs="Arial"/>
          <w:bCs/>
        </w:rPr>
        <w:t xml:space="preserve"> continues to deliver essential items to trade customers within one hour, </w:t>
      </w:r>
      <w:r w:rsidR="007F1DB6">
        <w:rPr>
          <w:rFonts w:ascii="Arial" w:hAnsi="Arial" w:cs="Arial"/>
          <w:bCs/>
        </w:rPr>
        <w:t xml:space="preserve">available </w:t>
      </w:r>
      <w:r w:rsidRPr="00EB53AD">
        <w:rPr>
          <w:rFonts w:ascii="Arial" w:hAnsi="Arial" w:cs="Arial"/>
          <w:bCs/>
        </w:rPr>
        <w:t xml:space="preserve">exclusively </w:t>
      </w:r>
      <w:r w:rsidR="00AA56DB">
        <w:rPr>
          <w:rFonts w:ascii="Arial" w:hAnsi="Arial" w:cs="Arial"/>
          <w:bCs/>
        </w:rPr>
        <w:t xml:space="preserve">through </w:t>
      </w:r>
      <w:r w:rsidRPr="00EB53AD">
        <w:rPr>
          <w:rFonts w:ascii="Arial" w:hAnsi="Arial" w:cs="Arial"/>
          <w:bCs/>
        </w:rPr>
        <w:t xml:space="preserve">the Screwfix app. In 2023, TradePoint </w:t>
      </w:r>
      <w:r w:rsidR="003233B1">
        <w:rPr>
          <w:rFonts w:ascii="Arial" w:hAnsi="Arial" w:cs="Arial"/>
          <w:bCs/>
        </w:rPr>
        <w:t xml:space="preserve">will strengthen </w:t>
      </w:r>
      <w:r w:rsidR="002703C2">
        <w:rPr>
          <w:rFonts w:ascii="Arial" w:hAnsi="Arial" w:cs="Arial"/>
          <w:bCs/>
        </w:rPr>
        <w:t xml:space="preserve">its digital proposition </w:t>
      </w:r>
      <w:r w:rsidRPr="00EB53AD">
        <w:rPr>
          <w:rFonts w:ascii="Arial" w:hAnsi="Arial" w:cs="Arial"/>
          <w:bCs/>
        </w:rPr>
        <w:t>to make membership tracking and purchases easier to complete.</w:t>
      </w:r>
      <w:r w:rsidRPr="00EB53AD">
        <w:rPr>
          <w:rFonts w:ascii="Arial" w:hAnsi="Arial" w:cs="Arial"/>
        </w:rPr>
        <w:t xml:space="preserve"> Increased personalisation is a key area we are expanding, leveraging our expanding data and analytics expertise to bring more relevant offers and content to known trade customers.</w:t>
      </w:r>
      <w:r w:rsidR="006A57A6">
        <w:rPr>
          <w:rFonts w:ascii="Arial" w:hAnsi="Arial" w:cs="Arial"/>
        </w:rPr>
        <w:br w:type="page"/>
      </w:r>
    </w:p>
    <w:p w14:paraId="4267A752" w14:textId="77777777" w:rsidR="00EC20AB" w:rsidRPr="00EB53AD" w:rsidRDefault="00EC20AB" w:rsidP="006A57A6">
      <w:pPr>
        <w:pStyle w:val="ListParagraph"/>
        <w:numPr>
          <w:ilvl w:val="0"/>
          <w:numId w:val="23"/>
        </w:numPr>
        <w:jc w:val="left"/>
        <w:rPr>
          <w:rFonts w:ascii="Arial" w:hAnsi="Arial" w:cs="Arial"/>
          <w:b/>
          <w:u w:val="single"/>
        </w:rPr>
      </w:pPr>
      <w:r w:rsidRPr="00EB53AD">
        <w:rPr>
          <w:rFonts w:ascii="Arial" w:hAnsi="Arial" w:cs="Arial"/>
          <w:b/>
          <w:u w:val="single"/>
        </w:rPr>
        <w:lastRenderedPageBreak/>
        <w:t>Roll out compact store formats</w:t>
      </w:r>
    </w:p>
    <w:p w14:paraId="1D8AD4A0" w14:textId="77777777" w:rsidR="00EC20AB" w:rsidRPr="00EB53AD" w:rsidRDefault="00EC20AB" w:rsidP="006A57A6">
      <w:pPr>
        <w:jc w:val="left"/>
        <w:rPr>
          <w:rFonts w:ascii="Arial" w:hAnsi="Arial" w:cs="Arial"/>
          <w:i/>
          <w:iCs/>
        </w:rPr>
      </w:pPr>
      <w:bookmarkStart w:id="32" w:name="_Hlk80620040"/>
      <w:bookmarkEnd w:id="29"/>
      <w:r w:rsidRPr="00EB53AD">
        <w:rPr>
          <w:rFonts w:ascii="Arial" w:hAnsi="Arial" w:cs="Arial"/>
          <w:i/>
        </w:rPr>
        <w:t xml:space="preserve">Stores play a critical role in the home improvement market. They serve as a ‘one-stop shop’ for projects, enabling customers to be inspired, to visualise and ‘try before they buy’, and receive customised advice and services from in-store experts. Over the last three years they have also played an integral role in meeting elevated demand via e-commerce channels, whether through fast C&amp;C or delivery to where the customer wants it. </w:t>
      </w:r>
      <w:r w:rsidRPr="00EB53AD">
        <w:rPr>
          <w:rFonts w:ascii="Arial" w:hAnsi="Arial" w:cs="Arial"/>
          <w:i/>
          <w:iCs/>
        </w:rPr>
        <w:t xml:space="preserve">We believe that compact stores will play an increasingly crucial role in addressing the consumer need for both speed and convenience. Through compact store expansion, our ambition is to grow market share, optimise our overall store footprint, and to grow sales densities and store profitability. </w:t>
      </w:r>
    </w:p>
    <w:p w14:paraId="720BBDD0" w14:textId="77777777" w:rsidR="00EC20AB" w:rsidRPr="00EB53AD" w:rsidRDefault="00EC20AB" w:rsidP="00EC20AB">
      <w:pPr>
        <w:contextualSpacing/>
        <w:jc w:val="left"/>
        <w:rPr>
          <w:rFonts w:ascii="Arial" w:hAnsi="Arial" w:cs="Arial"/>
        </w:rPr>
      </w:pPr>
    </w:p>
    <w:p w14:paraId="477DBD89" w14:textId="77777777" w:rsidR="00EC20AB" w:rsidRPr="00EB53AD" w:rsidRDefault="00EC20AB" w:rsidP="00EC20AB">
      <w:pPr>
        <w:contextualSpacing/>
        <w:jc w:val="left"/>
        <w:rPr>
          <w:rFonts w:ascii="Arial" w:hAnsi="Arial" w:cs="Arial"/>
        </w:rPr>
      </w:pPr>
      <w:r w:rsidRPr="00EB53AD">
        <w:rPr>
          <w:rFonts w:ascii="Arial" w:hAnsi="Arial" w:cs="Arial"/>
        </w:rPr>
        <w:t xml:space="preserve">As set out in the section above, </w:t>
      </w:r>
      <w:r w:rsidRPr="00EB53AD">
        <w:rPr>
          <w:rFonts w:ascii="Arial" w:hAnsi="Arial" w:cs="Arial"/>
          <w:i/>
          <w:iCs/>
        </w:rPr>
        <w:t>‘Grow by building on our different banners’</w:t>
      </w:r>
      <w:r w:rsidRPr="00EB53AD">
        <w:rPr>
          <w:rFonts w:ascii="Arial" w:hAnsi="Arial" w:cs="Arial"/>
        </w:rPr>
        <w:t>, a common denominator through the plans of many of our businesses is that compact stores are a key enabler for expansion. We are convinced of the need for a wider network of smaller and more easily accessible stores, and believe compact stores unlock the opportunity for rapid expansion into smaller cities and geographic ‘white spaces’ where larger stores are not suitable.</w:t>
      </w:r>
    </w:p>
    <w:p w14:paraId="3DDD1D0B" w14:textId="77777777" w:rsidR="00EC20AB" w:rsidRPr="00EB53AD" w:rsidRDefault="00EC20AB" w:rsidP="00EC20AB">
      <w:pPr>
        <w:contextualSpacing/>
        <w:jc w:val="left"/>
        <w:rPr>
          <w:rFonts w:ascii="Arial" w:hAnsi="Arial" w:cs="Arial"/>
        </w:rPr>
      </w:pPr>
    </w:p>
    <w:p w14:paraId="66AFF487" w14:textId="77777777" w:rsidR="00EC20AB" w:rsidRPr="00EB53AD" w:rsidRDefault="00EC20AB" w:rsidP="00EC20AB">
      <w:pPr>
        <w:jc w:val="left"/>
        <w:rPr>
          <w:rFonts w:ascii="Arial" w:hAnsi="Arial" w:cs="Arial"/>
        </w:rPr>
      </w:pPr>
      <w:r w:rsidRPr="00EB53AD">
        <w:rPr>
          <w:rFonts w:ascii="Arial" w:hAnsi="Arial" w:cs="Arial"/>
        </w:rPr>
        <w:t>We are clear however that any space growth must be subject to our strict returns criteria, and balanced as part of our overall view on store footprint. While compact store growth will increase our overall store numbers, our aim is to reduce the average size of our stores. We aim to achieve this over time by opening more compact stores (less than 2,000 sqm), rebalancing any larger size new store opening programmes (e.g., at Brico Dépôt France and Castorama Poland) to mostly focus on medium-box stores (2,000 to 8,000 sqm), and ‘rightsizing’ or repurposing space within many of our larger format big-box stores (more than 8,000 sqm).</w:t>
      </w:r>
    </w:p>
    <w:p w14:paraId="0744CE77" w14:textId="77777777" w:rsidR="00EC20AB" w:rsidRPr="00EB53AD" w:rsidRDefault="00EC20AB" w:rsidP="00EC20AB">
      <w:pPr>
        <w:jc w:val="left"/>
        <w:rPr>
          <w:rFonts w:ascii="Arial" w:hAnsi="Arial" w:cs="Arial"/>
        </w:rPr>
      </w:pPr>
    </w:p>
    <w:p w14:paraId="523B569B" w14:textId="206D18E3" w:rsidR="008006E6" w:rsidRPr="00EB53AD" w:rsidRDefault="00EC20AB" w:rsidP="008006E6">
      <w:pPr>
        <w:jc w:val="left"/>
        <w:rPr>
          <w:rFonts w:ascii="Arial" w:hAnsi="Arial" w:cs="Arial"/>
        </w:rPr>
      </w:pPr>
      <w:bookmarkStart w:id="33" w:name="_Hlk80618699"/>
      <w:bookmarkEnd w:id="32"/>
      <w:r w:rsidRPr="00EB53AD">
        <w:rPr>
          <w:rFonts w:ascii="Arial" w:hAnsi="Arial" w:cs="Arial"/>
        </w:rPr>
        <w:t>To date we have made good progress in testing different concepts to unlock the compact store opportunity.</w:t>
      </w:r>
      <w:r w:rsidRPr="00EB53AD" w:rsidDel="00AD7CBC">
        <w:rPr>
          <w:rFonts w:ascii="Arial" w:hAnsi="Arial" w:cs="Arial"/>
        </w:rPr>
        <w:t xml:space="preserve"> </w:t>
      </w:r>
      <w:r w:rsidRPr="00EB53AD">
        <w:rPr>
          <w:rFonts w:ascii="Arial" w:hAnsi="Arial" w:cs="Arial"/>
        </w:rPr>
        <w:t>During the year we added 1</w:t>
      </w:r>
      <w:r w:rsidR="00996AAD">
        <w:rPr>
          <w:rFonts w:ascii="Arial" w:hAnsi="Arial" w:cs="Arial"/>
        </w:rPr>
        <w:t>7</w:t>
      </w:r>
      <w:r w:rsidRPr="00EB53AD">
        <w:rPr>
          <w:rFonts w:ascii="Arial" w:hAnsi="Arial" w:cs="Arial"/>
        </w:rPr>
        <w:t xml:space="preserve"> additional compact stores, bringing the total to 4</w:t>
      </w:r>
      <w:r w:rsidR="00451F0A">
        <w:rPr>
          <w:rFonts w:ascii="Arial" w:hAnsi="Arial" w:cs="Arial"/>
        </w:rPr>
        <w:t>1</w:t>
      </w:r>
      <w:r w:rsidR="00483DED">
        <w:rPr>
          <w:rFonts w:ascii="Arial" w:hAnsi="Arial" w:cs="Arial"/>
        </w:rPr>
        <w:t xml:space="preserve"> </w:t>
      </w:r>
      <w:r w:rsidR="00361019">
        <w:rPr>
          <w:rFonts w:ascii="Arial" w:hAnsi="Arial" w:cs="Arial"/>
        </w:rPr>
        <w:t xml:space="preserve">in operation </w:t>
      </w:r>
      <w:r w:rsidR="00E41624">
        <w:rPr>
          <w:rFonts w:ascii="Arial" w:hAnsi="Arial" w:cs="Arial"/>
        </w:rPr>
        <w:t>as of 31 January 2023</w:t>
      </w:r>
      <w:r w:rsidRPr="00EB53AD">
        <w:rPr>
          <w:rFonts w:ascii="Arial" w:hAnsi="Arial" w:cs="Arial"/>
        </w:rPr>
        <w:t>. These stores span three markets and four retail banners (B&amp;Q, Screwfix, Castorama France and Castorama Poland), located in high streets, small retail parks and within supermarkets (as concession outlets).</w:t>
      </w:r>
      <w:r w:rsidR="008006E6" w:rsidRPr="008006E6">
        <w:rPr>
          <w:rFonts w:ascii="Arial" w:hAnsi="Arial" w:cs="Arial"/>
        </w:rPr>
        <w:t xml:space="preserve"> </w:t>
      </w:r>
      <w:r w:rsidR="008006E6" w:rsidRPr="00EB53AD">
        <w:rPr>
          <w:rFonts w:ascii="Arial" w:hAnsi="Arial" w:cs="Arial"/>
        </w:rPr>
        <w:t xml:space="preserve">Following an extensive review, in February 2023 we decided to end our B&amp;Q ‘grocery concession’ </w:t>
      </w:r>
      <w:r w:rsidR="008006E6">
        <w:rPr>
          <w:rFonts w:ascii="Arial" w:hAnsi="Arial" w:cs="Arial"/>
        </w:rPr>
        <w:t>format test</w:t>
      </w:r>
      <w:r w:rsidR="008006E6" w:rsidRPr="00EB53AD">
        <w:rPr>
          <w:rFonts w:ascii="Arial" w:hAnsi="Arial" w:cs="Arial"/>
        </w:rPr>
        <w:t xml:space="preserve"> with ASDA in eight stores to instead focus our resources on developing the blueprint for high street and small retail park stores.</w:t>
      </w:r>
    </w:p>
    <w:p w14:paraId="311DB0D5" w14:textId="77777777" w:rsidR="00EC20AB" w:rsidRPr="00EB53AD" w:rsidRDefault="00EC20AB" w:rsidP="00EC20AB">
      <w:pPr>
        <w:jc w:val="left"/>
        <w:rPr>
          <w:rFonts w:ascii="Arial" w:hAnsi="Arial" w:cs="Arial"/>
        </w:rPr>
      </w:pPr>
    </w:p>
    <w:p w14:paraId="4C5F3132" w14:textId="77777777" w:rsidR="00E41624" w:rsidRDefault="00EC20AB" w:rsidP="00EC20AB">
      <w:pPr>
        <w:jc w:val="left"/>
        <w:rPr>
          <w:rFonts w:ascii="Arial" w:hAnsi="Arial" w:cs="Arial"/>
        </w:rPr>
      </w:pPr>
      <w:r w:rsidRPr="00EB53AD">
        <w:rPr>
          <w:rFonts w:ascii="Arial" w:hAnsi="Arial" w:cs="Arial"/>
        </w:rPr>
        <w:t xml:space="preserve">Our high street concept tests (300-800 sqm) continue to deliver encouraging learnings and results. We now have 12 high street concept stores open in the UK, France and Poland, including eight </w:t>
      </w:r>
      <w:r w:rsidR="006C0050">
        <w:rPr>
          <w:rFonts w:ascii="Arial" w:hAnsi="Arial" w:cs="Arial"/>
        </w:rPr>
        <w:t xml:space="preserve">within </w:t>
      </w:r>
      <w:r w:rsidRPr="00EB53AD">
        <w:rPr>
          <w:rFonts w:ascii="Arial" w:hAnsi="Arial" w:cs="Arial"/>
        </w:rPr>
        <w:t xml:space="preserve">B&amp;Q. We continue to learn from these tests with the aim of creating a scalable high street concept. The latest two B&amp;Q compact stores (Palmers Green and Camden, both in London) are the first to sit under the new </w:t>
      </w:r>
      <w:r w:rsidRPr="005D6FF5">
        <w:rPr>
          <w:rFonts w:ascii="Arial" w:hAnsi="Arial"/>
          <w:i/>
        </w:rPr>
        <w:t xml:space="preserve">B&amp;Q </w:t>
      </w:r>
      <w:r w:rsidRPr="00EB53AD">
        <w:rPr>
          <w:rFonts w:ascii="Arial" w:hAnsi="Arial" w:cs="Arial"/>
          <w:i/>
        </w:rPr>
        <w:t>Local</w:t>
      </w:r>
      <w:r w:rsidRPr="00EB53AD">
        <w:rPr>
          <w:rFonts w:ascii="Arial" w:hAnsi="Arial" w:cs="Arial"/>
        </w:rPr>
        <w:t xml:space="preserve"> sub-banner, offering an immediate ‘take-away’ convenience offer in prominent locations with high footfall. Similar concepts are being tested in Castorama France (</w:t>
      </w:r>
      <w:r w:rsidR="00EA56F0">
        <w:rPr>
          <w:rFonts w:ascii="Arial" w:hAnsi="Arial" w:cs="Arial"/>
        </w:rPr>
        <w:t>three</w:t>
      </w:r>
      <w:r w:rsidR="00EA56F0" w:rsidRPr="00EB53AD">
        <w:rPr>
          <w:rFonts w:ascii="Arial" w:hAnsi="Arial" w:cs="Arial"/>
        </w:rPr>
        <w:t xml:space="preserve"> </w:t>
      </w:r>
      <w:r w:rsidRPr="00EB53AD">
        <w:rPr>
          <w:rFonts w:ascii="Arial" w:hAnsi="Arial" w:cs="Arial"/>
          <w:i/>
        </w:rPr>
        <w:t>Casto</w:t>
      </w:r>
      <w:r w:rsidRPr="00EB53AD">
        <w:rPr>
          <w:rFonts w:ascii="Arial" w:hAnsi="Arial" w:cs="Arial"/>
        </w:rPr>
        <w:t xml:space="preserve"> stores, </w:t>
      </w:r>
      <w:r w:rsidR="008F52D4">
        <w:rPr>
          <w:rFonts w:ascii="Arial" w:hAnsi="Arial" w:cs="Arial"/>
        </w:rPr>
        <w:t xml:space="preserve">including two </w:t>
      </w:r>
      <w:r w:rsidRPr="00EB53AD">
        <w:rPr>
          <w:rFonts w:ascii="Arial" w:hAnsi="Arial" w:cs="Arial"/>
        </w:rPr>
        <w:t xml:space="preserve">opened in </w:t>
      </w:r>
      <w:r w:rsidR="008F52D4">
        <w:rPr>
          <w:rFonts w:ascii="Arial" w:hAnsi="Arial" w:cs="Arial"/>
        </w:rPr>
        <w:t xml:space="preserve">Paris in </w:t>
      </w:r>
      <w:r w:rsidRPr="00EB53AD">
        <w:rPr>
          <w:rFonts w:ascii="Arial" w:hAnsi="Arial" w:cs="Arial"/>
        </w:rPr>
        <w:t xml:space="preserve">February 2022) and Castorama Poland (one </w:t>
      </w:r>
      <w:r w:rsidRPr="00EB53AD">
        <w:rPr>
          <w:rFonts w:ascii="Arial" w:hAnsi="Arial" w:cs="Arial"/>
          <w:i/>
        </w:rPr>
        <w:t>Express</w:t>
      </w:r>
      <w:r w:rsidRPr="00EB53AD">
        <w:rPr>
          <w:rFonts w:ascii="Arial" w:hAnsi="Arial" w:cs="Arial"/>
        </w:rPr>
        <w:t xml:space="preserve"> store, opened in August 2022). </w:t>
      </w:r>
    </w:p>
    <w:p w14:paraId="68075758" w14:textId="77777777" w:rsidR="00EC20AB" w:rsidRPr="00EB53AD" w:rsidRDefault="00EC20AB" w:rsidP="00EC20AB">
      <w:pPr>
        <w:jc w:val="left"/>
        <w:rPr>
          <w:rFonts w:ascii="Arial" w:hAnsi="Arial" w:cs="Arial"/>
        </w:rPr>
      </w:pPr>
    </w:p>
    <w:p w14:paraId="7CAEC52C" w14:textId="7B7BC5DA" w:rsidR="00EC20AB" w:rsidRPr="00EB53AD" w:rsidRDefault="00EC20AB" w:rsidP="00EC20AB">
      <w:pPr>
        <w:jc w:val="left"/>
        <w:rPr>
          <w:rFonts w:ascii="Arial" w:hAnsi="Arial" w:cs="Arial"/>
        </w:rPr>
      </w:pPr>
      <w:r w:rsidRPr="00EB53AD">
        <w:rPr>
          <w:rFonts w:ascii="Arial" w:hAnsi="Arial" w:cs="Arial"/>
        </w:rPr>
        <w:t xml:space="preserve">Our small retail park store concept tests (800-2,000 sqm) are currently </w:t>
      </w:r>
      <w:r w:rsidR="00251FAC">
        <w:rPr>
          <w:rFonts w:ascii="Arial" w:hAnsi="Arial" w:cs="Arial"/>
        </w:rPr>
        <w:t xml:space="preserve">within </w:t>
      </w:r>
      <w:r w:rsidRPr="00EB53AD">
        <w:rPr>
          <w:rFonts w:ascii="Arial" w:hAnsi="Arial" w:cs="Arial"/>
        </w:rPr>
        <w:t xml:space="preserve">B&amp;Q (four stores) and in Poland (five stores, where they trade under the </w:t>
      </w:r>
      <w:r w:rsidRPr="00EB53AD">
        <w:rPr>
          <w:rFonts w:ascii="Arial" w:hAnsi="Arial" w:cs="Arial"/>
          <w:i/>
          <w:iCs/>
        </w:rPr>
        <w:t>Castorama Smart</w:t>
      </w:r>
      <w:r w:rsidRPr="00EB53AD">
        <w:rPr>
          <w:rFonts w:ascii="Arial" w:hAnsi="Arial" w:cs="Arial"/>
        </w:rPr>
        <w:t xml:space="preserve"> </w:t>
      </w:r>
      <w:r w:rsidR="009D20BB">
        <w:rPr>
          <w:rFonts w:ascii="Arial" w:hAnsi="Arial" w:cs="Arial"/>
        </w:rPr>
        <w:t>sub-</w:t>
      </w:r>
      <w:r w:rsidRPr="00EB53AD">
        <w:rPr>
          <w:rFonts w:ascii="Arial" w:hAnsi="Arial" w:cs="Arial"/>
        </w:rPr>
        <w:t xml:space="preserve">banner). During the year we opened one small retail park store in the UK and three in Poland. The concept allows us to bring our core offer into smaller footprints and catchments, while offering a stronger showroom inspiration and more complete project journey than is possible within high street stores. Overall, these stores continue to see positive results, especially those within the 1,500-2,000 sqm subset. </w:t>
      </w:r>
    </w:p>
    <w:p w14:paraId="57CF3300" w14:textId="77777777" w:rsidR="00EC20AB" w:rsidRPr="00EB53AD" w:rsidRDefault="00EC20AB" w:rsidP="00EC20AB">
      <w:pPr>
        <w:jc w:val="left"/>
        <w:rPr>
          <w:rFonts w:ascii="Arial" w:hAnsi="Arial" w:cs="Arial"/>
        </w:rPr>
      </w:pPr>
    </w:p>
    <w:p w14:paraId="42E47751" w14:textId="77777777" w:rsidR="00EC20AB" w:rsidRPr="00EB53AD" w:rsidRDefault="00EC20AB" w:rsidP="00EC20AB">
      <w:pPr>
        <w:jc w:val="left"/>
        <w:rPr>
          <w:rFonts w:ascii="Arial" w:hAnsi="Arial" w:cs="Arial"/>
        </w:rPr>
      </w:pPr>
      <w:r w:rsidRPr="00EB53AD">
        <w:rPr>
          <w:rFonts w:ascii="Arial" w:hAnsi="Arial" w:cs="Arial"/>
        </w:rPr>
        <w:t>These stores, along with our high street formats, support the longer term roll-out strategies at B&amp;Q, Castorama France and Castorama Poland, which is to increase penetration in small towns and cities.</w:t>
      </w:r>
    </w:p>
    <w:p w14:paraId="51C242FB" w14:textId="77777777" w:rsidR="00EC20AB" w:rsidRPr="00EB53AD" w:rsidRDefault="00EC20AB" w:rsidP="00EC20AB">
      <w:pPr>
        <w:jc w:val="left"/>
        <w:rPr>
          <w:rFonts w:ascii="Arial" w:hAnsi="Arial" w:cs="Arial"/>
        </w:rPr>
      </w:pPr>
    </w:p>
    <w:p w14:paraId="249067E2" w14:textId="77777777" w:rsidR="00EC20AB" w:rsidRPr="00EB53AD" w:rsidRDefault="00EC20AB" w:rsidP="00EC20AB">
      <w:pPr>
        <w:jc w:val="left"/>
        <w:rPr>
          <w:rFonts w:ascii="Arial" w:hAnsi="Arial" w:cs="Arial"/>
        </w:rPr>
      </w:pPr>
      <w:r w:rsidRPr="00EB53AD">
        <w:rPr>
          <w:rFonts w:ascii="Arial" w:hAnsi="Arial" w:cs="Arial"/>
        </w:rPr>
        <w:t>We are also planning to launch the first test of a new Brico Dépôt France 1,000 sqm format in FY 23/24.</w:t>
      </w:r>
    </w:p>
    <w:p w14:paraId="52EE14A1" w14:textId="77777777" w:rsidR="00EC20AB" w:rsidRPr="00EB53AD" w:rsidRDefault="00EC20AB" w:rsidP="00EC20AB">
      <w:pPr>
        <w:jc w:val="left"/>
        <w:rPr>
          <w:rFonts w:ascii="Arial" w:hAnsi="Arial" w:cs="Arial"/>
        </w:rPr>
      </w:pPr>
    </w:p>
    <w:p w14:paraId="129A41ED" w14:textId="66A92F47" w:rsidR="00EC20AB" w:rsidRPr="00EB53AD" w:rsidRDefault="00EC20AB" w:rsidP="006A57A6">
      <w:pPr>
        <w:jc w:val="left"/>
        <w:rPr>
          <w:rFonts w:ascii="Arial" w:hAnsi="Arial" w:cs="Arial"/>
        </w:rPr>
      </w:pPr>
      <w:r w:rsidRPr="00EB53AD">
        <w:rPr>
          <w:rFonts w:ascii="Arial" w:hAnsi="Arial" w:cs="Arial"/>
        </w:rPr>
        <w:t>Screwfix continues to test its ultra-compact ‘XSR’ store format, which has been developed to take the core Screwfix range into spaces unable to cater for the full traditional trade counter offer. We now have 1</w:t>
      </w:r>
      <w:r w:rsidR="00BD688C">
        <w:rPr>
          <w:rFonts w:ascii="Arial" w:hAnsi="Arial" w:cs="Arial"/>
        </w:rPr>
        <w:t>1</w:t>
      </w:r>
      <w:r w:rsidRPr="00EB53AD">
        <w:rPr>
          <w:rFonts w:ascii="Arial" w:hAnsi="Arial" w:cs="Arial"/>
        </w:rPr>
        <w:t xml:space="preserve"> ‘XSR’ stores trading across various location types, including </w:t>
      </w:r>
      <w:r w:rsidR="00BD688C">
        <w:rPr>
          <w:rFonts w:ascii="Arial" w:hAnsi="Arial" w:cs="Arial"/>
        </w:rPr>
        <w:t xml:space="preserve">six </w:t>
      </w:r>
      <w:r w:rsidRPr="00EB53AD">
        <w:rPr>
          <w:rFonts w:ascii="Arial" w:hAnsi="Arial" w:cs="Arial"/>
        </w:rPr>
        <w:t xml:space="preserve">such stores opened during the year, and are seeing promising results especially in small market towns. We are entering our final testing phase for these formats, ahead of potential integration into Screwfix’s store network plans in the UK. </w:t>
      </w:r>
    </w:p>
    <w:p w14:paraId="42DFE7FB" w14:textId="2B1165D7" w:rsidR="006A57A6" w:rsidRDefault="006A57A6" w:rsidP="00CD09A1">
      <w:pPr>
        <w:jc w:val="left"/>
        <w:rPr>
          <w:rFonts w:ascii="Arial" w:hAnsi="Arial" w:cs="Arial"/>
          <w:bCs/>
        </w:rPr>
      </w:pPr>
      <w:r>
        <w:rPr>
          <w:rFonts w:ascii="Arial" w:hAnsi="Arial" w:cs="Arial"/>
          <w:bCs/>
        </w:rPr>
        <w:br w:type="page"/>
      </w:r>
    </w:p>
    <w:bookmarkEnd w:id="33"/>
    <w:p w14:paraId="22D35B95" w14:textId="77777777" w:rsidR="00EC20AB" w:rsidRPr="00EB53AD" w:rsidRDefault="00EC20AB" w:rsidP="006A57A6">
      <w:pPr>
        <w:pStyle w:val="ListParagraph"/>
        <w:numPr>
          <w:ilvl w:val="0"/>
          <w:numId w:val="23"/>
        </w:numPr>
        <w:contextualSpacing/>
        <w:jc w:val="left"/>
        <w:rPr>
          <w:rFonts w:ascii="Arial" w:hAnsi="Arial" w:cs="Arial"/>
          <w:b/>
        </w:rPr>
      </w:pPr>
      <w:r w:rsidRPr="00EB53AD">
        <w:rPr>
          <w:rFonts w:ascii="Arial" w:hAnsi="Arial" w:cs="Arial"/>
          <w:b/>
          <w:u w:val="single"/>
        </w:rPr>
        <w:lastRenderedPageBreak/>
        <w:t xml:space="preserve">Lead the industry in Responsible Business and energy efficiency </w:t>
      </w:r>
    </w:p>
    <w:p w14:paraId="216D1CFA" w14:textId="77777777" w:rsidR="00EC20AB" w:rsidRPr="00EB53AD" w:rsidRDefault="00EC20AB" w:rsidP="006A57A6">
      <w:pPr>
        <w:jc w:val="left"/>
        <w:rPr>
          <w:rFonts w:ascii="Arial" w:eastAsia="Times New Roman" w:hAnsi="Arial" w:cs="Arial"/>
          <w:i/>
          <w:iCs/>
        </w:rPr>
      </w:pPr>
      <w:r w:rsidRPr="00EB53AD">
        <w:rPr>
          <w:rFonts w:ascii="Arial" w:hAnsi="Arial" w:cs="Arial"/>
          <w:i/>
          <w:iCs/>
        </w:rPr>
        <w:t xml:space="preserve">We are committed to leading our industry in responsible business practices. </w:t>
      </w:r>
      <w:r w:rsidRPr="00EB53AD">
        <w:rPr>
          <w:rFonts w:ascii="Arial" w:eastAsia="Times New Roman" w:hAnsi="Arial" w:cs="Arial"/>
          <w:i/>
          <w:iCs/>
        </w:rPr>
        <w:t xml:space="preserve">Building on our strong Environmental, Social, and Governance (ESG) credentials, our ‘Powered by Kingfisher’ strategy sets out four priority areas for Responsible Business where we can </w:t>
      </w:r>
      <w:r w:rsidRPr="00EB53AD">
        <w:rPr>
          <w:rFonts w:ascii="Arial" w:hAnsi="Arial" w:cs="Arial"/>
          <w:i/>
          <w:iCs/>
        </w:rPr>
        <w:t>maximise our positive impact on the lives of our customers, colleagues, communities and the planet.</w:t>
      </w:r>
      <w:r w:rsidRPr="00EB53AD">
        <w:rPr>
          <w:rFonts w:ascii="Arial" w:eastAsia="Times New Roman" w:hAnsi="Arial" w:cs="Arial"/>
          <w:i/>
          <w:iCs/>
        </w:rPr>
        <w:t xml:space="preserve"> As the ‘green homes’ agenda accelerates, we see considerable potential for our Sustainable Home Products, in particular in the UK and France where the governments have made ‘net zero’ commitments. The ongoing energy crisis adds weight to the urgent need for governments to increase their support of greener homes and energy efficiency. </w:t>
      </w:r>
    </w:p>
    <w:p w14:paraId="71FD5EFC" w14:textId="77777777" w:rsidR="00EC20AB" w:rsidRPr="00EB53AD" w:rsidRDefault="00EC20AB" w:rsidP="00EC20AB">
      <w:pPr>
        <w:contextualSpacing/>
        <w:jc w:val="left"/>
        <w:rPr>
          <w:rFonts w:ascii="Arial" w:hAnsi="Arial" w:cs="Arial"/>
          <w:bCs/>
        </w:rPr>
      </w:pPr>
    </w:p>
    <w:p w14:paraId="2031E448" w14:textId="77777777" w:rsidR="00EC20AB" w:rsidRPr="00EB53AD" w:rsidRDefault="00EC20AB" w:rsidP="00EC20AB">
      <w:pPr>
        <w:autoSpaceDE w:val="0"/>
        <w:autoSpaceDN w:val="0"/>
        <w:jc w:val="left"/>
        <w:rPr>
          <w:rFonts w:ascii="Arial" w:eastAsiaTheme="minorEastAsia" w:hAnsi="Arial" w:cs="Arial"/>
        </w:rPr>
      </w:pPr>
      <w:r w:rsidRPr="00EB53AD">
        <w:rPr>
          <w:rFonts w:ascii="Arial" w:hAnsi="Arial" w:cs="Arial"/>
        </w:rPr>
        <w:t xml:space="preserve">Our priorities are underpinned by our commitment to our ‘Responsible Business Fundamentals’. </w:t>
      </w:r>
      <w:r w:rsidRPr="00EB53AD">
        <w:rPr>
          <w:rFonts w:ascii="Arial" w:hAnsi="Arial" w:cs="Arial"/>
          <w:lang w:val="en-US"/>
        </w:rPr>
        <w:t xml:space="preserve">These are </w:t>
      </w:r>
      <w:r w:rsidRPr="00EB53AD">
        <w:rPr>
          <w:rFonts w:ascii="Arial" w:hAnsi="Arial" w:cs="Arial"/>
        </w:rPr>
        <w:t xml:space="preserve">the many issues and impacts we need to measure and manage, to ensure we continue to operate responsibly across our business. We have clear policies in each of these areas, including health and safety, responsible sourcing, cyber security and data protection, and ethical conduct, to ensure we take a consistent best practice approach across our banners. </w:t>
      </w:r>
    </w:p>
    <w:p w14:paraId="350F6603" w14:textId="77777777" w:rsidR="00EC20AB" w:rsidRPr="005D6FF5" w:rsidRDefault="00EC20AB" w:rsidP="00EC20AB">
      <w:pPr>
        <w:jc w:val="left"/>
        <w:rPr>
          <w:rFonts w:ascii="Arial" w:hAnsi="Arial"/>
        </w:rPr>
      </w:pPr>
    </w:p>
    <w:p w14:paraId="2AC96259" w14:textId="77777777" w:rsidR="00EC20AB" w:rsidRPr="00EB53AD" w:rsidRDefault="00EC20AB" w:rsidP="00EC20AB">
      <w:pPr>
        <w:jc w:val="left"/>
        <w:rPr>
          <w:rFonts w:ascii="Arial" w:eastAsia="Times New Roman" w:hAnsi="Arial" w:cs="Arial"/>
        </w:rPr>
      </w:pPr>
      <w:r w:rsidRPr="00EB53AD">
        <w:rPr>
          <w:rFonts w:ascii="Arial" w:eastAsia="Times New Roman" w:hAnsi="Arial" w:cs="Arial"/>
        </w:rPr>
        <w:t>We continue to make strong progress against our four Responsible Business priorities:</w:t>
      </w:r>
    </w:p>
    <w:p w14:paraId="0ACEC155" w14:textId="77777777" w:rsidR="00EC20AB" w:rsidRPr="005D6FF5" w:rsidRDefault="00EC20AB" w:rsidP="00EC20AB">
      <w:pPr>
        <w:jc w:val="left"/>
        <w:rPr>
          <w:rFonts w:ascii="Arial" w:hAnsi="Arial"/>
        </w:rPr>
      </w:pPr>
    </w:p>
    <w:p w14:paraId="38DB9AEB" w14:textId="77777777" w:rsidR="00EC20AB" w:rsidRPr="00EB53AD" w:rsidRDefault="00EC20AB" w:rsidP="00EC20AB">
      <w:pPr>
        <w:jc w:val="left"/>
        <w:rPr>
          <w:rFonts w:ascii="Arial" w:hAnsi="Arial" w:cs="Arial"/>
          <w:b/>
          <w:bCs/>
          <w:u w:val="single"/>
        </w:rPr>
      </w:pPr>
      <w:r w:rsidRPr="005D6FF5">
        <w:rPr>
          <w:rFonts w:ascii="Arial" w:hAnsi="Arial"/>
          <w:b/>
          <w:u w:val="single"/>
        </w:rPr>
        <w:t>Colleagues: Becoming a more inclusive company</w:t>
      </w:r>
    </w:p>
    <w:p w14:paraId="5BD2F652" w14:textId="77777777"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Cs/>
        </w:rPr>
        <w:t xml:space="preserve">Our 82,000 colleagues are at the heart of our business, helping our customers to make their home improvement plans a reality. </w:t>
      </w:r>
    </w:p>
    <w:p w14:paraId="47409688" w14:textId="3D5462CF"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Cs/>
        </w:rPr>
        <w:t xml:space="preserve">To deliver the best possible service to our customers and ensure that each of our colleagues is engaged, </w:t>
      </w:r>
      <w:r w:rsidR="00D215CA">
        <w:rPr>
          <w:rFonts w:ascii="Arial" w:hAnsi="Arial" w:cs="Arial"/>
          <w:bCs/>
        </w:rPr>
        <w:t xml:space="preserve">fulfilled </w:t>
      </w:r>
      <w:r w:rsidRPr="00EB53AD">
        <w:rPr>
          <w:rFonts w:ascii="Arial" w:hAnsi="Arial" w:cs="Arial"/>
          <w:bCs/>
        </w:rPr>
        <w:t xml:space="preserve">and able to realise their full potential, we are building a culture based on trust, agility, inclusion and curiosity, which we track through </w:t>
      </w:r>
      <w:r w:rsidR="00BC6E13">
        <w:rPr>
          <w:rFonts w:ascii="Arial" w:hAnsi="Arial" w:cs="Arial"/>
          <w:bCs/>
        </w:rPr>
        <w:t xml:space="preserve">frequent </w:t>
      </w:r>
      <w:r w:rsidRPr="00EB53AD">
        <w:rPr>
          <w:rFonts w:ascii="Arial" w:hAnsi="Arial" w:cs="Arial"/>
          <w:bCs/>
        </w:rPr>
        <w:t>colleague engagement surveys</w:t>
      </w:r>
      <w:r w:rsidR="00386650">
        <w:rPr>
          <w:rFonts w:ascii="Arial" w:hAnsi="Arial" w:cs="Arial"/>
          <w:bCs/>
        </w:rPr>
        <w:t xml:space="preserve"> and listening forums</w:t>
      </w:r>
      <w:r w:rsidRPr="00EB53AD">
        <w:rPr>
          <w:rFonts w:ascii="Arial" w:hAnsi="Arial" w:cs="Arial"/>
          <w:bCs/>
        </w:rPr>
        <w:t xml:space="preserve">. Our colleague satisfaction scores are currently within the top 5% of </w:t>
      </w:r>
      <w:r w:rsidR="005A2B90">
        <w:rPr>
          <w:rFonts w:ascii="Arial" w:hAnsi="Arial" w:cs="Arial"/>
          <w:bCs/>
        </w:rPr>
        <w:t xml:space="preserve">worldwide </w:t>
      </w:r>
      <w:r w:rsidRPr="00EB53AD">
        <w:rPr>
          <w:rFonts w:ascii="Arial" w:hAnsi="Arial" w:cs="Arial"/>
          <w:bCs/>
        </w:rPr>
        <w:t xml:space="preserve">retailers. Please refer to </w:t>
      </w:r>
      <w:r w:rsidRPr="005D6FF5">
        <w:rPr>
          <w:rFonts w:ascii="Arial" w:hAnsi="Arial"/>
          <w:i/>
        </w:rPr>
        <w:t>‘Human, agile and lean’</w:t>
      </w:r>
      <w:r w:rsidRPr="00EB53AD">
        <w:rPr>
          <w:rFonts w:ascii="Arial" w:hAnsi="Arial" w:cs="Arial"/>
          <w:bCs/>
        </w:rPr>
        <w:t xml:space="preserve"> below for further details.</w:t>
      </w:r>
    </w:p>
    <w:p w14:paraId="13DBCB15" w14:textId="0FB8DA8A"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Cs/>
        </w:rPr>
        <w:t>With colleagues across Europe and Asia, we are proud of our cultural diversity which is a strength. We continue to focus on broader actions to promote stronger levels of inclusion and diversity across our entire organisation, thereby creating a more innovative and engaged workforce. We are continuously listening to our colleagues</w:t>
      </w:r>
      <w:r w:rsidR="002662AC">
        <w:rPr>
          <w:rFonts w:ascii="Arial" w:hAnsi="Arial" w:cs="Arial"/>
          <w:bCs/>
        </w:rPr>
        <w:t>, including</w:t>
      </w:r>
      <w:r w:rsidR="002662AC" w:rsidRPr="00EB53AD">
        <w:rPr>
          <w:rFonts w:ascii="Arial" w:hAnsi="Arial" w:cs="Arial"/>
          <w:bCs/>
        </w:rPr>
        <w:t xml:space="preserve"> from our 16 Affinity Networks</w:t>
      </w:r>
      <w:r w:rsidR="002662AC">
        <w:rPr>
          <w:rFonts w:ascii="Arial" w:hAnsi="Arial" w:cs="Arial"/>
          <w:bCs/>
        </w:rPr>
        <w:t>,</w:t>
      </w:r>
      <w:r w:rsidRPr="00EB53AD">
        <w:rPr>
          <w:rFonts w:ascii="Arial" w:hAnsi="Arial" w:cs="Arial"/>
          <w:bCs/>
        </w:rPr>
        <w:t xml:space="preserve"> and acting on the</w:t>
      </w:r>
      <w:r w:rsidR="00E46086">
        <w:rPr>
          <w:rFonts w:ascii="Arial" w:hAnsi="Arial" w:cs="Arial"/>
          <w:bCs/>
        </w:rPr>
        <w:t>ir</w:t>
      </w:r>
      <w:r w:rsidRPr="00EB53AD">
        <w:rPr>
          <w:rFonts w:ascii="Arial" w:hAnsi="Arial" w:cs="Arial"/>
          <w:bCs/>
        </w:rPr>
        <w:t xml:space="preserve"> ideas about how we can build a more inclusive culture.</w:t>
      </w:r>
    </w:p>
    <w:p w14:paraId="720A98C7" w14:textId="79ABE3AD"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Cs/>
        </w:rPr>
        <w:t xml:space="preserve">In FY 22/23 we reached </w:t>
      </w:r>
      <w:r w:rsidRPr="00EB53AD">
        <w:rPr>
          <w:rFonts w:ascii="Arial" w:hAnsi="Arial" w:cs="Arial"/>
          <w:bCs/>
          <w:color w:val="000000" w:themeColor="text1"/>
        </w:rPr>
        <w:t xml:space="preserve">25.8% women in our senior leadership team (FY 21/22: 25.2%) and 38.9% </w:t>
      </w:r>
      <w:r w:rsidRPr="00EB53AD">
        <w:rPr>
          <w:rFonts w:ascii="Arial" w:hAnsi="Arial" w:cs="Arial"/>
          <w:bCs/>
        </w:rPr>
        <w:t>in management roles (FY 21/22: 37.</w:t>
      </w:r>
      <w:r w:rsidR="00EA462A">
        <w:rPr>
          <w:rFonts w:ascii="Arial" w:hAnsi="Arial" w:cs="Arial"/>
          <w:bCs/>
        </w:rPr>
        <w:t>9</w:t>
      </w:r>
      <w:r w:rsidRPr="00EB53AD">
        <w:rPr>
          <w:rFonts w:ascii="Arial" w:hAnsi="Arial" w:cs="Arial"/>
          <w:bCs/>
        </w:rPr>
        <w:t xml:space="preserve">%). While we are making strong progress against our women in management target of 40% by FY 25/26, this year we will strengthen our actions to improve progress against our women in senior leadership target of 35% by FY 25/26. </w:t>
      </w:r>
    </w:p>
    <w:p w14:paraId="1B93F452" w14:textId="77777777" w:rsidR="00EC20AB" w:rsidRPr="00EB53AD" w:rsidRDefault="00EC20AB" w:rsidP="00EC20AB">
      <w:pPr>
        <w:pStyle w:val="ListParagraph"/>
        <w:numPr>
          <w:ilvl w:val="0"/>
          <w:numId w:val="25"/>
        </w:numPr>
        <w:ind w:left="357" w:hanging="357"/>
        <w:jc w:val="left"/>
        <w:rPr>
          <w:rFonts w:ascii="Arial" w:hAnsi="Arial" w:cs="Arial"/>
          <w:bCs/>
        </w:rPr>
      </w:pPr>
      <w:r w:rsidRPr="00EB53AD">
        <w:rPr>
          <w:rFonts w:ascii="Arial" w:hAnsi="Arial" w:cs="Arial"/>
          <w:bCs/>
        </w:rPr>
        <w:t xml:space="preserve">Throughout the year we actively monitored the rising cost of living across our markets, taking swift action to support colleagues in our stores and head offices. On colleague pay, for example, salary increases or one-off payments were awarded in the UK, France, Poland and Iberia, focused disproportionately on store colleagues. We also put additional measures in place to support colleagues facing potential financial hardship, such as our Colleague Support Fund in the UK (in partnership with the </w:t>
      </w:r>
      <w:r w:rsidRPr="005D6FF5">
        <w:rPr>
          <w:rFonts w:ascii="Arial" w:hAnsi="Arial"/>
          <w:i/>
        </w:rPr>
        <w:t>Retail Trust</w:t>
      </w:r>
      <w:r w:rsidRPr="00EB53AD">
        <w:rPr>
          <w:rFonts w:ascii="Arial" w:hAnsi="Arial" w:cs="Arial"/>
          <w:bCs/>
        </w:rPr>
        <w:t>), and extended colleague discounts on energy-saving products to help reduce household bills in the UK, Iberia and Romania.</w:t>
      </w:r>
    </w:p>
    <w:p w14:paraId="1610A22B" w14:textId="51A9CEA6" w:rsidR="00EC20AB" w:rsidRPr="00EB53AD" w:rsidRDefault="00EC20AB" w:rsidP="00EC20AB">
      <w:pPr>
        <w:pStyle w:val="ListParagraph"/>
        <w:numPr>
          <w:ilvl w:val="0"/>
          <w:numId w:val="25"/>
        </w:numPr>
        <w:ind w:left="357" w:hanging="357"/>
        <w:jc w:val="left"/>
        <w:rPr>
          <w:rFonts w:ascii="Arial" w:hAnsi="Arial" w:cs="Arial"/>
          <w:bCs/>
        </w:rPr>
      </w:pPr>
      <w:r w:rsidRPr="00EB53AD">
        <w:rPr>
          <w:rFonts w:ascii="Arial" w:hAnsi="Arial" w:cs="Arial"/>
          <w:bCs/>
        </w:rPr>
        <w:t xml:space="preserve">We are investing in inspiring opportunities for colleagues to learn and grow with us. During the year, colleagues completed more than 2.6 million hours of </w:t>
      </w:r>
      <w:r w:rsidR="002336F7">
        <w:rPr>
          <w:rFonts w:ascii="Arial" w:hAnsi="Arial" w:cs="Arial"/>
          <w:bCs/>
        </w:rPr>
        <w:t>‘</w:t>
      </w:r>
      <w:r w:rsidRPr="00EB53AD">
        <w:rPr>
          <w:rFonts w:ascii="Arial" w:hAnsi="Arial" w:cs="Arial"/>
          <w:bCs/>
        </w:rPr>
        <w:t xml:space="preserve">skills for life’ learning, bringing the total number of hours completed since FY 19/20 to 6.6 million learning hours – surpassing our skills for life target of 5 million learning hours more than two years ahead of schedule. A new target linked to apprenticeships and learning will be established in the coming months. </w:t>
      </w:r>
      <w:bookmarkStart w:id="34" w:name="_Hlk129699544"/>
      <w:r w:rsidRPr="00EB53AD">
        <w:rPr>
          <w:rFonts w:ascii="Arial" w:hAnsi="Arial" w:cs="Arial"/>
          <w:bCs/>
        </w:rPr>
        <w:t xml:space="preserve">Across the Group, we had </w:t>
      </w:r>
      <w:r w:rsidR="0097210B">
        <w:rPr>
          <w:rFonts w:ascii="Arial" w:hAnsi="Arial" w:cs="Arial"/>
          <w:bCs/>
        </w:rPr>
        <w:t xml:space="preserve">over </w:t>
      </w:r>
      <w:r w:rsidR="00410EDF">
        <w:rPr>
          <w:rFonts w:ascii="Arial" w:hAnsi="Arial"/>
        </w:rPr>
        <w:t>4,6</w:t>
      </w:r>
      <w:r w:rsidR="0097210B">
        <w:rPr>
          <w:rFonts w:ascii="Arial" w:hAnsi="Arial"/>
        </w:rPr>
        <w:t>00</w:t>
      </w:r>
      <w:r w:rsidR="00410EDF" w:rsidRPr="00EB53AD">
        <w:rPr>
          <w:rFonts w:ascii="Arial" w:hAnsi="Arial" w:cs="Arial"/>
          <w:bCs/>
        </w:rPr>
        <w:t xml:space="preserve"> </w:t>
      </w:r>
      <w:r w:rsidRPr="00EB53AD">
        <w:rPr>
          <w:rFonts w:ascii="Arial" w:hAnsi="Arial" w:cs="Arial"/>
          <w:bCs/>
        </w:rPr>
        <w:t>apprentices in FY 22/23.</w:t>
      </w:r>
      <w:bookmarkEnd w:id="34"/>
    </w:p>
    <w:p w14:paraId="1729FDD3" w14:textId="77777777" w:rsidR="00EC20AB" w:rsidRPr="00EB53AD" w:rsidRDefault="00EC20AB" w:rsidP="00EC20AB">
      <w:pPr>
        <w:pStyle w:val="ListParagraph"/>
        <w:numPr>
          <w:ilvl w:val="0"/>
          <w:numId w:val="25"/>
        </w:numPr>
        <w:ind w:left="357" w:hanging="357"/>
        <w:jc w:val="left"/>
        <w:rPr>
          <w:rFonts w:ascii="Arial" w:hAnsi="Arial" w:cs="Arial"/>
          <w:bCs/>
        </w:rPr>
      </w:pPr>
      <w:r w:rsidRPr="00EB53AD">
        <w:rPr>
          <w:rFonts w:ascii="Arial" w:hAnsi="Arial" w:cs="Arial"/>
          <w:bCs/>
        </w:rPr>
        <w:t>We also continue to invest in talent and capability to support our growth ambitions. During the year, we recruited deep functional expertise in key areas, including technology, data, e-commerce and marketplace, and OEB. In addition, new and highly skilled teams have been built to develop Screwfix in France.</w:t>
      </w:r>
    </w:p>
    <w:p w14:paraId="40FB55F4" w14:textId="12C823C0" w:rsidR="00EC20AB" w:rsidRPr="00EB53AD" w:rsidRDefault="00EC20AB" w:rsidP="00EC20AB">
      <w:pPr>
        <w:pStyle w:val="ListParagraph"/>
        <w:numPr>
          <w:ilvl w:val="0"/>
          <w:numId w:val="25"/>
        </w:numPr>
        <w:ind w:left="357" w:hanging="357"/>
        <w:jc w:val="left"/>
        <w:rPr>
          <w:rFonts w:ascii="Arial" w:hAnsi="Arial" w:cs="Arial"/>
          <w:bCs/>
        </w:rPr>
      </w:pPr>
      <w:r w:rsidRPr="00EB53AD">
        <w:rPr>
          <w:rFonts w:ascii="Arial" w:hAnsi="Arial" w:cs="Arial"/>
          <w:bCs/>
        </w:rPr>
        <w:t>Our attrition levels and the time it takes to hire new colleagues are either in line with, or</w:t>
      </w:r>
      <w:r w:rsidR="00EA4030">
        <w:rPr>
          <w:rFonts w:ascii="Arial" w:hAnsi="Arial" w:cs="Arial"/>
          <w:bCs/>
        </w:rPr>
        <w:t xml:space="preserve"> better than</w:t>
      </w:r>
      <w:r w:rsidRPr="00EB53AD">
        <w:rPr>
          <w:rFonts w:ascii="Arial" w:hAnsi="Arial" w:cs="Arial"/>
          <w:bCs/>
        </w:rPr>
        <w:t>, retail industry benchmark levels.</w:t>
      </w:r>
    </w:p>
    <w:p w14:paraId="051D445E" w14:textId="77777777" w:rsidR="00EC20AB" w:rsidRPr="00EB53AD" w:rsidRDefault="00EC20AB" w:rsidP="00EC20AB">
      <w:pPr>
        <w:jc w:val="left"/>
        <w:rPr>
          <w:rFonts w:ascii="Arial" w:hAnsi="Arial" w:cs="Arial"/>
          <w:u w:val="single"/>
        </w:rPr>
      </w:pPr>
    </w:p>
    <w:p w14:paraId="4ED46BA4" w14:textId="77777777" w:rsidR="00EC20AB" w:rsidRPr="005D6FF5" w:rsidRDefault="00EC20AB" w:rsidP="00EC20AB">
      <w:pPr>
        <w:jc w:val="left"/>
        <w:rPr>
          <w:rFonts w:ascii="Arial" w:hAnsi="Arial"/>
          <w:b/>
          <w:u w:val="single"/>
        </w:rPr>
      </w:pPr>
      <w:r w:rsidRPr="005D6FF5">
        <w:rPr>
          <w:rFonts w:ascii="Arial" w:hAnsi="Arial"/>
          <w:b/>
          <w:u w:val="single"/>
        </w:rPr>
        <w:t>Planet: Becoming Forest Positive and helping to tackle climate change</w:t>
      </w:r>
    </w:p>
    <w:p w14:paraId="463253D6" w14:textId="041B0A42"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Cs/>
        </w:rPr>
        <w:t xml:space="preserve">In July 2022, we announced a new target to reach net-zero for our operations (scope 1 and 2) by the end of 2040. </w:t>
      </w:r>
      <w:r w:rsidR="00F946BC">
        <w:rPr>
          <w:rFonts w:ascii="Arial" w:hAnsi="Arial" w:cs="Arial"/>
          <w:bCs/>
        </w:rPr>
        <w:t>Achieving t</w:t>
      </w:r>
      <w:r w:rsidRPr="00EB53AD">
        <w:rPr>
          <w:rFonts w:ascii="Arial" w:hAnsi="Arial" w:cs="Arial"/>
          <w:bCs/>
        </w:rPr>
        <w:t xml:space="preserve">his means we </w:t>
      </w:r>
      <w:r w:rsidR="005E3543">
        <w:rPr>
          <w:rFonts w:ascii="Arial" w:hAnsi="Arial" w:cs="Arial"/>
          <w:bCs/>
        </w:rPr>
        <w:t>would</w:t>
      </w:r>
      <w:r w:rsidR="00A93DF3">
        <w:rPr>
          <w:rFonts w:ascii="Arial" w:hAnsi="Arial" w:cs="Arial"/>
          <w:bCs/>
        </w:rPr>
        <w:t xml:space="preserve"> </w:t>
      </w:r>
      <w:r w:rsidRPr="00EB53AD">
        <w:rPr>
          <w:rFonts w:ascii="Arial" w:hAnsi="Arial" w:cs="Arial"/>
          <w:bCs/>
        </w:rPr>
        <w:t xml:space="preserve">reduce absolute emissions by at least 90% against </w:t>
      </w:r>
      <w:r w:rsidR="00AA7AEB">
        <w:rPr>
          <w:rFonts w:ascii="Arial" w:hAnsi="Arial" w:cs="Arial"/>
          <w:bCs/>
        </w:rPr>
        <w:t>a</w:t>
      </w:r>
      <w:r w:rsidR="00AA7AEB" w:rsidRPr="00EB53AD">
        <w:rPr>
          <w:rFonts w:ascii="Arial" w:hAnsi="Arial" w:cs="Arial"/>
          <w:bCs/>
        </w:rPr>
        <w:t xml:space="preserve"> </w:t>
      </w:r>
      <w:r w:rsidRPr="00EB53AD">
        <w:rPr>
          <w:rFonts w:ascii="Arial" w:hAnsi="Arial" w:cs="Arial"/>
          <w:bCs/>
        </w:rPr>
        <w:t xml:space="preserve">FY </w:t>
      </w:r>
      <w:r w:rsidRPr="00EB53AD">
        <w:rPr>
          <w:rFonts w:ascii="Arial" w:hAnsi="Arial" w:cs="Arial"/>
          <w:bCs/>
        </w:rPr>
        <w:lastRenderedPageBreak/>
        <w:t>16/17 base</w:t>
      </w:r>
      <w:r w:rsidR="00AA7AEB">
        <w:rPr>
          <w:rFonts w:ascii="Arial" w:hAnsi="Arial" w:cs="Arial"/>
          <w:bCs/>
        </w:rPr>
        <w:t xml:space="preserve"> year</w:t>
      </w:r>
      <w:r w:rsidRPr="00EB53AD">
        <w:rPr>
          <w:rFonts w:ascii="Arial" w:hAnsi="Arial" w:cs="Arial"/>
          <w:bCs/>
        </w:rPr>
        <w:t xml:space="preserve">, and neutralise our residual emissions, in line with the requirements of the Science Based Targets initiative (SBTi) </w:t>
      </w:r>
      <w:r w:rsidRPr="00EB53AD">
        <w:rPr>
          <w:rFonts w:ascii="Arial" w:hAnsi="Arial" w:cs="Arial"/>
          <w:bCs/>
          <w:i/>
          <w:iCs/>
        </w:rPr>
        <w:t>Corporate Net-Zero Standard</w:t>
      </w:r>
      <w:r w:rsidRPr="00EB53AD">
        <w:rPr>
          <w:rFonts w:ascii="Arial" w:hAnsi="Arial" w:cs="Arial"/>
          <w:bCs/>
        </w:rPr>
        <w:t xml:space="preserve">. </w:t>
      </w:r>
    </w:p>
    <w:p w14:paraId="13C709BE" w14:textId="5F1ED36C"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Cs/>
        </w:rPr>
        <w:t xml:space="preserve">Achieving our near-term 1.5°C aligned science-based scope 1 and 2 carbon reduction target (approved by the SBTi in 2021) is our first step towards achieving net-zero carbon by FY 40/41. </w:t>
      </w:r>
      <w:r w:rsidR="00A246F8">
        <w:rPr>
          <w:rFonts w:ascii="Arial" w:hAnsi="Arial" w:cs="Arial"/>
          <w:bCs/>
        </w:rPr>
        <w:t>The target</w:t>
      </w:r>
      <w:r w:rsidR="0054050D">
        <w:rPr>
          <w:rFonts w:ascii="Arial" w:hAnsi="Arial" w:cs="Arial"/>
          <w:bCs/>
        </w:rPr>
        <w:t xml:space="preserve"> is </w:t>
      </w:r>
      <w:r w:rsidR="00374916">
        <w:rPr>
          <w:rFonts w:ascii="Arial" w:hAnsi="Arial" w:cs="Arial"/>
          <w:bCs/>
        </w:rPr>
        <w:t xml:space="preserve">to reduce </w:t>
      </w:r>
      <w:r w:rsidR="008F0487">
        <w:rPr>
          <w:rFonts w:ascii="Arial" w:hAnsi="Arial" w:cs="Arial"/>
          <w:bCs/>
        </w:rPr>
        <w:t xml:space="preserve">emissions by </w:t>
      </w:r>
      <w:r w:rsidR="00374916">
        <w:rPr>
          <w:rFonts w:ascii="Arial" w:hAnsi="Arial" w:cs="Arial"/>
          <w:bCs/>
        </w:rPr>
        <w:t xml:space="preserve">37.8% by </w:t>
      </w:r>
      <w:r w:rsidR="008F0487">
        <w:rPr>
          <w:rFonts w:ascii="Arial" w:hAnsi="Arial" w:cs="Arial"/>
          <w:bCs/>
        </w:rPr>
        <w:t>FY 25/26</w:t>
      </w:r>
      <w:r w:rsidR="00900380">
        <w:rPr>
          <w:rFonts w:ascii="Arial" w:hAnsi="Arial" w:cs="Arial"/>
          <w:bCs/>
        </w:rPr>
        <w:t>.</w:t>
      </w:r>
    </w:p>
    <w:p w14:paraId="479055C4" w14:textId="23F9D30B" w:rsidR="00EC20AB" w:rsidRDefault="00EC20AB" w:rsidP="00EC20AB">
      <w:pPr>
        <w:pStyle w:val="ListParagraph"/>
        <w:numPr>
          <w:ilvl w:val="0"/>
          <w:numId w:val="25"/>
        </w:numPr>
        <w:ind w:left="360"/>
        <w:jc w:val="left"/>
        <w:rPr>
          <w:rFonts w:ascii="Arial" w:hAnsi="Arial" w:cs="Arial"/>
          <w:bCs/>
        </w:rPr>
      </w:pPr>
      <w:r w:rsidRPr="00EB53AD">
        <w:rPr>
          <w:rFonts w:ascii="Arial" w:hAnsi="Arial" w:cs="Arial"/>
          <w:bCs/>
        </w:rPr>
        <w:t xml:space="preserve">In FY </w:t>
      </w:r>
      <w:r w:rsidRPr="00FA4A31">
        <w:rPr>
          <w:rFonts w:ascii="Arial" w:hAnsi="Arial" w:cs="Arial"/>
          <w:bCs/>
        </w:rPr>
        <w:t xml:space="preserve">22/23 we </w:t>
      </w:r>
      <w:r w:rsidR="00212A82">
        <w:rPr>
          <w:rFonts w:ascii="Arial" w:hAnsi="Arial" w:cs="Arial"/>
          <w:bCs/>
        </w:rPr>
        <w:t xml:space="preserve">exceeded this target, </w:t>
      </w:r>
      <w:r w:rsidRPr="00FA4A31">
        <w:rPr>
          <w:rFonts w:ascii="Arial" w:hAnsi="Arial" w:cs="Arial"/>
          <w:bCs/>
        </w:rPr>
        <w:t>reduc</w:t>
      </w:r>
      <w:r w:rsidR="00212A82">
        <w:rPr>
          <w:rFonts w:ascii="Arial" w:hAnsi="Arial" w:cs="Arial"/>
          <w:bCs/>
        </w:rPr>
        <w:t>ing</w:t>
      </w:r>
      <w:r w:rsidRPr="00FA4A31">
        <w:rPr>
          <w:rFonts w:ascii="Arial" w:hAnsi="Arial" w:cs="Arial"/>
          <w:bCs/>
        </w:rPr>
        <w:t xml:space="preserve"> our carbon footprint for our own operations (scope 1 and 2 emissions) by </w:t>
      </w:r>
      <w:r w:rsidR="00900380" w:rsidRPr="00DD54EF">
        <w:rPr>
          <w:rFonts w:ascii="Arial" w:hAnsi="Arial" w:cs="Arial"/>
        </w:rPr>
        <w:t>5</w:t>
      </w:r>
      <w:r w:rsidR="0083238F">
        <w:rPr>
          <w:rFonts w:ascii="Arial" w:hAnsi="Arial" w:cs="Arial"/>
        </w:rPr>
        <w:t>2</w:t>
      </w:r>
      <w:r w:rsidRPr="00DD54EF">
        <w:rPr>
          <w:rFonts w:ascii="Arial" w:hAnsi="Arial" w:cs="Arial"/>
        </w:rPr>
        <w:t>.</w:t>
      </w:r>
      <w:r w:rsidR="00757C94">
        <w:rPr>
          <w:rFonts w:ascii="Arial" w:hAnsi="Arial" w:cs="Arial"/>
        </w:rPr>
        <w:t>7</w:t>
      </w:r>
      <w:r w:rsidRPr="00FA4A31">
        <w:rPr>
          <w:rFonts w:ascii="Arial" w:hAnsi="Arial" w:cs="Arial"/>
          <w:bCs/>
        </w:rPr>
        <w:t>%</w:t>
      </w:r>
      <w:r w:rsidR="005A79BA">
        <w:rPr>
          <w:rFonts w:ascii="Arial" w:hAnsi="Arial" w:cs="Arial"/>
          <w:bCs/>
        </w:rPr>
        <w:t xml:space="preserve">(FY 21/22: 24.5%; </w:t>
      </w:r>
      <w:r w:rsidR="005A79BA" w:rsidRPr="00EB53AD">
        <w:rPr>
          <w:rFonts w:ascii="Arial" w:hAnsi="Arial" w:cs="Arial"/>
          <w:bCs/>
        </w:rPr>
        <w:t>FY 19/20: 1</w:t>
      </w:r>
      <w:r w:rsidR="00AE1540">
        <w:rPr>
          <w:rFonts w:ascii="Arial" w:hAnsi="Arial" w:cs="Arial"/>
          <w:bCs/>
        </w:rPr>
        <w:t>9</w:t>
      </w:r>
      <w:r w:rsidR="005A79BA" w:rsidRPr="00EB53AD">
        <w:rPr>
          <w:rFonts w:ascii="Arial" w:hAnsi="Arial" w:cs="Arial"/>
          <w:bCs/>
        </w:rPr>
        <w:t>.</w:t>
      </w:r>
      <w:r w:rsidR="00AE1540">
        <w:rPr>
          <w:rFonts w:ascii="Arial" w:hAnsi="Arial" w:cs="Arial"/>
          <w:bCs/>
        </w:rPr>
        <w:t>6</w:t>
      </w:r>
      <w:r w:rsidR="005A79BA" w:rsidRPr="00EB53AD">
        <w:rPr>
          <w:rFonts w:ascii="Arial" w:hAnsi="Arial" w:cs="Arial"/>
          <w:bCs/>
        </w:rPr>
        <w:t>%)</w:t>
      </w:r>
      <w:r w:rsidRPr="00FA4A31">
        <w:rPr>
          <w:rFonts w:ascii="Arial" w:hAnsi="Arial" w:cs="Arial"/>
          <w:bCs/>
        </w:rPr>
        <w:t>,</w:t>
      </w:r>
      <w:r w:rsidRPr="00EB53AD">
        <w:rPr>
          <w:rFonts w:ascii="Arial" w:hAnsi="Arial" w:cs="Arial"/>
          <w:bCs/>
        </w:rPr>
        <w:t xml:space="preserve"> against a FY 16/17 base year.</w:t>
      </w:r>
    </w:p>
    <w:p w14:paraId="1203A41A" w14:textId="4B246A9C" w:rsidR="003F73BD" w:rsidRPr="00EB53AD" w:rsidRDefault="005A79BA" w:rsidP="00EC20AB">
      <w:pPr>
        <w:pStyle w:val="ListParagraph"/>
        <w:numPr>
          <w:ilvl w:val="0"/>
          <w:numId w:val="25"/>
        </w:numPr>
        <w:ind w:left="360"/>
        <w:jc w:val="left"/>
        <w:rPr>
          <w:rFonts w:ascii="Arial" w:hAnsi="Arial" w:cs="Arial"/>
          <w:bCs/>
        </w:rPr>
      </w:pPr>
      <w:r>
        <w:rPr>
          <w:rFonts w:ascii="Arial" w:hAnsi="Arial" w:cs="Arial"/>
          <w:bCs/>
        </w:rPr>
        <w:t>During the year we accelerated our actions to achieve sustain</w:t>
      </w:r>
      <w:r w:rsidR="005A4D81">
        <w:rPr>
          <w:rFonts w:ascii="Arial" w:hAnsi="Arial" w:cs="Arial"/>
          <w:bCs/>
        </w:rPr>
        <w:t>ed</w:t>
      </w:r>
      <w:r>
        <w:rPr>
          <w:rFonts w:ascii="Arial" w:hAnsi="Arial" w:cs="Arial"/>
          <w:bCs/>
        </w:rPr>
        <w:t xml:space="preserve"> emissions reductions, </w:t>
      </w:r>
      <w:r w:rsidR="007A007C">
        <w:rPr>
          <w:rFonts w:ascii="Arial" w:hAnsi="Arial" w:cs="Arial"/>
          <w:bCs/>
        </w:rPr>
        <w:t xml:space="preserve">which has driven the majority of </w:t>
      </w:r>
      <w:r w:rsidR="009563EA">
        <w:rPr>
          <w:rFonts w:ascii="Arial" w:hAnsi="Arial" w:cs="Arial"/>
          <w:bCs/>
        </w:rPr>
        <w:t xml:space="preserve">our </w:t>
      </w:r>
      <w:r w:rsidR="004D3376">
        <w:rPr>
          <w:rFonts w:ascii="Arial" w:hAnsi="Arial" w:cs="Arial"/>
          <w:bCs/>
        </w:rPr>
        <w:t xml:space="preserve">rapid </w:t>
      </w:r>
      <w:r w:rsidR="00D25BD6">
        <w:rPr>
          <w:rFonts w:ascii="Arial" w:hAnsi="Arial" w:cs="Arial"/>
          <w:bCs/>
        </w:rPr>
        <w:t xml:space="preserve">progress. </w:t>
      </w:r>
      <w:r w:rsidR="007A5E9C">
        <w:rPr>
          <w:rFonts w:ascii="Arial" w:hAnsi="Arial" w:cs="Arial"/>
          <w:bCs/>
        </w:rPr>
        <w:t xml:space="preserve">We </w:t>
      </w:r>
      <w:r>
        <w:rPr>
          <w:rFonts w:ascii="Arial" w:hAnsi="Arial" w:cs="Arial"/>
          <w:bCs/>
        </w:rPr>
        <w:t>also implement</w:t>
      </w:r>
      <w:r w:rsidR="007A5E9C">
        <w:rPr>
          <w:rFonts w:ascii="Arial" w:hAnsi="Arial" w:cs="Arial"/>
          <w:bCs/>
        </w:rPr>
        <w:t>ed</w:t>
      </w:r>
      <w:r>
        <w:rPr>
          <w:rFonts w:ascii="Arial" w:hAnsi="Arial" w:cs="Arial"/>
          <w:bCs/>
        </w:rPr>
        <w:t xml:space="preserve"> </w:t>
      </w:r>
      <w:r w:rsidR="00517E03">
        <w:rPr>
          <w:rFonts w:ascii="Arial" w:hAnsi="Arial" w:cs="Arial"/>
          <w:bCs/>
        </w:rPr>
        <w:t xml:space="preserve">shorter-term </w:t>
      </w:r>
      <w:r>
        <w:rPr>
          <w:rFonts w:ascii="Arial" w:hAnsi="Arial" w:cs="Arial"/>
          <w:bCs/>
        </w:rPr>
        <w:t xml:space="preserve">tactical measures to reduce gas </w:t>
      </w:r>
      <w:r w:rsidR="000A054A">
        <w:rPr>
          <w:rFonts w:ascii="Arial" w:hAnsi="Arial" w:cs="Arial"/>
          <w:bCs/>
        </w:rPr>
        <w:t>and electricity</w:t>
      </w:r>
      <w:r w:rsidR="0080522C">
        <w:rPr>
          <w:rFonts w:ascii="Arial" w:hAnsi="Arial" w:cs="Arial"/>
          <w:bCs/>
        </w:rPr>
        <w:t xml:space="preserve"> </w:t>
      </w:r>
      <w:r>
        <w:rPr>
          <w:rFonts w:ascii="Arial" w:hAnsi="Arial" w:cs="Arial"/>
          <w:bCs/>
        </w:rPr>
        <w:t xml:space="preserve">consumption in light of the global energy crisis. </w:t>
      </w:r>
      <w:r w:rsidR="001616AE">
        <w:rPr>
          <w:rFonts w:ascii="Arial" w:hAnsi="Arial" w:cs="Arial"/>
          <w:bCs/>
        </w:rPr>
        <w:t>While the</w:t>
      </w:r>
      <w:r w:rsidR="00B43629">
        <w:rPr>
          <w:rFonts w:ascii="Arial" w:hAnsi="Arial" w:cs="Arial"/>
          <w:bCs/>
        </w:rPr>
        <w:t>se</w:t>
      </w:r>
      <w:r w:rsidR="0060628B">
        <w:rPr>
          <w:rFonts w:ascii="Arial" w:hAnsi="Arial" w:cs="Arial"/>
          <w:bCs/>
        </w:rPr>
        <w:t xml:space="preserve"> tactical measures will likely reverse, </w:t>
      </w:r>
      <w:r w:rsidR="00645EDD">
        <w:rPr>
          <w:rFonts w:ascii="Arial" w:hAnsi="Arial" w:cs="Arial"/>
          <w:bCs/>
        </w:rPr>
        <w:t>to a</w:t>
      </w:r>
      <w:r w:rsidR="00CB5F54">
        <w:rPr>
          <w:rFonts w:ascii="Arial" w:hAnsi="Arial" w:cs="Arial"/>
          <w:bCs/>
        </w:rPr>
        <w:t>n</w:t>
      </w:r>
      <w:r w:rsidR="00645EDD">
        <w:rPr>
          <w:rFonts w:ascii="Arial" w:hAnsi="Arial" w:cs="Arial"/>
          <w:bCs/>
        </w:rPr>
        <w:t xml:space="preserve"> </w:t>
      </w:r>
      <w:r w:rsidR="0060628B">
        <w:rPr>
          <w:rFonts w:ascii="Arial" w:hAnsi="Arial" w:cs="Arial"/>
          <w:bCs/>
        </w:rPr>
        <w:t xml:space="preserve">extent, in the </w:t>
      </w:r>
      <w:r w:rsidR="00F32AD8">
        <w:rPr>
          <w:rFonts w:ascii="Arial" w:hAnsi="Arial" w:cs="Arial"/>
          <w:bCs/>
        </w:rPr>
        <w:t>near</w:t>
      </w:r>
      <w:r w:rsidR="00127D8B">
        <w:rPr>
          <w:rFonts w:ascii="Arial" w:hAnsi="Arial" w:cs="Arial"/>
          <w:bCs/>
        </w:rPr>
        <w:t>-</w:t>
      </w:r>
      <w:r w:rsidR="00F32AD8">
        <w:rPr>
          <w:rFonts w:ascii="Arial" w:hAnsi="Arial" w:cs="Arial"/>
          <w:bCs/>
        </w:rPr>
        <w:t>term</w:t>
      </w:r>
      <w:r w:rsidR="00127D8B">
        <w:rPr>
          <w:rFonts w:ascii="Arial" w:hAnsi="Arial" w:cs="Arial"/>
          <w:bCs/>
        </w:rPr>
        <w:t xml:space="preserve">, the </w:t>
      </w:r>
      <w:r w:rsidR="00B66A20">
        <w:rPr>
          <w:rFonts w:ascii="Arial" w:hAnsi="Arial" w:cs="Arial"/>
          <w:bCs/>
        </w:rPr>
        <w:t>more strategic</w:t>
      </w:r>
      <w:r w:rsidR="00B43629">
        <w:rPr>
          <w:rFonts w:ascii="Arial" w:hAnsi="Arial" w:cs="Arial"/>
          <w:bCs/>
        </w:rPr>
        <w:t xml:space="preserve"> measures put in place</w:t>
      </w:r>
      <w:r w:rsidR="004D3376">
        <w:rPr>
          <w:rFonts w:ascii="Arial" w:hAnsi="Arial" w:cs="Arial"/>
          <w:bCs/>
        </w:rPr>
        <w:t xml:space="preserve"> </w:t>
      </w:r>
      <w:r w:rsidR="009F7A6F">
        <w:rPr>
          <w:rFonts w:ascii="Arial" w:hAnsi="Arial" w:cs="Arial"/>
          <w:bCs/>
        </w:rPr>
        <w:t xml:space="preserve">mean we are </w:t>
      </w:r>
      <w:r w:rsidR="00B57C2E">
        <w:rPr>
          <w:rFonts w:ascii="Arial" w:hAnsi="Arial" w:cs="Arial"/>
          <w:bCs/>
        </w:rPr>
        <w:t xml:space="preserve">confident of maintaining </w:t>
      </w:r>
      <w:r w:rsidR="00127221">
        <w:rPr>
          <w:rFonts w:ascii="Arial" w:hAnsi="Arial" w:cs="Arial"/>
          <w:bCs/>
        </w:rPr>
        <w:t>outperformance against our science-based targets out to FY 25/26.</w:t>
      </w:r>
    </w:p>
    <w:p w14:paraId="624B6FB7" w14:textId="07F00032" w:rsidR="00E510DE" w:rsidRPr="00757C94" w:rsidRDefault="00973217" w:rsidP="00E510DE">
      <w:pPr>
        <w:pStyle w:val="ListParagraph"/>
        <w:numPr>
          <w:ilvl w:val="0"/>
          <w:numId w:val="25"/>
        </w:numPr>
        <w:ind w:left="360"/>
        <w:jc w:val="left"/>
        <w:rPr>
          <w:rFonts w:ascii="Arial" w:hAnsi="Arial" w:cs="Arial"/>
          <w:bCs/>
        </w:rPr>
      </w:pPr>
      <w:r>
        <w:rPr>
          <w:rFonts w:ascii="Arial" w:hAnsi="Arial" w:cs="Arial"/>
          <w:bCs/>
        </w:rPr>
        <w:t>Our a</w:t>
      </w:r>
      <w:r w:rsidR="00EC20AB" w:rsidRPr="00EB53AD">
        <w:rPr>
          <w:rFonts w:ascii="Arial" w:hAnsi="Arial" w:cs="Arial"/>
          <w:bCs/>
        </w:rPr>
        <w:t xml:space="preserve">ctions in FY 22/23 to deliver </w:t>
      </w:r>
      <w:r w:rsidR="00D264FF">
        <w:rPr>
          <w:rFonts w:ascii="Arial" w:hAnsi="Arial" w:cs="Arial"/>
          <w:bCs/>
        </w:rPr>
        <w:t>sustain</w:t>
      </w:r>
      <w:r w:rsidR="00DE7399">
        <w:rPr>
          <w:rFonts w:ascii="Arial" w:hAnsi="Arial" w:cs="Arial"/>
          <w:bCs/>
        </w:rPr>
        <w:t>ed</w:t>
      </w:r>
      <w:r w:rsidR="00D264FF">
        <w:rPr>
          <w:rFonts w:ascii="Arial" w:hAnsi="Arial" w:cs="Arial"/>
          <w:bCs/>
        </w:rPr>
        <w:t xml:space="preserve"> </w:t>
      </w:r>
      <w:r w:rsidR="00EC20AB" w:rsidRPr="00EB53AD">
        <w:rPr>
          <w:rFonts w:ascii="Arial" w:hAnsi="Arial" w:cs="Arial"/>
          <w:bCs/>
        </w:rPr>
        <w:t xml:space="preserve">emissions reductions included the </w:t>
      </w:r>
      <w:r w:rsidR="001576F6">
        <w:rPr>
          <w:rFonts w:ascii="Arial" w:hAnsi="Arial" w:cs="Arial"/>
          <w:bCs/>
        </w:rPr>
        <w:t xml:space="preserve">extension </w:t>
      </w:r>
      <w:r w:rsidR="00E510DE">
        <w:rPr>
          <w:rFonts w:ascii="Arial" w:hAnsi="Arial" w:cs="Arial"/>
          <w:bCs/>
        </w:rPr>
        <w:t xml:space="preserve">of our programme to purchase </w:t>
      </w:r>
      <w:r w:rsidR="00E510DE" w:rsidRPr="00EB53AD">
        <w:rPr>
          <w:rFonts w:ascii="Arial" w:hAnsi="Arial" w:cs="Arial"/>
          <w:bCs/>
        </w:rPr>
        <w:t xml:space="preserve">electricity from zero </w:t>
      </w:r>
      <w:r w:rsidR="00E510DE" w:rsidRPr="00757C94">
        <w:rPr>
          <w:rFonts w:ascii="Arial" w:hAnsi="Arial" w:cs="Arial"/>
          <w:bCs/>
        </w:rPr>
        <w:t xml:space="preserve">carbon sources, supported by </w:t>
      </w:r>
      <w:r w:rsidR="00EA462A" w:rsidRPr="004E283B">
        <w:rPr>
          <w:rFonts w:ascii="Arial" w:hAnsi="Arial" w:cs="Arial"/>
          <w:bCs/>
        </w:rPr>
        <w:t>Renewable Energy Certificates in all our markets.</w:t>
      </w:r>
    </w:p>
    <w:p w14:paraId="07370896" w14:textId="3EA070A9" w:rsidR="00EC20AB" w:rsidRPr="0044036D" w:rsidRDefault="00C50D23" w:rsidP="00EC20AB">
      <w:pPr>
        <w:pStyle w:val="ListParagraph"/>
        <w:numPr>
          <w:ilvl w:val="0"/>
          <w:numId w:val="25"/>
        </w:numPr>
        <w:ind w:left="360"/>
        <w:jc w:val="left"/>
        <w:rPr>
          <w:rFonts w:ascii="Arial" w:hAnsi="Arial" w:cs="Arial"/>
          <w:bCs/>
        </w:rPr>
      </w:pPr>
      <w:r w:rsidRPr="00757C94">
        <w:rPr>
          <w:rFonts w:ascii="Arial" w:hAnsi="Arial" w:cs="Arial"/>
          <w:bCs/>
        </w:rPr>
        <w:t xml:space="preserve">Further actions included the </w:t>
      </w:r>
      <w:r w:rsidR="00EC20AB" w:rsidRPr="00757C94">
        <w:rPr>
          <w:rFonts w:ascii="Arial" w:hAnsi="Arial" w:cs="Arial"/>
          <w:bCs/>
        </w:rPr>
        <w:t xml:space="preserve">continued roll-out of </w:t>
      </w:r>
      <w:r w:rsidR="00EC20AB" w:rsidRPr="00EB53AD">
        <w:rPr>
          <w:rFonts w:ascii="Arial" w:hAnsi="Arial" w:cs="Arial"/>
          <w:bCs/>
        </w:rPr>
        <w:t xml:space="preserve">LED lighting in stores, installing or retrofitting air source heat pumps across our Screwfix stores in the UK, and the trialling and deployment of </w:t>
      </w:r>
      <w:r w:rsidR="00EC20AB" w:rsidRPr="0044036D">
        <w:rPr>
          <w:rFonts w:ascii="Arial" w:hAnsi="Arial" w:cs="Arial"/>
          <w:bCs/>
        </w:rPr>
        <w:t xml:space="preserve">fuels </w:t>
      </w:r>
      <w:r w:rsidR="00C72F5B">
        <w:rPr>
          <w:rFonts w:ascii="Arial" w:hAnsi="Arial" w:cs="Arial"/>
          <w:bCs/>
        </w:rPr>
        <w:t>with a lower environmental impact</w:t>
      </w:r>
      <w:r w:rsidR="00C72F5B" w:rsidRPr="0044036D">
        <w:rPr>
          <w:rFonts w:ascii="Arial" w:hAnsi="Arial" w:cs="Arial"/>
          <w:bCs/>
        </w:rPr>
        <w:t xml:space="preserve"> </w:t>
      </w:r>
      <w:r w:rsidR="00EC20AB" w:rsidRPr="0044036D">
        <w:rPr>
          <w:rFonts w:ascii="Arial" w:hAnsi="Arial" w:cs="Arial"/>
          <w:bCs/>
        </w:rPr>
        <w:t xml:space="preserve">and electric vehicles across our delivery fleets. As of 31 January 2023, </w:t>
      </w:r>
      <w:r w:rsidR="00EC20AB" w:rsidRPr="00525442">
        <w:rPr>
          <w:rFonts w:ascii="Arial" w:hAnsi="Arial" w:cs="Arial"/>
        </w:rPr>
        <w:t>over 500</w:t>
      </w:r>
      <w:r w:rsidR="00EC20AB" w:rsidRPr="0044036D">
        <w:rPr>
          <w:rFonts w:ascii="Arial" w:hAnsi="Arial" w:cs="Arial"/>
          <w:bCs/>
        </w:rPr>
        <w:t xml:space="preserve"> of Screwfix’s </w:t>
      </w:r>
      <w:r w:rsidR="00EC20AB" w:rsidRPr="00525442">
        <w:rPr>
          <w:rFonts w:ascii="Arial" w:hAnsi="Arial" w:cs="Arial"/>
        </w:rPr>
        <w:t>872 stores</w:t>
      </w:r>
      <w:r w:rsidR="00EC20AB" w:rsidRPr="0044036D">
        <w:rPr>
          <w:rFonts w:ascii="Arial" w:hAnsi="Arial" w:cs="Arial"/>
          <w:bCs/>
        </w:rPr>
        <w:t xml:space="preserve"> were heated with air source heat pumps, with further roll-out expected this year.</w:t>
      </w:r>
    </w:p>
    <w:p w14:paraId="7570BDFC" w14:textId="2C0EE0E8" w:rsidR="00EC20AB" w:rsidRPr="00931647" w:rsidRDefault="00EC20AB" w:rsidP="00EC20AB">
      <w:pPr>
        <w:pStyle w:val="ListParagraph"/>
        <w:numPr>
          <w:ilvl w:val="0"/>
          <w:numId w:val="25"/>
        </w:numPr>
        <w:ind w:left="360"/>
        <w:jc w:val="left"/>
        <w:rPr>
          <w:rFonts w:ascii="Arial" w:hAnsi="Arial" w:cs="Arial"/>
          <w:bCs/>
        </w:rPr>
      </w:pPr>
      <w:r w:rsidRPr="00EB53AD">
        <w:rPr>
          <w:rFonts w:ascii="Arial" w:hAnsi="Arial" w:cs="Arial"/>
          <w:bCs/>
        </w:rPr>
        <w:t xml:space="preserve">Our 1.5°C aligned scope 3 target requires us to achieve a 40% reduction (per £’million turnover) from purchased goods and services and use of sold products by 2025, against a FY 17/18 base year. </w:t>
      </w:r>
      <w:r w:rsidRPr="00EB53AD">
        <w:rPr>
          <w:rFonts w:ascii="Arial" w:hAnsi="Arial" w:cs="Arial"/>
        </w:rPr>
        <w:t>By the end of FY 21/22 we had reduced emissions from energy-using products by 1.4 million tonnes of CO2e, versus FY 17/18. This takes account of a product’s estimated lifetime carbon emissions from energy use. This has reduced the intensity of our emissions from the supply chain and customer use of products by 19.7%. We will report further progress against our scope 3 emissions reduction target in our FY 22/23 Responsible Business Report, to be published in Q2.</w:t>
      </w:r>
    </w:p>
    <w:p w14:paraId="6A73B648" w14:textId="77777777" w:rsidR="00931647" w:rsidRPr="0037240C" w:rsidRDefault="00931647" w:rsidP="00931647">
      <w:pPr>
        <w:pStyle w:val="ListParagraph"/>
        <w:numPr>
          <w:ilvl w:val="0"/>
          <w:numId w:val="25"/>
        </w:numPr>
        <w:ind w:left="360"/>
        <w:jc w:val="left"/>
        <w:rPr>
          <w:rFonts w:ascii="Arial" w:hAnsi="Arial" w:cs="Arial"/>
          <w:bCs/>
        </w:rPr>
      </w:pPr>
      <w:r w:rsidRPr="0037240C">
        <w:rPr>
          <w:rFonts w:ascii="Arial" w:hAnsi="Arial" w:cs="Arial"/>
          <w:bCs/>
        </w:rPr>
        <w:t xml:space="preserve">We are a founding member of the </w:t>
      </w:r>
      <w:hyperlink r:id="rId16">
        <w:r w:rsidRPr="0037240C">
          <w:rPr>
            <w:rStyle w:val="Hyperlink"/>
            <w:rFonts w:ascii="Arial" w:hAnsi="Arial" w:cs="Arial"/>
          </w:rPr>
          <w:t>UN’s Race to Zero Breakthroughs – Retail Campaign</w:t>
        </w:r>
      </w:hyperlink>
      <w:r w:rsidRPr="0037240C">
        <w:rPr>
          <w:rFonts w:ascii="Arial" w:hAnsi="Arial" w:cs="Arial"/>
          <w:bCs/>
        </w:rPr>
        <w:t xml:space="preserve">, a partnership aiming to inspire more of the world’s retailers to take action on climate change. </w:t>
      </w:r>
    </w:p>
    <w:p w14:paraId="01355693" w14:textId="77777777"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rPr>
        <w:t xml:space="preserve">Kingfisher has a strong heritage in sustainable forestry and the responsible sourcing of wood and paper. </w:t>
      </w:r>
      <w:r w:rsidRPr="00EB53AD">
        <w:rPr>
          <w:rFonts w:ascii="Arial" w:hAnsi="Arial" w:cs="Arial"/>
          <w:bCs/>
        </w:rPr>
        <w:t>In line with our commitment to be ‘Forest Positive’ by 2025:</w:t>
      </w:r>
    </w:p>
    <w:p w14:paraId="7646F9C6" w14:textId="77777777" w:rsidR="00EC20AB" w:rsidRPr="00EB53AD" w:rsidRDefault="00EC20AB" w:rsidP="00EC20AB">
      <w:pPr>
        <w:pStyle w:val="ListParagraph"/>
        <w:numPr>
          <w:ilvl w:val="1"/>
          <w:numId w:val="2"/>
        </w:numPr>
        <w:ind w:left="709"/>
        <w:jc w:val="left"/>
        <w:rPr>
          <w:rFonts w:ascii="Arial" w:hAnsi="Arial" w:cs="Arial"/>
          <w:bCs/>
        </w:rPr>
      </w:pPr>
      <w:r w:rsidRPr="00EB53AD">
        <w:rPr>
          <w:rFonts w:ascii="Arial" w:hAnsi="Arial" w:cs="Arial"/>
          <w:bCs/>
        </w:rPr>
        <w:t>94% of the wood and paper used in our products is responsibly sourced (FY 21/22: 87%), including 100% of catalogue paper, putting us on track to achieve our target of 100% by FY 25/26.</w:t>
      </w:r>
    </w:p>
    <w:p w14:paraId="1BE91FDD" w14:textId="3DC349C3" w:rsidR="00EC20AB" w:rsidRPr="00EB53AD" w:rsidRDefault="00EC20AB" w:rsidP="00EC20AB">
      <w:pPr>
        <w:pStyle w:val="ListParagraph"/>
        <w:numPr>
          <w:ilvl w:val="1"/>
          <w:numId w:val="2"/>
        </w:numPr>
        <w:ind w:left="709"/>
        <w:jc w:val="left"/>
        <w:rPr>
          <w:rFonts w:ascii="Arial" w:hAnsi="Arial" w:cs="Arial"/>
          <w:bCs/>
        </w:rPr>
      </w:pPr>
      <w:r w:rsidRPr="00EB53AD">
        <w:rPr>
          <w:rFonts w:ascii="Arial" w:hAnsi="Arial" w:cs="Arial"/>
          <w:bCs/>
        </w:rPr>
        <w:t xml:space="preserve">B&amp;Q, </w:t>
      </w:r>
      <w:r w:rsidR="00315406">
        <w:rPr>
          <w:rFonts w:ascii="Arial" w:hAnsi="Arial" w:cs="Arial"/>
          <w:bCs/>
        </w:rPr>
        <w:t xml:space="preserve">Screwfix, </w:t>
      </w:r>
      <w:r w:rsidRPr="00EB53AD">
        <w:rPr>
          <w:rFonts w:ascii="Arial" w:hAnsi="Arial" w:cs="Arial"/>
          <w:bCs/>
        </w:rPr>
        <w:t xml:space="preserve">Castorama France, </w:t>
      </w:r>
      <w:r w:rsidR="00315406">
        <w:rPr>
          <w:rFonts w:ascii="Arial" w:hAnsi="Arial" w:cs="Arial"/>
          <w:bCs/>
        </w:rPr>
        <w:t xml:space="preserve">Brico Dépôt France and </w:t>
      </w:r>
      <w:r w:rsidRPr="00EB53AD">
        <w:rPr>
          <w:rFonts w:ascii="Arial" w:hAnsi="Arial" w:cs="Arial"/>
          <w:bCs/>
        </w:rPr>
        <w:t xml:space="preserve">Castorama Poland </w:t>
      </w:r>
      <w:r w:rsidR="00315406">
        <w:rPr>
          <w:rFonts w:ascii="Arial" w:hAnsi="Arial" w:cs="Arial"/>
          <w:bCs/>
        </w:rPr>
        <w:t xml:space="preserve">have all </w:t>
      </w:r>
      <w:r w:rsidRPr="00EB53AD">
        <w:rPr>
          <w:rFonts w:ascii="Arial" w:hAnsi="Arial" w:cs="Arial"/>
          <w:bCs/>
        </w:rPr>
        <w:t>established local partnerships to restore, create and protect native woodland and forests.</w:t>
      </w:r>
    </w:p>
    <w:p w14:paraId="597814C2" w14:textId="77777777" w:rsidR="00EC20AB" w:rsidRPr="00EB53AD" w:rsidRDefault="00EC20AB" w:rsidP="00EC20AB">
      <w:pPr>
        <w:jc w:val="left"/>
        <w:rPr>
          <w:rFonts w:ascii="Arial" w:hAnsi="Arial" w:cs="Arial"/>
        </w:rPr>
      </w:pPr>
    </w:p>
    <w:p w14:paraId="6EC14E82" w14:textId="77777777" w:rsidR="00EC20AB" w:rsidRPr="005D6FF5" w:rsidRDefault="00EC20AB" w:rsidP="00EC20AB">
      <w:pPr>
        <w:jc w:val="left"/>
        <w:rPr>
          <w:rFonts w:ascii="Arial" w:hAnsi="Arial"/>
          <w:b/>
          <w:u w:val="single"/>
        </w:rPr>
      </w:pPr>
      <w:bookmarkStart w:id="35" w:name="_Hlk106110088"/>
      <w:bookmarkStart w:id="36" w:name="_Hlk97128369"/>
      <w:r w:rsidRPr="005D6FF5">
        <w:rPr>
          <w:rFonts w:ascii="Arial" w:hAnsi="Arial"/>
          <w:b/>
          <w:u w:val="single"/>
        </w:rPr>
        <w:t>Customers: Helping to make greener, healthier homes affordable</w:t>
      </w:r>
      <w:bookmarkEnd w:id="35"/>
      <w:r w:rsidRPr="005D6FF5">
        <w:rPr>
          <w:rFonts w:ascii="Arial" w:hAnsi="Arial"/>
          <w:b/>
          <w:u w:val="single"/>
        </w:rPr>
        <w:t xml:space="preserve"> </w:t>
      </w:r>
    </w:p>
    <w:p w14:paraId="08EDD0FC" w14:textId="5C2C2AAC" w:rsidR="00EC20AB" w:rsidRPr="00EB53AD" w:rsidRDefault="00EC20AB" w:rsidP="00EC20AB">
      <w:pPr>
        <w:pStyle w:val="ListParagraph"/>
        <w:numPr>
          <w:ilvl w:val="0"/>
          <w:numId w:val="25"/>
        </w:numPr>
        <w:ind w:left="360"/>
        <w:jc w:val="left"/>
        <w:rPr>
          <w:rFonts w:ascii="Arial" w:hAnsi="Arial" w:cs="Arial"/>
          <w:bCs/>
        </w:rPr>
      </w:pPr>
      <w:bookmarkStart w:id="37" w:name="_Hlk106110101"/>
      <w:r w:rsidRPr="00EB53AD">
        <w:rPr>
          <w:rFonts w:ascii="Arial" w:hAnsi="Arial" w:cs="Arial"/>
          <w:bCs/>
        </w:rPr>
        <w:t>In FY 22/23, £6.</w:t>
      </w:r>
      <w:r w:rsidR="004C37FE">
        <w:rPr>
          <w:rFonts w:ascii="Arial" w:hAnsi="Arial" w:cs="Arial"/>
          <w:bCs/>
        </w:rPr>
        <w:t>2</w:t>
      </w:r>
      <w:r w:rsidRPr="00EB53AD">
        <w:rPr>
          <w:rFonts w:ascii="Arial" w:hAnsi="Arial" w:cs="Arial"/>
          <w:bCs/>
        </w:rPr>
        <w:t xml:space="preserve">bn of sales, representing </w:t>
      </w:r>
      <w:r w:rsidRPr="007650C0">
        <w:rPr>
          <w:rFonts w:ascii="Arial" w:hAnsi="Arial" w:cs="Arial"/>
          <w:bCs/>
        </w:rPr>
        <w:t>4</w:t>
      </w:r>
      <w:r w:rsidR="003C1D55" w:rsidRPr="007650C0">
        <w:rPr>
          <w:rFonts w:ascii="Arial" w:hAnsi="Arial" w:cs="Arial"/>
          <w:bCs/>
        </w:rPr>
        <w:t>7</w:t>
      </w:r>
      <w:r w:rsidRPr="007650C0">
        <w:rPr>
          <w:rFonts w:ascii="Arial" w:hAnsi="Arial" w:cs="Arial"/>
          <w:bCs/>
        </w:rPr>
        <w:t>%</w:t>
      </w:r>
      <w:r w:rsidRPr="00EB53AD">
        <w:rPr>
          <w:rFonts w:ascii="Arial" w:hAnsi="Arial" w:cs="Arial"/>
          <w:bCs/>
        </w:rPr>
        <w:t xml:space="preserve"> of Group sales (FY 21/22: 44%), were from Sustainable Home Products (SHPs). This has more than doubled since we established the programme in FY 11/12.</w:t>
      </w:r>
    </w:p>
    <w:p w14:paraId="356945A1" w14:textId="2C621E45" w:rsidR="00EF4B9C"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Cs/>
        </w:rPr>
        <w:t xml:space="preserve">SHPs </w:t>
      </w:r>
      <w:r w:rsidR="00A82A5C">
        <w:rPr>
          <w:rFonts w:ascii="Arial" w:hAnsi="Arial" w:cs="Arial"/>
          <w:bCs/>
        </w:rPr>
        <w:t xml:space="preserve">aim to </w:t>
      </w:r>
      <w:r w:rsidRPr="00EB53AD">
        <w:rPr>
          <w:rFonts w:ascii="Arial" w:hAnsi="Arial" w:cs="Arial"/>
          <w:bCs/>
        </w:rPr>
        <w:t xml:space="preserve">either help our customers </w:t>
      </w:r>
      <w:r w:rsidR="00A22B23">
        <w:rPr>
          <w:rFonts w:ascii="Arial" w:hAnsi="Arial" w:cs="Arial"/>
          <w:bCs/>
        </w:rPr>
        <w:t>reduce their environment</w:t>
      </w:r>
      <w:r w:rsidR="00385A27">
        <w:rPr>
          <w:rFonts w:ascii="Arial" w:hAnsi="Arial" w:cs="Arial"/>
          <w:bCs/>
        </w:rPr>
        <w:t>al impact</w:t>
      </w:r>
      <w:r w:rsidR="00A22B23" w:rsidRPr="00EB53AD" w:rsidDel="00A22B23">
        <w:rPr>
          <w:rFonts w:ascii="Arial" w:hAnsi="Arial" w:cs="Arial"/>
          <w:bCs/>
        </w:rPr>
        <w:t xml:space="preserve"> </w:t>
      </w:r>
      <w:r w:rsidRPr="00EB53AD">
        <w:rPr>
          <w:rFonts w:ascii="Arial" w:hAnsi="Arial" w:cs="Arial"/>
          <w:bCs/>
        </w:rPr>
        <w:t xml:space="preserve">(such as </w:t>
      </w:r>
      <w:r w:rsidR="00385A27">
        <w:rPr>
          <w:rFonts w:ascii="Arial" w:hAnsi="Arial" w:cs="Arial"/>
          <w:bCs/>
        </w:rPr>
        <w:t xml:space="preserve">solar panels, </w:t>
      </w:r>
      <w:r w:rsidRPr="00EB53AD">
        <w:rPr>
          <w:rFonts w:ascii="Arial" w:hAnsi="Arial" w:cs="Arial"/>
          <w:bCs/>
        </w:rPr>
        <w:t xml:space="preserve">water-saving taps or loft insulation) or are </w:t>
      </w:r>
      <w:r w:rsidR="00657CE1">
        <w:rPr>
          <w:rFonts w:ascii="Arial" w:hAnsi="Arial" w:cs="Arial"/>
          <w:bCs/>
        </w:rPr>
        <w:t>intended to have a reduced impact on the environment</w:t>
      </w:r>
      <w:r w:rsidRPr="00EB53AD">
        <w:rPr>
          <w:rFonts w:ascii="Arial" w:hAnsi="Arial" w:cs="Arial"/>
          <w:bCs/>
        </w:rPr>
        <w:t xml:space="preserve"> because of their input materials or how they are manufactured (for example, FSC timber, peat-free compost or recycled plastic).</w:t>
      </w:r>
    </w:p>
    <w:p w14:paraId="3D9A96C5" w14:textId="4B3005BF" w:rsidR="00EC20AB" w:rsidRPr="002D04B6" w:rsidRDefault="00EC20AB" w:rsidP="00EC20AB">
      <w:pPr>
        <w:pStyle w:val="ListParagraph"/>
        <w:numPr>
          <w:ilvl w:val="0"/>
          <w:numId w:val="25"/>
        </w:numPr>
        <w:ind w:left="360"/>
        <w:jc w:val="left"/>
        <w:rPr>
          <w:rFonts w:ascii="Arial" w:hAnsi="Arial" w:cs="Arial"/>
          <w:bCs/>
        </w:rPr>
      </w:pPr>
      <w:r w:rsidRPr="00EB53AD">
        <w:rPr>
          <w:rFonts w:ascii="Arial" w:hAnsi="Arial" w:cs="Arial"/>
          <w:bCs/>
        </w:rPr>
        <w:t xml:space="preserve">In July 2022, we </w:t>
      </w:r>
      <w:r w:rsidRPr="002D04B6">
        <w:rPr>
          <w:rFonts w:ascii="Arial" w:hAnsi="Arial" w:cs="Arial"/>
          <w:bCs/>
        </w:rPr>
        <w:t xml:space="preserve">announced a new ambitious target for SHP sales to reach 60% of Group sales by FY 25/26 (previous target 50% by FY 20/21). We are also targeting 70% of OEB product sales to be from SHPs by FY 25/26 (FY 22/23: </w:t>
      </w:r>
      <w:r w:rsidRPr="004F099C">
        <w:rPr>
          <w:rFonts w:ascii="Arial" w:hAnsi="Arial" w:cs="Arial"/>
          <w:bCs/>
        </w:rPr>
        <w:t>5</w:t>
      </w:r>
      <w:r w:rsidR="00633D36" w:rsidRPr="004F099C">
        <w:rPr>
          <w:rFonts w:ascii="Arial" w:hAnsi="Arial" w:cs="Arial"/>
          <w:bCs/>
        </w:rPr>
        <w:t>6</w:t>
      </w:r>
      <w:r w:rsidRPr="002D04B6">
        <w:rPr>
          <w:rFonts w:ascii="Arial" w:hAnsi="Arial" w:cs="Arial"/>
          <w:bCs/>
        </w:rPr>
        <w:t>%).</w:t>
      </w:r>
    </w:p>
    <w:p w14:paraId="6E96CB6C" w14:textId="77777777" w:rsidR="00EC20AB" w:rsidRPr="00EB53AD" w:rsidRDefault="00EC20AB" w:rsidP="00EC20AB">
      <w:pPr>
        <w:pStyle w:val="ListParagraph"/>
        <w:numPr>
          <w:ilvl w:val="0"/>
          <w:numId w:val="25"/>
        </w:numPr>
        <w:ind w:left="360"/>
        <w:jc w:val="left"/>
        <w:rPr>
          <w:rFonts w:ascii="Arial" w:hAnsi="Arial" w:cs="Arial"/>
          <w:bCs/>
        </w:rPr>
      </w:pPr>
      <w:r w:rsidRPr="002D04B6">
        <w:rPr>
          <w:rFonts w:ascii="Arial" w:hAnsi="Arial" w:cs="Arial"/>
          <w:bCs/>
        </w:rPr>
        <w:t>Sustainability is a key pillar within the core</w:t>
      </w:r>
      <w:r w:rsidRPr="00EB53AD">
        <w:rPr>
          <w:rFonts w:ascii="Arial" w:hAnsi="Arial" w:cs="Arial"/>
          <w:bCs/>
        </w:rPr>
        <w:t xml:space="preserve"> design principles we apply in developing our OEB ranges, and we remain focused on improving sustainability performance through each change that we make. For example, we are fully phasing out peat at B&amp;Q (Kingfisher’s biggest seller of compost by volume), we have removed solvents from further paint lines (e.g., through the launch of </w:t>
      </w:r>
      <w:r w:rsidRPr="005D6FF5">
        <w:rPr>
          <w:rFonts w:ascii="Arial" w:hAnsi="Arial"/>
          <w:i/>
        </w:rPr>
        <w:t>Naturéa</w:t>
      </w:r>
      <w:r w:rsidRPr="00EB53AD">
        <w:rPr>
          <w:rFonts w:ascii="Arial" w:hAnsi="Arial" w:cs="Arial"/>
          <w:bCs/>
        </w:rPr>
        <w:t>, Kingfisher’s first ever bio-based paint), integrated recycled plastic into more products across several product categories, and increased the longevity and repairability of some of our product ranges.</w:t>
      </w:r>
    </w:p>
    <w:p w14:paraId="2A06CF7E" w14:textId="66517493"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Cs/>
        </w:rPr>
        <w:t xml:space="preserve">We also see considerable potential across all our markets as the ‘green homes’ agenda accelerates, in particular in the UK and France, where the governments have made ‘net zero’ commitments. We are </w:t>
      </w:r>
      <w:r w:rsidR="005013C1">
        <w:rPr>
          <w:rFonts w:ascii="Arial" w:hAnsi="Arial" w:cs="Arial"/>
          <w:bCs/>
        </w:rPr>
        <w:t xml:space="preserve">developing </w:t>
      </w:r>
      <w:r w:rsidRPr="00EB53AD">
        <w:rPr>
          <w:rFonts w:ascii="Arial" w:hAnsi="Arial" w:cs="Arial"/>
          <w:bCs/>
        </w:rPr>
        <w:t>opportunities to increase engagement with DIY and trade customers in this agenda:</w:t>
      </w:r>
    </w:p>
    <w:p w14:paraId="6252E5EB" w14:textId="4F5C0C5B" w:rsidR="00EC20AB" w:rsidRPr="00EB53AD" w:rsidRDefault="00EC20AB" w:rsidP="00EC20AB">
      <w:pPr>
        <w:pStyle w:val="ListParagraph"/>
        <w:numPr>
          <w:ilvl w:val="1"/>
          <w:numId w:val="2"/>
        </w:numPr>
        <w:ind w:left="709"/>
        <w:jc w:val="left"/>
        <w:rPr>
          <w:rFonts w:ascii="Arial" w:hAnsi="Arial" w:cs="Arial"/>
          <w:bCs/>
        </w:rPr>
      </w:pPr>
      <w:r w:rsidRPr="00EB53AD">
        <w:rPr>
          <w:rFonts w:ascii="Arial" w:hAnsi="Arial" w:cs="Arial"/>
          <w:bCs/>
        </w:rPr>
        <w:lastRenderedPageBreak/>
        <w:t xml:space="preserve">In FY 22/23, Kingfisher derived </w:t>
      </w:r>
      <w:r w:rsidR="0049618C">
        <w:rPr>
          <w:rFonts w:ascii="Arial" w:hAnsi="Arial" w:cs="Arial"/>
          <w:bCs/>
        </w:rPr>
        <w:t>11</w:t>
      </w:r>
      <w:r w:rsidRPr="00EB53AD">
        <w:rPr>
          <w:rFonts w:ascii="Arial" w:hAnsi="Arial" w:cs="Arial"/>
          <w:bCs/>
        </w:rPr>
        <w:t>% of Group sales from energy and water-saving products. We are very well placed in energy efficiency categories such as loft insulation, LED lighting, underfloor heating and electric radiators, and are exploring other product solutions.</w:t>
      </w:r>
    </w:p>
    <w:p w14:paraId="214B5DB6" w14:textId="77777777" w:rsidR="00EC20AB" w:rsidRPr="00EB53AD" w:rsidRDefault="00EC20AB" w:rsidP="00EC20AB">
      <w:pPr>
        <w:pStyle w:val="ListParagraph"/>
        <w:numPr>
          <w:ilvl w:val="1"/>
          <w:numId w:val="2"/>
        </w:numPr>
        <w:ind w:left="709"/>
        <w:jc w:val="left"/>
        <w:rPr>
          <w:rFonts w:ascii="Arial" w:hAnsi="Arial" w:cs="Arial"/>
          <w:bCs/>
        </w:rPr>
      </w:pPr>
      <w:r w:rsidRPr="00EB53AD">
        <w:rPr>
          <w:rFonts w:ascii="Arial" w:hAnsi="Arial" w:cs="Arial"/>
          <w:bCs/>
        </w:rPr>
        <w:t>Screwfix is selling photovoltaic (PV) panels and air-source heat pumps to the trade and is exploring further options in this market.</w:t>
      </w:r>
    </w:p>
    <w:bookmarkEnd w:id="37"/>
    <w:p w14:paraId="6356D3D3" w14:textId="77777777" w:rsidR="00EC20AB" w:rsidRPr="00EB53AD" w:rsidRDefault="00EC20AB" w:rsidP="00EC20AB">
      <w:pPr>
        <w:pStyle w:val="ListParagraph"/>
        <w:numPr>
          <w:ilvl w:val="1"/>
          <w:numId w:val="2"/>
        </w:numPr>
        <w:ind w:left="709"/>
        <w:jc w:val="left"/>
        <w:rPr>
          <w:rFonts w:ascii="Arial" w:hAnsi="Arial" w:cs="Arial"/>
          <w:bCs/>
        </w:rPr>
      </w:pPr>
      <w:r w:rsidRPr="00EB53AD">
        <w:rPr>
          <w:rFonts w:ascii="Arial" w:hAnsi="Arial" w:cs="Arial"/>
          <w:bCs/>
        </w:rPr>
        <w:t xml:space="preserve">During the year we expanded our range of energy-saving products and services to better support customers to improve energy efficiency at home, while also helping them to save money. </w:t>
      </w:r>
    </w:p>
    <w:p w14:paraId="15093526" w14:textId="7EEDB29A" w:rsidR="00EC20AB" w:rsidRPr="00EB53AD" w:rsidRDefault="00EC20AB" w:rsidP="00EC20AB">
      <w:pPr>
        <w:pStyle w:val="ListParagraph"/>
        <w:numPr>
          <w:ilvl w:val="1"/>
          <w:numId w:val="2"/>
        </w:numPr>
        <w:ind w:left="709"/>
        <w:jc w:val="left"/>
        <w:rPr>
          <w:rFonts w:ascii="Arial" w:hAnsi="Arial" w:cs="Arial"/>
        </w:rPr>
      </w:pPr>
      <w:r w:rsidRPr="00EB53AD">
        <w:rPr>
          <w:rFonts w:ascii="Arial" w:hAnsi="Arial" w:cs="Arial"/>
        </w:rPr>
        <w:t>In Q</w:t>
      </w:r>
      <w:r w:rsidR="000A11F5">
        <w:rPr>
          <w:rFonts w:ascii="Arial" w:hAnsi="Arial" w:cs="Arial"/>
        </w:rPr>
        <w:t>4</w:t>
      </w:r>
      <w:r w:rsidRPr="00EB53AD">
        <w:rPr>
          <w:rFonts w:ascii="Arial" w:hAnsi="Arial" w:cs="Arial"/>
        </w:rPr>
        <w:t xml:space="preserve"> we launched energy-saving solutions in the UK and France, to help customers create personalised energy efficiency action plans for their homes, and then access the relevant products and services via B&amp;Q, Castorama France and Brico Dépôt France and </w:t>
      </w:r>
      <w:r w:rsidR="00C4512A">
        <w:rPr>
          <w:rFonts w:ascii="Arial" w:hAnsi="Arial" w:cs="Arial"/>
        </w:rPr>
        <w:t xml:space="preserve">their </w:t>
      </w:r>
      <w:r w:rsidRPr="00EB53AD">
        <w:rPr>
          <w:rFonts w:ascii="Arial" w:hAnsi="Arial" w:cs="Arial"/>
        </w:rPr>
        <w:t xml:space="preserve">partners to take action. We have seen a very positive take-up of these services in both markets, with high demand for expert advice on energy-saving products and encouraging conversion rates amongst those customers receiving a quote for work. </w:t>
      </w:r>
    </w:p>
    <w:p w14:paraId="1D48B113" w14:textId="77777777" w:rsidR="00EC20AB" w:rsidRPr="00EB53AD" w:rsidRDefault="00EC20AB" w:rsidP="00EC20AB">
      <w:pPr>
        <w:pStyle w:val="ListParagraph"/>
        <w:numPr>
          <w:ilvl w:val="1"/>
          <w:numId w:val="2"/>
        </w:numPr>
        <w:ind w:left="709"/>
        <w:jc w:val="left"/>
        <w:rPr>
          <w:rFonts w:ascii="Arial" w:hAnsi="Arial" w:cs="Arial"/>
          <w:bCs/>
        </w:rPr>
      </w:pPr>
      <w:r w:rsidRPr="00EB53AD">
        <w:rPr>
          <w:rFonts w:ascii="Arial" w:hAnsi="Arial" w:cs="Arial"/>
        </w:rPr>
        <w:t>Alongside energy-saving products sold directly by our banners, we have partnered with organisations to address the installation of more pervasive recommendations including boiler replacements, photovoltaic (solar) panels, and roof and interior/exterior wall insulation.</w:t>
      </w:r>
    </w:p>
    <w:p w14:paraId="08BDD735" w14:textId="1952CE09" w:rsidR="00EC20AB" w:rsidRPr="00EB53AD" w:rsidRDefault="00EC20AB" w:rsidP="00EC20AB">
      <w:pPr>
        <w:pStyle w:val="ListParagraph"/>
        <w:numPr>
          <w:ilvl w:val="1"/>
          <w:numId w:val="2"/>
        </w:numPr>
        <w:ind w:left="709"/>
        <w:jc w:val="left"/>
        <w:rPr>
          <w:rFonts w:ascii="Arial" w:hAnsi="Arial" w:cs="Arial"/>
          <w:bCs/>
        </w:rPr>
      </w:pPr>
      <w:r w:rsidRPr="00EB53AD">
        <w:rPr>
          <w:rFonts w:ascii="Arial" w:hAnsi="Arial" w:cs="Arial"/>
        </w:rPr>
        <w:t xml:space="preserve">In H2 Castorama France added solar </w:t>
      </w:r>
      <w:r w:rsidR="00BE17FD">
        <w:rPr>
          <w:rFonts w:ascii="Arial" w:hAnsi="Arial" w:cs="Arial"/>
        </w:rPr>
        <w:t xml:space="preserve">panel </w:t>
      </w:r>
      <w:r w:rsidRPr="00EB53AD">
        <w:rPr>
          <w:rFonts w:ascii="Arial" w:hAnsi="Arial" w:cs="Arial"/>
        </w:rPr>
        <w:t xml:space="preserve">installation to their existing offer of boilers, wall and roof insulation, windows, doors, ventilation and log-burner solutions. </w:t>
      </w:r>
      <w:r w:rsidR="003E57DF">
        <w:rPr>
          <w:rFonts w:ascii="Arial" w:hAnsi="Arial" w:cs="Arial"/>
        </w:rPr>
        <w:t xml:space="preserve">In the last month B&amp;Q have also added solar and storage </w:t>
      </w:r>
      <w:r w:rsidR="009900DA">
        <w:rPr>
          <w:rFonts w:ascii="Arial" w:hAnsi="Arial" w:cs="Arial"/>
        </w:rPr>
        <w:t xml:space="preserve">(battery) installation </w:t>
      </w:r>
      <w:r w:rsidR="003E57DF">
        <w:rPr>
          <w:rFonts w:ascii="Arial" w:hAnsi="Arial" w:cs="Arial"/>
        </w:rPr>
        <w:t>to their roster of partners within their energy-saving service.</w:t>
      </w:r>
    </w:p>
    <w:p w14:paraId="75F5D3A8" w14:textId="77777777" w:rsidR="00EC20AB" w:rsidRPr="00EB53AD" w:rsidRDefault="00EC20AB" w:rsidP="00EC20AB">
      <w:pPr>
        <w:pStyle w:val="ListParagraph"/>
        <w:numPr>
          <w:ilvl w:val="1"/>
          <w:numId w:val="2"/>
        </w:numPr>
        <w:ind w:left="709"/>
        <w:jc w:val="left"/>
        <w:rPr>
          <w:rFonts w:ascii="Arial" w:hAnsi="Arial" w:cs="Arial"/>
          <w:bCs/>
        </w:rPr>
      </w:pPr>
      <w:r w:rsidRPr="00EB53AD">
        <w:rPr>
          <w:rFonts w:ascii="Arial" w:hAnsi="Arial" w:cs="Arial"/>
        </w:rPr>
        <w:t xml:space="preserve">The customer experience in Castorama France has also been improved by launching an online simulator to simplify the process and help customers navigate the costs and expected rebates under the French government’s </w:t>
      </w:r>
      <w:r w:rsidRPr="005D6FF5">
        <w:rPr>
          <w:rFonts w:ascii="Arial" w:hAnsi="Arial"/>
          <w:i/>
        </w:rPr>
        <w:t>MaPrimeRénov</w:t>
      </w:r>
      <w:r w:rsidRPr="00EB53AD">
        <w:rPr>
          <w:rFonts w:ascii="Arial" w:hAnsi="Arial" w:cs="Arial"/>
        </w:rPr>
        <w:t xml:space="preserve"> </w:t>
      </w:r>
      <w:r w:rsidRPr="00EB53AD">
        <w:rPr>
          <w:rFonts w:ascii="Arial" w:hAnsi="Arial" w:cs="Arial"/>
          <w:bCs/>
        </w:rPr>
        <w:t xml:space="preserve">subsidy programme for energy efficiency projects in customers’ homes. </w:t>
      </w:r>
      <w:r w:rsidRPr="00EB53AD">
        <w:rPr>
          <w:rFonts w:ascii="Arial" w:hAnsi="Arial" w:cs="Arial"/>
          <w:i/>
        </w:rPr>
        <w:t>MaPrimeRénov</w:t>
      </w:r>
      <w:r w:rsidRPr="00EB53AD" w:rsidDel="00BD6C11">
        <w:rPr>
          <w:rFonts w:ascii="Arial" w:hAnsi="Arial" w:cs="Arial"/>
          <w:bCs/>
        </w:rPr>
        <w:t xml:space="preserve"> </w:t>
      </w:r>
      <w:r w:rsidRPr="00EB53AD">
        <w:rPr>
          <w:rFonts w:ascii="Arial" w:hAnsi="Arial" w:cs="Arial"/>
          <w:bCs/>
        </w:rPr>
        <w:t xml:space="preserve">has gained significant traction in France. </w:t>
      </w:r>
    </w:p>
    <w:p w14:paraId="72C5D834" w14:textId="77777777" w:rsidR="00EC20AB" w:rsidRPr="00EB53AD" w:rsidRDefault="00EC20AB" w:rsidP="00EC20AB">
      <w:pPr>
        <w:jc w:val="left"/>
        <w:rPr>
          <w:rFonts w:ascii="Arial" w:hAnsi="Arial" w:cs="Arial"/>
        </w:rPr>
      </w:pPr>
    </w:p>
    <w:bookmarkEnd w:id="36"/>
    <w:p w14:paraId="2B042C9E" w14:textId="77777777" w:rsidR="00EC20AB" w:rsidRPr="005D6FF5" w:rsidRDefault="00EC20AB" w:rsidP="00EC20AB">
      <w:pPr>
        <w:jc w:val="left"/>
        <w:rPr>
          <w:rFonts w:ascii="Arial" w:hAnsi="Arial"/>
          <w:b/>
          <w:u w:val="single"/>
        </w:rPr>
      </w:pPr>
      <w:r w:rsidRPr="005D6FF5">
        <w:rPr>
          <w:rFonts w:ascii="Arial" w:hAnsi="Arial"/>
          <w:b/>
          <w:u w:val="single"/>
        </w:rPr>
        <w:t xml:space="preserve">Communities: Fighting to fix bad housing </w:t>
      </w:r>
    </w:p>
    <w:p w14:paraId="5A306843" w14:textId="1D44291A"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Cs/>
        </w:rPr>
        <w:t>In FY 22/23, we invested £</w:t>
      </w:r>
      <w:r w:rsidR="003B78D1">
        <w:rPr>
          <w:rFonts w:ascii="Arial" w:hAnsi="Arial"/>
        </w:rPr>
        <w:t>5.</w:t>
      </w:r>
      <w:r w:rsidR="00677A6E">
        <w:rPr>
          <w:rFonts w:ascii="Arial" w:hAnsi="Arial"/>
        </w:rPr>
        <w:t>4</w:t>
      </w:r>
      <w:r w:rsidRPr="00EB53AD">
        <w:rPr>
          <w:rFonts w:ascii="Arial" w:hAnsi="Arial" w:cs="Arial"/>
          <w:bCs/>
        </w:rPr>
        <w:t>m in our communities, with our colleagues and customers raising an additional £</w:t>
      </w:r>
      <w:r w:rsidR="003B78D1">
        <w:rPr>
          <w:rFonts w:ascii="Arial" w:hAnsi="Arial"/>
        </w:rPr>
        <w:t>2.</w:t>
      </w:r>
      <w:r w:rsidR="00677A6E">
        <w:rPr>
          <w:rFonts w:ascii="Arial" w:hAnsi="Arial"/>
        </w:rPr>
        <w:t>8</w:t>
      </w:r>
      <w:r w:rsidRPr="00EB53AD">
        <w:rPr>
          <w:rFonts w:ascii="Arial" w:hAnsi="Arial" w:cs="Arial"/>
          <w:bCs/>
        </w:rPr>
        <w:t xml:space="preserve">m. We reached over </w:t>
      </w:r>
      <w:r w:rsidR="00EA462A">
        <w:rPr>
          <w:rFonts w:ascii="Arial" w:hAnsi="Arial"/>
        </w:rPr>
        <w:t>470</w:t>
      </w:r>
      <w:r w:rsidR="003B78D1">
        <w:rPr>
          <w:rFonts w:ascii="Arial" w:hAnsi="Arial"/>
        </w:rPr>
        <w:t>,000</w:t>
      </w:r>
      <w:r w:rsidRPr="00EB53AD">
        <w:rPr>
          <w:rFonts w:ascii="Arial" w:hAnsi="Arial" w:cs="Arial"/>
          <w:bCs/>
        </w:rPr>
        <w:t xml:space="preserve"> people through our charitable partnerships and banner Foundations.</w:t>
      </w:r>
    </w:p>
    <w:p w14:paraId="0E1CBB65" w14:textId="70B31AF1"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Cs/>
        </w:rPr>
        <w:t xml:space="preserve">This brings our total to </w:t>
      </w:r>
      <w:r w:rsidR="003B78D1">
        <w:rPr>
          <w:rFonts w:ascii="Arial" w:hAnsi="Arial"/>
        </w:rPr>
        <w:t>2.</w:t>
      </w:r>
      <w:r w:rsidR="00EA462A">
        <w:rPr>
          <w:rFonts w:ascii="Arial" w:hAnsi="Arial"/>
        </w:rPr>
        <w:t>1</w:t>
      </w:r>
      <w:r w:rsidRPr="00EB53AD">
        <w:rPr>
          <w:rFonts w:ascii="Arial" w:hAnsi="Arial" w:cs="Arial"/>
          <w:bCs/>
        </w:rPr>
        <w:t xml:space="preserve"> million people helped since FY 16/17, thereby achieving our target of 2 million people three years ahead of schedule. </w:t>
      </w:r>
      <w:bookmarkStart w:id="38" w:name="_Hlk129753873"/>
      <w:r w:rsidRPr="00EB53AD">
        <w:rPr>
          <w:rFonts w:ascii="Arial" w:hAnsi="Arial" w:cs="Arial"/>
          <w:bCs/>
        </w:rPr>
        <w:t xml:space="preserve">A new target will be </w:t>
      </w:r>
      <w:r w:rsidR="00EB6800">
        <w:rPr>
          <w:rFonts w:ascii="Arial" w:hAnsi="Arial" w:cs="Arial"/>
          <w:bCs/>
        </w:rPr>
        <w:t xml:space="preserve">set </w:t>
      </w:r>
      <w:r w:rsidR="00A80E96">
        <w:rPr>
          <w:rFonts w:ascii="Arial" w:hAnsi="Arial" w:cs="Arial"/>
          <w:bCs/>
        </w:rPr>
        <w:t>later this year</w:t>
      </w:r>
      <w:r w:rsidRPr="00EB53AD">
        <w:rPr>
          <w:rFonts w:ascii="Arial" w:hAnsi="Arial" w:cs="Arial"/>
          <w:bCs/>
        </w:rPr>
        <w:t>.</w:t>
      </w:r>
      <w:bookmarkEnd w:id="38"/>
    </w:p>
    <w:p w14:paraId="7F4DB820" w14:textId="77777777"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Cs/>
        </w:rPr>
        <w:t xml:space="preserve">All our retail banners have established charitable </w:t>
      </w:r>
      <w:r w:rsidRPr="00EB53AD">
        <w:rPr>
          <w:rFonts w:ascii="Arial" w:hAnsi="Arial" w:cs="Arial"/>
        </w:rPr>
        <w:t>F</w:t>
      </w:r>
      <w:r w:rsidRPr="00EB53AD">
        <w:rPr>
          <w:rFonts w:ascii="Arial" w:hAnsi="Arial" w:cs="Arial"/>
          <w:bCs/>
        </w:rPr>
        <w:t>oundations. The Screwfix Foundation, which has been running since 2013, recently passed the significant milestone of £10m raised in aggregate, supporting over 2,200 organisations over this period.</w:t>
      </w:r>
    </w:p>
    <w:p w14:paraId="639DAACB" w14:textId="7C74A663" w:rsidR="00EC20AB" w:rsidRPr="00EB53AD" w:rsidRDefault="00EC20AB" w:rsidP="00EC20AB">
      <w:pPr>
        <w:pStyle w:val="ListParagraph"/>
        <w:numPr>
          <w:ilvl w:val="0"/>
          <w:numId w:val="25"/>
        </w:numPr>
        <w:ind w:left="360"/>
        <w:jc w:val="left"/>
        <w:rPr>
          <w:rFonts w:ascii="Arial" w:hAnsi="Arial" w:cs="Arial"/>
        </w:rPr>
      </w:pPr>
      <w:r w:rsidRPr="00EB53AD">
        <w:rPr>
          <w:rFonts w:ascii="Arial" w:hAnsi="Arial" w:cs="Arial"/>
          <w:bCs/>
        </w:rPr>
        <w:t xml:space="preserve">Our </w:t>
      </w:r>
      <w:r w:rsidRPr="00EB53AD">
        <w:rPr>
          <w:rFonts w:ascii="Arial" w:hAnsi="Arial" w:cs="Arial"/>
        </w:rPr>
        <w:t xml:space="preserve">Foundations </w:t>
      </w:r>
      <w:r w:rsidRPr="00EB53AD">
        <w:rPr>
          <w:rFonts w:ascii="Arial" w:hAnsi="Arial" w:cs="Arial"/>
          <w:bCs/>
        </w:rPr>
        <w:t xml:space="preserve">partner with national charities including </w:t>
      </w:r>
      <w:r w:rsidRPr="00EB53AD">
        <w:rPr>
          <w:rFonts w:ascii="Arial" w:hAnsi="Arial" w:cs="Arial"/>
          <w:bCs/>
          <w:i/>
          <w:iCs/>
        </w:rPr>
        <w:t>Shelter</w:t>
      </w:r>
      <w:r w:rsidRPr="00EB53AD">
        <w:rPr>
          <w:rFonts w:ascii="Arial" w:hAnsi="Arial" w:cs="Arial"/>
          <w:bCs/>
        </w:rPr>
        <w:t xml:space="preserve"> and </w:t>
      </w:r>
      <w:r w:rsidRPr="00EB53AD">
        <w:rPr>
          <w:rFonts w:ascii="Arial" w:hAnsi="Arial" w:cs="Arial"/>
          <w:bCs/>
          <w:i/>
          <w:iCs/>
        </w:rPr>
        <w:t>Macmillan</w:t>
      </w:r>
      <w:r w:rsidRPr="00EB53AD">
        <w:rPr>
          <w:rFonts w:ascii="Arial" w:hAnsi="Arial" w:cs="Arial"/>
          <w:bCs/>
        </w:rPr>
        <w:t xml:space="preserve"> in the UK, </w:t>
      </w:r>
      <w:r w:rsidRPr="00EB53AD">
        <w:rPr>
          <w:rFonts w:ascii="Arial" w:hAnsi="Arial" w:cs="Arial"/>
          <w:bCs/>
          <w:i/>
          <w:iCs/>
        </w:rPr>
        <w:t>Fondation Abbé Pierre</w:t>
      </w:r>
      <w:r w:rsidRPr="00EB53AD">
        <w:rPr>
          <w:rFonts w:ascii="Arial" w:hAnsi="Arial" w:cs="Arial"/>
          <w:bCs/>
        </w:rPr>
        <w:t xml:space="preserve"> in France, and </w:t>
      </w:r>
      <w:r w:rsidRPr="00EB53AD">
        <w:rPr>
          <w:rFonts w:ascii="Arial" w:hAnsi="Arial" w:cs="Arial"/>
          <w:bCs/>
          <w:i/>
          <w:iCs/>
        </w:rPr>
        <w:t>Habitat for Humanity</w:t>
      </w:r>
      <w:r w:rsidRPr="00EB53AD">
        <w:rPr>
          <w:rFonts w:ascii="Arial" w:hAnsi="Arial" w:cs="Arial"/>
          <w:bCs/>
        </w:rPr>
        <w:t xml:space="preserve"> in Poland and Romania. </w:t>
      </w:r>
    </w:p>
    <w:p w14:paraId="32AE21A9" w14:textId="2220152F"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Cs/>
        </w:rPr>
        <w:t>Kingfisher responded rapidly to the war in Ukraine, with all our retail banners actively fundraising and seeking donations across their markets. We donated c.£0.5m to help organisations such as the International Red Cross and the UNHCR with their relief efforts. This included matched funding for colleague donations to the Red Cross Ukraine Crisis Appeal amounting to £68k.</w:t>
      </w:r>
    </w:p>
    <w:p w14:paraId="5D4E2A28" w14:textId="43D9713C"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Cs/>
        </w:rPr>
        <w:t xml:space="preserve">In late August 2022, torrential rains flooded Pakistan, impacting 33 million people. We donated to the International Red Cross </w:t>
      </w:r>
      <w:r w:rsidRPr="005D6FF5">
        <w:rPr>
          <w:rFonts w:ascii="Arial" w:hAnsi="Arial"/>
        </w:rPr>
        <w:t>Red Crescent Movement</w:t>
      </w:r>
      <w:r w:rsidRPr="00EB53AD">
        <w:rPr>
          <w:rFonts w:ascii="Arial" w:hAnsi="Arial" w:cs="Arial"/>
          <w:bCs/>
        </w:rPr>
        <w:t xml:space="preserve"> to support their humanitarian efforts.</w:t>
      </w:r>
    </w:p>
    <w:p w14:paraId="1AB4319A" w14:textId="7BE6B54D"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Cs/>
        </w:rPr>
        <w:t xml:space="preserve">To support the ongoing Turkey and Syria earthquake relief efforts, we have made donations to the </w:t>
      </w:r>
      <w:r w:rsidRPr="00EB53AD">
        <w:rPr>
          <w:rFonts w:ascii="Arial" w:hAnsi="Arial" w:cs="Arial"/>
          <w:bCs/>
          <w:i/>
          <w:iCs/>
        </w:rPr>
        <w:t>Disasters Emergency Committee</w:t>
      </w:r>
      <w:r w:rsidRPr="00EB53AD">
        <w:rPr>
          <w:rFonts w:ascii="Arial" w:hAnsi="Arial" w:cs="Arial"/>
          <w:bCs/>
        </w:rPr>
        <w:t>, with our banners sending supplies to help survivors who lost their homes. Castorama France and Castorama Poland worked with our sourcing office in Turkey to transport heaters to affected communities. Koçtaş, our joint venture in Turkey, has provided vital supplies including blankets, lamps, picnic stoves, electric heaters and sleeping bags</w:t>
      </w:r>
      <w:r w:rsidR="00E56368">
        <w:rPr>
          <w:rFonts w:ascii="Arial" w:hAnsi="Arial" w:cs="Arial"/>
          <w:bCs/>
        </w:rPr>
        <w:t xml:space="preserve">, as well as </w:t>
      </w:r>
      <w:r w:rsidR="00E56368" w:rsidRPr="00E56368">
        <w:rPr>
          <w:rFonts w:ascii="Arial" w:hAnsi="Arial" w:cs="Arial"/>
          <w:bCs/>
        </w:rPr>
        <w:t>train</w:t>
      </w:r>
      <w:r w:rsidR="00E56368">
        <w:rPr>
          <w:rFonts w:ascii="Arial" w:hAnsi="Arial" w:cs="Arial"/>
          <w:bCs/>
        </w:rPr>
        <w:t>ing</w:t>
      </w:r>
      <w:r w:rsidR="00E56368" w:rsidRPr="00E56368">
        <w:rPr>
          <w:rFonts w:ascii="Arial" w:hAnsi="Arial" w:cs="Arial"/>
          <w:bCs/>
        </w:rPr>
        <w:t xml:space="preserve"> and equipp</w:t>
      </w:r>
      <w:r w:rsidR="00E56368">
        <w:rPr>
          <w:rFonts w:ascii="Arial" w:hAnsi="Arial" w:cs="Arial"/>
          <w:bCs/>
        </w:rPr>
        <w:t>ing</w:t>
      </w:r>
      <w:r w:rsidR="00E56368" w:rsidRPr="00E56368">
        <w:rPr>
          <w:rFonts w:ascii="Arial" w:hAnsi="Arial" w:cs="Arial"/>
          <w:bCs/>
        </w:rPr>
        <w:t xml:space="preserve"> rescuers</w:t>
      </w:r>
      <w:r w:rsidRPr="00EB53AD">
        <w:rPr>
          <w:rFonts w:ascii="Arial" w:hAnsi="Arial" w:cs="Arial"/>
          <w:bCs/>
        </w:rPr>
        <w:t>.</w:t>
      </w:r>
    </w:p>
    <w:p w14:paraId="0DDF9819" w14:textId="77777777" w:rsidR="00EC20AB" w:rsidRPr="00EB53AD" w:rsidRDefault="00EC20AB" w:rsidP="00EC20AB">
      <w:pPr>
        <w:jc w:val="left"/>
        <w:rPr>
          <w:rFonts w:ascii="Arial" w:hAnsi="Arial" w:cs="Arial"/>
        </w:rPr>
      </w:pPr>
    </w:p>
    <w:p w14:paraId="55DA9E91" w14:textId="77777777" w:rsidR="00EC20AB" w:rsidRPr="00EB53AD" w:rsidRDefault="00EC20AB" w:rsidP="00EC20AB">
      <w:pPr>
        <w:jc w:val="left"/>
        <w:rPr>
          <w:rFonts w:ascii="Arial" w:eastAsia="Times New Roman" w:hAnsi="Arial" w:cs="Arial"/>
          <w:b/>
          <w:bCs/>
          <w:u w:val="single"/>
        </w:rPr>
      </w:pPr>
      <w:r w:rsidRPr="00EB53AD">
        <w:rPr>
          <w:rFonts w:ascii="Arial" w:eastAsia="Times New Roman" w:hAnsi="Arial" w:cs="Arial"/>
          <w:b/>
          <w:bCs/>
          <w:u w:val="single"/>
        </w:rPr>
        <w:t xml:space="preserve">Governance and Reporting </w:t>
      </w:r>
    </w:p>
    <w:p w14:paraId="3F021650" w14:textId="3EEDE4F8" w:rsidR="00EC20AB" w:rsidRPr="00EB53AD" w:rsidRDefault="00EC20AB" w:rsidP="00EC20AB">
      <w:pPr>
        <w:jc w:val="left"/>
        <w:rPr>
          <w:rFonts w:ascii="Arial" w:eastAsiaTheme="minorHAnsi" w:hAnsi="Arial" w:cs="Arial"/>
          <w:lang w:eastAsia="en-US"/>
        </w:rPr>
      </w:pPr>
      <w:r w:rsidRPr="00EB53AD">
        <w:rPr>
          <w:rFonts w:ascii="Arial" w:eastAsia="Times New Roman" w:hAnsi="Arial" w:cs="Arial"/>
          <w:lang w:eastAsia="en-US"/>
        </w:rPr>
        <w:t>Our Responsible Business Committee (RBC) of Kingfisher’s Board</w:t>
      </w:r>
      <w:r w:rsidR="00A80E96">
        <w:rPr>
          <w:rFonts w:ascii="Arial" w:eastAsia="Times New Roman" w:hAnsi="Arial" w:cs="Arial"/>
          <w:lang w:eastAsia="en-US"/>
        </w:rPr>
        <w:t xml:space="preserve"> </w:t>
      </w:r>
      <w:r w:rsidRPr="00EB53AD">
        <w:rPr>
          <w:rFonts w:ascii="Arial" w:eastAsia="Times New Roman" w:hAnsi="Arial" w:cs="Arial"/>
          <w:lang w:eastAsia="en-US"/>
        </w:rPr>
        <w:t>supports the governance of Responsible Business and monitors performance against our priorities.</w:t>
      </w:r>
      <w:r w:rsidRPr="00EB53AD">
        <w:rPr>
          <w:rFonts w:ascii="Arial" w:eastAsiaTheme="minorHAnsi" w:hAnsi="Arial" w:cs="Arial"/>
          <w:lang w:eastAsia="en-US"/>
        </w:rPr>
        <w:t xml:space="preserve"> The RBC is chaired by Sophie Gasperment, a non-executive director (NED) of the Board, and includes a further NED, our Group CEO, and other members of the Group Executive.</w:t>
      </w:r>
    </w:p>
    <w:p w14:paraId="4E1EDBA5" w14:textId="77777777" w:rsidR="00EC20AB" w:rsidRPr="00EB53AD" w:rsidRDefault="00EC20AB" w:rsidP="00EC20AB">
      <w:pPr>
        <w:jc w:val="left"/>
        <w:rPr>
          <w:rFonts w:ascii="Arial" w:eastAsiaTheme="minorHAnsi" w:hAnsi="Arial" w:cs="Arial"/>
          <w:lang w:eastAsia="en-US"/>
        </w:rPr>
      </w:pPr>
    </w:p>
    <w:p w14:paraId="10DD27F4" w14:textId="4B2849C7" w:rsidR="00EC20AB" w:rsidRPr="00EB53AD" w:rsidRDefault="003D6280" w:rsidP="003D6280">
      <w:pPr>
        <w:jc w:val="left"/>
        <w:rPr>
          <w:rFonts w:ascii="Arial" w:eastAsiaTheme="minorHAnsi" w:hAnsi="Arial" w:cs="Arial"/>
          <w:bCs/>
          <w:lang w:eastAsia="en-US"/>
        </w:rPr>
      </w:pPr>
      <w:r w:rsidRPr="003D6280">
        <w:rPr>
          <w:rFonts w:ascii="Arial" w:eastAsiaTheme="minorHAnsi" w:hAnsi="Arial" w:cs="Arial"/>
          <w:bCs/>
          <w:lang w:eastAsia="en-US"/>
        </w:rPr>
        <w:t xml:space="preserve">The Group Ethics </w:t>
      </w:r>
      <w:r>
        <w:rPr>
          <w:rFonts w:ascii="Arial" w:eastAsiaTheme="minorHAnsi" w:hAnsi="Arial" w:cs="Arial"/>
          <w:bCs/>
          <w:lang w:eastAsia="en-US"/>
        </w:rPr>
        <w:t>and</w:t>
      </w:r>
      <w:r w:rsidRPr="003D6280">
        <w:rPr>
          <w:rFonts w:ascii="Arial" w:eastAsiaTheme="minorHAnsi" w:hAnsi="Arial" w:cs="Arial"/>
          <w:bCs/>
          <w:lang w:eastAsia="en-US"/>
        </w:rPr>
        <w:t xml:space="preserve"> Compliance Committee (GECC), created in 2020, oversees the implementation of critical </w:t>
      </w:r>
      <w:r>
        <w:rPr>
          <w:rFonts w:ascii="Arial" w:eastAsiaTheme="minorHAnsi" w:hAnsi="Arial" w:cs="Arial"/>
          <w:bCs/>
          <w:lang w:eastAsia="en-US"/>
        </w:rPr>
        <w:t>c</w:t>
      </w:r>
      <w:r w:rsidRPr="003D6280">
        <w:rPr>
          <w:rFonts w:ascii="Arial" w:eastAsiaTheme="minorHAnsi" w:hAnsi="Arial" w:cs="Arial"/>
          <w:bCs/>
          <w:lang w:eastAsia="en-US"/>
        </w:rPr>
        <w:t xml:space="preserve">ompliance initiatives, sensitive investigations and KPIs, supported by </w:t>
      </w:r>
      <w:r w:rsidR="007025DD">
        <w:rPr>
          <w:rFonts w:ascii="Arial" w:eastAsiaTheme="minorHAnsi" w:hAnsi="Arial" w:cs="Arial"/>
          <w:bCs/>
          <w:lang w:eastAsia="en-US"/>
        </w:rPr>
        <w:t>b</w:t>
      </w:r>
      <w:r w:rsidRPr="003D6280">
        <w:rPr>
          <w:rFonts w:ascii="Arial" w:eastAsiaTheme="minorHAnsi" w:hAnsi="Arial" w:cs="Arial"/>
          <w:bCs/>
          <w:lang w:eastAsia="en-US"/>
        </w:rPr>
        <w:t xml:space="preserve">anner-level </w:t>
      </w:r>
      <w:r w:rsidR="007025DD">
        <w:rPr>
          <w:rFonts w:ascii="Arial" w:eastAsiaTheme="minorHAnsi" w:hAnsi="Arial" w:cs="Arial"/>
          <w:bCs/>
          <w:lang w:eastAsia="en-US"/>
        </w:rPr>
        <w:t>c</w:t>
      </w:r>
      <w:r w:rsidRPr="003D6280">
        <w:rPr>
          <w:rFonts w:ascii="Arial" w:eastAsiaTheme="minorHAnsi" w:hAnsi="Arial" w:cs="Arial"/>
          <w:bCs/>
          <w:lang w:eastAsia="en-US"/>
        </w:rPr>
        <w:t xml:space="preserve">ommittees. The Group Committee is chaired by our Group CFO. </w:t>
      </w:r>
      <w:r w:rsidR="00EC20AB" w:rsidRPr="00EB53AD">
        <w:rPr>
          <w:rFonts w:ascii="Arial" w:eastAsiaTheme="minorHAnsi" w:hAnsi="Arial" w:cs="Arial"/>
          <w:bCs/>
          <w:lang w:eastAsia="en-US"/>
        </w:rPr>
        <w:t xml:space="preserve">In July 2022, we established a Group Climate </w:t>
      </w:r>
      <w:r w:rsidR="00EC20AB" w:rsidRPr="00EB53AD">
        <w:rPr>
          <w:rFonts w:ascii="Arial" w:eastAsiaTheme="minorHAnsi" w:hAnsi="Arial" w:cs="Arial"/>
          <w:bCs/>
          <w:lang w:eastAsia="en-US"/>
        </w:rPr>
        <w:lastRenderedPageBreak/>
        <w:t>Committee</w:t>
      </w:r>
      <w:r w:rsidR="007408AE">
        <w:rPr>
          <w:rFonts w:ascii="Arial" w:eastAsiaTheme="minorHAnsi" w:hAnsi="Arial" w:cs="Arial"/>
          <w:bCs/>
          <w:lang w:eastAsia="en-US"/>
        </w:rPr>
        <w:t xml:space="preserve"> (GCC)</w:t>
      </w:r>
      <w:r w:rsidR="00EC20AB" w:rsidRPr="00EB53AD">
        <w:rPr>
          <w:rFonts w:ascii="Arial" w:eastAsiaTheme="minorHAnsi" w:hAnsi="Arial" w:cs="Arial"/>
          <w:bCs/>
          <w:lang w:eastAsia="en-US"/>
        </w:rPr>
        <w:t xml:space="preserve">, </w:t>
      </w:r>
      <w:r w:rsidR="00A777EC" w:rsidRPr="0029561D">
        <w:rPr>
          <w:rFonts w:ascii="Arial" w:eastAsia="Times New Roman" w:hAnsi="Arial" w:cs="Arial"/>
          <w:lang w:eastAsia="en-US"/>
        </w:rPr>
        <w:t>a sub-committee of the Group Executive</w:t>
      </w:r>
      <w:r w:rsidR="00A777EC">
        <w:rPr>
          <w:rFonts w:ascii="Arial" w:eastAsia="Times New Roman" w:hAnsi="Arial" w:cs="Arial"/>
          <w:lang w:eastAsia="en-US"/>
        </w:rPr>
        <w:t xml:space="preserve">, </w:t>
      </w:r>
      <w:r w:rsidR="00EC20AB" w:rsidRPr="00EB53AD">
        <w:rPr>
          <w:rFonts w:ascii="Arial" w:eastAsiaTheme="minorHAnsi" w:hAnsi="Arial" w:cs="Arial"/>
          <w:bCs/>
          <w:lang w:eastAsia="en-US"/>
        </w:rPr>
        <w:t xml:space="preserve">with the primary purpose to agree and monitor the </w:t>
      </w:r>
      <w:r w:rsidR="00BB3553">
        <w:rPr>
          <w:rFonts w:ascii="Arial" w:eastAsiaTheme="minorHAnsi" w:hAnsi="Arial" w:cs="Arial"/>
          <w:bCs/>
          <w:lang w:eastAsia="en-US"/>
        </w:rPr>
        <w:t>Group</w:t>
      </w:r>
      <w:r w:rsidR="00BB3553" w:rsidRPr="00EB53AD">
        <w:rPr>
          <w:rFonts w:ascii="Arial" w:eastAsiaTheme="minorHAnsi" w:hAnsi="Arial" w:cs="Arial"/>
          <w:bCs/>
          <w:lang w:eastAsia="en-US"/>
        </w:rPr>
        <w:t xml:space="preserve">’s </w:t>
      </w:r>
      <w:r w:rsidR="00EC20AB" w:rsidRPr="00EB53AD">
        <w:rPr>
          <w:rFonts w:ascii="Arial" w:eastAsiaTheme="minorHAnsi" w:hAnsi="Arial" w:cs="Arial"/>
          <w:bCs/>
          <w:lang w:eastAsia="en-US"/>
        </w:rPr>
        <w:t xml:space="preserve">approach to </w:t>
      </w:r>
      <w:r w:rsidR="00EC20AB" w:rsidRPr="005D6FF5">
        <w:rPr>
          <w:rFonts w:ascii="Arial" w:hAnsi="Arial"/>
        </w:rPr>
        <w:t xml:space="preserve">meeting its emission reduction commitments for 2025 and 2040, climate-related external reporting, and </w:t>
      </w:r>
      <w:r w:rsidR="00EC20AB" w:rsidRPr="00EB53AD">
        <w:rPr>
          <w:rFonts w:ascii="Arial" w:eastAsiaTheme="minorHAnsi" w:hAnsi="Arial" w:cs="Arial"/>
          <w:bCs/>
          <w:lang w:eastAsia="en-US"/>
        </w:rPr>
        <w:t>assessing and managing climate-related risks. The Committee is chaired by our Group CEO</w:t>
      </w:r>
      <w:r w:rsidR="003F11A6">
        <w:rPr>
          <w:rFonts w:ascii="Arial" w:eastAsiaTheme="minorHAnsi" w:hAnsi="Arial" w:cs="Arial"/>
          <w:bCs/>
          <w:lang w:eastAsia="en-US"/>
        </w:rPr>
        <w:t xml:space="preserve"> </w:t>
      </w:r>
      <w:r w:rsidR="003F11A6" w:rsidRPr="599DED78">
        <w:rPr>
          <w:rFonts w:ascii="Arial" w:eastAsiaTheme="minorEastAsia" w:hAnsi="Arial" w:cs="Arial"/>
          <w:lang w:eastAsia="en-US"/>
        </w:rPr>
        <w:t>and includes other members of the Group Executive</w:t>
      </w:r>
      <w:r w:rsidR="00EC20AB" w:rsidRPr="00EB53AD">
        <w:rPr>
          <w:rFonts w:ascii="Arial" w:eastAsiaTheme="minorHAnsi" w:hAnsi="Arial" w:cs="Arial"/>
          <w:bCs/>
          <w:lang w:eastAsia="en-US"/>
        </w:rPr>
        <w:t xml:space="preserve">. </w:t>
      </w:r>
    </w:p>
    <w:p w14:paraId="0F527B68" w14:textId="77777777" w:rsidR="00EC20AB" w:rsidRPr="00EB53AD" w:rsidRDefault="00EC20AB" w:rsidP="00EC20AB">
      <w:pPr>
        <w:jc w:val="left"/>
        <w:rPr>
          <w:rFonts w:ascii="Arial" w:eastAsiaTheme="minorHAnsi" w:hAnsi="Arial" w:cs="Arial"/>
          <w:lang w:eastAsia="en-US"/>
        </w:rPr>
      </w:pPr>
    </w:p>
    <w:p w14:paraId="6A550E5C" w14:textId="77777777" w:rsidR="00EC20AB" w:rsidRPr="00EB53AD" w:rsidRDefault="00EC20AB" w:rsidP="00EC20AB">
      <w:pPr>
        <w:pStyle w:val="ListParagraph"/>
        <w:ind w:left="0"/>
        <w:jc w:val="left"/>
        <w:rPr>
          <w:rFonts w:ascii="Arial" w:hAnsi="Arial" w:cs="Arial"/>
        </w:rPr>
      </w:pPr>
      <w:r w:rsidRPr="00EB53AD">
        <w:rPr>
          <w:rFonts w:ascii="Arial" w:hAnsi="Arial" w:cs="Arial"/>
        </w:rPr>
        <w:t>Responsible Business measures are integrated into our long-term incentive plan (known as the Kingfisher Performance Share Plan), which is granted to members of our senior leadership team. The performance conditions attached to the vesting of awards include 25% weighting on ESG measures. More information on this will be provided in our 2022/23 Annual Report and Accounts.</w:t>
      </w:r>
    </w:p>
    <w:p w14:paraId="5C14C77F" w14:textId="77777777" w:rsidR="00EC20AB" w:rsidRPr="00EB53AD" w:rsidRDefault="00EC20AB" w:rsidP="00EC20AB">
      <w:pPr>
        <w:jc w:val="left"/>
        <w:rPr>
          <w:rFonts w:ascii="Arial" w:eastAsiaTheme="minorHAnsi" w:hAnsi="Arial" w:cs="Arial"/>
          <w:lang w:eastAsia="en-US"/>
        </w:rPr>
      </w:pPr>
    </w:p>
    <w:p w14:paraId="24363871" w14:textId="77777777" w:rsidR="00EC20AB" w:rsidRPr="00EB53AD" w:rsidRDefault="00EC20AB" w:rsidP="00EC20AB">
      <w:pPr>
        <w:pStyle w:val="ListParagraph"/>
        <w:ind w:left="0"/>
        <w:jc w:val="left"/>
        <w:rPr>
          <w:rFonts w:ascii="Arial" w:hAnsi="Arial" w:cs="Arial"/>
        </w:rPr>
      </w:pPr>
      <w:r w:rsidRPr="00EB53AD">
        <w:rPr>
          <w:rFonts w:ascii="Arial" w:hAnsi="Arial" w:cs="Arial"/>
        </w:rPr>
        <w:t xml:space="preserve">Kingfisher has a £550m sustainability-linked revolving credit facility, which enables us to benefit from a lower interest rate when we deliver on ambitious sustainability and community-based targets under the Group’s Responsible Business plan. </w:t>
      </w:r>
    </w:p>
    <w:p w14:paraId="4F2010B4" w14:textId="77777777" w:rsidR="00EC20AB" w:rsidRPr="00EB53AD" w:rsidRDefault="00EC20AB" w:rsidP="00EC20AB">
      <w:pPr>
        <w:jc w:val="left"/>
        <w:rPr>
          <w:rFonts w:ascii="Arial" w:hAnsi="Arial" w:cs="Arial"/>
        </w:rPr>
      </w:pPr>
    </w:p>
    <w:p w14:paraId="1C2DB870" w14:textId="77777777" w:rsidR="00EC20AB" w:rsidRPr="00EB53AD" w:rsidRDefault="00EC20AB" w:rsidP="00EC20AB">
      <w:pPr>
        <w:jc w:val="left"/>
        <w:rPr>
          <w:rFonts w:ascii="Arial" w:hAnsi="Arial" w:cs="Arial"/>
        </w:rPr>
      </w:pPr>
      <w:r w:rsidRPr="00EB53AD">
        <w:rPr>
          <w:rFonts w:ascii="Arial" w:hAnsi="Arial" w:cs="Arial"/>
          <w:bCs/>
        </w:rPr>
        <w:t xml:space="preserve">We align our reporting with the </w:t>
      </w:r>
      <w:r w:rsidRPr="00EB53AD">
        <w:rPr>
          <w:rFonts w:ascii="Arial" w:hAnsi="Arial" w:cs="Arial"/>
          <w:b/>
        </w:rPr>
        <w:t>Sustainability Accounting Standards Board (SASB)</w:t>
      </w:r>
      <w:r w:rsidRPr="00EB53AD">
        <w:rPr>
          <w:rFonts w:ascii="Arial" w:hAnsi="Arial" w:cs="Arial"/>
          <w:bCs/>
        </w:rPr>
        <w:t xml:space="preserve"> standards for Multiline and Speciality Retailers and Distributors, and the </w:t>
      </w:r>
      <w:r w:rsidRPr="00EB53AD">
        <w:rPr>
          <w:rFonts w:ascii="Arial" w:hAnsi="Arial" w:cs="Arial"/>
          <w:lang w:eastAsia="zh-CN"/>
        </w:rPr>
        <w:t>Global Reporting Initiative (GRI).</w:t>
      </w:r>
      <w:r w:rsidRPr="00EB53AD">
        <w:rPr>
          <w:rFonts w:ascii="Arial" w:hAnsi="Arial" w:cs="Arial"/>
          <w:bCs/>
        </w:rPr>
        <w:t xml:space="preserve"> Furthermore, </w:t>
      </w:r>
      <w:r w:rsidRPr="00EB53AD">
        <w:rPr>
          <w:rFonts w:ascii="Arial" w:hAnsi="Arial" w:cs="Arial"/>
        </w:rPr>
        <w:t xml:space="preserve">we have been working to improve our understanding of the financial impacts of climate-related risks and opportunities, in line with the approach set out by the </w:t>
      </w:r>
      <w:r w:rsidRPr="00EB53AD">
        <w:rPr>
          <w:rFonts w:ascii="Arial" w:hAnsi="Arial" w:cs="Arial"/>
          <w:b/>
          <w:bCs/>
        </w:rPr>
        <w:t>Task Force on Climate-related Financial Disclosures (TCFD)</w:t>
      </w:r>
      <w:r w:rsidRPr="00EB53AD">
        <w:rPr>
          <w:rFonts w:ascii="Arial" w:hAnsi="Arial" w:cs="Arial"/>
        </w:rPr>
        <w:t xml:space="preserve">. Further information will be provided in our 2022/23 Annual Report and Accounts. </w:t>
      </w:r>
    </w:p>
    <w:p w14:paraId="21095B82" w14:textId="77777777" w:rsidR="00EC20AB" w:rsidRPr="00EB53AD" w:rsidRDefault="00EC20AB" w:rsidP="00EC20AB">
      <w:pPr>
        <w:jc w:val="left"/>
        <w:rPr>
          <w:rFonts w:ascii="Arial" w:eastAsia="Times New Roman" w:hAnsi="Arial" w:cs="Arial"/>
          <w:lang w:eastAsia="en-US"/>
        </w:rPr>
      </w:pPr>
    </w:p>
    <w:p w14:paraId="7F085441" w14:textId="77777777" w:rsidR="00EC20AB" w:rsidRPr="00EB53AD" w:rsidRDefault="00EC20AB" w:rsidP="00EC20AB">
      <w:pPr>
        <w:jc w:val="left"/>
        <w:rPr>
          <w:rFonts w:ascii="Arial" w:hAnsi="Arial" w:cs="Arial"/>
        </w:rPr>
      </w:pPr>
      <w:r w:rsidRPr="00EB53AD">
        <w:rPr>
          <w:rFonts w:ascii="Arial" w:hAnsi="Arial" w:cs="Arial"/>
        </w:rPr>
        <w:t>We continue to rank highly in external benchmarks and indices, including:</w:t>
      </w:r>
    </w:p>
    <w:p w14:paraId="7D952D22" w14:textId="77777777" w:rsidR="00EC20AB" w:rsidRPr="00EB53AD" w:rsidRDefault="00EC20AB" w:rsidP="00EC20AB">
      <w:pPr>
        <w:jc w:val="left"/>
        <w:rPr>
          <w:rFonts w:ascii="Arial" w:hAnsi="Arial" w:cs="Arial"/>
        </w:rPr>
      </w:pPr>
    </w:p>
    <w:p w14:paraId="5EF1645D" w14:textId="77777777"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
        </w:rPr>
        <w:t>MSCI:</w:t>
      </w:r>
      <w:r w:rsidRPr="00EB53AD">
        <w:rPr>
          <w:rFonts w:ascii="Arial" w:hAnsi="Arial" w:cs="Arial"/>
          <w:bCs/>
        </w:rPr>
        <w:t xml:space="preserve"> We rank as a ‘Leader’, having received the highest-possible ‘AAA’ score, which was achieved by only 5% of companies in the </w:t>
      </w:r>
      <w:r w:rsidRPr="00EB53AD">
        <w:rPr>
          <w:rFonts w:ascii="Arial" w:hAnsi="Arial" w:cs="Arial"/>
          <w:bCs/>
          <w:i/>
          <w:iCs/>
        </w:rPr>
        <w:t>Retail – Consumer Discretionary</w:t>
      </w:r>
      <w:r w:rsidRPr="00EB53AD">
        <w:rPr>
          <w:rFonts w:ascii="Arial" w:hAnsi="Arial" w:cs="Arial"/>
          <w:bCs/>
        </w:rPr>
        <w:t xml:space="preserve"> sector.</w:t>
      </w:r>
    </w:p>
    <w:p w14:paraId="6DA43D17" w14:textId="77777777"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
        </w:rPr>
        <w:t>CDP Climate Change:</w:t>
      </w:r>
      <w:r w:rsidRPr="00EB53AD">
        <w:rPr>
          <w:rFonts w:ascii="Arial" w:hAnsi="Arial" w:cs="Arial"/>
          <w:bCs/>
        </w:rPr>
        <w:t xml:space="preserve"> We improved our performance to achieve a leadership score of ‘A’ (previously ‘A-’). We are amongst fewer than 300 companies globally that achieved an ‘A’ grading in 2022 and we score higher than the average </w:t>
      </w:r>
      <w:r w:rsidRPr="00EB53AD">
        <w:rPr>
          <w:rFonts w:ascii="Arial" w:hAnsi="Arial" w:cs="Arial"/>
        </w:rPr>
        <w:t>discretionary</w:t>
      </w:r>
      <w:r w:rsidRPr="00EB53AD">
        <w:rPr>
          <w:rFonts w:ascii="Arial" w:hAnsi="Arial" w:cs="Arial"/>
          <w:bCs/>
        </w:rPr>
        <w:t xml:space="preserve"> retail performance of ‘C’. </w:t>
      </w:r>
    </w:p>
    <w:p w14:paraId="50C89E7B" w14:textId="63A33134"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
        </w:rPr>
        <w:t>Sustainalytics:</w:t>
      </w:r>
      <w:r w:rsidRPr="00EB53AD">
        <w:rPr>
          <w:rFonts w:ascii="Arial" w:hAnsi="Arial" w:cs="Arial"/>
          <w:bCs/>
        </w:rPr>
        <w:t xml:space="preserve"> We continue to rank highly when compared against our sector peers – ranked second out of 43 in home improvement retail and fourth out of 48</w:t>
      </w:r>
      <w:r w:rsidR="00126729">
        <w:rPr>
          <w:rFonts w:ascii="Arial" w:hAnsi="Arial" w:cs="Arial"/>
          <w:bCs/>
        </w:rPr>
        <w:t>7</w:t>
      </w:r>
      <w:r w:rsidRPr="00EB53AD">
        <w:rPr>
          <w:rFonts w:ascii="Arial" w:hAnsi="Arial" w:cs="Arial"/>
          <w:bCs/>
        </w:rPr>
        <w:t xml:space="preserve"> in the wider retailing industry.</w:t>
      </w:r>
    </w:p>
    <w:p w14:paraId="3B74A9BA" w14:textId="77777777"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
        </w:rPr>
        <w:t>Workforce Disclosure Initiative:</w:t>
      </w:r>
      <w:r w:rsidRPr="00EB53AD">
        <w:rPr>
          <w:rFonts w:ascii="Arial" w:hAnsi="Arial" w:cs="Arial"/>
          <w:bCs/>
        </w:rPr>
        <w:t xml:space="preserve"> We received a disclosure score of 81%, which is ahead of the average </w:t>
      </w:r>
      <w:r w:rsidRPr="00EB53AD">
        <w:rPr>
          <w:rFonts w:ascii="Arial" w:hAnsi="Arial" w:cs="Arial"/>
        </w:rPr>
        <w:t xml:space="preserve">consumer discretionary </w:t>
      </w:r>
      <w:r w:rsidRPr="00EB53AD">
        <w:rPr>
          <w:rFonts w:ascii="Arial" w:hAnsi="Arial" w:cs="Arial"/>
          <w:bCs/>
        </w:rPr>
        <w:t>sector score of 66% and average disclosure score (all companies) of 68%.</w:t>
      </w:r>
    </w:p>
    <w:p w14:paraId="05A024A2" w14:textId="77777777"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
        </w:rPr>
        <w:t>ISS ESG Corporate Rating:</w:t>
      </w:r>
      <w:r w:rsidRPr="00EB53AD">
        <w:rPr>
          <w:rFonts w:ascii="Arial" w:hAnsi="Arial" w:cs="Arial"/>
          <w:bCs/>
        </w:rPr>
        <w:t xml:space="preserve"> We achieved a ‘C+’ rating. This is supported by our ‘Prime’ status, which is given to companies that are perceived to be sustainability leaders in their industry.</w:t>
      </w:r>
    </w:p>
    <w:p w14:paraId="6BAA0914" w14:textId="77777777"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
        </w:rPr>
        <w:t>FTSE4Good:</w:t>
      </w:r>
      <w:r w:rsidRPr="00EB53AD">
        <w:rPr>
          <w:rFonts w:ascii="Arial" w:hAnsi="Arial" w:cs="Arial"/>
          <w:bCs/>
        </w:rPr>
        <w:t xml:space="preserve"> Kingfisher is included in this index, with a rating of 4.6 out of 5 (‘Strong’ performance).</w:t>
      </w:r>
    </w:p>
    <w:p w14:paraId="752B473D" w14:textId="77777777" w:rsidR="00EC20AB" w:rsidRPr="00EB53AD" w:rsidRDefault="00EC20AB" w:rsidP="00EC20AB">
      <w:pPr>
        <w:jc w:val="left"/>
        <w:rPr>
          <w:rFonts w:ascii="Arial" w:hAnsi="Arial" w:cs="Arial"/>
        </w:rPr>
      </w:pPr>
    </w:p>
    <w:p w14:paraId="1858DC7C" w14:textId="77777777" w:rsidR="00EC20AB" w:rsidRPr="00EB53AD" w:rsidRDefault="00EC20AB" w:rsidP="00EC20AB">
      <w:pPr>
        <w:jc w:val="left"/>
        <w:rPr>
          <w:rFonts w:ascii="Arial" w:hAnsi="Arial" w:cs="Arial"/>
        </w:rPr>
      </w:pPr>
      <w:bookmarkStart w:id="39" w:name="_Hlk97136887"/>
      <w:r w:rsidRPr="00EB53AD">
        <w:rPr>
          <w:rFonts w:ascii="Arial" w:hAnsi="Arial" w:cs="Arial"/>
        </w:rPr>
        <w:t xml:space="preserve">For further information on our Responsible Business strategy, performance and governance, please visit the Responsible Business section of our website at </w:t>
      </w:r>
      <w:hyperlink r:id="rId17" w:history="1">
        <w:r w:rsidRPr="00EB53AD">
          <w:rPr>
            <w:rStyle w:val="Hyperlink"/>
            <w:rFonts w:ascii="Arial" w:hAnsi="Arial" w:cs="Arial"/>
          </w:rPr>
          <w:t>www.kingfisher.com</w:t>
        </w:r>
      </w:hyperlink>
      <w:r w:rsidRPr="00EB53AD">
        <w:rPr>
          <w:rFonts w:ascii="Arial" w:hAnsi="Arial" w:cs="Arial"/>
        </w:rPr>
        <w:t>, and our FY 22/23 Responsible Business Report (due to be published in Q2).</w:t>
      </w:r>
      <w:bookmarkEnd w:id="39"/>
    </w:p>
    <w:p w14:paraId="240F3520" w14:textId="77777777" w:rsidR="00EC20AB" w:rsidRPr="00EB53AD" w:rsidRDefault="00EC20AB" w:rsidP="00EC20AB">
      <w:pPr>
        <w:jc w:val="left"/>
        <w:rPr>
          <w:rFonts w:ascii="Arial" w:hAnsi="Arial" w:cs="Arial"/>
        </w:rPr>
      </w:pPr>
    </w:p>
    <w:p w14:paraId="7675C950" w14:textId="77777777" w:rsidR="00EC20AB" w:rsidRPr="00EB53AD" w:rsidRDefault="00EC20AB" w:rsidP="00EC20AB">
      <w:pPr>
        <w:pStyle w:val="ListParagraph"/>
        <w:numPr>
          <w:ilvl w:val="0"/>
          <w:numId w:val="23"/>
        </w:numPr>
        <w:contextualSpacing/>
        <w:jc w:val="left"/>
        <w:rPr>
          <w:rFonts w:ascii="Arial" w:hAnsi="Arial" w:cs="Arial"/>
          <w:b/>
        </w:rPr>
      </w:pPr>
      <w:r w:rsidRPr="00EB53AD">
        <w:rPr>
          <w:rFonts w:ascii="Arial" w:hAnsi="Arial" w:cs="Arial"/>
          <w:b/>
          <w:u w:val="single"/>
        </w:rPr>
        <w:t>Human, agile and lean</w:t>
      </w:r>
    </w:p>
    <w:p w14:paraId="1FB90736" w14:textId="4307AC63" w:rsidR="00EC20AB" w:rsidRPr="00EB53AD" w:rsidRDefault="00EC20AB" w:rsidP="00EC20AB">
      <w:pPr>
        <w:jc w:val="left"/>
        <w:rPr>
          <w:rFonts w:ascii="Arial" w:eastAsia="Times New Roman" w:hAnsi="Arial" w:cs="Arial"/>
          <w:i/>
          <w:iCs/>
        </w:rPr>
      </w:pPr>
      <w:r w:rsidRPr="00EB53AD">
        <w:rPr>
          <w:rFonts w:ascii="Arial" w:hAnsi="Arial" w:cs="Arial"/>
          <w:bCs/>
          <w:i/>
          <w:iCs/>
        </w:rPr>
        <w:t xml:space="preserve">To deliver the best possible service to our customers and ensure our colleagues </w:t>
      </w:r>
      <w:r w:rsidR="00710882">
        <w:rPr>
          <w:rFonts w:ascii="Arial" w:hAnsi="Arial" w:cs="Arial"/>
          <w:bCs/>
          <w:i/>
          <w:iCs/>
        </w:rPr>
        <w:t xml:space="preserve">are </w:t>
      </w:r>
      <w:r w:rsidRPr="00EB53AD">
        <w:rPr>
          <w:rFonts w:ascii="Arial" w:hAnsi="Arial" w:cs="Arial"/>
          <w:bCs/>
          <w:i/>
          <w:iCs/>
        </w:rPr>
        <w:t xml:space="preserve">engaged, </w:t>
      </w:r>
      <w:r w:rsidR="00095AAE">
        <w:rPr>
          <w:rFonts w:ascii="Arial" w:hAnsi="Arial" w:cs="Arial"/>
          <w:bCs/>
          <w:i/>
          <w:iCs/>
        </w:rPr>
        <w:t xml:space="preserve">fulfilled </w:t>
      </w:r>
      <w:r w:rsidRPr="00EB53AD">
        <w:rPr>
          <w:rFonts w:ascii="Arial" w:hAnsi="Arial" w:cs="Arial"/>
          <w:bCs/>
          <w:i/>
          <w:iCs/>
        </w:rPr>
        <w:t xml:space="preserve">and able to realise their full potential, we are building a culture based on trust, agility, inclusion and curiosity. </w:t>
      </w:r>
      <w:r w:rsidRPr="00EB53AD">
        <w:rPr>
          <w:rFonts w:ascii="Arial" w:hAnsi="Arial" w:cs="Arial"/>
          <w:i/>
          <w:iCs/>
        </w:rPr>
        <w:t xml:space="preserve">We </w:t>
      </w:r>
      <w:r w:rsidR="009A3E24">
        <w:rPr>
          <w:rFonts w:ascii="Arial" w:hAnsi="Arial" w:cs="Arial"/>
          <w:i/>
          <w:iCs/>
        </w:rPr>
        <w:t xml:space="preserve">are </w:t>
      </w:r>
      <w:r w:rsidRPr="00EB53AD">
        <w:rPr>
          <w:rFonts w:ascii="Arial" w:hAnsi="Arial" w:cs="Arial"/>
          <w:i/>
          <w:iCs/>
        </w:rPr>
        <w:t>adopt</w:t>
      </w:r>
      <w:r w:rsidR="009A3E24">
        <w:rPr>
          <w:rFonts w:ascii="Arial" w:hAnsi="Arial" w:cs="Arial"/>
          <w:i/>
          <w:iCs/>
        </w:rPr>
        <w:t>ing</w:t>
      </w:r>
      <w:r w:rsidRPr="00EB53AD">
        <w:rPr>
          <w:rFonts w:ascii="Arial" w:hAnsi="Arial" w:cs="Arial"/>
          <w:i/>
          <w:iCs/>
        </w:rPr>
        <w:t xml:space="preserve"> a ‘done is better than perfect’ mindset in order to move faster and with more agility, given the rapidly changing environment in which we do business. We also realise the need to be leaner and more productive, and are making changes to lower our costs and same-store inventories. And through the use of our scale, we expect to extract further value from sourcing and buying.</w:t>
      </w:r>
    </w:p>
    <w:p w14:paraId="185673EB" w14:textId="77777777" w:rsidR="00EC20AB" w:rsidRPr="00EB53AD" w:rsidRDefault="00EC20AB" w:rsidP="00EC20AB">
      <w:pPr>
        <w:jc w:val="left"/>
        <w:rPr>
          <w:rFonts w:ascii="Arial" w:hAnsi="Arial" w:cs="Arial"/>
        </w:rPr>
      </w:pPr>
    </w:p>
    <w:p w14:paraId="47A9B4EB" w14:textId="77777777" w:rsidR="00EC20AB" w:rsidRPr="00EB53AD" w:rsidRDefault="00EC20AB" w:rsidP="00EC20AB">
      <w:pPr>
        <w:contextualSpacing/>
        <w:jc w:val="left"/>
        <w:rPr>
          <w:rFonts w:ascii="Arial" w:hAnsi="Arial" w:cs="Arial"/>
          <w:b/>
          <w:u w:val="single"/>
        </w:rPr>
      </w:pPr>
      <w:r w:rsidRPr="00EB53AD">
        <w:rPr>
          <w:rFonts w:ascii="Arial" w:hAnsi="Arial" w:cs="Arial"/>
          <w:b/>
          <w:u w:val="single"/>
        </w:rPr>
        <w:t>Human and agile</w:t>
      </w:r>
    </w:p>
    <w:p w14:paraId="548E7E33" w14:textId="186D34B9" w:rsidR="00EC20AB" w:rsidRPr="00EB53AD" w:rsidRDefault="00EC20AB" w:rsidP="00EC20AB">
      <w:pPr>
        <w:jc w:val="left"/>
        <w:rPr>
          <w:rFonts w:ascii="Arial" w:hAnsi="Arial" w:cs="Arial"/>
        </w:rPr>
      </w:pPr>
      <w:r w:rsidRPr="00EB53AD">
        <w:rPr>
          <w:rFonts w:ascii="Arial" w:hAnsi="Arial" w:cs="Arial"/>
        </w:rPr>
        <w:t>To support an agile and inclusive culture, led by trust, we are continuing to listen to our colleagues and measure their engagement across the Group, through formal and informal mechanisms. We conducted our most recent Group-wide colleague engagement survey in June 2022. We heard from 83% of colleagues (up 4% versus last year), with colleagues sharing 317,000 comments (up 10%). Our Employee Net Promoter Score (eNPS) of 54 is significantly ahead of the global retail benchmark (+</w:t>
      </w:r>
      <w:r w:rsidR="00397D1D">
        <w:rPr>
          <w:rFonts w:ascii="Arial" w:hAnsi="Arial" w:cs="Arial"/>
        </w:rPr>
        <w:t>1</w:t>
      </w:r>
      <w:r w:rsidRPr="00EB53AD">
        <w:rPr>
          <w:rFonts w:ascii="Arial" w:hAnsi="Arial" w:cs="Arial"/>
        </w:rPr>
        <w:t>6 points</w:t>
      </w:r>
      <w:r w:rsidR="00397D1D">
        <w:rPr>
          <w:rFonts w:ascii="Arial" w:hAnsi="Arial" w:cs="Arial"/>
        </w:rPr>
        <w:t xml:space="preserve"> above the median</w:t>
      </w:r>
      <w:r w:rsidRPr="00EB53AD">
        <w:rPr>
          <w:rFonts w:ascii="Arial" w:hAnsi="Arial" w:cs="Arial"/>
        </w:rPr>
        <w:t xml:space="preserve">), placing us in the top 5% of </w:t>
      </w:r>
      <w:r w:rsidR="00205687">
        <w:rPr>
          <w:rFonts w:ascii="Arial" w:hAnsi="Arial" w:cs="Arial"/>
        </w:rPr>
        <w:t>worldwide</w:t>
      </w:r>
      <w:r w:rsidR="00205687" w:rsidRPr="00EB53AD">
        <w:rPr>
          <w:rFonts w:ascii="Arial" w:hAnsi="Arial" w:cs="Arial"/>
        </w:rPr>
        <w:t xml:space="preserve"> </w:t>
      </w:r>
      <w:r w:rsidRPr="00EB53AD">
        <w:rPr>
          <w:rFonts w:ascii="Arial" w:hAnsi="Arial" w:cs="Arial"/>
        </w:rPr>
        <w:t>retailers.</w:t>
      </w:r>
    </w:p>
    <w:p w14:paraId="798C5AC4" w14:textId="77777777" w:rsidR="00EC20AB" w:rsidRPr="00EB53AD" w:rsidRDefault="00EC20AB" w:rsidP="00EC20AB">
      <w:pPr>
        <w:jc w:val="left"/>
        <w:rPr>
          <w:rFonts w:ascii="Arial" w:hAnsi="Arial" w:cs="Arial"/>
        </w:rPr>
      </w:pPr>
    </w:p>
    <w:p w14:paraId="18831528" w14:textId="77777777" w:rsidR="00EC20AB" w:rsidRPr="00EB53AD" w:rsidRDefault="00EC20AB" w:rsidP="00EC20AB">
      <w:pPr>
        <w:jc w:val="left"/>
        <w:rPr>
          <w:rFonts w:ascii="Arial" w:hAnsi="Arial" w:cs="Arial"/>
        </w:rPr>
      </w:pPr>
      <w:r w:rsidRPr="00EB53AD">
        <w:rPr>
          <w:rFonts w:ascii="Arial" w:hAnsi="Arial" w:cs="Arial"/>
        </w:rPr>
        <w:t xml:space="preserve">In FY 22/23, we launched our new ‘Leadership Behaviours’ framework, which encourages our senior leadership team to embody values including customer centricity, inclusivity, curiosity and agility. </w:t>
      </w:r>
      <w:r w:rsidRPr="00EB53AD">
        <w:rPr>
          <w:rFonts w:ascii="Arial" w:hAnsi="Arial" w:cs="Arial"/>
        </w:rPr>
        <w:lastRenderedPageBreak/>
        <w:t xml:space="preserve">Beginning with our leaders and cascading throughout our workforce, these behaviours capture the key aspects of our culture that will help deliver our strategy. </w:t>
      </w:r>
    </w:p>
    <w:p w14:paraId="77CF4E0F" w14:textId="77777777" w:rsidR="00EC20AB" w:rsidRPr="00EB53AD" w:rsidRDefault="00EC20AB" w:rsidP="00EC20AB">
      <w:pPr>
        <w:jc w:val="left"/>
        <w:rPr>
          <w:rFonts w:ascii="Arial" w:hAnsi="Arial" w:cs="Arial"/>
        </w:rPr>
      </w:pPr>
    </w:p>
    <w:p w14:paraId="66F28DEF" w14:textId="77777777" w:rsidR="00EC20AB" w:rsidRPr="00EB53AD" w:rsidRDefault="00EC20AB" w:rsidP="00EC20AB">
      <w:pPr>
        <w:jc w:val="left"/>
        <w:rPr>
          <w:rFonts w:ascii="Arial" w:hAnsi="Arial" w:cs="Arial"/>
        </w:rPr>
      </w:pPr>
      <w:r w:rsidRPr="00EB53AD">
        <w:rPr>
          <w:rFonts w:ascii="Arial" w:hAnsi="Arial" w:cs="Arial"/>
        </w:rPr>
        <w:t>Strong progress has also been made on delivering our inclusion plans. In FY 22/23, we established a new ‘Inclusion &amp; Diversity Forum’, chaired by the Screwfix CEO, bringing together senior leaders and representatives from our 16 Affinity Networks across the Group to share best practices and further develop our action plans. A UK data collection campaign was also launched during the year across B&amp;Q, Screwfix and Kingfisher head office colleagues, helping us to analyse the inclusivity of our HR policies and systems and help identify where further action may be required to build a fair and equitable culture in the business.</w:t>
      </w:r>
    </w:p>
    <w:p w14:paraId="023BE6AA" w14:textId="77777777" w:rsidR="00EC20AB" w:rsidRPr="00EB53AD" w:rsidRDefault="00EC20AB" w:rsidP="00EC20AB">
      <w:pPr>
        <w:jc w:val="left"/>
        <w:rPr>
          <w:rFonts w:ascii="Arial" w:hAnsi="Arial" w:cs="Arial"/>
        </w:rPr>
      </w:pPr>
    </w:p>
    <w:p w14:paraId="4F0CBD42" w14:textId="308C601F" w:rsidR="00EC20AB" w:rsidRPr="00EB53AD" w:rsidRDefault="00EC20AB" w:rsidP="00EC20AB">
      <w:pPr>
        <w:jc w:val="left"/>
        <w:rPr>
          <w:rFonts w:ascii="Arial" w:hAnsi="Arial" w:cs="Arial"/>
        </w:rPr>
      </w:pPr>
      <w:r w:rsidRPr="00EB53AD">
        <w:rPr>
          <w:rFonts w:ascii="Arial" w:hAnsi="Arial" w:cs="Arial"/>
        </w:rPr>
        <w:t>Since the launch of ‘Powered by Kingfisher’ in September 2019, we have worked to embed our Group-banner operating model to ensure that our banner teams are empowered to deliver for their customers. There continues to be an ongoing focus to embed our ‘done is better than perfect’ culture of experimentation and pace, enabling an agile mindset and building trust between teams.</w:t>
      </w:r>
    </w:p>
    <w:p w14:paraId="36C55AFB" w14:textId="77777777" w:rsidR="00EC20AB" w:rsidRPr="00EB53AD" w:rsidRDefault="00EC20AB" w:rsidP="00EC20AB">
      <w:pPr>
        <w:pStyle w:val="ListParagraph"/>
        <w:ind w:left="0"/>
        <w:jc w:val="left"/>
        <w:rPr>
          <w:rFonts w:ascii="Arial" w:hAnsi="Arial" w:cs="Arial"/>
        </w:rPr>
      </w:pPr>
    </w:p>
    <w:p w14:paraId="4C401D09" w14:textId="4775E4BF" w:rsidR="00EC20AB" w:rsidRPr="00EB53AD" w:rsidRDefault="00EC20AB" w:rsidP="00EC20AB">
      <w:pPr>
        <w:pStyle w:val="ListParagraph"/>
        <w:ind w:left="0"/>
        <w:jc w:val="left"/>
        <w:rPr>
          <w:rFonts w:ascii="Arial" w:hAnsi="Arial" w:cs="Arial"/>
        </w:rPr>
      </w:pPr>
      <w:bookmarkStart w:id="40" w:name="_Hlk129703932"/>
      <w:r w:rsidRPr="00EB53AD">
        <w:rPr>
          <w:rFonts w:ascii="Arial" w:hAnsi="Arial" w:cs="Arial"/>
        </w:rPr>
        <w:t xml:space="preserve">During the year we strengthened our Kingfisher ‘Centres of Excellence’ in supply chain, trade, compact stores, data, technology, </w:t>
      </w:r>
      <w:r w:rsidR="00F41EC4">
        <w:rPr>
          <w:rFonts w:ascii="Arial" w:hAnsi="Arial" w:cs="Arial"/>
        </w:rPr>
        <w:t xml:space="preserve">and </w:t>
      </w:r>
      <w:r w:rsidRPr="00EB53AD">
        <w:rPr>
          <w:rFonts w:ascii="Arial" w:hAnsi="Arial" w:cs="Arial"/>
        </w:rPr>
        <w:t xml:space="preserve">e-commerce </w:t>
      </w:r>
      <w:r w:rsidR="00F41EC4">
        <w:rPr>
          <w:rFonts w:ascii="Arial" w:hAnsi="Arial" w:cs="Arial"/>
        </w:rPr>
        <w:t>&amp;</w:t>
      </w:r>
      <w:r w:rsidR="00F41EC4" w:rsidRPr="00EB53AD">
        <w:rPr>
          <w:rFonts w:ascii="Arial" w:hAnsi="Arial" w:cs="Arial"/>
        </w:rPr>
        <w:t xml:space="preserve"> </w:t>
      </w:r>
      <w:r w:rsidRPr="00EB53AD">
        <w:rPr>
          <w:rFonts w:ascii="Arial" w:hAnsi="Arial" w:cs="Arial"/>
        </w:rPr>
        <w:t xml:space="preserve">marketplace. </w:t>
      </w:r>
      <w:bookmarkEnd w:id="40"/>
      <w:r w:rsidRPr="00EB53AD">
        <w:rPr>
          <w:rFonts w:ascii="Arial" w:hAnsi="Arial" w:cs="Arial"/>
        </w:rPr>
        <w:t>These centres provide technologies, resources and industry-leading best practices to ensure our banners can move with speed and agility – for example, in launching our e-commerce marketplaces at B&amp;Q and Brico Dépôt Iberia in FY 22/23.</w:t>
      </w:r>
    </w:p>
    <w:p w14:paraId="52A6B18B" w14:textId="77777777" w:rsidR="00EC20AB" w:rsidRPr="00EB53AD" w:rsidRDefault="00EC20AB" w:rsidP="00EC20AB">
      <w:pPr>
        <w:pStyle w:val="ListParagraph"/>
        <w:ind w:left="0"/>
        <w:jc w:val="left"/>
        <w:rPr>
          <w:rFonts w:ascii="Arial" w:hAnsi="Arial" w:cs="Arial"/>
        </w:rPr>
      </w:pPr>
    </w:p>
    <w:p w14:paraId="5FF60214" w14:textId="77777777" w:rsidR="00EC20AB" w:rsidRPr="00EB53AD" w:rsidRDefault="00EC20AB" w:rsidP="00EC20AB">
      <w:pPr>
        <w:jc w:val="left"/>
        <w:rPr>
          <w:rFonts w:ascii="Arial" w:hAnsi="Arial" w:cs="Arial"/>
        </w:rPr>
      </w:pPr>
      <w:r w:rsidRPr="00EB53AD">
        <w:rPr>
          <w:rFonts w:ascii="Arial" w:hAnsi="Arial" w:cs="Arial"/>
        </w:rPr>
        <w:t xml:space="preserve">We continue to focus on further strengthening our capability in key areas that will support the delivery of our strategy; for example, in-sourcing a greater proportion of software engineers and recruiting additional expertise in trade and data. </w:t>
      </w:r>
    </w:p>
    <w:p w14:paraId="7BBA9845" w14:textId="77777777" w:rsidR="00EC20AB" w:rsidRPr="00EB53AD" w:rsidRDefault="00EC20AB" w:rsidP="00EC20AB">
      <w:pPr>
        <w:jc w:val="left"/>
        <w:rPr>
          <w:rFonts w:ascii="Arial" w:hAnsi="Arial" w:cs="Arial"/>
        </w:rPr>
      </w:pPr>
    </w:p>
    <w:p w14:paraId="40709B8F" w14:textId="77777777" w:rsidR="00EC20AB" w:rsidRPr="00EB53AD" w:rsidRDefault="00EC20AB" w:rsidP="00EC20AB">
      <w:pPr>
        <w:contextualSpacing/>
        <w:jc w:val="left"/>
        <w:rPr>
          <w:rFonts w:ascii="Arial" w:hAnsi="Arial" w:cs="Arial"/>
          <w:b/>
          <w:u w:val="single"/>
        </w:rPr>
      </w:pPr>
      <w:r w:rsidRPr="00EB53AD">
        <w:rPr>
          <w:rFonts w:ascii="Arial" w:hAnsi="Arial" w:cs="Arial"/>
          <w:b/>
          <w:u w:val="single"/>
        </w:rPr>
        <w:t>Lean – costs</w:t>
      </w:r>
    </w:p>
    <w:p w14:paraId="3B0C869B" w14:textId="77777777" w:rsidR="00EC20AB" w:rsidRPr="00EB53AD" w:rsidRDefault="00EC20AB" w:rsidP="00EC20AB">
      <w:pPr>
        <w:contextualSpacing/>
        <w:jc w:val="left"/>
        <w:rPr>
          <w:rFonts w:ascii="Arial" w:hAnsi="Arial" w:cs="Arial"/>
          <w:bCs/>
        </w:rPr>
      </w:pPr>
      <w:r w:rsidRPr="00EB53AD">
        <w:rPr>
          <w:rFonts w:ascii="Arial" w:hAnsi="Arial" w:cs="Arial"/>
          <w:bCs/>
        </w:rPr>
        <w:t xml:space="preserve">Over the last three years we’ve implemented multiple programmes to reduce costs across Kingfisher over a multi-year period. The initiatives cover store productivity, goods not for resale (GNFR*), supply and logistics, overheads and property (including lease renegotiations and rightsizings). </w:t>
      </w:r>
      <w:bookmarkStart w:id="41" w:name="_Hlk80621463"/>
      <w:r w:rsidRPr="00EB53AD">
        <w:rPr>
          <w:rFonts w:ascii="Arial" w:hAnsi="Arial" w:cs="Arial"/>
          <w:bCs/>
        </w:rPr>
        <w:t>These programmes are robustly governed both at Group Executive and Board level.</w:t>
      </w:r>
    </w:p>
    <w:p w14:paraId="6A94B0FD" w14:textId="77777777" w:rsidR="00EC20AB" w:rsidRPr="00EB53AD" w:rsidRDefault="00EC20AB" w:rsidP="00EC20AB">
      <w:pPr>
        <w:contextualSpacing/>
        <w:jc w:val="left"/>
        <w:rPr>
          <w:rFonts w:ascii="Arial" w:hAnsi="Arial" w:cs="Arial"/>
          <w:bCs/>
        </w:rPr>
      </w:pPr>
      <w:r w:rsidRPr="00EB53AD">
        <w:rPr>
          <w:rFonts w:ascii="Arial" w:hAnsi="Arial" w:cs="Arial"/>
          <w:bCs/>
        </w:rPr>
        <w:t xml:space="preserve"> </w:t>
      </w:r>
    </w:p>
    <w:p w14:paraId="6556BB17" w14:textId="5FC91244" w:rsidR="00EC20AB" w:rsidRPr="00EB53AD" w:rsidRDefault="00EC20AB" w:rsidP="00EC20AB">
      <w:pPr>
        <w:contextualSpacing/>
        <w:jc w:val="left"/>
        <w:rPr>
          <w:rFonts w:ascii="Arial" w:hAnsi="Arial" w:cs="Arial"/>
          <w:bCs/>
        </w:rPr>
      </w:pPr>
      <w:r w:rsidRPr="00EB53AD">
        <w:rPr>
          <w:rFonts w:ascii="Arial" w:hAnsi="Arial" w:cs="Arial"/>
          <w:bCs/>
        </w:rPr>
        <w:t>While we are not disclosing the expected net savings from our multi-year cost reduction programmes, they are expected to partly offset the cost of inflation, expansion and space changes, and the investment requirements of our business over the medium term. They are also key to unlocking our targeted profitability improvements in France.</w:t>
      </w:r>
    </w:p>
    <w:p w14:paraId="4B5451BF" w14:textId="77777777" w:rsidR="00EC20AB" w:rsidRPr="00EB53AD" w:rsidRDefault="00EC20AB" w:rsidP="00EC20AB">
      <w:pPr>
        <w:contextualSpacing/>
        <w:jc w:val="left"/>
        <w:rPr>
          <w:rFonts w:ascii="Arial" w:hAnsi="Arial" w:cs="Arial"/>
          <w:bCs/>
        </w:rPr>
      </w:pPr>
    </w:p>
    <w:p w14:paraId="7CD0F7E8" w14:textId="77777777" w:rsidR="00EC20AB" w:rsidRPr="00EB53AD" w:rsidRDefault="00EC20AB" w:rsidP="00EC20AB">
      <w:pPr>
        <w:contextualSpacing/>
        <w:jc w:val="left"/>
        <w:rPr>
          <w:rFonts w:ascii="Arial" w:hAnsi="Arial" w:cs="Arial"/>
          <w:bCs/>
        </w:rPr>
      </w:pPr>
      <w:r w:rsidRPr="00EB53AD">
        <w:rPr>
          <w:rFonts w:ascii="Arial" w:hAnsi="Arial" w:cs="Arial"/>
          <w:bCs/>
        </w:rPr>
        <w:t>The following areas contributed to partially offsetting cost growth in FY 22/23:</w:t>
      </w:r>
    </w:p>
    <w:p w14:paraId="77C37238" w14:textId="77777777" w:rsidR="00EC20AB" w:rsidRPr="00EB53AD" w:rsidRDefault="00EC20AB" w:rsidP="00EC20AB">
      <w:pPr>
        <w:contextualSpacing/>
        <w:jc w:val="left"/>
        <w:rPr>
          <w:rFonts w:ascii="Arial" w:hAnsi="Arial" w:cs="Arial"/>
          <w:bCs/>
        </w:rPr>
      </w:pPr>
    </w:p>
    <w:p w14:paraId="2001C0C3" w14:textId="0EE2826A" w:rsidR="00EC20AB" w:rsidRPr="00EB53AD" w:rsidRDefault="00EC20AB" w:rsidP="00EC20AB">
      <w:pPr>
        <w:pStyle w:val="ListParagraph"/>
        <w:numPr>
          <w:ilvl w:val="0"/>
          <w:numId w:val="25"/>
        </w:numPr>
        <w:ind w:left="360"/>
        <w:jc w:val="left"/>
        <w:rPr>
          <w:rFonts w:ascii="Arial" w:hAnsi="Arial" w:cs="Arial"/>
          <w:bCs/>
        </w:rPr>
      </w:pPr>
      <w:r w:rsidRPr="005D6FF5">
        <w:rPr>
          <w:rFonts w:ascii="Arial" w:hAnsi="Arial"/>
          <w:b/>
        </w:rPr>
        <w:t>Store productivity</w:t>
      </w:r>
      <w:r w:rsidRPr="00EB53AD">
        <w:rPr>
          <w:rFonts w:ascii="Arial" w:hAnsi="Arial" w:cs="Arial"/>
          <w:bCs/>
        </w:rPr>
        <w:t xml:space="preserve"> – We increased colleague productivity through implementing new store operating procedures, and the use of technology such as self-checkout terminals</w:t>
      </w:r>
      <w:r w:rsidRPr="00EB53AD">
        <w:rPr>
          <w:rFonts w:ascii="Arial" w:hAnsi="Arial" w:cs="Arial"/>
        </w:rPr>
        <w:t xml:space="preserve">, app-integrated </w:t>
      </w:r>
      <w:r w:rsidR="002336F7">
        <w:rPr>
          <w:rFonts w:ascii="Arial" w:hAnsi="Arial" w:cs="Arial"/>
        </w:rPr>
        <w:t>‘</w:t>
      </w:r>
      <w:r w:rsidRPr="00EB53AD">
        <w:rPr>
          <w:rFonts w:ascii="Arial" w:hAnsi="Arial" w:cs="Arial"/>
        </w:rPr>
        <w:t>Scan &amp; Go’, improved digital ordering terminals, and QR code enabled in-store ordering</w:t>
      </w:r>
      <w:r w:rsidRPr="00EB53AD">
        <w:rPr>
          <w:rFonts w:ascii="Arial" w:hAnsi="Arial" w:cs="Arial"/>
          <w:bCs/>
        </w:rPr>
        <w:t xml:space="preserve">. </w:t>
      </w:r>
      <w:r w:rsidRPr="00EB53AD">
        <w:rPr>
          <w:rFonts w:ascii="Arial" w:hAnsi="Arial" w:cs="Arial"/>
        </w:rPr>
        <w:t xml:space="preserve">Self-checkout terminals have now been rolled out across B&amp;Q, Castorama France and Castorama Poland, with roll-out underway at Brico Dépôt France. Adoption </w:t>
      </w:r>
      <w:r w:rsidR="00C52C2B">
        <w:rPr>
          <w:rFonts w:ascii="Arial" w:hAnsi="Arial" w:cs="Arial"/>
        </w:rPr>
        <w:t xml:space="preserve">in all banners </w:t>
      </w:r>
      <w:r w:rsidR="003E5D7D">
        <w:rPr>
          <w:rFonts w:ascii="Arial" w:hAnsi="Arial" w:cs="Arial"/>
        </w:rPr>
        <w:t xml:space="preserve">is </w:t>
      </w:r>
      <w:r w:rsidRPr="00EB53AD">
        <w:rPr>
          <w:rFonts w:ascii="Arial" w:hAnsi="Arial" w:cs="Arial"/>
        </w:rPr>
        <w:t>well ahead of expectations.</w:t>
      </w:r>
    </w:p>
    <w:p w14:paraId="7E4CBA66" w14:textId="7538AD9F" w:rsidR="00EC20AB" w:rsidRPr="00EB53AD" w:rsidRDefault="00EC20AB" w:rsidP="00EC20AB">
      <w:pPr>
        <w:pStyle w:val="ListParagraph"/>
        <w:numPr>
          <w:ilvl w:val="0"/>
          <w:numId w:val="25"/>
        </w:numPr>
        <w:ind w:left="360"/>
        <w:jc w:val="left"/>
        <w:rPr>
          <w:rFonts w:ascii="Arial" w:hAnsi="Arial" w:cs="Arial"/>
          <w:bCs/>
        </w:rPr>
      </w:pPr>
      <w:r w:rsidRPr="005D6FF5">
        <w:rPr>
          <w:rFonts w:ascii="Arial" w:hAnsi="Arial"/>
          <w:b/>
        </w:rPr>
        <w:t>GNFR optimisation</w:t>
      </w:r>
      <w:r w:rsidRPr="005D6FF5">
        <w:rPr>
          <w:rFonts w:ascii="Arial" w:hAnsi="Arial"/>
        </w:rPr>
        <w:t xml:space="preserve"> </w:t>
      </w:r>
      <w:r w:rsidRPr="00EB53AD">
        <w:rPr>
          <w:rFonts w:ascii="Arial" w:hAnsi="Arial" w:cs="Arial"/>
          <w:bCs/>
        </w:rPr>
        <w:t xml:space="preserve">– </w:t>
      </w:r>
      <w:r w:rsidR="008B2C7B">
        <w:rPr>
          <w:rFonts w:ascii="Arial" w:hAnsi="Arial" w:cs="Arial"/>
          <w:bCs/>
        </w:rPr>
        <w:t>Together</w:t>
      </w:r>
      <w:r w:rsidR="00C30865">
        <w:rPr>
          <w:rFonts w:ascii="Arial" w:hAnsi="Arial" w:cs="Arial"/>
          <w:bCs/>
        </w:rPr>
        <w:t>,</w:t>
      </w:r>
      <w:r w:rsidR="008B2C7B">
        <w:rPr>
          <w:rFonts w:ascii="Arial" w:hAnsi="Arial" w:cs="Arial"/>
          <w:bCs/>
        </w:rPr>
        <w:t xml:space="preserve"> o</w:t>
      </w:r>
      <w:r w:rsidRPr="00EB53AD">
        <w:rPr>
          <w:rFonts w:ascii="Arial" w:hAnsi="Arial" w:cs="Arial"/>
          <w:bCs/>
        </w:rPr>
        <w:t>ur category managers with Group-wide responsibilities and local procurement teams continue to optimise a c.£2.</w:t>
      </w:r>
      <w:r w:rsidR="00F32A4C">
        <w:rPr>
          <w:rFonts w:ascii="Arial" w:hAnsi="Arial" w:cs="Arial"/>
          <w:bCs/>
        </w:rPr>
        <w:t>7</w:t>
      </w:r>
      <w:r w:rsidRPr="00EB53AD">
        <w:rPr>
          <w:rFonts w:ascii="Arial" w:hAnsi="Arial" w:cs="Arial"/>
          <w:bCs/>
        </w:rPr>
        <w:t>bn GNFR spend</w:t>
      </w:r>
      <w:r w:rsidR="002271EA">
        <w:rPr>
          <w:rFonts w:ascii="Arial" w:hAnsi="Arial" w:cs="Arial"/>
          <w:bCs/>
        </w:rPr>
        <w:t xml:space="preserve"> through</w:t>
      </w:r>
      <w:r w:rsidRPr="00EB53AD">
        <w:rPr>
          <w:rFonts w:ascii="Arial" w:hAnsi="Arial" w:cs="Arial"/>
          <w:bCs/>
        </w:rPr>
        <w:t xml:space="preserve"> </w:t>
      </w:r>
      <w:r w:rsidR="002271EA">
        <w:rPr>
          <w:rFonts w:ascii="Arial" w:hAnsi="Arial" w:cs="Arial"/>
          <w:bCs/>
        </w:rPr>
        <w:t>over 220</w:t>
      </w:r>
      <w:r w:rsidR="002271EA" w:rsidRPr="00EB53AD">
        <w:rPr>
          <w:rFonts w:ascii="Arial" w:hAnsi="Arial" w:cs="Arial"/>
          <w:bCs/>
        </w:rPr>
        <w:t xml:space="preserve"> </w:t>
      </w:r>
      <w:r w:rsidR="00A80276">
        <w:rPr>
          <w:rFonts w:ascii="Arial" w:hAnsi="Arial" w:cs="Arial"/>
          <w:bCs/>
        </w:rPr>
        <w:t xml:space="preserve">cost reduction </w:t>
      </w:r>
      <w:r w:rsidR="005656C8">
        <w:rPr>
          <w:rFonts w:ascii="Arial" w:hAnsi="Arial" w:cs="Arial"/>
          <w:bCs/>
        </w:rPr>
        <w:t>projects</w:t>
      </w:r>
      <w:r w:rsidRPr="00EB53AD">
        <w:rPr>
          <w:rFonts w:ascii="Arial" w:hAnsi="Arial" w:cs="Arial"/>
          <w:bCs/>
        </w:rPr>
        <w:t xml:space="preserve">. </w:t>
      </w:r>
    </w:p>
    <w:p w14:paraId="6097D8C8" w14:textId="77777777" w:rsidR="00EC20AB" w:rsidRPr="00EB53AD" w:rsidRDefault="00EC20AB" w:rsidP="00EC20AB">
      <w:pPr>
        <w:pStyle w:val="ListParagraph"/>
        <w:numPr>
          <w:ilvl w:val="0"/>
          <w:numId w:val="25"/>
        </w:numPr>
        <w:ind w:left="360"/>
        <w:jc w:val="left"/>
        <w:rPr>
          <w:rFonts w:ascii="Arial" w:hAnsi="Arial" w:cs="Arial"/>
          <w:bCs/>
        </w:rPr>
      </w:pPr>
      <w:r w:rsidRPr="005D6FF5">
        <w:rPr>
          <w:rFonts w:ascii="Arial" w:hAnsi="Arial"/>
          <w:b/>
        </w:rPr>
        <w:t>Supply and logistics</w:t>
      </w:r>
      <w:r w:rsidRPr="00EB53AD">
        <w:rPr>
          <w:rFonts w:ascii="Arial" w:hAnsi="Arial" w:cs="Arial"/>
          <w:bCs/>
        </w:rPr>
        <w:t xml:space="preserve"> – Kingfisher’s supply and logistics teams continue to work on distribution centre space and network optimisation, as well as operational efficiency in our logistics. Next to the significant distribution centre space reductions achieved in France (cumulative space reduction of c.27% versus three years ago), major improvements are also being realised in the UK – for example,  through the automation of Screwfix’s site in Trentham. In addition, work is underway to further optimise our supply and logistics network through the use of data-led solutions. Please refer to </w:t>
      </w:r>
      <w:r w:rsidRPr="00EB53AD">
        <w:rPr>
          <w:rFonts w:ascii="Arial" w:hAnsi="Arial" w:cs="Arial"/>
          <w:bCs/>
          <w:i/>
          <w:iCs/>
        </w:rPr>
        <w:t>‘Lean – inventories’</w:t>
      </w:r>
      <w:r w:rsidRPr="00EB53AD">
        <w:rPr>
          <w:rFonts w:ascii="Arial" w:hAnsi="Arial" w:cs="Arial"/>
          <w:bCs/>
        </w:rPr>
        <w:t xml:space="preserve"> below for further details.</w:t>
      </w:r>
    </w:p>
    <w:p w14:paraId="3C646911" w14:textId="77777777" w:rsidR="00EC20AB" w:rsidRPr="00EB53AD" w:rsidRDefault="00EC20AB" w:rsidP="00EC20AB">
      <w:pPr>
        <w:pStyle w:val="ListParagraph"/>
        <w:numPr>
          <w:ilvl w:val="0"/>
          <w:numId w:val="25"/>
        </w:numPr>
        <w:ind w:left="360"/>
        <w:jc w:val="left"/>
        <w:rPr>
          <w:rFonts w:ascii="Arial" w:hAnsi="Arial" w:cs="Arial"/>
          <w:bCs/>
        </w:rPr>
      </w:pPr>
      <w:r w:rsidRPr="005D6FF5">
        <w:rPr>
          <w:rFonts w:ascii="Arial" w:hAnsi="Arial"/>
          <w:b/>
        </w:rPr>
        <w:t>Overheads</w:t>
      </w:r>
      <w:r w:rsidRPr="00EB53AD">
        <w:rPr>
          <w:rFonts w:ascii="Arial" w:hAnsi="Arial" w:cs="Arial"/>
          <w:bCs/>
        </w:rPr>
        <w:t xml:space="preserve"> – Savings were realised across Group and banner head offices, including through the expanded use of our shared service centre in Krakow, Poland.</w:t>
      </w:r>
    </w:p>
    <w:p w14:paraId="731F870A" w14:textId="77A6C421" w:rsidR="00EC20AB" w:rsidRPr="00EB53AD" w:rsidRDefault="00EC20AB" w:rsidP="00EC20AB">
      <w:pPr>
        <w:pStyle w:val="ListParagraph"/>
        <w:numPr>
          <w:ilvl w:val="0"/>
          <w:numId w:val="25"/>
        </w:numPr>
        <w:ind w:left="360"/>
        <w:jc w:val="left"/>
        <w:rPr>
          <w:rFonts w:ascii="Arial" w:hAnsi="Arial" w:cs="Arial"/>
        </w:rPr>
      </w:pPr>
      <w:bookmarkStart w:id="42" w:name="_Hlk112248233"/>
      <w:r w:rsidRPr="005D6FF5">
        <w:rPr>
          <w:rFonts w:ascii="Arial" w:hAnsi="Arial"/>
          <w:b/>
        </w:rPr>
        <w:t xml:space="preserve">Property </w:t>
      </w:r>
      <w:r w:rsidRPr="00EB53AD">
        <w:rPr>
          <w:rFonts w:ascii="Arial" w:hAnsi="Arial" w:cs="Arial"/>
          <w:bCs/>
        </w:rPr>
        <w:t xml:space="preserve">– B&amp;Q completed </w:t>
      </w:r>
      <w:r w:rsidR="00AD4B9B">
        <w:rPr>
          <w:rFonts w:ascii="Arial" w:hAnsi="Arial"/>
        </w:rPr>
        <w:t>28</w:t>
      </w:r>
      <w:r w:rsidR="00AD4B9B" w:rsidRPr="00EB53AD">
        <w:rPr>
          <w:rFonts w:ascii="Arial" w:hAnsi="Arial" w:cs="Arial"/>
          <w:bCs/>
        </w:rPr>
        <w:t xml:space="preserve"> </w:t>
      </w:r>
      <w:r w:rsidRPr="00EB53AD">
        <w:rPr>
          <w:rFonts w:ascii="Arial" w:hAnsi="Arial" w:cs="Arial"/>
          <w:bCs/>
        </w:rPr>
        <w:t xml:space="preserve">lease renegotiations in FY 22/23, with an average net rent reduction of </w:t>
      </w:r>
      <w:r w:rsidR="0093626A">
        <w:rPr>
          <w:rFonts w:ascii="Arial" w:hAnsi="Arial"/>
        </w:rPr>
        <w:t>10</w:t>
      </w:r>
      <w:r w:rsidRPr="00EB53AD">
        <w:rPr>
          <w:rFonts w:ascii="Arial" w:hAnsi="Arial" w:cs="Arial"/>
          <w:bCs/>
        </w:rPr>
        <w:t xml:space="preserve">%, alongside improved lease terms. </w:t>
      </w:r>
      <w:bookmarkEnd w:id="42"/>
      <w:r w:rsidRPr="00EB53AD">
        <w:rPr>
          <w:rFonts w:ascii="Arial" w:hAnsi="Arial" w:cs="Arial"/>
          <w:bCs/>
        </w:rPr>
        <w:t xml:space="preserve">We also completed </w:t>
      </w:r>
      <w:r w:rsidR="009B3855">
        <w:rPr>
          <w:rFonts w:ascii="Arial" w:hAnsi="Arial" w:cs="Arial"/>
          <w:bCs/>
        </w:rPr>
        <w:t xml:space="preserve">four </w:t>
      </w:r>
      <w:r w:rsidRPr="00EB53AD">
        <w:rPr>
          <w:rFonts w:ascii="Arial" w:hAnsi="Arial" w:cs="Arial"/>
          <w:bCs/>
        </w:rPr>
        <w:t>rightsizings in FY 22/23 at B&amp;Q</w:t>
      </w:r>
      <w:r w:rsidR="007D23C2">
        <w:rPr>
          <w:rFonts w:ascii="Arial" w:hAnsi="Arial" w:cs="Arial"/>
          <w:bCs/>
        </w:rPr>
        <w:t xml:space="preserve">, </w:t>
      </w:r>
      <w:r w:rsidRPr="00EB53AD">
        <w:rPr>
          <w:rFonts w:ascii="Arial" w:hAnsi="Arial" w:cs="Arial"/>
          <w:bCs/>
        </w:rPr>
        <w:t xml:space="preserve">further to the </w:t>
      </w:r>
      <w:r w:rsidR="009B3855">
        <w:rPr>
          <w:rFonts w:ascii="Arial" w:hAnsi="Arial" w:cs="Arial"/>
          <w:bCs/>
        </w:rPr>
        <w:t>five</w:t>
      </w:r>
      <w:r w:rsidR="009B3855" w:rsidRPr="00EB53AD">
        <w:rPr>
          <w:rFonts w:ascii="Arial" w:hAnsi="Arial" w:cs="Arial"/>
          <w:bCs/>
        </w:rPr>
        <w:t xml:space="preserve"> </w:t>
      </w:r>
      <w:r w:rsidRPr="00EB53AD">
        <w:rPr>
          <w:rFonts w:ascii="Arial" w:hAnsi="Arial" w:cs="Arial"/>
          <w:bCs/>
        </w:rPr>
        <w:t>completed in FY 21/22</w:t>
      </w:r>
      <w:r w:rsidR="009B3855">
        <w:rPr>
          <w:rFonts w:ascii="Arial" w:hAnsi="Arial" w:cs="Arial"/>
          <w:bCs/>
        </w:rPr>
        <w:t xml:space="preserve"> at B&amp;Q </w:t>
      </w:r>
      <w:r w:rsidR="009B3855" w:rsidRPr="00EB53AD">
        <w:rPr>
          <w:rFonts w:ascii="Arial" w:hAnsi="Arial" w:cs="Arial"/>
          <w:bCs/>
        </w:rPr>
        <w:t>and Castorama France</w:t>
      </w:r>
      <w:r w:rsidR="007D23C2">
        <w:rPr>
          <w:rFonts w:ascii="Arial" w:hAnsi="Arial" w:cs="Arial"/>
          <w:bCs/>
        </w:rPr>
        <w:t>.</w:t>
      </w:r>
      <w:r w:rsidRPr="00EB53AD">
        <w:rPr>
          <w:rFonts w:ascii="Arial" w:hAnsi="Arial" w:cs="Arial"/>
          <w:bCs/>
        </w:rPr>
        <w:t xml:space="preserve"> </w:t>
      </w:r>
      <w:r w:rsidR="007D23C2">
        <w:rPr>
          <w:rFonts w:ascii="Arial" w:hAnsi="Arial" w:cs="Arial"/>
          <w:bCs/>
        </w:rPr>
        <w:t>These rightsizings</w:t>
      </w:r>
      <w:r w:rsidRPr="00EB53AD">
        <w:rPr>
          <w:rFonts w:ascii="Arial" w:hAnsi="Arial" w:cs="Arial"/>
          <w:bCs/>
        </w:rPr>
        <w:t xml:space="preserve"> </w:t>
      </w:r>
      <w:r w:rsidR="007D23C2">
        <w:rPr>
          <w:rFonts w:ascii="Arial" w:hAnsi="Arial" w:cs="Arial"/>
          <w:bCs/>
        </w:rPr>
        <w:t xml:space="preserve">have resulted in an </w:t>
      </w:r>
      <w:r w:rsidRPr="00EB53AD">
        <w:rPr>
          <w:rFonts w:ascii="Arial" w:hAnsi="Arial" w:cs="Arial"/>
          <w:bCs/>
        </w:rPr>
        <w:t>average space reduction of c.30%</w:t>
      </w:r>
      <w:r w:rsidR="007D23C2">
        <w:rPr>
          <w:rFonts w:ascii="Arial" w:hAnsi="Arial" w:cs="Arial"/>
          <w:bCs/>
        </w:rPr>
        <w:t>,</w:t>
      </w:r>
      <w:r w:rsidRPr="00EB53AD">
        <w:rPr>
          <w:rFonts w:ascii="Arial" w:hAnsi="Arial" w:cs="Arial"/>
          <w:bCs/>
        </w:rPr>
        <w:t xml:space="preserve"> </w:t>
      </w:r>
      <w:r w:rsidR="007D23C2">
        <w:rPr>
          <w:rFonts w:ascii="Arial" w:hAnsi="Arial" w:cs="Arial"/>
          <w:bCs/>
        </w:rPr>
        <w:t xml:space="preserve">which in </w:t>
      </w:r>
      <w:r w:rsidRPr="00EB53AD">
        <w:rPr>
          <w:rFonts w:ascii="Arial" w:hAnsi="Arial" w:cs="Arial"/>
          <w:bCs/>
        </w:rPr>
        <w:t xml:space="preserve">general </w:t>
      </w:r>
      <w:r w:rsidR="007D23C2">
        <w:rPr>
          <w:rFonts w:ascii="Arial" w:hAnsi="Arial" w:cs="Arial"/>
          <w:bCs/>
        </w:rPr>
        <w:t xml:space="preserve">has been </w:t>
      </w:r>
      <w:r w:rsidRPr="00EB53AD">
        <w:rPr>
          <w:rFonts w:ascii="Arial" w:hAnsi="Arial" w:cs="Arial"/>
          <w:bCs/>
        </w:rPr>
        <w:t xml:space="preserve">taken over by discount </w:t>
      </w:r>
      <w:r w:rsidRPr="00EB53AD">
        <w:rPr>
          <w:rFonts w:ascii="Arial" w:hAnsi="Arial" w:cs="Arial"/>
          <w:bCs/>
        </w:rPr>
        <w:lastRenderedPageBreak/>
        <w:t>retailers</w:t>
      </w:r>
      <w:r w:rsidRPr="00EB53AD">
        <w:rPr>
          <w:rFonts w:ascii="Arial" w:hAnsi="Arial" w:cs="Arial"/>
        </w:rPr>
        <w:t xml:space="preserve">, </w:t>
      </w:r>
      <w:r w:rsidR="007D23C2">
        <w:rPr>
          <w:rFonts w:ascii="Arial" w:hAnsi="Arial" w:cs="Arial"/>
        </w:rPr>
        <w:t xml:space="preserve">thereby </w:t>
      </w:r>
      <w:r w:rsidRPr="00EB53AD">
        <w:rPr>
          <w:rFonts w:ascii="Arial" w:hAnsi="Arial" w:cs="Arial"/>
        </w:rPr>
        <w:t>bringing incremental footfall to the vicinity of the stores</w:t>
      </w:r>
      <w:r w:rsidRPr="00EB53AD">
        <w:rPr>
          <w:rFonts w:ascii="Arial" w:hAnsi="Arial" w:cs="Arial"/>
          <w:bCs/>
        </w:rPr>
        <w:t xml:space="preserve">. </w:t>
      </w:r>
      <w:bookmarkEnd w:id="41"/>
      <w:r w:rsidRPr="00EB53AD">
        <w:rPr>
          <w:rFonts w:ascii="Arial" w:hAnsi="Arial" w:cs="Arial"/>
        </w:rPr>
        <w:t xml:space="preserve">Since reopening, the stores have exceeded our performance expectations, with sales density improvements of up to 50%, improved profitability, </w:t>
      </w:r>
      <w:r w:rsidRPr="00ED3D16">
        <w:rPr>
          <w:rFonts w:ascii="Arial" w:hAnsi="Arial" w:cs="Arial"/>
        </w:rPr>
        <w:t xml:space="preserve">and </w:t>
      </w:r>
      <w:r w:rsidRPr="00ED3D16">
        <w:rPr>
          <w:rFonts w:ascii="Arial" w:hAnsi="Arial" w:cs="Arial"/>
          <w:bCs/>
        </w:rPr>
        <w:t>reduction</w:t>
      </w:r>
      <w:r w:rsidR="00ED3D16" w:rsidRPr="00ED3D16">
        <w:rPr>
          <w:rFonts w:ascii="Arial" w:hAnsi="Arial" w:cs="Arial"/>
          <w:bCs/>
        </w:rPr>
        <w:t>s</w:t>
      </w:r>
      <w:r w:rsidRPr="00EB53AD">
        <w:rPr>
          <w:rFonts w:ascii="Arial" w:hAnsi="Arial" w:cs="Arial"/>
          <w:bCs/>
        </w:rPr>
        <w:t xml:space="preserve"> in energy consumption</w:t>
      </w:r>
      <w:r w:rsidR="0020503B">
        <w:rPr>
          <w:rFonts w:ascii="Arial" w:hAnsi="Arial" w:cs="Arial"/>
          <w:bCs/>
        </w:rPr>
        <w:t xml:space="preserve"> of over 50%</w:t>
      </w:r>
      <w:r w:rsidRPr="00EB53AD">
        <w:rPr>
          <w:rFonts w:ascii="Arial" w:hAnsi="Arial" w:cs="Arial"/>
        </w:rPr>
        <w:t>. As a reminder, last year we announced that we expect up to 40 ‘big-box’ stores across B&amp;Q and Castorama France to be rightsized over 10 years, including the reallocation of space to e-commerce operations and fulfilment hubs. This space reduction equates to a relatively small proportion of Kingfisher’s store estate, and approximately 3% to 4% of the combined selling space of B&amp;Q and Castorama France.</w:t>
      </w:r>
    </w:p>
    <w:p w14:paraId="1B8C90FB" w14:textId="77777777" w:rsidR="00EC20AB" w:rsidRPr="00EB53AD" w:rsidRDefault="00EC20AB" w:rsidP="00EC20AB">
      <w:pPr>
        <w:jc w:val="left"/>
        <w:rPr>
          <w:rFonts w:ascii="Arial" w:hAnsi="Arial" w:cs="Arial"/>
        </w:rPr>
      </w:pPr>
    </w:p>
    <w:p w14:paraId="7AA2BAE2" w14:textId="77777777" w:rsidR="00EC20AB" w:rsidRPr="00EB53AD" w:rsidRDefault="00EC20AB" w:rsidP="00EC20AB">
      <w:pPr>
        <w:contextualSpacing/>
        <w:jc w:val="left"/>
        <w:rPr>
          <w:rFonts w:ascii="Arial" w:hAnsi="Arial" w:cs="Arial"/>
          <w:b/>
          <w:u w:val="single"/>
        </w:rPr>
      </w:pPr>
      <w:r w:rsidRPr="00EB53AD">
        <w:rPr>
          <w:rFonts w:ascii="Arial" w:hAnsi="Arial" w:cs="Arial"/>
          <w:b/>
          <w:u w:val="single"/>
        </w:rPr>
        <w:t>Lean – inventories</w:t>
      </w:r>
    </w:p>
    <w:p w14:paraId="4FE857CD" w14:textId="77777777" w:rsidR="00EC20AB" w:rsidRPr="00EB53AD" w:rsidRDefault="00EC20AB" w:rsidP="00EC20AB">
      <w:pPr>
        <w:jc w:val="left"/>
        <w:rPr>
          <w:rFonts w:ascii="Arial" w:hAnsi="Arial" w:cs="Arial"/>
        </w:rPr>
      </w:pPr>
      <w:bookmarkStart w:id="43" w:name="_Hlk65504198"/>
      <w:r w:rsidRPr="00EB53AD">
        <w:rPr>
          <w:rFonts w:ascii="Arial" w:hAnsi="Arial" w:cs="Arial"/>
        </w:rPr>
        <w:t xml:space="preserve">Our priority over the last three years has been to secure inventory and improve availability for our customers, amidst unprecedented global supply chain and logistics challenges, as well as to improve the quality of our inventory. The strength and expertise of our supply, sourcing and logistics teams has enabled us to manage our supply and logistics needs effectively. </w:t>
      </w:r>
    </w:p>
    <w:p w14:paraId="1F7D3C4D" w14:textId="77777777" w:rsidR="00EC20AB" w:rsidRPr="00EB53AD" w:rsidRDefault="00EC20AB" w:rsidP="00EC20AB">
      <w:pPr>
        <w:jc w:val="left"/>
        <w:rPr>
          <w:rFonts w:ascii="Arial" w:hAnsi="Arial" w:cs="Arial"/>
        </w:rPr>
      </w:pPr>
    </w:p>
    <w:p w14:paraId="227F0DDF" w14:textId="6FD15F3E" w:rsidR="00EC20AB" w:rsidRPr="00EB53AD" w:rsidRDefault="00EC20AB" w:rsidP="00EC20AB">
      <w:pPr>
        <w:jc w:val="left"/>
        <w:rPr>
          <w:rFonts w:ascii="Arial" w:hAnsi="Arial" w:cs="Arial"/>
        </w:rPr>
      </w:pPr>
      <w:r w:rsidRPr="00EB53AD">
        <w:rPr>
          <w:rFonts w:ascii="Arial" w:hAnsi="Arial" w:cs="Arial"/>
        </w:rPr>
        <w:t xml:space="preserve">As the impact of the COVID pandemic has significantly reduced and a more ‘normalised’ environment emerges, our immediate focus has been to optimise our ordering and reduce the additional </w:t>
      </w:r>
      <w:r w:rsidR="00AA52E8">
        <w:rPr>
          <w:rFonts w:ascii="Arial" w:hAnsi="Arial" w:cs="Arial"/>
        </w:rPr>
        <w:t>‘</w:t>
      </w:r>
      <w:r w:rsidRPr="00EB53AD">
        <w:rPr>
          <w:rFonts w:ascii="Arial" w:hAnsi="Arial" w:cs="Arial"/>
        </w:rPr>
        <w:t>buffer</w:t>
      </w:r>
      <w:r w:rsidR="00AA52E8">
        <w:rPr>
          <w:rFonts w:ascii="Arial" w:hAnsi="Arial" w:cs="Arial"/>
        </w:rPr>
        <w:t>’</w:t>
      </w:r>
      <w:r w:rsidRPr="00EB53AD">
        <w:rPr>
          <w:rFonts w:ascii="Arial" w:hAnsi="Arial" w:cs="Arial"/>
        </w:rPr>
        <w:t xml:space="preserve"> stock acquired since 2021, whilst continuing to improve product availability. </w:t>
      </w:r>
      <w:r w:rsidR="00F5446A">
        <w:rPr>
          <w:rFonts w:ascii="Arial" w:hAnsi="Arial" w:cs="Arial"/>
        </w:rPr>
        <w:t>P</w:t>
      </w:r>
      <w:r w:rsidRPr="00EB53AD">
        <w:rPr>
          <w:rFonts w:ascii="Arial" w:hAnsi="Arial" w:cs="Arial"/>
        </w:rPr>
        <w:t xml:space="preserve">roduct availability improved in every quarter of FY 22/23, and we see this trend continuing into FY 23/24. </w:t>
      </w:r>
    </w:p>
    <w:p w14:paraId="7F43EAD1" w14:textId="77777777" w:rsidR="00EC20AB" w:rsidRPr="00EB53AD" w:rsidRDefault="00EC20AB" w:rsidP="00EC20AB">
      <w:pPr>
        <w:jc w:val="left"/>
        <w:rPr>
          <w:rFonts w:ascii="Arial" w:hAnsi="Arial" w:cs="Arial"/>
        </w:rPr>
      </w:pPr>
    </w:p>
    <w:p w14:paraId="6B9446B7" w14:textId="05F841F4" w:rsidR="00EC20AB" w:rsidRPr="00EB53AD" w:rsidRDefault="00EC20AB" w:rsidP="00EC20AB">
      <w:pPr>
        <w:jc w:val="left"/>
        <w:rPr>
          <w:rFonts w:ascii="Arial" w:hAnsi="Arial" w:cs="Arial"/>
        </w:rPr>
      </w:pPr>
      <w:r w:rsidRPr="00EB53AD">
        <w:rPr>
          <w:rFonts w:ascii="Arial" w:hAnsi="Arial" w:cs="Arial"/>
        </w:rPr>
        <w:t xml:space="preserve">As of 31 January 2023, inventory in units (volume) was down YoY. </w:t>
      </w:r>
      <w:bookmarkEnd w:id="43"/>
      <w:r w:rsidRPr="00EB53AD">
        <w:rPr>
          <w:rFonts w:ascii="Arial" w:hAnsi="Arial" w:cs="Arial"/>
        </w:rPr>
        <w:t>In constant currency, net inventory increased YoY by £2</w:t>
      </w:r>
      <w:r w:rsidR="00DE5669">
        <w:rPr>
          <w:rFonts w:ascii="Arial" w:hAnsi="Arial" w:cs="Arial"/>
        </w:rPr>
        <w:t>40</w:t>
      </w:r>
      <w:r w:rsidRPr="00EB53AD">
        <w:rPr>
          <w:rFonts w:ascii="Arial" w:hAnsi="Arial" w:cs="Arial"/>
        </w:rPr>
        <w:t>m to £3,070m (FY 21/22: £2,749m at reported rates). Over 100% of this increase was driven by higher product purchase prices, alongside increases related to higher levels of ‘carry</w:t>
      </w:r>
      <w:r w:rsidR="00096BA4">
        <w:rPr>
          <w:rFonts w:ascii="Arial" w:hAnsi="Arial" w:cs="Arial"/>
        </w:rPr>
        <w:t>-</w:t>
      </w:r>
      <w:r w:rsidRPr="00EB53AD">
        <w:rPr>
          <w:rFonts w:ascii="Arial" w:hAnsi="Arial" w:cs="Arial"/>
        </w:rPr>
        <w:t xml:space="preserve">over’ seasonal items </w:t>
      </w:r>
      <w:r w:rsidR="009B5FFC">
        <w:rPr>
          <w:rFonts w:ascii="Arial" w:hAnsi="Arial" w:cs="Arial"/>
        </w:rPr>
        <w:t>(</w:t>
      </w:r>
      <w:r w:rsidR="00096BA4">
        <w:rPr>
          <w:rFonts w:ascii="Arial" w:hAnsi="Arial" w:cs="Arial"/>
        </w:rPr>
        <w:t>which we</w:t>
      </w:r>
      <w:r w:rsidR="00820657">
        <w:rPr>
          <w:rFonts w:ascii="Arial" w:hAnsi="Arial" w:cs="Arial"/>
        </w:rPr>
        <w:t xml:space="preserve"> decided to proactively </w:t>
      </w:r>
      <w:r w:rsidR="00096BA4">
        <w:rPr>
          <w:rFonts w:ascii="Arial" w:hAnsi="Arial" w:cs="Arial"/>
        </w:rPr>
        <w:t xml:space="preserve">purchase </w:t>
      </w:r>
      <w:r w:rsidR="003353E1">
        <w:rPr>
          <w:rFonts w:ascii="Arial" w:hAnsi="Arial" w:cs="Arial"/>
        </w:rPr>
        <w:t xml:space="preserve">ahead of forecast </w:t>
      </w:r>
      <w:r w:rsidR="00DC5ACD">
        <w:rPr>
          <w:rFonts w:ascii="Arial" w:hAnsi="Arial" w:cs="Arial"/>
        </w:rPr>
        <w:t>cost price increases),</w:t>
      </w:r>
      <w:r w:rsidR="00052B9C">
        <w:rPr>
          <w:rFonts w:ascii="Arial" w:hAnsi="Arial" w:cs="Arial"/>
        </w:rPr>
        <w:t xml:space="preserve"> </w:t>
      </w:r>
      <w:r w:rsidRPr="00EB53AD">
        <w:rPr>
          <w:rFonts w:ascii="Arial" w:hAnsi="Arial" w:cs="Arial"/>
        </w:rPr>
        <w:t xml:space="preserve">and stock to support our store expansion programme. The increase was partially offset by lower purchases and our strategic actions to reduce inventory. Net stock days increased by </w:t>
      </w:r>
      <w:r>
        <w:rPr>
          <w:rFonts w:ascii="Arial" w:hAnsi="Arial" w:cs="Arial"/>
        </w:rPr>
        <w:t>18</w:t>
      </w:r>
      <w:r w:rsidRPr="00EB53AD">
        <w:rPr>
          <w:rFonts w:ascii="Arial" w:hAnsi="Arial" w:cs="Arial"/>
        </w:rPr>
        <w:t>% YoY in FY 22/23</w:t>
      </w:r>
      <w:r>
        <w:rPr>
          <w:rFonts w:ascii="Arial" w:hAnsi="Arial" w:cs="Arial"/>
        </w:rPr>
        <w:t>, up 4%</w:t>
      </w:r>
      <w:r w:rsidRPr="00EB53AD">
        <w:rPr>
          <w:rFonts w:ascii="Arial" w:hAnsi="Arial" w:cs="Arial"/>
        </w:rPr>
        <w:t xml:space="preserve"> versus FY 19/20.</w:t>
      </w:r>
    </w:p>
    <w:p w14:paraId="3269BED0" w14:textId="77777777" w:rsidR="00EC20AB" w:rsidRPr="00EB53AD" w:rsidRDefault="00EC20AB" w:rsidP="00EC20AB">
      <w:pPr>
        <w:contextualSpacing/>
        <w:jc w:val="left"/>
        <w:rPr>
          <w:rFonts w:ascii="Arial" w:hAnsi="Arial" w:cs="Arial"/>
        </w:rPr>
      </w:pPr>
    </w:p>
    <w:p w14:paraId="1DC9ED6F" w14:textId="7A72410B" w:rsidR="00EC20AB" w:rsidRPr="00EB53AD" w:rsidRDefault="00EC20AB" w:rsidP="00EC20AB">
      <w:pPr>
        <w:contextualSpacing/>
        <w:jc w:val="left"/>
        <w:rPr>
          <w:rFonts w:ascii="Arial" w:hAnsi="Arial" w:cs="Arial"/>
        </w:rPr>
      </w:pPr>
      <w:r w:rsidRPr="00EB53AD">
        <w:rPr>
          <w:rFonts w:ascii="Arial" w:hAnsi="Arial" w:cs="Arial"/>
        </w:rPr>
        <w:t>Same-store net inventory* (in constant currency) increased by £</w:t>
      </w:r>
      <w:r>
        <w:rPr>
          <w:rFonts w:ascii="Arial" w:hAnsi="Arial" w:cs="Arial"/>
        </w:rPr>
        <w:t>215</w:t>
      </w:r>
      <w:r w:rsidRPr="00EB53AD">
        <w:rPr>
          <w:rFonts w:ascii="Arial" w:hAnsi="Arial" w:cs="Arial"/>
        </w:rPr>
        <w:t>m (</w:t>
      </w:r>
      <w:r>
        <w:rPr>
          <w:rFonts w:ascii="Arial" w:hAnsi="Arial" w:cs="Arial"/>
        </w:rPr>
        <w:t>+8</w:t>
      </w:r>
      <w:r w:rsidRPr="00EB53AD">
        <w:rPr>
          <w:rFonts w:ascii="Arial" w:hAnsi="Arial" w:cs="Arial"/>
        </w:rPr>
        <w:t>%). On a 3-year basis the increase in same-store inventory (in constant currency) was £</w:t>
      </w:r>
      <w:r>
        <w:rPr>
          <w:rFonts w:ascii="Arial" w:hAnsi="Arial" w:cs="Arial"/>
        </w:rPr>
        <w:t>498</w:t>
      </w:r>
      <w:r w:rsidRPr="00EB53AD">
        <w:rPr>
          <w:rFonts w:ascii="Arial" w:hAnsi="Arial" w:cs="Arial"/>
        </w:rPr>
        <w:t>m (</w:t>
      </w:r>
      <w:r>
        <w:rPr>
          <w:rFonts w:ascii="Arial" w:hAnsi="Arial" w:cs="Arial"/>
        </w:rPr>
        <w:t>+20</w:t>
      </w:r>
      <w:r w:rsidRPr="00EB53AD">
        <w:rPr>
          <w:rFonts w:ascii="Arial" w:hAnsi="Arial" w:cs="Arial"/>
        </w:rPr>
        <w:t xml:space="preserve">%), with net stock days </w:t>
      </w:r>
      <w:r>
        <w:rPr>
          <w:rFonts w:ascii="Arial" w:hAnsi="Arial" w:cs="Arial"/>
        </w:rPr>
        <w:t>+4</w:t>
      </w:r>
      <w:r w:rsidRPr="00EB53AD">
        <w:rPr>
          <w:rFonts w:ascii="Arial" w:hAnsi="Arial" w:cs="Arial"/>
        </w:rPr>
        <w:t>% (</w:t>
      </w:r>
      <w:r>
        <w:rPr>
          <w:rFonts w:ascii="Arial" w:hAnsi="Arial" w:cs="Arial"/>
        </w:rPr>
        <w:t>5</w:t>
      </w:r>
      <w:r w:rsidRPr="00EB53AD">
        <w:rPr>
          <w:rFonts w:ascii="Arial" w:hAnsi="Arial" w:cs="Arial"/>
        </w:rPr>
        <w:t xml:space="preserve"> days) higher than FY 19/20. </w:t>
      </w:r>
    </w:p>
    <w:p w14:paraId="66A673D1" w14:textId="77777777" w:rsidR="00EC20AB" w:rsidRPr="00EB53AD" w:rsidRDefault="00EC20AB" w:rsidP="00EC20AB">
      <w:pPr>
        <w:contextualSpacing/>
        <w:jc w:val="left"/>
        <w:rPr>
          <w:rFonts w:ascii="Arial" w:hAnsi="Arial" w:cs="Arial"/>
        </w:rPr>
      </w:pPr>
    </w:p>
    <w:p w14:paraId="1AB6177B" w14:textId="4219B787" w:rsidR="00EC20AB" w:rsidRPr="00EB53AD" w:rsidRDefault="00C52C10" w:rsidP="00EC20AB">
      <w:pPr>
        <w:contextualSpacing/>
        <w:jc w:val="left"/>
        <w:rPr>
          <w:rFonts w:ascii="Arial" w:hAnsi="Arial" w:cs="Arial"/>
        </w:rPr>
      </w:pPr>
      <w:r>
        <w:rPr>
          <w:rFonts w:ascii="Arial" w:hAnsi="Arial" w:cs="Arial"/>
        </w:rPr>
        <w:t>S</w:t>
      </w:r>
      <w:r w:rsidR="00EC20AB" w:rsidRPr="00EB53AD">
        <w:rPr>
          <w:rFonts w:ascii="Arial" w:hAnsi="Arial" w:cs="Arial"/>
        </w:rPr>
        <w:t xml:space="preserve">tock provisioning </w:t>
      </w:r>
      <w:r>
        <w:rPr>
          <w:rFonts w:ascii="Arial" w:hAnsi="Arial" w:cs="Arial"/>
        </w:rPr>
        <w:t xml:space="preserve">and de-listed stock </w:t>
      </w:r>
      <w:r w:rsidR="00EC20AB" w:rsidRPr="00EB53AD">
        <w:rPr>
          <w:rFonts w:ascii="Arial" w:hAnsi="Arial" w:cs="Arial"/>
        </w:rPr>
        <w:t xml:space="preserve">rates </w:t>
      </w:r>
      <w:r>
        <w:rPr>
          <w:rFonts w:ascii="Arial" w:hAnsi="Arial" w:cs="Arial"/>
        </w:rPr>
        <w:t xml:space="preserve">remain </w:t>
      </w:r>
      <w:r w:rsidR="00EC20AB" w:rsidRPr="00EB53AD">
        <w:rPr>
          <w:rFonts w:ascii="Arial" w:hAnsi="Arial" w:cs="Arial"/>
        </w:rPr>
        <w:t>below pre-pandemic levels.</w:t>
      </w:r>
    </w:p>
    <w:p w14:paraId="56AF9B81" w14:textId="77777777" w:rsidR="00EC20AB" w:rsidRPr="00EB53AD" w:rsidRDefault="00EC20AB" w:rsidP="00EC20AB">
      <w:pPr>
        <w:contextualSpacing/>
        <w:jc w:val="left"/>
        <w:rPr>
          <w:rFonts w:ascii="Arial" w:hAnsi="Arial" w:cs="Arial"/>
        </w:rPr>
      </w:pPr>
    </w:p>
    <w:p w14:paraId="29ED8B31" w14:textId="0C3631F8" w:rsidR="00EC20AB" w:rsidRPr="00EB53AD" w:rsidRDefault="00EC20AB" w:rsidP="00EC20AB">
      <w:pPr>
        <w:contextualSpacing/>
        <w:jc w:val="left"/>
        <w:rPr>
          <w:rFonts w:ascii="Arial" w:hAnsi="Arial" w:cs="Arial"/>
        </w:rPr>
      </w:pPr>
      <w:r w:rsidRPr="00EB53AD">
        <w:rPr>
          <w:rFonts w:ascii="Arial" w:hAnsi="Arial" w:cs="Arial"/>
        </w:rPr>
        <w:t>To drive longer term opportunities to unlock efficiencies in our supply chain and inventory management, all our banners are deploying actions to structurally reduce same-store inventory, including optimising our ranging and deployment (with a focus on removing slow-moving inventory) and</w:t>
      </w:r>
      <w:r w:rsidRPr="00EB53AD" w:rsidDel="0066395F">
        <w:rPr>
          <w:rFonts w:ascii="Arial" w:hAnsi="Arial" w:cs="Arial"/>
        </w:rPr>
        <w:t xml:space="preserve"> </w:t>
      </w:r>
      <w:r w:rsidRPr="00EB53AD">
        <w:rPr>
          <w:rFonts w:ascii="Arial" w:hAnsi="Arial" w:cs="Arial"/>
        </w:rPr>
        <w:t xml:space="preserve">optimising our replenishment systems (e.g., re-adjusting for </w:t>
      </w:r>
      <w:r w:rsidR="00993775">
        <w:rPr>
          <w:rFonts w:ascii="Arial" w:hAnsi="Arial" w:cs="Arial"/>
        </w:rPr>
        <w:t>shorter</w:t>
      </w:r>
      <w:r w:rsidRPr="00EB53AD">
        <w:rPr>
          <w:rFonts w:ascii="Arial" w:hAnsi="Arial" w:cs="Arial"/>
        </w:rPr>
        <w:t xml:space="preserve"> supplier lead-times and lower security stock parameters). As described in </w:t>
      </w:r>
      <w:r w:rsidRPr="00EB53AD">
        <w:rPr>
          <w:rFonts w:ascii="Arial" w:hAnsi="Arial" w:cs="Arial"/>
          <w:i/>
          <w:iCs/>
        </w:rPr>
        <w:t xml:space="preserve">‘Build a data-led customer experience’ </w:t>
      </w:r>
      <w:r w:rsidRPr="00EB53AD">
        <w:rPr>
          <w:rFonts w:ascii="Arial" w:hAnsi="Arial" w:cs="Arial"/>
        </w:rPr>
        <w:t>above, we are also developing a data-led solution to provide real-time visibility of our end-to-end supply chain, which will significantly strengthen our planning and stock management capabilities as well as offering monetisation opportunities.</w:t>
      </w:r>
    </w:p>
    <w:p w14:paraId="19019CC9" w14:textId="77777777" w:rsidR="00EC20AB" w:rsidRPr="005D6FF5" w:rsidRDefault="00EC20AB" w:rsidP="00EC20AB">
      <w:pPr>
        <w:contextualSpacing/>
        <w:jc w:val="left"/>
        <w:rPr>
          <w:rFonts w:ascii="Arial" w:hAnsi="Arial"/>
        </w:rPr>
      </w:pPr>
    </w:p>
    <w:p w14:paraId="6DE89785" w14:textId="77777777" w:rsidR="00EC20AB" w:rsidRPr="00EB53AD" w:rsidRDefault="00EC20AB" w:rsidP="00EC20AB">
      <w:pPr>
        <w:contextualSpacing/>
        <w:jc w:val="left"/>
        <w:rPr>
          <w:rFonts w:ascii="Arial" w:hAnsi="Arial" w:cs="Arial"/>
          <w:b/>
          <w:u w:val="single"/>
        </w:rPr>
      </w:pPr>
      <w:r w:rsidRPr="00EB53AD">
        <w:rPr>
          <w:rFonts w:ascii="Arial" w:hAnsi="Arial" w:cs="Arial"/>
          <w:b/>
          <w:u w:val="single"/>
        </w:rPr>
        <w:t>Sourcing</w:t>
      </w:r>
    </w:p>
    <w:p w14:paraId="0F09B49E" w14:textId="77777777" w:rsidR="00EC20AB" w:rsidRPr="00EB53AD" w:rsidRDefault="00EC20AB" w:rsidP="00EC20AB">
      <w:pPr>
        <w:contextualSpacing/>
        <w:jc w:val="left"/>
        <w:rPr>
          <w:rFonts w:ascii="Arial" w:hAnsi="Arial" w:cs="Arial"/>
        </w:rPr>
      </w:pPr>
      <w:r w:rsidRPr="00EB53AD">
        <w:rPr>
          <w:rFonts w:ascii="Arial" w:hAnsi="Arial" w:cs="Arial"/>
        </w:rPr>
        <w:t>In sourcing and buying, we continue to deliver cost and operational efficiencies by leveraging our Group scale. By using a value engineering approach, we continue to deliver sourcing benefits on our large OEB product base (45% of Group sales in FY 22/23), which helped to partly mitigate the impact of cost price inflation during the year. </w:t>
      </w:r>
    </w:p>
    <w:p w14:paraId="0262C913" w14:textId="3AF006F6" w:rsidR="00EC20AB" w:rsidRPr="00EB53AD" w:rsidRDefault="00EC20AB" w:rsidP="00EC20AB">
      <w:pPr>
        <w:contextualSpacing/>
        <w:jc w:val="left"/>
        <w:rPr>
          <w:rFonts w:ascii="Arial" w:hAnsi="Arial" w:cs="Arial"/>
        </w:rPr>
      </w:pPr>
    </w:p>
    <w:p w14:paraId="13B4059C" w14:textId="21DF4CB5" w:rsidR="00130D6B" w:rsidRPr="008475EF" w:rsidRDefault="00EC20AB" w:rsidP="00A84FF3">
      <w:pPr>
        <w:contextualSpacing/>
        <w:jc w:val="left"/>
        <w:rPr>
          <w:rFonts w:ascii="Arial" w:hAnsi="Arial" w:cs="Arial"/>
          <w:bCs/>
        </w:rPr>
      </w:pPr>
      <w:r w:rsidRPr="00EB53AD">
        <w:rPr>
          <w:rFonts w:ascii="Arial" w:hAnsi="Arial" w:cs="Arial"/>
        </w:rPr>
        <w:t xml:space="preserve">We continue to make progress on our sourcing diversification plan, by increasing our ‘near-sourcing’ footprint and exploring dual sourcing where possible. Our sourcing teams are also working closely with our OEB teams on </w:t>
      </w:r>
      <w:bookmarkStart w:id="44" w:name="_Hlk82441342"/>
      <w:r w:rsidRPr="00EB53AD">
        <w:rPr>
          <w:rFonts w:ascii="Arial" w:hAnsi="Arial" w:cs="Arial"/>
          <w:bCs/>
        </w:rPr>
        <w:t xml:space="preserve">value engineering projects, including simplifying the design of products and optimising the end-to-end manufacturing </w:t>
      </w:r>
      <w:r w:rsidRPr="008475EF">
        <w:rPr>
          <w:rFonts w:ascii="Arial" w:hAnsi="Arial" w:cs="Arial"/>
          <w:bCs/>
        </w:rPr>
        <w:t>of product components to reduce per-unit manufacturing costs.</w:t>
      </w:r>
    </w:p>
    <w:p w14:paraId="4C01D3B0" w14:textId="6F3B3B9F" w:rsidR="003038D7" w:rsidRPr="008475EF" w:rsidRDefault="003038D7" w:rsidP="00CD09A1">
      <w:pPr>
        <w:contextualSpacing/>
        <w:jc w:val="left"/>
        <w:rPr>
          <w:rFonts w:ascii="Arial" w:hAnsi="Arial" w:cs="Arial"/>
          <w:bCs/>
        </w:rPr>
      </w:pPr>
    </w:p>
    <w:p w14:paraId="0341AAA2" w14:textId="4A6BF8F0" w:rsidR="00EC20AB" w:rsidRDefault="003038D7" w:rsidP="00635726">
      <w:pPr>
        <w:jc w:val="left"/>
        <w:rPr>
          <w:rFonts w:ascii="Arial" w:hAnsi="Arial"/>
        </w:rPr>
      </w:pPr>
      <w:r w:rsidRPr="004C1FC1">
        <w:rPr>
          <w:rFonts w:ascii="Arial" w:hAnsi="Arial"/>
        </w:rPr>
        <w:t xml:space="preserve">We are also announcing today that Kingfisher’s banners in France and </w:t>
      </w:r>
      <w:r w:rsidR="00BC58B4" w:rsidRPr="004C1FC1">
        <w:rPr>
          <w:rFonts w:ascii="Arial" w:hAnsi="Arial"/>
        </w:rPr>
        <w:t xml:space="preserve">Mr. Bricolage </w:t>
      </w:r>
      <w:r w:rsidR="00DE6613" w:rsidRPr="004C1FC1">
        <w:rPr>
          <w:rFonts w:ascii="Arial" w:hAnsi="Arial"/>
        </w:rPr>
        <w:t xml:space="preserve">Group </w:t>
      </w:r>
      <w:r w:rsidRPr="004C1FC1">
        <w:rPr>
          <w:rFonts w:ascii="Arial" w:hAnsi="Arial"/>
        </w:rPr>
        <w:t xml:space="preserve">are working towards establishing a procurement joint venture. The joint venture, </w:t>
      </w:r>
      <w:r w:rsidR="008D1B75" w:rsidRPr="004C1FC1">
        <w:rPr>
          <w:rFonts w:ascii="Arial" w:hAnsi="Arial"/>
        </w:rPr>
        <w:t xml:space="preserve">which could </w:t>
      </w:r>
      <w:r w:rsidRPr="004C1FC1">
        <w:rPr>
          <w:rFonts w:ascii="Arial" w:hAnsi="Arial"/>
        </w:rPr>
        <w:t xml:space="preserve">be in place </w:t>
      </w:r>
      <w:r w:rsidR="009C0DF2" w:rsidRPr="004C1FC1">
        <w:rPr>
          <w:rFonts w:ascii="Arial" w:hAnsi="Arial"/>
        </w:rPr>
        <w:t>by H2 this year</w:t>
      </w:r>
      <w:r w:rsidR="00E12BC3" w:rsidRPr="004C1FC1">
        <w:rPr>
          <w:rFonts w:ascii="Arial" w:hAnsi="Arial"/>
        </w:rPr>
        <w:t xml:space="preserve"> </w:t>
      </w:r>
      <w:r w:rsidR="00EF7EA0" w:rsidRPr="004C1FC1">
        <w:rPr>
          <w:rFonts w:ascii="Arial" w:hAnsi="Arial"/>
        </w:rPr>
        <w:t xml:space="preserve">ahead of commercial negotiations </w:t>
      </w:r>
      <w:r w:rsidR="00E12BC3" w:rsidRPr="004C1FC1">
        <w:rPr>
          <w:rFonts w:ascii="Arial" w:hAnsi="Arial"/>
        </w:rPr>
        <w:t>for FY 24/25</w:t>
      </w:r>
      <w:r w:rsidRPr="004C1FC1">
        <w:rPr>
          <w:rFonts w:ascii="Arial" w:hAnsi="Arial"/>
        </w:rPr>
        <w:t xml:space="preserve">, will </w:t>
      </w:r>
      <w:r w:rsidR="007E6B33" w:rsidRPr="004C1FC1">
        <w:rPr>
          <w:rFonts w:ascii="Arial" w:hAnsi="Arial"/>
        </w:rPr>
        <w:t xml:space="preserve">aim to </w:t>
      </w:r>
      <w:r w:rsidRPr="004C1FC1">
        <w:rPr>
          <w:rFonts w:ascii="Arial" w:hAnsi="Arial"/>
        </w:rPr>
        <w:t>strengthen relationships with common national and international suppliers and deliver additional value and new business opportunities for these suppliers.</w:t>
      </w:r>
      <w:r w:rsidR="00D0407B" w:rsidRPr="004C1FC1">
        <w:rPr>
          <w:rFonts w:ascii="Arial" w:hAnsi="Arial"/>
        </w:rPr>
        <w:t xml:space="preserve"> </w:t>
      </w:r>
      <w:r w:rsidR="00BC58B4" w:rsidRPr="004C1FC1">
        <w:rPr>
          <w:rFonts w:ascii="Arial" w:hAnsi="Arial"/>
        </w:rPr>
        <w:t>Mr. Bricolage</w:t>
      </w:r>
      <w:r w:rsidR="00D0407B" w:rsidRPr="004C1FC1">
        <w:rPr>
          <w:rFonts w:ascii="Arial" w:hAnsi="Arial"/>
        </w:rPr>
        <w:t xml:space="preserve"> </w:t>
      </w:r>
      <w:r w:rsidR="00DE6613" w:rsidRPr="004C1FC1">
        <w:rPr>
          <w:rFonts w:ascii="Arial" w:hAnsi="Arial"/>
        </w:rPr>
        <w:t xml:space="preserve">Group </w:t>
      </w:r>
      <w:r w:rsidR="00D0407B" w:rsidRPr="004C1FC1">
        <w:rPr>
          <w:rFonts w:ascii="Arial" w:hAnsi="Arial"/>
        </w:rPr>
        <w:t xml:space="preserve">has </w:t>
      </w:r>
      <w:r w:rsidR="00205FA1" w:rsidRPr="004C1FC1">
        <w:rPr>
          <w:rFonts w:ascii="Arial" w:hAnsi="Arial"/>
        </w:rPr>
        <w:t xml:space="preserve">over </w:t>
      </w:r>
      <w:r w:rsidR="001C1790" w:rsidRPr="004C1FC1">
        <w:rPr>
          <w:rFonts w:ascii="Arial" w:hAnsi="Arial"/>
        </w:rPr>
        <w:t xml:space="preserve">970 </w:t>
      </w:r>
      <w:r w:rsidR="00D0407B" w:rsidRPr="004C1FC1">
        <w:rPr>
          <w:rFonts w:ascii="Arial" w:hAnsi="Arial"/>
        </w:rPr>
        <w:t>stores through franchisees</w:t>
      </w:r>
      <w:r w:rsidR="00205FA1" w:rsidRPr="004C1FC1">
        <w:rPr>
          <w:rFonts w:ascii="Arial" w:hAnsi="Arial"/>
        </w:rPr>
        <w:t xml:space="preserve"> and affiliates</w:t>
      </w:r>
      <w:r w:rsidR="00D0407B" w:rsidRPr="004C1FC1">
        <w:rPr>
          <w:rFonts w:ascii="Arial" w:hAnsi="Arial"/>
        </w:rPr>
        <w:t xml:space="preserve">, </w:t>
      </w:r>
      <w:r w:rsidR="00DC4BBC" w:rsidRPr="004C1FC1">
        <w:rPr>
          <w:rFonts w:ascii="Arial" w:hAnsi="Arial"/>
        </w:rPr>
        <w:t xml:space="preserve">mainly in France, </w:t>
      </w:r>
      <w:r w:rsidR="0092284D" w:rsidRPr="004C1FC1">
        <w:rPr>
          <w:rFonts w:ascii="Arial" w:hAnsi="Arial"/>
        </w:rPr>
        <w:lastRenderedPageBreak/>
        <w:t>with c.</w:t>
      </w:r>
      <w:r w:rsidR="00D0407B" w:rsidRPr="004C1FC1">
        <w:rPr>
          <w:rFonts w:ascii="Arial" w:hAnsi="Arial"/>
        </w:rPr>
        <w:t>€2.4</w:t>
      </w:r>
      <w:r w:rsidR="0092284D" w:rsidRPr="004C1FC1">
        <w:rPr>
          <w:rFonts w:ascii="Arial" w:hAnsi="Arial"/>
        </w:rPr>
        <w:t>b</w:t>
      </w:r>
      <w:r w:rsidR="00D0407B" w:rsidRPr="004C1FC1">
        <w:rPr>
          <w:rFonts w:ascii="Arial" w:hAnsi="Arial"/>
        </w:rPr>
        <w:t xml:space="preserve">n </w:t>
      </w:r>
      <w:r w:rsidR="0092284D" w:rsidRPr="004C1FC1">
        <w:rPr>
          <w:rFonts w:ascii="Arial" w:hAnsi="Arial"/>
        </w:rPr>
        <w:t xml:space="preserve">of </w:t>
      </w:r>
      <w:r w:rsidR="00DC4BBC" w:rsidRPr="004C1FC1">
        <w:rPr>
          <w:rFonts w:ascii="Arial" w:hAnsi="Arial"/>
        </w:rPr>
        <w:t xml:space="preserve">gross </w:t>
      </w:r>
      <w:r w:rsidR="0092284D" w:rsidRPr="004C1FC1">
        <w:rPr>
          <w:rFonts w:ascii="Arial" w:hAnsi="Arial"/>
        </w:rPr>
        <w:t xml:space="preserve">sales </w:t>
      </w:r>
      <w:r w:rsidR="00D0407B" w:rsidRPr="004C1FC1">
        <w:rPr>
          <w:rFonts w:ascii="Arial" w:hAnsi="Arial"/>
        </w:rPr>
        <w:t>under its different banners</w:t>
      </w:r>
      <w:r w:rsidR="0092284D" w:rsidRPr="004C1FC1">
        <w:rPr>
          <w:rFonts w:ascii="Arial" w:hAnsi="Arial"/>
        </w:rPr>
        <w:t>,</w:t>
      </w:r>
      <w:r w:rsidR="00D0407B" w:rsidRPr="004C1FC1">
        <w:rPr>
          <w:rFonts w:ascii="Arial" w:hAnsi="Arial"/>
        </w:rPr>
        <w:t xml:space="preserve"> and is the </w:t>
      </w:r>
      <w:r w:rsidR="00DC4BBC" w:rsidRPr="004C1FC1">
        <w:rPr>
          <w:rFonts w:ascii="Arial" w:hAnsi="Arial"/>
        </w:rPr>
        <w:t xml:space="preserve">fourth </w:t>
      </w:r>
      <w:r w:rsidR="00D0407B" w:rsidRPr="004C1FC1">
        <w:rPr>
          <w:rFonts w:ascii="Arial" w:hAnsi="Arial"/>
        </w:rPr>
        <w:t xml:space="preserve">largest player in the French </w:t>
      </w:r>
      <w:r w:rsidR="0092284D" w:rsidRPr="004C1FC1">
        <w:rPr>
          <w:rFonts w:ascii="Arial" w:hAnsi="Arial"/>
        </w:rPr>
        <w:t xml:space="preserve">home improvement </w:t>
      </w:r>
      <w:r w:rsidR="00D0407B" w:rsidRPr="004C1FC1">
        <w:rPr>
          <w:rFonts w:ascii="Arial" w:hAnsi="Arial"/>
        </w:rPr>
        <w:t>market.</w:t>
      </w:r>
      <w:bookmarkEnd w:id="44"/>
    </w:p>
    <w:p w14:paraId="4A5EE4EE" w14:textId="7B5EB8C5" w:rsidR="00DE6613" w:rsidRPr="00DE6613" w:rsidRDefault="00DE6613" w:rsidP="00635726">
      <w:pPr>
        <w:contextualSpacing/>
        <w:jc w:val="left"/>
        <w:rPr>
          <w:rFonts w:ascii="Arial" w:hAnsi="Arial" w:cs="Arial"/>
          <w:bCs/>
        </w:rPr>
      </w:pPr>
    </w:p>
    <w:p w14:paraId="093BB656" w14:textId="77777777" w:rsidR="00EC20AB" w:rsidRPr="005D6FF5" w:rsidRDefault="00EC20AB" w:rsidP="00EC20AB">
      <w:pPr>
        <w:pBdr>
          <w:top w:val="single" w:sz="4" w:space="1" w:color="auto"/>
          <w:left w:val="single" w:sz="4" w:space="4" w:color="auto"/>
          <w:bottom w:val="single" w:sz="4" w:space="1" w:color="auto"/>
          <w:right w:val="single" w:sz="4" w:space="4" w:color="auto"/>
        </w:pBdr>
        <w:shd w:val="clear" w:color="auto" w:fill="0070C0"/>
        <w:jc w:val="left"/>
        <w:rPr>
          <w:rFonts w:ascii="Arial" w:hAnsi="Arial"/>
          <w:b/>
          <w:color w:val="FFFFFF" w:themeColor="background1"/>
        </w:rPr>
      </w:pPr>
      <w:r w:rsidRPr="005D6FF5">
        <w:rPr>
          <w:rFonts w:ascii="Arial" w:hAnsi="Arial"/>
          <w:b/>
          <w:color w:val="FFFFFF" w:themeColor="background1"/>
        </w:rPr>
        <w:t>Medium</w:t>
      </w:r>
      <w:r w:rsidRPr="00EB53AD">
        <w:rPr>
          <w:rFonts w:ascii="Arial" w:hAnsi="Arial" w:cs="Arial"/>
          <w:b/>
          <w:bCs/>
          <w:color w:val="FFFFFF" w:themeColor="background1"/>
        </w:rPr>
        <w:t>-</w:t>
      </w:r>
      <w:r w:rsidRPr="005D6FF5">
        <w:rPr>
          <w:rFonts w:ascii="Arial" w:hAnsi="Arial"/>
          <w:b/>
          <w:color w:val="FFFFFF" w:themeColor="background1"/>
        </w:rPr>
        <w:t xml:space="preserve">term financial and capital allocation </w:t>
      </w:r>
      <w:r w:rsidRPr="00EB53AD">
        <w:rPr>
          <w:rFonts w:ascii="Arial" w:hAnsi="Arial" w:cs="Arial"/>
          <w:b/>
          <w:bCs/>
          <w:color w:val="FFFFFF" w:themeColor="background1"/>
        </w:rPr>
        <w:t>priorities</w:t>
      </w:r>
    </w:p>
    <w:p w14:paraId="52CEBE89" w14:textId="77777777" w:rsidR="00EC20AB" w:rsidRPr="00EB53AD" w:rsidRDefault="00EC20AB" w:rsidP="00EC20AB">
      <w:pPr>
        <w:jc w:val="left"/>
        <w:rPr>
          <w:rFonts w:ascii="Arial" w:hAnsi="Arial" w:cs="Arial"/>
        </w:rPr>
      </w:pPr>
    </w:p>
    <w:p w14:paraId="60706E91" w14:textId="77777777" w:rsidR="00EC20AB" w:rsidRPr="00EB53AD" w:rsidRDefault="00EC20AB" w:rsidP="00EC20AB">
      <w:pPr>
        <w:jc w:val="left"/>
        <w:rPr>
          <w:rFonts w:ascii="Arial" w:hAnsi="Arial" w:cs="Arial"/>
          <w:b/>
          <w:u w:val="single"/>
        </w:rPr>
      </w:pPr>
      <w:bookmarkStart w:id="45" w:name="_Hlk34905570"/>
      <w:r w:rsidRPr="00EB53AD">
        <w:rPr>
          <w:rFonts w:ascii="Arial" w:hAnsi="Arial" w:cs="Arial"/>
          <w:b/>
          <w:bCs/>
          <w:u w:val="single"/>
        </w:rPr>
        <w:t>Medium-term financial priorities</w:t>
      </w:r>
    </w:p>
    <w:bookmarkEnd w:id="45"/>
    <w:p w14:paraId="544E954E" w14:textId="7C04E41D" w:rsidR="00EC20AB" w:rsidRPr="00EB53AD" w:rsidRDefault="00EC20AB" w:rsidP="00EC20AB">
      <w:pPr>
        <w:jc w:val="left"/>
        <w:rPr>
          <w:rFonts w:ascii="Arial" w:hAnsi="Arial" w:cs="Arial"/>
        </w:rPr>
      </w:pPr>
      <w:r w:rsidRPr="00EB53AD">
        <w:rPr>
          <w:rFonts w:ascii="Arial" w:hAnsi="Arial" w:cs="Arial"/>
        </w:rPr>
        <w:t xml:space="preserve">In addition to refreshing our ‘Powered by Kingfisher’ strategic focus areas, we are also updating our medium-term financial priorities. These priorities reflect our continued confidence in the growth and cash generation opportunity of Kingfisher. </w:t>
      </w:r>
    </w:p>
    <w:p w14:paraId="65C2A900" w14:textId="77777777" w:rsidR="00EC20AB" w:rsidRPr="00EB53AD" w:rsidRDefault="00EC20AB" w:rsidP="00EC20AB">
      <w:pPr>
        <w:jc w:val="left"/>
        <w:rPr>
          <w:rFonts w:ascii="Arial" w:hAnsi="Arial" w:cs="Arial"/>
        </w:rPr>
      </w:pPr>
    </w:p>
    <w:p w14:paraId="77DA52C4" w14:textId="29B4ECC2" w:rsidR="00EC20AB" w:rsidRPr="00EB53AD" w:rsidRDefault="00EC20AB" w:rsidP="00EC20AB">
      <w:pPr>
        <w:jc w:val="left"/>
        <w:rPr>
          <w:rFonts w:ascii="Arial" w:hAnsi="Arial" w:cs="Arial"/>
          <w:bCs/>
        </w:rPr>
      </w:pPr>
      <w:r w:rsidRPr="00EB53AD">
        <w:rPr>
          <w:rFonts w:ascii="Arial" w:hAnsi="Arial" w:cs="Arial"/>
          <w:bCs/>
        </w:rPr>
        <w:t xml:space="preserve">We operate in attractive markets, with new </w:t>
      </w:r>
      <w:r>
        <w:rPr>
          <w:rFonts w:ascii="Arial" w:hAnsi="Arial" w:cs="Arial"/>
          <w:bCs/>
        </w:rPr>
        <w:t xml:space="preserve">positive </w:t>
      </w:r>
      <w:r w:rsidRPr="00EB53AD">
        <w:rPr>
          <w:rFonts w:ascii="Arial" w:hAnsi="Arial" w:cs="Arial"/>
          <w:bCs/>
        </w:rPr>
        <w:t>longer-term trends (such as more working from home and energy efficiency</w:t>
      </w:r>
      <w:r w:rsidR="00D279CC">
        <w:rPr>
          <w:rFonts w:ascii="Arial" w:hAnsi="Arial" w:cs="Arial"/>
          <w:bCs/>
        </w:rPr>
        <w:t xml:space="preserve"> renovations</w:t>
      </w:r>
      <w:r w:rsidRPr="00EB53AD">
        <w:rPr>
          <w:rFonts w:ascii="Arial" w:hAnsi="Arial" w:cs="Arial"/>
          <w:bCs/>
        </w:rPr>
        <w:t xml:space="preserve">) </w:t>
      </w:r>
      <w:r w:rsidR="00EB66F1">
        <w:rPr>
          <w:rFonts w:ascii="Arial" w:hAnsi="Arial" w:cs="Arial"/>
          <w:bCs/>
        </w:rPr>
        <w:t xml:space="preserve">providing further support to </w:t>
      </w:r>
      <w:r w:rsidR="002336F7">
        <w:rPr>
          <w:rFonts w:ascii="Arial" w:hAnsi="Arial" w:cs="Arial"/>
          <w:bCs/>
        </w:rPr>
        <w:t xml:space="preserve">the </w:t>
      </w:r>
      <w:r w:rsidR="00365E0A">
        <w:rPr>
          <w:rFonts w:ascii="Arial" w:hAnsi="Arial" w:cs="Arial"/>
          <w:bCs/>
        </w:rPr>
        <w:t xml:space="preserve">growth </w:t>
      </w:r>
      <w:r w:rsidR="009F35F5">
        <w:rPr>
          <w:rFonts w:ascii="Arial" w:hAnsi="Arial" w:cs="Arial"/>
          <w:bCs/>
        </w:rPr>
        <w:t>potential</w:t>
      </w:r>
      <w:r w:rsidR="002336F7">
        <w:rPr>
          <w:rFonts w:ascii="Arial" w:hAnsi="Arial" w:cs="Arial"/>
          <w:bCs/>
        </w:rPr>
        <w:t xml:space="preserve"> of the home improvement industry</w:t>
      </w:r>
      <w:r w:rsidRPr="00EB53AD">
        <w:rPr>
          <w:rFonts w:ascii="Arial" w:hAnsi="Arial" w:cs="Arial"/>
          <w:bCs/>
        </w:rPr>
        <w:t>.</w:t>
      </w:r>
    </w:p>
    <w:p w14:paraId="0DA62D61" w14:textId="77777777" w:rsidR="00EC20AB" w:rsidRPr="00EB53AD" w:rsidRDefault="00EC20AB" w:rsidP="00EC20AB">
      <w:pPr>
        <w:jc w:val="left"/>
        <w:rPr>
          <w:rFonts w:ascii="Arial" w:hAnsi="Arial" w:cs="Arial"/>
        </w:rPr>
      </w:pPr>
    </w:p>
    <w:p w14:paraId="3B27A599" w14:textId="6EF866C2" w:rsidR="00EC20AB" w:rsidRPr="00EB53AD" w:rsidRDefault="00EC20AB" w:rsidP="00EC20AB">
      <w:pPr>
        <w:jc w:val="left"/>
        <w:rPr>
          <w:rFonts w:ascii="Arial" w:hAnsi="Arial" w:cs="Arial"/>
        </w:rPr>
      </w:pPr>
      <w:r w:rsidRPr="00EB53AD">
        <w:rPr>
          <w:rFonts w:ascii="Arial" w:hAnsi="Arial" w:cs="Arial"/>
        </w:rPr>
        <w:t xml:space="preserve">Building on our industry’s </w:t>
      </w:r>
      <w:r>
        <w:rPr>
          <w:rFonts w:ascii="Arial" w:hAnsi="Arial" w:cs="Arial"/>
        </w:rPr>
        <w:t xml:space="preserve">attractive </w:t>
      </w:r>
      <w:r w:rsidRPr="00EB53AD">
        <w:rPr>
          <w:rFonts w:ascii="Arial" w:hAnsi="Arial" w:cs="Arial"/>
        </w:rPr>
        <w:t>growth profile, the Group’s medium-term financial priorities are:</w:t>
      </w:r>
    </w:p>
    <w:p w14:paraId="7B08C3BB" w14:textId="77777777" w:rsidR="00EC20AB" w:rsidRPr="00EB53AD" w:rsidRDefault="00EC20AB" w:rsidP="00EC20AB">
      <w:pPr>
        <w:jc w:val="left"/>
        <w:rPr>
          <w:rFonts w:ascii="Arial" w:hAnsi="Arial" w:cs="Arial"/>
        </w:rPr>
      </w:pPr>
    </w:p>
    <w:p w14:paraId="1A49E561" w14:textId="4A8B11FE" w:rsidR="00EC20AB" w:rsidRPr="005D6FF5" w:rsidRDefault="004D5C81" w:rsidP="00EC20AB">
      <w:pPr>
        <w:pStyle w:val="ListParagraph"/>
        <w:numPr>
          <w:ilvl w:val="0"/>
          <w:numId w:val="25"/>
        </w:numPr>
        <w:ind w:left="360"/>
        <w:jc w:val="left"/>
        <w:rPr>
          <w:rFonts w:ascii="Arial" w:hAnsi="Arial"/>
          <w:b/>
        </w:rPr>
      </w:pPr>
      <w:r>
        <w:rPr>
          <w:rFonts w:ascii="Arial" w:hAnsi="Arial" w:cs="Arial"/>
          <w:b/>
        </w:rPr>
        <w:t>S</w:t>
      </w:r>
      <w:r w:rsidR="00EC20AB" w:rsidRPr="00EB53AD">
        <w:rPr>
          <w:rFonts w:ascii="Arial" w:hAnsi="Arial" w:cs="Arial"/>
          <w:b/>
        </w:rPr>
        <w:t xml:space="preserve">ales </w:t>
      </w:r>
      <w:r w:rsidR="00B139BC">
        <w:rPr>
          <w:rFonts w:ascii="Arial" w:hAnsi="Arial" w:cs="Arial"/>
          <w:b/>
        </w:rPr>
        <w:t xml:space="preserve">to </w:t>
      </w:r>
      <w:r w:rsidR="00EC20AB" w:rsidRPr="00EB53AD">
        <w:rPr>
          <w:rFonts w:ascii="Arial" w:hAnsi="Arial" w:cs="Arial"/>
          <w:b/>
        </w:rPr>
        <w:t>grow ahead of our markets:</w:t>
      </w:r>
    </w:p>
    <w:p w14:paraId="631289CB" w14:textId="1B2907A2" w:rsidR="001D0287" w:rsidRDefault="004D5C81" w:rsidP="00EC20AB">
      <w:pPr>
        <w:pStyle w:val="ListParagraph"/>
        <w:numPr>
          <w:ilvl w:val="1"/>
          <w:numId w:val="2"/>
        </w:numPr>
        <w:ind w:left="709"/>
        <w:jc w:val="left"/>
        <w:rPr>
          <w:rFonts w:ascii="Arial" w:hAnsi="Arial" w:cs="Arial"/>
          <w:bCs/>
        </w:rPr>
      </w:pPr>
      <w:r>
        <w:rPr>
          <w:rFonts w:ascii="Arial" w:hAnsi="Arial" w:cs="Arial"/>
          <w:bCs/>
        </w:rPr>
        <w:t>LFL sales growth</w:t>
      </w:r>
      <w:r w:rsidR="007C2234">
        <w:rPr>
          <w:rFonts w:ascii="Arial" w:hAnsi="Arial" w:cs="Arial"/>
          <w:bCs/>
        </w:rPr>
        <w:t xml:space="preserve"> driven </w:t>
      </w:r>
      <w:r w:rsidR="00EC20AB" w:rsidRPr="00EB53AD">
        <w:rPr>
          <w:rFonts w:ascii="Arial" w:hAnsi="Arial" w:cs="Arial"/>
          <w:bCs/>
        </w:rPr>
        <w:t xml:space="preserve">by </w:t>
      </w:r>
      <w:r w:rsidR="00EC20AB">
        <w:rPr>
          <w:rFonts w:ascii="Arial" w:hAnsi="Arial" w:cs="Arial"/>
          <w:bCs/>
        </w:rPr>
        <w:t xml:space="preserve">our strategic focus areas including </w:t>
      </w:r>
      <w:r w:rsidR="00EC20AB" w:rsidRPr="00EB53AD">
        <w:rPr>
          <w:rFonts w:ascii="Arial" w:hAnsi="Arial" w:cs="Arial"/>
          <w:bCs/>
        </w:rPr>
        <w:t xml:space="preserve">e-commerce and marketplace sales growth, OEB sales growth </w:t>
      </w:r>
      <w:r w:rsidR="001D0287">
        <w:rPr>
          <w:rFonts w:ascii="Arial" w:hAnsi="Arial" w:cs="Arial"/>
          <w:bCs/>
        </w:rPr>
        <w:t xml:space="preserve">and </w:t>
      </w:r>
      <w:r w:rsidR="00EC20AB" w:rsidRPr="00EB53AD">
        <w:rPr>
          <w:rFonts w:ascii="Arial" w:hAnsi="Arial" w:cs="Arial"/>
          <w:bCs/>
        </w:rPr>
        <w:t>higher trade customer penetration</w:t>
      </w:r>
      <w:r w:rsidR="001D0287">
        <w:rPr>
          <w:rFonts w:ascii="Arial" w:hAnsi="Arial" w:cs="Arial"/>
          <w:bCs/>
        </w:rPr>
        <w:t>;</w:t>
      </w:r>
      <w:r w:rsidR="00EC20AB">
        <w:rPr>
          <w:rFonts w:ascii="Arial" w:hAnsi="Arial" w:cs="Arial"/>
          <w:bCs/>
        </w:rPr>
        <w:t xml:space="preserve"> </w:t>
      </w:r>
      <w:r w:rsidR="00EC20AB" w:rsidRPr="00EB53AD">
        <w:rPr>
          <w:rFonts w:ascii="Arial" w:hAnsi="Arial" w:cs="Arial"/>
          <w:bCs/>
        </w:rPr>
        <w:t>and</w:t>
      </w:r>
      <w:r w:rsidR="00EC20AB">
        <w:rPr>
          <w:rFonts w:ascii="Arial" w:hAnsi="Arial" w:cs="Arial"/>
          <w:bCs/>
        </w:rPr>
        <w:t xml:space="preserve"> </w:t>
      </w:r>
    </w:p>
    <w:p w14:paraId="1FF18B3D" w14:textId="41507B36" w:rsidR="00EC20AB" w:rsidRPr="00EB53AD" w:rsidRDefault="00CB28A3" w:rsidP="00EC20AB">
      <w:pPr>
        <w:pStyle w:val="ListParagraph"/>
        <w:numPr>
          <w:ilvl w:val="1"/>
          <w:numId w:val="2"/>
        </w:numPr>
        <w:ind w:left="709"/>
        <w:jc w:val="left"/>
        <w:rPr>
          <w:rFonts w:ascii="Arial" w:hAnsi="Arial" w:cs="Arial"/>
          <w:bCs/>
        </w:rPr>
      </w:pPr>
      <w:r>
        <w:rPr>
          <w:rFonts w:ascii="Arial" w:hAnsi="Arial" w:cs="Arial"/>
          <w:bCs/>
        </w:rPr>
        <w:t>S</w:t>
      </w:r>
      <w:r w:rsidR="00C75088">
        <w:rPr>
          <w:rFonts w:ascii="Arial" w:hAnsi="Arial" w:cs="Arial"/>
          <w:bCs/>
        </w:rPr>
        <w:t>ales i</w:t>
      </w:r>
      <w:r w:rsidR="00DE3461">
        <w:rPr>
          <w:rFonts w:ascii="Arial" w:hAnsi="Arial" w:cs="Arial"/>
          <w:bCs/>
        </w:rPr>
        <w:t xml:space="preserve">mpact </w:t>
      </w:r>
      <w:r w:rsidR="00EC20AB" w:rsidRPr="00A655F6">
        <w:rPr>
          <w:rFonts w:ascii="Arial" w:hAnsi="Arial" w:cs="Arial"/>
          <w:bCs/>
        </w:rPr>
        <w:t xml:space="preserve">of </w:t>
      </w:r>
      <w:r w:rsidR="00EC20AB" w:rsidRPr="005C2EAC">
        <w:rPr>
          <w:rFonts w:ascii="Arial" w:hAnsi="Arial"/>
        </w:rPr>
        <w:t>c</w:t>
      </w:r>
      <w:r w:rsidR="00EC20AB" w:rsidRPr="005C2EAC">
        <w:rPr>
          <w:rFonts w:ascii="Arial" w:hAnsi="Arial" w:cs="Arial"/>
          <w:bCs/>
        </w:rPr>
        <w:t>.</w:t>
      </w:r>
      <w:r w:rsidR="00FF5C1E" w:rsidRPr="005C2EAC">
        <w:rPr>
          <w:rFonts w:ascii="Arial" w:hAnsi="Arial" w:cs="Arial"/>
          <w:bCs/>
        </w:rPr>
        <w:t>+</w:t>
      </w:r>
      <w:r w:rsidR="006C31F8" w:rsidRPr="005C2EAC">
        <w:rPr>
          <w:rFonts w:ascii="Arial" w:hAnsi="Arial" w:cs="Arial"/>
          <w:bCs/>
        </w:rPr>
        <w:t>1</w:t>
      </w:r>
      <w:r w:rsidR="00EC20AB" w:rsidRPr="005C2EAC">
        <w:rPr>
          <w:rFonts w:ascii="Arial" w:hAnsi="Arial" w:cs="Arial"/>
          <w:bCs/>
        </w:rPr>
        <w:t>.</w:t>
      </w:r>
      <w:r w:rsidR="006C31F8" w:rsidRPr="005C2EAC">
        <w:rPr>
          <w:rFonts w:ascii="Arial" w:hAnsi="Arial" w:cs="Arial"/>
          <w:bCs/>
        </w:rPr>
        <w:t>5</w:t>
      </w:r>
      <w:r w:rsidR="00EC20AB" w:rsidRPr="005C2EAC">
        <w:rPr>
          <w:rFonts w:ascii="Arial" w:hAnsi="Arial" w:cs="Arial"/>
          <w:bCs/>
        </w:rPr>
        <w:t>%</w:t>
      </w:r>
      <w:r w:rsidR="001D0287" w:rsidRPr="005C2EAC">
        <w:rPr>
          <w:rFonts w:ascii="Arial" w:hAnsi="Arial" w:cs="Arial"/>
          <w:bCs/>
        </w:rPr>
        <w:t xml:space="preserve"> to +2.5%</w:t>
      </w:r>
      <w:r>
        <w:rPr>
          <w:rFonts w:ascii="Arial" w:hAnsi="Arial" w:cs="Arial"/>
          <w:bCs/>
        </w:rPr>
        <w:t xml:space="preserve"> from </w:t>
      </w:r>
      <w:r w:rsidRPr="00EB53AD">
        <w:rPr>
          <w:rFonts w:ascii="Arial" w:hAnsi="Arial" w:cs="Arial"/>
          <w:bCs/>
        </w:rPr>
        <w:t xml:space="preserve">annual </w:t>
      </w:r>
      <w:r>
        <w:rPr>
          <w:rFonts w:ascii="Arial" w:hAnsi="Arial" w:cs="Arial"/>
          <w:bCs/>
        </w:rPr>
        <w:t xml:space="preserve">net </w:t>
      </w:r>
      <w:r w:rsidRPr="00EB53AD">
        <w:rPr>
          <w:rFonts w:ascii="Arial" w:hAnsi="Arial" w:cs="Arial"/>
          <w:bCs/>
        </w:rPr>
        <w:t xml:space="preserve">space </w:t>
      </w:r>
      <w:r w:rsidRPr="00A655F6">
        <w:rPr>
          <w:rFonts w:ascii="Arial" w:hAnsi="Arial" w:cs="Arial"/>
          <w:bCs/>
        </w:rPr>
        <w:t>growth</w:t>
      </w:r>
      <w:r w:rsidR="00DF1998">
        <w:rPr>
          <w:rFonts w:ascii="Arial" w:hAnsi="Arial" w:cs="Arial"/>
          <w:bCs/>
        </w:rPr>
        <w:t xml:space="preserve"> over the medium term</w:t>
      </w:r>
      <w:r w:rsidR="003D657E" w:rsidRPr="00A655F6">
        <w:rPr>
          <w:rFonts w:ascii="Arial" w:hAnsi="Arial" w:cs="Arial"/>
          <w:bCs/>
        </w:rPr>
        <w:t xml:space="preserve">, </w:t>
      </w:r>
      <w:r w:rsidR="00EC20AB" w:rsidRPr="00A655F6">
        <w:rPr>
          <w:rFonts w:ascii="Arial" w:hAnsi="Arial" w:cs="Arial"/>
          <w:bCs/>
        </w:rPr>
        <w:t>primarily</w:t>
      </w:r>
      <w:r w:rsidR="00EC20AB" w:rsidRPr="00EB53AD">
        <w:rPr>
          <w:rFonts w:ascii="Arial" w:hAnsi="Arial" w:cs="Arial"/>
          <w:bCs/>
        </w:rPr>
        <w:t xml:space="preserve"> driven by Screwfix and Castorama Poland</w:t>
      </w:r>
    </w:p>
    <w:p w14:paraId="10776433" w14:textId="77777777" w:rsidR="00EC20AB" w:rsidRPr="00EB53AD" w:rsidRDefault="00EC20AB" w:rsidP="00EC20AB">
      <w:pPr>
        <w:pStyle w:val="ListParagraph"/>
        <w:numPr>
          <w:ilvl w:val="0"/>
          <w:numId w:val="25"/>
        </w:numPr>
        <w:ind w:left="360"/>
        <w:jc w:val="left"/>
        <w:rPr>
          <w:rFonts w:ascii="Arial" w:hAnsi="Arial" w:cs="Arial"/>
          <w:b/>
        </w:rPr>
      </w:pPr>
      <w:r w:rsidRPr="00EB53AD">
        <w:rPr>
          <w:rFonts w:ascii="Arial" w:hAnsi="Arial" w:cs="Arial"/>
          <w:b/>
        </w:rPr>
        <w:t>Adjusted pre-tax profit to grow faster than sales</w:t>
      </w:r>
      <w:r>
        <w:rPr>
          <w:rFonts w:ascii="Arial" w:hAnsi="Arial" w:cs="Arial"/>
          <w:b/>
        </w:rPr>
        <w:t>:</w:t>
      </w:r>
    </w:p>
    <w:p w14:paraId="4F4BC57A" w14:textId="592D86D8" w:rsidR="00EC20AB" w:rsidRPr="00EB53AD" w:rsidRDefault="00EC20AB" w:rsidP="00EC20AB">
      <w:pPr>
        <w:pStyle w:val="ListParagraph"/>
        <w:numPr>
          <w:ilvl w:val="1"/>
          <w:numId w:val="2"/>
        </w:numPr>
        <w:ind w:left="709"/>
        <w:jc w:val="left"/>
        <w:rPr>
          <w:rFonts w:ascii="Arial" w:hAnsi="Arial" w:cs="Arial"/>
          <w:bCs/>
        </w:rPr>
      </w:pPr>
      <w:r w:rsidRPr="00EB53AD">
        <w:rPr>
          <w:rFonts w:ascii="Arial" w:hAnsi="Arial" w:cs="Arial"/>
          <w:bCs/>
        </w:rPr>
        <w:t xml:space="preserve">Supported by scale </w:t>
      </w:r>
      <w:r w:rsidRPr="006C31F8">
        <w:rPr>
          <w:rFonts w:ascii="Arial" w:hAnsi="Arial" w:cs="Arial"/>
          <w:bCs/>
        </w:rPr>
        <w:t xml:space="preserve">benefits, </w:t>
      </w:r>
      <w:r w:rsidR="006C31F8" w:rsidRPr="00CD09A1">
        <w:rPr>
          <w:rFonts w:ascii="Arial" w:hAnsi="Arial"/>
        </w:rPr>
        <w:t>higher margin initiatives</w:t>
      </w:r>
      <w:r w:rsidR="006C31F8" w:rsidRPr="006C31F8">
        <w:rPr>
          <w:rFonts w:ascii="Arial" w:hAnsi="Arial" w:cs="Arial"/>
          <w:bCs/>
        </w:rPr>
        <w:t xml:space="preserve">, </w:t>
      </w:r>
      <w:r w:rsidRPr="006C31F8">
        <w:rPr>
          <w:rFonts w:ascii="Arial" w:hAnsi="Arial" w:cs="Arial"/>
          <w:bCs/>
        </w:rPr>
        <w:t>operating</w:t>
      </w:r>
      <w:r w:rsidRPr="00EB53AD">
        <w:rPr>
          <w:rFonts w:ascii="Arial" w:hAnsi="Arial" w:cs="Arial"/>
          <w:bCs/>
        </w:rPr>
        <w:t xml:space="preserve"> cost leverage</w:t>
      </w:r>
      <w:r>
        <w:rPr>
          <w:rFonts w:ascii="Arial" w:hAnsi="Arial" w:cs="Arial"/>
          <w:bCs/>
        </w:rPr>
        <w:t xml:space="preserve">, </w:t>
      </w:r>
      <w:r w:rsidRPr="00EB53AD">
        <w:rPr>
          <w:rFonts w:ascii="Arial" w:hAnsi="Arial" w:cs="Arial"/>
          <w:bCs/>
        </w:rPr>
        <w:t>and multi-year operating cost reduction opportunities</w:t>
      </w:r>
    </w:p>
    <w:p w14:paraId="28E3C811" w14:textId="4DE39AF4" w:rsidR="00EC20AB" w:rsidRPr="00A655F6" w:rsidRDefault="008B3069" w:rsidP="00EC20AB">
      <w:pPr>
        <w:pStyle w:val="ListParagraph"/>
        <w:numPr>
          <w:ilvl w:val="0"/>
          <w:numId w:val="25"/>
        </w:numPr>
        <w:ind w:left="360"/>
        <w:jc w:val="left"/>
        <w:rPr>
          <w:rFonts w:ascii="Arial" w:hAnsi="Arial" w:cs="Arial"/>
          <w:b/>
        </w:rPr>
      </w:pPr>
      <w:r w:rsidRPr="00A655F6">
        <w:rPr>
          <w:rFonts w:ascii="Arial" w:hAnsi="Arial" w:cs="Arial"/>
          <w:b/>
        </w:rPr>
        <w:t>S</w:t>
      </w:r>
      <w:r w:rsidR="00EC20AB" w:rsidRPr="00A655F6">
        <w:rPr>
          <w:rFonts w:ascii="Arial" w:hAnsi="Arial" w:cs="Arial"/>
          <w:b/>
        </w:rPr>
        <w:t xml:space="preserve">trong cash </w:t>
      </w:r>
      <w:r w:rsidRPr="00A655F6">
        <w:rPr>
          <w:rFonts w:ascii="Arial" w:hAnsi="Arial" w:cs="Arial"/>
          <w:b/>
        </w:rPr>
        <w:t xml:space="preserve">generation </w:t>
      </w:r>
      <w:r w:rsidR="00EC20AB" w:rsidRPr="00A655F6">
        <w:rPr>
          <w:rFonts w:ascii="Arial" w:hAnsi="Arial" w:cs="Arial"/>
          <w:b/>
        </w:rPr>
        <w:t>to drive growth investment and shareholder returns:</w:t>
      </w:r>
    </w:p>
    <w:p w14:paraId="457EF97C" w14:textId="1B9AD2B4" w:rsidR="00EC20AB" w:rsidRPr="00A655F6" w:rsidRDefault="008B3069" w:rsidP="00EC20AB">
      <w:pPr>
        <w:pStyle w:val="ListParagraph"/>
        <w:numPr>
          <w:ilvl w:val="1"/>
          <w:numId w:val="2"/>
        </w:numPr>
        <w:ind w:left="709"/>
        <w:jc w:val="left"/>
        <w:rPr>
          <w:rFonts w:ascii="Arial" w:hAnsi="Arial" w:cs="Arial"/>
        </w:rPr>
      </w:pPr>
      <w:r w:rsidRPr="005C2EAC">
        <w:rPr>
          <w:rFonts w:ascii="Arial" w:hAnsi="Arial" w:cs="Arial"/>
          <w:bCs/>
        </w:rPr>
        <w:t xml:space="preserve">Free cash flow of </w:t>
      </w:r>
      <w:r w:rsidR="005F645C" w:rsidRPr="005C2EAC">
        <w:rPr>
          <w:rFonts w:ascii="Arial" w:hAnsi="Arial" w:cs="Arial"/>
          <w:bCs/>
        </w:rPr>
        <w:t xml:space="preserve">c.£400m to £500m in FY 24/25, followed by </w:t>
      </w:r>
      <w:r w:rsidRPr="005C2EAC">
        <w:rPr>
          <w:rFonts w:ascii="Arial" w:hAnsi="Arial" w:cs="Arial"/>
          <w:bCs/>
        </w:rPr>
        <w:t>&gt;£500m per annum</w:t>
      </w:r>
      <w:r w:rsidR="009E22C3">
        <w:rPr>
          <w:rFonts w:ascii="Arial" w:hAnsi="Arial" w:cs="Arial"/>
          <w:bCs/>
        </w:rPr>
        <w:t xml:space="preserve"> from FY 25/26</w:t>
      </w:r>
      <w:r w:rsidRPr="005C2EAC">
        <w:rPr>
          <w:rFonts w:ascii="Arial" w:hAnsi="Arial" w:cs="Arial"/>
          <w:bCs/>
        </w:rPr>
        <w:t>, s</w:t>
      </w:r>
      <w:r w:rsidR="00EC20AB" w:rsidRPr="005C2EAC">
        <w:rPr>
          <w:rFonts w:ascii="Arial" w:hAnsi="Arial" w:cs="Arial"/>
          <w:bCs/>
        </w:rPr>
        <w:t>upported</w:t>
      </w:r>
      <w:r w:rsidR="00EC20AB" w:rsidRPr="005C2EAC">
        <w:rPr>
          <w:rFonts w:ascii="Arial" w:hAnsi="Arial"/>
        </w:rPr>
        <w:t xml:space="preserve"> by profit growth and ongoing inventory self-help measures</w:t>
      </w:r>
    </w:p>
    <w:p w14:paraId="060BD8DD" w14:textId="69D36B2B" w:rsidR="00EC20AB" w:rsidRPr="00EB53AD" w:rsidRDefault="00EC20AB" w:rsidP="00EC20AB">
      <w:pPr>
        <w:jc w:val="left"/>
        <w:rPr>
          <w:rFonts w:ascii="Arial" w:hAnsi="Arial" w:cs="Arial"/>
        </w:rPr>
      </w:pPr>
    </w:p>
    <w:p w14:paraId="0F8B4259" w14:textId="77777777" w:rsidR="00EC20AB" w:rsidRPr="00EB53AD" w:rsidRDefault="00EC20AB" w:rsidP="00EC20AB">
      <w:pPr>
        <w:jc w:val="left"/>
        <w:rPr>
          <w:rFonts w:ascii="Arial" w:hAnsi="Arial" w:cs="Arial"/>
          <w:b/>
          <w:bCs/>
          <w:u w:val="single"/>
        </w:rPr>
      </w:pPr>
      <w:r w:rsidRPr="00EB53AD">
        <w:rPr>
          <w:rFonts w:ascii="Arial" w:hAnsi="Arial" w:cs="Arial"/>
          <w:b/>
          <w:u w:val="single"/>
        </w:rPr>
        <w:t xml:space="preserve">Capital </w:t>
      </w:r>
      <w:r w:rsidRPr="00EB53AD">
        <w:rPr>
          <w:rFonts w:ascii="Arial" w:hAnsi="Arial" w:cs="Arial"/>
          <w:b/>
          <w:bCs/>
          <w:u w:val="single"/>
        </w:rPr>
        <w:t>allocation priorities</w:t>
      </w:r>
    </w:p>
    <w:p w14:paraId="6C7CFC50" w14:textId="77777777" w:rsidR="00EC20AB" w:rsidRPr="00EB53AD" w:rsidRDefault="00EC20AB" w:rsidP="00EC20AB">
      <w:pPr>
        <w:jc w:val="left"/>
        <w:rPr>
          <w:rFonts w:ascii="Arial" w:hAnsi="Arial" w:cs="Arial"/>
        </w:rPr>
      </w:pPr>
      <w:r w:rsidRPr="00EB53AD">
        <w:rPr>
          <w:rFonts w:ascii="Arial" w:hAnsi="Arial" w:cs="Arial"/>
        </w:rPr>
        <w:t>The Group’s objectives in managing capital are to:</w:t>
      </w:r>
    </w:p>
    <w:p w14:paraId="11E87ACF" w14:textId="77777777" w:rsidR="00EC20AB" w:rsidRPr="00EB53AD" w:rsidRDefault="00EC20AB" w:rsidP="00EC20AB">
      <w:pPr>
        <w:jc w:val="left"/>
        <w:rPr>
          <w:rFonts w:ascii="Arial" w:hAnsi="Arial" w:cs="Arial"/>
        </w:rPr>
      </w:pPr>
    </w:p>
    <w:p w14:paraId="1EBC007D" w14:textId="77777777"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Cs/>
        </w:rPr>
        <w:t xml:space="preserve">Invest in the business where economic returns are attractive </w:t>
      </w:r>
    </w:p>
    <w:p w14:paraId="2D6B721C" w14:textId="77777777"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Cs/>
        </w:rPr>
        <w:t xml:space="preserve">Maintain a solid investment grade credit rating </w:t>
      </w:r>
    </w:p>
    <w:p w14:paraId="0E056694" w14:textId="77777777" w:rsidR="00EC20AB" w:rsidRPr="00EB53AD" w:rsidDel="00682AC6" w:rsidRDefault="00EC20AB" w:rsidP="00EC20AB">
      <w:pPr>
        <w:pStyle w:val="ListParagraph"/>
        <w:numPr>
          <w:ilvl w:val="0"/>
          <w:numId w:val="25"/>
        </w:numPr>
        <w:ind w:left="360"/>
        <w:jc w:val="left"/>
        <w:rPr>
          <w:rFonts w:ascii="Arial" w:hAnsi="Arial" w:cs="Arial"/>
          <w:bCs/>
        </w:rPr>
      </w:pPr>
      <w:r w:rsidRPr="00EB53AD">
        <w:rPr>
          <w:rFonts w:ascii="Arial" w:hAnsi="Arial" w:cs="Arial"/>
          <w:bCs/>
        </w:rPr>
        <w:t xml:space="preserve">Safeguard the Group’s ability to continue as a going concern and retain financial flexibility </w:t>
      </w:r>
    </w:p>
    <w:p w14:paraId="003CFD68" w14:textId="77777777" w:rsidR="00EC20AB" w:rsidRPr="00EB53AD" w:rsidRDefault="00EC20AB" w:rsidP="00EC20AB">
      <w:pPr>
        <w:pStyle w:val="ListParagraph"/>
        <w:numPr>
          <w:ilvl w:val="0"/>
          <w:numId w:val="25"/>
        </w:numPr>
        <w:ind w:left="360"/>
        <w:jc w:val="left"/>
        <w:rPr>
          <w:rFonts w:ascii="Arial" w:hAnsi="Arial" w:cs="Arial"/>
          <w:bCs/>
        </w:rPr>
      </w:pPr>
      <w:r w:rsidRPr="00EB53AD">
        <w:rPr>
          <w:rFonts w:ascii="Arial" w:hAnsi="Arial" w:cs="Arial"/>
          <w:bCs/>
        </w:rPr>
        <w:t>Provide attractive returns to shareholders</w:t>
      </w:r>
    </w:p>
    <w:p w14:paraId="3ED236C1" w14:textId="77777777" w:rsidR="00EC20AB" w:rsidRPr="00EB53AD" w:rsidRDefault="00EC20AB" w:rsidP="00EC20AB">
      <w:pPr>
        <w:jc w:val="left"/>
        <w:rPr>
          <w:rFonts w:ascii="Arial" w:hAnsi="Arial" w:cs="Arial"/>
        </w:rPr>
      </w:pPr>
    </w:p>
    <w:p w14:paraId="218B57E4" w14:textId="219F92D6" w:rsidR="00EC20AB" w:rsidRPr="00EB53AD" w:rsidRDefault="00EC20AB" w:rsidP="00EC20AB">
      <w:pPr>
        <w:jc w:val="left"/>
        <w:rPr>
          <w:rFonts w:ascii="Arial" w:hAnsi="Arial" w:cs="Arial"/>
        </w:rPr>
      </w:pPr>
      <w:r w:rsidRPr="00EB53AD">
        <w:rPr>
          <w:rFonts w:ascii="Arial" w:hAnsi="Arial" w:cs="Arial"/>
        </w:rPr>
        <w:t xml:space="preserve">We allocate capital, subject to strict returns criteria, to </w:t>
      </w:r>
      <w:r w:rsidRPr="00471795">
        <w:rPr>
          <w:rFonts w:ascii="Arial" w:hAnsi="Arial" w:cs="Arial"/>
        </w:rPr>
        <w:t xml:space="preserve">organic </w:t>
      </w:r>
      <w:r w:rsidR="00471795" w:rsidRPr="00471795">
        <w:rPr>
          <w:rFonts w:ascii="Arial" w:hAnsi="Arial" w:cs="Arial"/>
        </w:rPr>
        <w:t>and ‘</w:t>
      </w:r>
      <w:r w:rsidRPr="00AD2F29">
        <w:rPr>
          <w:rFonts w:ascii="Arial" w:hAnsi="Arial" w:cs="Arial"/>
        </w:rPr>
        <w:t>bolt-on</w:t>
      </w:r>
      <w:r w:rsidR="00471795" w:rsidRPr="00471795">
        <w:rPr>
          <w:rFonts w:ascii="Arial" w:hAnsi="Arial" w:cs="Arial"/>
        </w:rPr>
        <w:t>’</w:t>
      </w:r>
      <w:r w:rsidRPr="00471795">
        <w:rPr>
          <w:rFonts w:ascii="Arial" w:hAnsi="Arial" w:cs="Arial"/>
        </w:rPr>
        <w:t xml:space="preserve"> inorganic</w:t>
      </w:r>
      <w:r w:rsidRPr="00EB53AD">
        <w:rPr>
          <w:rFonts w:ascii="Arial" w:hAnsi="Arial" w:cs="Arial"/>
        </w:rPr>
        <w:t xml:space="preserve"> growth opportunities that accelerate our strategy. Our </w:t>
      </w:r>
      <w:r w:rsidRPr="00EB53AD">
        <w:rPr>
          <w:rFonts w:ascii="Arial" w:hAnsi="Arial" w:cs="Arial"/>
          <w:bCs/>
        </w:rPr>
        <w:t xml:space="preserve">target gross capital expenditure </w:t>
      </w:r>
      <w:r w:rsidR="00CE4C70">
        <w:rPr>
          <w:rFonts w:ascii="Arial" w:hAnsi="Arial" w:cs="Arial"/>
          <w:bCs/>
        </w:rPr>
        <w:t>is</w:t>
      </w:r>
      <w:r w:rsidR="00CE4C70" w:rsidRPr="00EB53AD">
        <w:rPr>
          <w:rFonts w:ascii="Arial" w:hAnsi="Arial" w:cs="Arial"/>
          <w:bCs/>
        </w:rPr>
        <w:t xml:space="preserve"> </w:t>
      </w:r>
      <w:r w:rsidRPr="00EB53AD">
        <w:rPr>
          <w:rFonts w:ascii="Arial" w:hAnsi="Arial" w:cs="Arial"/>
          <w:bCs/>
        </w:rPr>
        <w:t>c.3.0-3.5% of total sales per annum, on average</w:t>
      </w:r>
      <w:r w:rsidR="00CE4C70">
        <w:rPr>
          <w:rFonts w:ascii="Arial" w:hAnsi="Arial" w:cs="Arial"/>
          <w:bCs/>
        </w:rPr>
        <w:t>, focussed on delivering against attractive organic growth opportunities</w:t>
      </w:r>
      <w:r w:rsidRPr="00EB53AD">
        <w:rPr>
          <w:rFonts w:ascii="Arial" w:hAnsi="Arial" w:cs="Arial"/>
          <w:bCs/>
        </w:rPr>
        <w:t>.</w:t>
      </w:r>
    </w:p>
    <w:p w14:paraId="79B79C84" w14:textId="77777777" w:rsidR="00EC20AB" w:rsidRPr="00EB53AD" w:rsidRDefault="00EC20AB" w:rsidP="00EC20AB">
      <w:pPr>
        <w:jc w:val="left"/>
        <w:rPr>
          <w:rFonts w:ascii="Arial" w:hAnsi="Arial" w:cs="Arial"/>
        </w:rPr>
      </w:pPr>
    </w:p>
    <w:p w14:paraId="13FC7A3A" w14:textId="2CC94DA8" w:rsidR="00EC20AB" w:rsidRPr="00EB53AD" w:rsidRDefault="00EC20AB" w:rsidP="00EC20AB">
      <w:pPr>
        <w:jc w:val="left"/>
        <w:rPr>
          <w:rFonts w:ascii="Arial" w:hAnsi="Arial" w:cs="Arial"/>
        </w:rPr>
      </w:pPr>
      <w:r w:rsidRPr="00EB53AD">
        <w:rPr>
          <w:rFonts w:ascii="Arial" w:hAnsi="Arial" w:cs="Arial"/>
        </w:rPr>
        <w:t xml:space="preserve">To maintain a solid investment grade credit rating, our maximum </w:t>
      </w:r>
      <w:r w:rsidR="00B74166" w:rsidRPr="00EB53AD">
        <w:rPr>
          <w:rFonts w:ascii="Arial" w:hAnsi="Arial" w:cs="Arial"/>
        </w:rPr>
        <w:t xml:space="preserve">net debt to EBITDA on an IFRS 16 basis </w:t>
      </w:r>
      <w:r w:rsidR="000C5EFB">
        <w:rPr>
          <w:rFonts w:ascii="Arial" w:hAnsi="Arial" w:cs="Arial"/>
        </w:rPr>
        <w:t>is</w:t>
      </w:r>
      <w:r w:rsidR="000C5EFB" w:rsidRPr="00EB53AD">
        <w:rPr>
          <w:rFonts w:ascii="Arial" w:hAnsi="Arial" w:cs="Arial"/>
        </w:rPr>
        <w:t xml:space="preserve"> </w:t>
      </w:r>
      <w:r w:rsidRPr="00EB53AD">
        <w:rPr>
          <w:rFonts w:ascii="Arial" w:hAnsi="Arial" w:cs="Arial"/>
        </w:rPr>
        <w:t xml:space="preserve">2.0 times over the medium term. To retain financial flexibility, we aim to maintain strong liquidity headroom (including cash, cash equivalents and committed debt facilities), which is currently set at a minimum of £800m. Total liquidity as of 31 January 2023 includes an undrawn </w:t>
      </w:r>
      <w:r w:rsidR="00287044">
        <w:rPr>
          <w:rFonts w:ascii="Arial" w:hAnsi="Arial" w:cs="Arial"/>
        </w:rPr>
        <w:t>revolving credit f</w:t>
      </w:r>
      <w:r w:rsidR="001B547C">
        <w:rPr>
          <w:rFonts w:ascii="Arial" w:hAnsi="Arial" w:cs="Arial"/>
        </w:rPr>
        <w:t>acility</w:t>
      </w:r>
      <w:r w:rsidR="00287044" w:rsidRPr="00EB53AD">
        <w:rPr>
          <w:rFonts w:ascii="Arial" w:hAnsi="Arial" w:cs="Arial"/>
        </w:rPr>
        <w:t xml:space="preserve"> </w:t>
      </w:r>
      <w:r w:rsidRPr="00EB53AD">
        <w:rPr>
          <w:rFonts w:ascii="Arial" w:hAnsi="Arial" w:cs="Arial"/>
        </w:rPr>
        <w:t>of £</w:t>
      </w:r>
      <w:r w:rsidRPr="005D6FF5">
        <w:rPr>
          <w:rFonts w:ascii="Arial" w:hAnsi="Arial"/>
        </w:rPr>
        <w:t>550</w:t>
      </w:r>
      <w:r w:rsidRPr="00EB53AD">
        <w:rPr>
          <w:rFonts w:ascii="Arial" w:hAnsi="Arial" w:cs="Arial"/>
        </w:rPr>
        <w:t>m and cash of £270m (net of bank overdrafts).</w:t>
      </w:r>
    </w:p>
    <w:p w14:paraId="57E9C9BA" w14:textId="77777777" w:rsidR="00EC20AB" w:rsidRPr="00EB53AD" w:rsidRDefault="00EC20AB" w:rsidP="00EC20AB">
      <w:pPr>
        <w:jc w:val="left"/>
        <w:rPr>
          <w:rFonts w:ascii="Arial" w:hAnsi="Arial" w:cs="Arial"/>
        </w:rPr>
      </w:pPr>
    </w:p>
    <w:p w14:paraId="3EECC96D" w14:textId="77777777" w:rsidR="00EC20AB" w:rsidRPr="00EB53AD" w:rsidRDefault="00EC20AB" w:rsidP="00EC20AB">
      <w:pPr>
        <w:jc w:val="left"/>
        <w:rPr>
          <w:rFonts w:ascii="Arial" w:hAnsi="Arial" w:cs="Arial"/>
        </w:rPr>
      </w:pPr>
      <w:r w:rsidRPr="00EB53AD">
        <w:rPr>
          <w:rFonts w:ascii="Arial" w:hAnsi="Arial" w:cs="Arial"/>
        </w:rPr>
        <w:t xml:space="preserve">In March 2021, the Board announced a target ordinary dividend cover range of 2.25 to 2.75 times, based on adjusted basic earnings per share. We aim to grow the ordinary dividend progressively over time. </w:t>
      </w:r>
    </w:p>
    <w:p w14:paraId="1CF820CF" w14:textId="77777777" w:rsidR="00EC20AB" w:rsidRPr="00EB53AD" w:rsidRDefault="00EC20AB" w:rsidP="00EC20AB">
      <w:pPr>
        <w:jc w:val="left"/>
        <w:rPr>
          <w:rFonts w:ascii="Arial" w:hAnsi="Arial" w:cs="Arial"/>
        </w:rPr>
      </w:pPr>
    </w:p>
    <w:p w14:paraId="46EC0975" w14:textId="5B206B29" w:rsidR="00A14CC3" w:rsidRDefault="00EC20AB" w:rsidP="005B53DC">
      <w:pPr>
        <w:jc w:val="left"/>
        <w:rPr>
          <w:rFonts w:ascii="Arial" w:hAnsi="Arial" w:cs="Arial"/>
        </w:rPr>
      </w:pPr>
      <w:r w:rsidRPr="00EB53AD">
        <w:rPr>
          <w:rFonts w:ascii="Arial" w:hAnsi="Arial" w:cs="Arial"/>
        </w:rPr>
        <w:t>If surplus capital remains after having achieved all the above objectives, the Board will return surplus capital to shareholders via a share buyback programme or special dividends.</w:t>
      </w:r>
    </w:p>
    <w:p w14:paraId="05BBF5CA" w14:textId="77777777" w:rsidR="00950ECB" w:rsidRDefault="00950ECB" w:rsidP="005B53DC">
      <w:pPr>
        <w:jc w:val="left"/>
        <w:rPr>
          <w:rFonts w:ascii="Arial" w:hAnsi="Arial" w:cs="Arial"/>
        </w:rPr>
      </w:pPr>
    </w:p>
    <w:p w14:paraId="6833ACBC" w14:textId="77777777" w:rsidR="00EC20AB" w:rsidRPr="00EB53AD" w:rsidRDefault="00EC20AB" w:rsidP="00A14CC3">
      <w:pPr>
        <w:jc w:val="left"/>
        <w:rPr>
          <w:rFonts w:ascii="Arial" w:hAnsi="Arial" w:cs="Arial"/>
          <w:b/>
          <w:bCs/>
          <w:u w:val="single"/>
        </w:rPr>
      </w:pPr>
      <w:r w:rsidRPr="00EB53AD">
        <w:rPr>
          <w:rFonts w:ascii="Arial" w:hAnsi="Arial" w:cs="Arial"/>
          <w:b/>
          <w:bCs/>
          <w:u w:val="single"/>
        </w:rPr>
        <w:t>Dividend for FY 22/23</w:t>
      </w:r>
    </w:p>
    <w:p w14:paraId="2176A355" w14:textId="77777777" w:rsidR="00EC20AB" w:rsidRPr="00EB53AD" w:rsidRDefault="00EC20AB" w:rsidP="00EC20AB">
      <w:pPr>
        <w:jc w:val="left"/>
        <w:rPr>
          <w:rFonts w:ascii="Arial" w:hAnsi="Arial" w:cs="Arial"/>
        </w:rPr>
      </w:pPr>
      <w:r w:rsidRPr="00EB53AD">
        <w:rPr>
          <w:rFonts w:ascii="Arial" w:hAnsi="Arial" w:cs="Arial"/>
        </w:rPr>
        <w:t xml:space="preserve">The Board has proposed a final dividend per share of </w:t>
      </w:r>
      <w:r w:rsidRPr="005D6FF5">
        <w:rPr>
          <w:rFonts w:ascii="Arial" w:hAnsi="Arial"/>
        </w:rPr>
        <w:t>8.60</w:t>
      </w:r>
      <w:r w:rsidRPr="00EB53AD">
        <w:rPr>
          <w:rFonts w:ascii="Arial" w:hAnsi="Arial" w:cs="Arial"/>
        </w:rPr>
        <w:t xml:space="preserve">p. This results in a proposed total dividend per share of </w:t>
      </w:r>
      <w:r w:rsidRPr="005D6FF5">
        <w:rPr>
          <w:rFonts w:ascii="Arial" w:hAnsi="Arial"/>
        </w:rPr>
        <w:t>12.40</w:t>
      </w:r>
      <w:r w:rsidRPr="00EB53AD">
        <w:rPr>
          <w:rFonts w:ascii="Arial" w:hAnsi="Arial" w:cs="Arial"/>
        </w:rPr>
        <w:t xml:space="preserve">p in respect of FY 22/23, which is in line with the prior year (FY 21/22: </w:t>
      </w:r>
      <w:r w:rsidRPr="005D6FF5">
        <w:rPr>
          <w:rFonts w:ascii="Arial" w:hAnsi="Arial"/>
        </w:rPr>
        <w:t>12.40</w:t>
      </w:r>
      <w:r w:rsidRPr="00EB53AD">
        <w:rPr>
          <w:rFonts w:ascii="Arial" w:hAnsi="Arial" w:cs="Arial"/>
        </w:rPr>
        <w:t xml:space="preserve">p). The corresponding dividend cover of </w:t>
      </w:r>
      <w:r w:rsidRPr="005D6FF5">
        <w:rPr>
          <w:rFonts w:ascii="Arial" w:hAnsi="Arial"/>
        </w:rPr>
        <w:t>2.</w:t>
      </w:r>
      <w:r w:rsidRPr="00EB53AD">
        <w:rPr>
          <w:rFonts w:ascii="Arial" w:hAnsi="Arial" w:cs="Arial"/>
        </w:rPr>
        <w:t>40 times is in line with our target ordinary dividend cover range of 2.25 to 2.75 times.</w:t>
      </w:r>
    </w:p>
    <w:p w14:paraId="5F64B118" w14:textId="77777777" w:rsidR="00EC20AB" w:rsidRPr="00EB53AD" w:rsidRDefault="00EC20AB" w:rsidP="00EC20AB">
      <w:pPr>
        <w:jc w:val="left"/>
        <w:rPr>
          <w:rFonts w:ascii="Arial" w:hAnsi="Arial" w:cs="Arial"/>
        </w:rPr>
      </w:pPr>
    </w:p>
    <w:p w14:paraId="34EACEEB" w14:textId="77777777" w:rsidR="00EC20AB" w:rsidRPr="00EB53AD" w:rsidRDefault="00EC20AB" w:rsidP="00EC20AB">
      <w:pPr>
        <w:jc w:val="left"/>
        <w:rPr>
          <w:rFonts w:ascii="Arial" w:hAnsi="Arial" w:cs="Arial"/>
        </w:rPr>
      </w:pPr>
      <w:bookmarkStart w:id="46" w:name="_Hlk127454396"/>
      <w:r w:rsidRPr="00EB53AD">
        <w:rPr>
          <w:rFonts w:ascii="Arial" w:hAnsi="Arial" w:cs="Arial"/>
        </w:rPr>
        <w:lastRenderedPageBreak/>
        <w:t>The final dividend is subject to shareholder approval at the Annual General Meeting on 27 June 2023,</w:t>
      </w:r>
    </w:p>
    <w:p w14:paraId="3739B217" w14:textId="591F7BA3" w:rsidR="00EC20AB" w:rsidRPr="00EB53AD" w:rsidRDefault="00EC20AB" w:rsidP="00EC20AB">
      <w:pPr>
        <w:jc w:val="left"/>
        <w:rPr>
          <w:rFonts w:ascii="Arial" w:hAnsi="Arial" w:cs="Arial"/>
        </w:rPr>
      </w:pPr>
      <w:r w:rsidRPr="00EB53AD">
        <w:rPr>
          <w:rFonts w:ascii="Arial" w:hAnsi="Arial" w:cs="Arial"/>
        </w:rPr>
        <w:t xml:space="preserve">and </w:t>
      </w:r>
      <w:r w:rsidR="00093D30">
        <w:rPr>
          <w:rFonts w:ascii="Arial" w:hAnsi="Arial" w:cs="Arial"/>
        </w:rPr>
        <w:t xml:space="preserve">if approved </w:t>
      </w:r>
      <w:r w:rsidRPr="00EB53AD">
        <w:rPr>
          <w:rFonts w:ascii="Arial" w:hAnsi="Arial" w:cs="Arial"/>
        </w:rPr>
        <w:t xml:space="preserve">will be paid on 3 July 2023 to shareholders on the register at close of business on 26 May 2023. The shares will go ex-dividend on 25 May 2023. </w:t>
      </w:r>
    </w:p>
    <w:bookmarkEnd w:id="46"/>
    <w:p w14:paraId="3B71E436" w14:textId="77777777" w:rsidR="00EC20AB" w:rsidRPr="00EB53AD" w:rsidRDefault="00EC20AB" w:rsidP="00EC20AB">
      <w:pPr>
        <w:jc w:val="left"/>
        <w:rPr>
          <w:rFonts w:ascii="Arial" w:hAnsi="Arial" w:cs="Arial"/>
        </w:rPr>
      </w:pPr>
    </w:p>
    <w:p w14:paraId="1B4CCCE0" w14:textId="77777777" w:rsidR="00EC20AB" w:rsidRPr="00EB53AD" w:rsidRDefault="00EC20AB" w:rsidP="00EC20AB">
      <w:pPr>
        <w:jc w:val="left"/>
        <w:rPr>
          <w:rFonts w:ascii="Arial" w:hAnsi="Arial" w:cs="Arial"/>
          <w:b/>
          <w:bCs/>
          <w:u w:val="single"/>
        </w:rPr>
      </w:pPr>
      <w:r w:rsidRPr="00EB53AD">
        <w:rPr>
          <w:rFonts w:ascii="Arial" w:hAnsi="Arial" w:cs="Arial"/>
          <w:b/>
          <w:bCs/>
          <w:u w:val="single"/>
        </w:rPr>
        <w:t>Share buyback programme</w:t>
      </w:r>
    </w:p>
    <w:p w14:paraId="6C5C7E5F" w14:textId="77777777" w:rsidR="00EC20AB" w:rsidRPr="00EB53AD" w:rsidRDefault="00EC20AB" w:rsidP="00EC20AB">
      <w:pPr>
        <w:jc w:val="left"/>
        <w:rPr>
          <w:rFonts w:ascii="Arial" w:hAnsi="Arial" w:cs="Arial"/>
        </w:rPr>
      </w:pPr>
      <w:r w:rsidRPr="00EB53AD">
        <w:rPr>
          <w:rFonts w:ascii="Arial" w:hAnsi="Arial" w:cs="Arial"/>
        </w:rPr>
        <w:t xml:space="preserve">In September 2021, the Board announced the return of £300m of surplus capital via a share buyback programme. The programme completed in April 2022. </w:t>
      </w:r>
    </w:p>
    <w:p w14:paraId="3368E9EA" w14:textId="77777777" w:rsidR="00EC20AB" w:rsidRPr="00EB53AD" w:rsidRDefault="00EC20AB" w:rsidP="00EC20AB">
      <w:pPr>
        <w:jc w:val="left"/>
        <w:rPr>
          <w:rFonts w:ascii="Arial" w:hAnsi="Arial" w:cs="Arial"/>
        </w:rPr>
      </w:pPr>
    </w:p>
    <w:p w14:paraId="5AE282F5" w14:textId="77777777" w:rsidR="00EC20AB" w:rsidRPr="00EB53AD" w:rsidRDefault="00EC20AB" w:rsidP="00EC20AB">
      <w:pPr>
        <w:jc w:val="left"/>
        <w:rPr>
          <w:rFonts w:ascii="Arial" w:hAnsi="Arial" w:cs="Arial"/>
        </w:rPr>
      </w:pPr>
      <w:r w:rsidRPr="00EB53AD">
        <w:rPr>
          <w:rFonts w:ascii="Arial" w:hAnsi="Arial" w:cs="Arial"/>
        </w:rPr>
        <w:t>In line with our capital allocation policy described above, in May 2022 the Board determined that a</w:t>
      </w:r>
    </w:p>
    <w:p w14:paraId="3EC6DFC0" w14:textId="77777777" w:rsidR="00EC20AB" w:rsidRPr="00EB53AD" w:rsidRDefault="00EC20AB" w:rsidP="00EC20AB">
      <w:pPr>
        <w:jc w:val="left"/>
        <w:rPr>
          <w:rFonts w:ascii="Arial" w:hAnsi="Arial" w:cs="Arial"/>
        </w:rPr>
      </w:pPr>
      <w:r w:rsidRPr="00EB53AD">
        <w:rPr>
          <w:rFonts w:ascii="Arial" w:hAnsi="Arial" w:cs="Arial"/>
        </w:rPr>
        <w:t>further £300m of surplus capital was available to return to shareholders, via a share buyback</w:t>
      </w:r>
    </w:p>
    <w:p w14:paraId="6E828E0E" w14:textId="29019B3D" w:rsidR="00EC20AB" w:rsidRDefault="00EC20AB" w:rsidP="00EC20AB">
      <w:pPr>
        <w:jc w:val="left"/>
        <w:rPr>
          <w:rFonts w:ascii="Arial" w:hAnsi="Arial" w:cs="Arial"/>
        </w:rPr>
      </w:pPr>
      <w:r w:rsidRPr="00EB53AD">
        <w:rPr>
          <w:rFonts w:ascii="Arial" w:hAnsi="Arial" w:cs="Arial"/>
        </w:rPr>
        <w:t>programme. As of 31 January 2023, we had repurchased c.£193m worth of shares under this programme, with the balance expected to be repurchased in FY 23/24.</w:t>
      </w:r>
      <w:r w:rsidR="00E12BC3">
        <w:rPr>
          <w:rFonts w:ascii="Arial" w:hAnsi="Arial" w:cs="Arial"/>
        </w:rPr>
        <w:t xml:space="preserve"> Including shares bought back under the previous programme, </w:t>
      </w:r>
      <w:r w:rsidR="008A5606">
        <w:rPr>
          <w:rFonts w:ascii="Arial" w:hAnsi="Arial" w:cs="Arial"/>
        </w:rPr>
        <w:t xml:space="preserve">we repurchased </w:t>
      </w:r>
      <w:r w:rsidR="00536E47">
        <w:rPr>
          <w:rFonts w:ascii="Arial" w:hAnsi="Arial" w:cs="Arial"/>
        </w:rPr>
        <w:t>c.</w:t>
      </w:r>
      <w:r w:rsidR="00E12BC3">
        <w:rPr>
          <w:rFonts w:ascii="Arial" w:hAnsi="Arial" w:cs="Arial"/>
        </w:rPr>
        <w:t>£33</w:t>
      </w:r>
      <w:r w:rsidR="008C5B11">
        <w:rPr>
          <w:rFonts w:ascii="Arial" w:hAnsi="Arial" w:cs="Arial"/>
        </w:rPr>
        <w:t>7</w:t>
      </w:r>
      <w:r w:rsidR="00E12BC3">
        <w:rPr>
          <w:rFonts w:ascii="Arial" w:hAnsi="Arial" w:cs="Arial"/>
        </w:rPr>
        <w:t xml:space="preserve">m </w:t>
      </w:r>
      <w:r w:rsidR="00536E47">
        <w:rPr>
          <w:rFonts w:ascii="Arial" w:hAnsi="Arial" w:cs="Arial"/>
        </w:rPr>
        <w:t xml:space="preserve">worth of </w:t>
      </w:r>
      <w:r w:rsidR="00E12BC3">
        <w:rPr>
          <w:rFonts w:ascii="Arial" w:hAnsi="Arial" w:cs="Arial"/>
        </w:rPr>
        <w:t>shares in FY 22/23.</w:t>
      </w:r>
    </w:p>
    <w:p w14:paraId="21470717" w14:textId="0D940DCE" w:rsidR="00284D30" w:rsidRDefault="00284D30" w:rsidP="00EC20AB">
      <w:pPr>
        <w:jc w:val="left"/>
        <w:rPr>
          <w:rFonts w:ascii="Arial" w:hAnsi="Arial" w:cs="Arial"/>
        </w:rPr>
      </w:pPr>
    </w:p>
    <w:p w14:paraId="03E257C1" w14:textId="406ACBD9" w:rsidR="00284D30" w:rsidRDefault="00FA7FA1" w:rsidP="00EC20AB">
      <w:pPr>
        <w:jc w:val="left"/>
        <w:rPr>
          <w:rFonts w:ascii="Arial" w:hAnsi="Arial" w:cs="Arial"/>
          <w:bCs/>
        </w:rPr>
      </w:pPr>
      <w:r w:rsidRPr="005C2EAC">
        <w:rPr>
          <w:rFonts w:ascii="Arial" w:hAnsi="Arial" w:cs="Arial"/>
          <w:bCs/>
        </w:rPr>
        <w:t>Our i</w:t>
      </w:r>
      <w:r w:rsidR="00284D30" w:rsidRPr="005C2EAC">
        <w:rPr>
          <w:rFonts w:ascii="Arial" w:hAnsi="Arial" w:cs="Arial"/>
          <w:bCs/>
        </w:rPr>
        <w:t xml:space="preserve">ntention </w:t>
      </w:r>
      <w:r w:rsidRPr="005C2EAC">
        <w:rPr>
          <w:rFonts w:ascii="Arial" w:hAnsi="Arial" w:cs="Arial"/>
          <w:bCs/>
        </w:rPr>
        <w:t xml:space="preserve">is </w:t>
      </w:r>
      <w:r w:rsidR="00284D30" w:rsidRPr="005C2EAC">
        <w:rPr>
          <w:rFonts w:ascii="Arial" w:hAnsi="Arial" w:cs="Arial"/>
          <w:bCs/>
        </w:rPr>
        <w:t xml:space="preserve">to </w:t>
      </w:r>
      <w:r w:rsidR="007F199E" w:rsidRPr="005C2EAC">
        <w:rPr>
          <w:rFonts w:ascii="Arial" w:hAnsi="Arial" w:cs="Arial"/>
          <w:bCs/>
        </w:rPr>
        <w:t xml:space="preserve">announce a new share buyback programme </w:t>
      </w:r>
      <w:r w:rsidR="003E3911" w:rsidRPr="005C2EAC">
        <w:rPr>
          <w:rFonts w:ascii="Arial" w:hAnsi="Arial" w:cs="Arial"/>
          <w:bCs/>
        </w:rPr>
        <w:t xml:space="preserve">following completion </w:t>
      </w:r>
      <w:r w:rsidR="00E12F22" w:rsidRPr="005C2EAC">
        <w:rPr>
          <w:rFonts w:ascii="Arial" w:hAnsi="Arial" w:cs="Arial"/>
          <w:bCs/>
        </w:rPr>
        <w:t xml:space="preserve">of the </w:t>
      </w:r>
      <w:r w:rsidR="007F199E" w:rsidRPr="005C2EAC">
        <w:rPr>
          <w:rFonts w:ascii="Arial" w:hAnsi="Arial" w:cs="Arial"/>
          <w:bCs/>
        </w:rPr>
        <w:t xml:space="preserve">existing </w:t>
      </w:r>
      <w:r w:rsidR="00284D30" w:rsidRPr="005C2EAC">
        <w:rPr>
          <w:rFonts w:ascii="Arial" w:hAnsi="Arial" w:cs="Arial"/>
          <w:bCs/>
        </w:rPr>
        <w:t>buyback programme this year</w:t>
      </w:r>
      <w:r w:rsidR="00003F98" w:rsidRPr="005C2EAC">
        <w:rPr>
          <w:rFonts w:ascii="Arial" w:hAnsi="Arial" w:cs="Arial"/>
          <w:bCs/>
        </w:rPr>
        <w:t>. This will be</w:t>
      </w:r>
      <w:r w:rsidR="002036B2" w:rsidRPr="005C2EAC">
        <w:rPr>
          <w:rFonts w:ascii="Arial" w:hAnsi="Arial" w:cs="Arial"/>
          <w:bCs/>
        </w:rPr>
        <w:t xml:space="preserve"> subject to the Board’s evaluation against our </w:t>
      </w:r>
      <w:r w:rsidR="00284D30" w:rsidRPr="005C2EAC">
        <w:rPr>
          <w:rFonts w:ascii="Arial" w:hAnsi="Arial" w:cs="Arial"/>
          <w:bCs/>
        </w:rPr>
        <w:t>capital allocation framework</w:t>
      </w:r>
      <w:r w:rsidR="00003F98" w:rsidRPr="005C2EAC">
        <w:rPr>
          <w:rFonts w:ascii="Arial" w:hAnsi="Arial" w:cs="Arial"/>
          <w:bCs/>
        </w:rPr>
        <w:t>,</w:t>
      </w:r>
      <w:r w:rsidR="00284D30" w:rsidRPr="005C2EAC">
        <w:rPr>
          <w:rFonts w:ascii="Arial" w:hAnsi="Arial" w:cs="Arial"/>
          <w:bCs/>
        </w:rPr>
        <w:t xml:space="preserve"> and </w:t>
      </w:r>
      <w:r w:rsidR="00003F98" w:rsidRPr="005C2EAC">
        <w:rPr>
          <w:rFonts w:ascii="Arial" w:hAnsi="Arial" w:cs="Arial"/>
          <w:bCs/>
        </w:rPr>
        <w:t>prevailing macroeconomic</w:t>
      </w:r>
      <w:r w:rsidR="00284D30" w:rsidRPr="005C2EAC">
        <w:rPr>
          <w:rFonts w:ascii="Arial" w:hAnsi="Arial" w:cs="Arial"/>
          <w:bCs/>
        </w:rPr>
        <w:t xml:space="preserve"> conditions.</w:t>
      </w:r>
    </w:p>
    <w:p w14:paraId="7C068945" w14:textId="77777777" w:rsidR="00054124" w:rsidRPr="001C26C2" w:rsidRDefault="00054124" w:rsidP="00DA1CC3">
      <w:pPr>
        <w:jc w:val="left"/>
        <w:rPr>
          <w:rFonts w:ascii="Arial" w:hAnsi="Arial" w:cs="Arial"/>
        </w:rPr>
      </w:pPr>
    </w:p>
    <w:p w14:paraId="2A11D967" w14:textId="5965B968" w:rsidR="00DA1CC3" w:rsidRDefault="00DA1CC3" w:rsidP="00DA1CC3">
      <w:pPr>
        <w:jc w:val="left"/>
        <w:rPr>
          <w:rFonts w:ascii="Arial" w:hAnsi="Arial" w:cs="Arial"/>
        </w:rPr>
      </w:pPr>
      <w:r>
        <w:rPr>
          <w:rFonts w:ascii="Arial" w:hAnsi="Arial" w:cs="Arial"/>
        </w:rPr>
        <w:br w:type="page"/>
      </w:r>
    </w:p>
    <w:p w14:paraId="0B567C09" w14:textId="77777777" w:rsidR="00117C77" w:rsidRPr="00EB4495" w:rsidRDefault="00117C77" w:rsidP="00117C77">
      <w:pPr>
        <w:pBdr>
          <w:top w:val="single" w:sz="4" w:space="1" w:color="auto"/>
          <w:left w:val="single" w:sz="4" w:space="4" w:color="auto"/>
          <w:bottom w:val="single" w:sz="4" w:space="1" w:color="auto"/>
          <w:right w:val="single" w:sz="4" w:space="4" w:color="auto"/>
        </w:pBdr>
        <w:shd w:val="clear" w:color="auto" w:fill="0070C0"/>
        <w:jc w:val="left"/>
        <w:rPr>
          <w:rFonts w:ascii="Arial" w:hAnsi="Arial" w:cs="Arial"/>
          <w:b/>
          <w:bCs/>
          <w:color w:val="FFFFFF" w:themeColor="background1"/>
        </w:rPr>
      </w:pPr>
      <w:r w:rsidRPr="00EB4495">
        <w:rPr>
          <w:rFonts w:ascii="Arial" w:hAnsi="Arial" w:cs="Arial"/>
          <w:b/>
          <w:bCs/>
          <w:color w:val="FFFFFF" w:themeColor="background1"/>
        </w:rPr>
        <w:lastRenderedPageBreak/>
        <w:t>Section 3: Trading review by division</w:t>
      </w:r>
    </w:p>
    <w:p w14:paraId="0FE12171" w14:textId="77777777" w:rsidR="00117C77" w:rsidRPr="00EB4495" w:rsidRDefault="00117C77" w:rsidP="00117C77">
      <w:pPr>
        <w:jc w:val="left"/>
        <w:rPr>
          <w:rFonts w:ascii="Arial" w:hAnsi="Arial" w:cs="Arial"/>
        </w:rPr>
      </w:pPr>
    </w:p>
    <w:p w14:paraId="4ACC9A0E" w14:textId="77777777" w:rsidR="00117C77" w:rsidRPr="007C31A6" w:rsidRDefault="00117C77" w:rsidP="00117C77">
      <w:pPr>
        <w:jc w:val="left"/>
        <w:rPr>
          <w:rFonts w:ascii="Arial" w:hAnsi="Arial" w:cs="Arial"/>
          <w:i/>
          <w:iCs/>
        </w:rPr>
      </w:pPr>
      <w:r w:rsidRPr="0024013E">
        <w:rPr>
          <w:rFonts w:ascii="Arial" w:hAnsi="Arial" w:cs="Arial"/>
          <w:i/>
          <w:iCs/>
        </w:rPr>
        <w:t>Note: all commentary below is in constant currenc</w:t>
      </w:r>
      <w:r w:rsidRPr="007C31A6">
        <w:rPr>
          <w:rFonts w:ascii="Arial" w:hAnsi="Arial" w:cs="Arial"/>
          <w:i/>
          <w:iCs/>
        </w:rPr>
        <w:t>y.</w:t>
      </w:r>
    </w:p>
    <w:p w14:paraId="263EF928" w14:textId="03820E1E" w:rsidR="00117C77" w:rsidRDefault="00117C77" w:rsidP="00117C77">
      <w:pPr>
        <w:jc w:val="left"/>
        <w:rPr>
          <w:rFonts w:ascii="Arial" w:hAnsi="Arial" w:cs="Arial"/>
        </w:rPr>
      </w:pPr>
    </w:p>
    <w:p w14:paraId="662C33DC" w14:textId="77777777" w:rsidR="005A5138" w:rsidRPr="00A845B7" w:rsidRDefault="005A5138" w:rsidP="005A5138">
      <w:pPr>
        <w:jc w:val="left"/>
        <w:rPr>
          <w:rFonts w:ascii="Arial" w:hAnsi="Arial" w:cs="Arial"/>
          <w:b/>
          <w:bCs/>
        </w:rPr>
      </w:pPr>
      <w:r w:rsidRPr="00A845B7">
        <w:rPr>
          <w:rFonts w:ascii="Arial" w:hAnsi="Arial" w:cs="Arial"/>
          <w:b/>
          <w:bCs/>
        </w:rPr>
        <w:t>UK &amp; IRELAND</w:t>
      </w:r>
    </w:p>
    <w:p w14:paraId="48CE7575" w14:textId="77777777" w:rsidR="005A5138" w:rsidRPr="002F6DC3" w:rsidRDefault="005A5138" w:rsidP="005A5138">
      <w:pPr>
        <w:jc w:val="left"/>
        <w:rPr>
          <w:rFonts w:ascii="Arial" w:hAnsi="Arial" w:cs="Arial"/>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1126"/>
        <w:gridCol w:w="1126"/>
        <w:gridCol w:w="1542"/>
        <w:gridCol w:w="1542"/>
        <w:gridCol w:w="1181"/>
        <w:gridCol w:w="1183"/>
      </w:tblGrid>
      <w:tr w:rsidR="005A5138" w:rsidRPr="00A845B7" w14:paraId="0FE706D1" w14:textId="77777777" w:rsidTr="003D4ACC">
        <w:tc>
          <w:tcPr>
            <w:tcW w:w="1265" w:type="pct"/>
            <w:tcBorders>
              <w:bottom w:val="single" w:sz="4" w:space="0" w:color="auto"/>
            </w:tcBorders>
          </w:tcPr>
          <w:p w14:paraId="337CF0FB" w14:textId="77777777" w:rsidR="005A5138" w:rsidRPr="005E1EE0" w:rsidRDefault="005A5138" w:rsidP="003D4ACC">
            <w:pPr>
              <w:rPr>
                <w:rFonts w:ascii="Arial" w:hAnsi="Arial" w:cs="Arial"/>
                <w:b/>
                <w:bCs/>
              </w:rPr>
            </w:pPr>
            <w:r w:rsidRPr="005E1EE0">
              <w:rPr>
                <w:rFonts w:ascii="Arial" w:hAnsi="Arial" w:cs="Arial"/>
                <w:b/>
                <w:bCs/>
              </w:rPr>
              <w:t>£m</w:t>
            </w:r>
          </w:p>
        </w:tc>
        <w:tc>
          <w:tcPr>
            <w:tcW w:w="546" w:type="pct"/>
            <w:tcBorders>
              <w:bottom w:val="single" w:sz="4" w:space="0" w:color="auto"/>
            </w:tcBorders>
          </w:tcPr>
          <w:p w14:paraId="5B35A11A" w14:textId="77777777" w:rsidR="005A5138" w:rsidRPr="00A845B7" w:rsidRDefault="005A5138" w:rsidP="003D4ACC">
            <w:pPr>
              <w:jc w:val="right"/>
              <w:rPr>
                <w:rFonts w:ascii="Arial" w:hAnsi="Arial" w:cs="Arial"/>
              </w:rPr>
            </w:pPr>
            <w:r>
              <w:rPr>
                <w:rFonts w:ascii="Arial" w:hAnsi="Arial" w:cs="Arial"/>
                <w:b/>
                <w:bCs/>
              </w:rPr>
              <w:t>2022/23</w:t>
            </w:r>
          </w:p>
        </w:tc>
        <w:tc>
          <w:tcPr>
            <w:tcW w:w="546" w:type="pct"/>
            <w:tcBorders>
              <w:bottom w:val="single" w:sz="4" w:space="0" w:color="auto"/>
            </w:tcBorders>
          </w:tcPr>
          <w:p w14:paraId="33724D12" w14:textId="77777777" w:rsidR="005A5138" w:rsidRPr="00A845B7" w:rsidRDefault="005A5138" w:rsidP="003D4ACC">
            <w:pPr>
              <w:jc w:val="right"/>
              <w:rPr>
                <w:rFonts w:ascii="Arial" w:hAnsi="Arial" w:cs="Arial"/>
                <w:b/>
                <w:bCs/>
              </w:rPr>
            </w:pPr>
            <w:r>
              <w:rPr>
                <w:rFonts w:ascii="Arial" w:hAnsi="Arial" w:cs="Arial"/>
                <w:b/>
                <w:bCs/>
              </w:rPr>
              <w:t>2021/22</w:t>
            </w:r>
          </w:p>
        </w:tc>
        <w:tc>
          <w:tcPr>
            <w:tcW w:w="748" w:type="pct"/>
            <w:tcBorders>
              <w:bottom w:val="single" w:sz="4" w:space="0" w:color="auto"/>
            </w:tcBorders>
          </w:tcPr>
          <w:p w14:paraId="43037139" w14:textId="77777777" w:rsidR="005A5138" w:rsidRPr="00A845B7" w:rsidRDefault="005A5138" w:rsidP="003D4ACC">
            <w:pPr>
              <w:jc w:val="right"/>
              <w:rPr>
                <w:rFonts w:ascii="Arial" w:hAnsi="Arial" w:cs="Arial"/>
                <w:b/>
                <w:bCs/>
              </w:rPr>
            </w:pPr>
            <w:r w:rsidRPr="00A845B7">
              <w:rPr>
                <w:rFonts w:ascii="Arial" w:hAnsi="Arial" w:cs="Arial"/>
                <w:b/>
                <w:bCs/>
              </w:rPr>
              <w:t>% Reported</w:t>
            </w:r>
            <w:r w:rsidRPr="00A845B7" w:rsidDel="00197636">
              <w:rPr>
                <w:rFonts w:ascii="Arial" w:hAnsi="Arial" w:cs="Arial"/>
                <w:b/>
                <w:bCs/>
              </w:rPr>
              <w:t xml:space="preserve"> </w:t>
            </w:r>
            <w:r w:rsidRPr="00A845B7">
              <w:rPr>
                <w:rFonts w:ascii="Arial" w:hAnsi="Arial" w:cs="Arial"/>
                <w:b/>
                <w:bCs/>
              </w:rPr>
              <w:t>Change</w:t>
            </w:r>
          </w:p>
          <w:p w14:paraId="761B6EB2" w14:textId="77777777" w:rsidR="005A5138" w:rsidRPr="00A845B7" w:rsidRDefault="005A5138" w:rsidP="003D4ACC">
            <w:pPr>
              <w:jc w:val="right"/>
              <w:rPr>
                <w:rFonts w:ascii="Arial" w:hAnsi="Arial" w:cs="Arial"/>
                <w:b/>
                <w:bCs/>
              </w:rPr>
            </w:pPr>
          </w:p>
        </w:tc>
        <w:tc>
          <w:tcPr>
            <w:tcW w:w="748" w:type="pct"/>
            <w:tcBorders>
              <w:bottom w:val="single" w:sz="4" w:space="0" w:color="auto"/>
            </w:tcBorders>
          </w:tcPr>
          <w:p w14:paraId="15729E73" w14:textId="77777777" w:rsidR="005A5138" w:rsidRPr="00A845B7" w:rsidRDefault="005A5138" w:rsidP="003D4ACC">
            <w:pPr>
              <w:jc w:val="right"/>
              <w:rPr>
                <w:rFonts w:ascii="Arial" w:hAnsi="Arial" w:cs="Arial"/>
                <w:b/>
                <w:bCs/>
              </w:rPr>
            </w:pPr>
            <w:r w:rsidRPr="00A845B7">
              <w:rPr>
                <w:rFonts w:ascii="Arial" w:hAnsi="Arial" w:cs="Arial"/>
                <w:b/>
                <w:bCs/>
              </w:rPr>
              <w:t>% Constant</w:t>
            </w:r>
          </w:p>
          <w:p w14:paraId="693557F3" w14:textId="77777777" w:rsidR="005A5138" w:rsidRPr="00A845B7" w:rsidRDefault="005A5138" w:rsidP="003D4ACC">
            <w:pPr>
              <w:jc w:val="right"/>
              <w:rPr>
                <w:rFonts w:ascii="Arial" w:hAnsi="Arial" w:cs="Arial"/>
                <w:b/>
                <w:bCs/>
              </w:rPr>
            </w:pPr>
            <w:r w:rsidRPr="00A845B7">
              <w:rPr>
                <w:rFonts w:ascii="Arial" w:hAnsi="Arial" w:cs="Arial"/>
                <w:b/>
                <w:bCs/>
              </w:rPr>
              <w:t>Currency</w:t>
            </w:r>
          </w:p>
          <w:p w14:paraId="3E7BEBA1" w14:textId="77777777" w:rsidR="005A5138" w:rsidRPr="00A845B7" w:rsidRDefault="005A5138" w:rsidP="003D4ACC">
            <w:pPr>
              <w:jc w:val="right"/>
              <w:rPr>
                <w:rFonts w:ascii="Arial" w:hAnsi="Arial" w:cs="Arial"/>
                <w:b/>
                <w:bCs/>
              </w:rPr>
            </w:pPr>
            <w:r w:rsidRPr="00A845B7">
              <w:rPr>
                <w:rFonts w:ascii="Arial" w:hAnsi="Arial" w:cs="Arial"/>
                <w:b/>
                <w:bCs/>
              </w:rPr>
              <w:t xml:space="preserve">Change  </w:t>
            </w:r>
          </w:p>
        </w:tc>
        <w:tc>
          <w:tcPr>
            <w:tcW w:w="573" w:type="pct"/>
            <w:tcBorders>
              <w:bottom w:val="single" w:sz="4" w:space="0" w:color="auto"/>
            </w:tcBorders>
          </w:tcPr>
          <w:p w14:paraId="330B5DF9" w14:textId="77777777" w:rsidR="005A5138" w:rsidRPr="00A845B7" w:rsidRDefault="005A5138" w:rsidP="003D4ACC">
            <w:pPr>
              <w:ind w:hanging="108"/>
              <w:jc w:val="right"/>
              <w:rPr>
                <w:rFonts w:ascii="Arial" w:hAnsi="Arial" w:cs="Arial"/>
                <w:b/>
                <w:bCs/>
              </w:rPr>
            </w:pPr>
            <w:r w:rsidRPr="00A845B7">
              <w:rPr>
                <w:rFonts w:ascii="Arial" w:hAnsi="Arial" w:cs="Arial"/>
                <w:b/>
                <w:bCs/>
              </w:rPr>
              <w:t>% LFL</w:t>
            </w:r>
          </w:p>
          <w:p w14:paraId="5620F52B" w14:textId="77777777" w:rsidR="005A5138" w:rsidRPr="00A845B7" w:rsidRDefault="005A5138" w:rsidP="003D4ACC">
            <w:pPr>
              <w:ind w:hanging="108"/>
              <w:jc w:val="right"/>
              <w:rPr>
                <w:rFonts w:ascii="Arial" w:hAnsi="Arial" w:cs="Arial"/>
                <w:b/>
                <w:bCs/>
              </w:rPr>
            </w:pPr>
            <w:r w:rsidRPr="00A845B7">
              <w:rPr>
                <w:rFonts w:ascii="Arial" w:hAnsi="Arial" w:cs="Arial"/>
                <w:b/>
                <w:bCs/>
              </w:rPr>
              <w:t>Change</w:t>
            </w:r>
          </w:p>
        </w:tc>
        <w:tc>
          <w:tcPr>
            <w:tcW w:w="574" w:type="pct"/>
            <w:tcBorders>
              <w:bottom w:val="single" w:sz="4" w:space="0" w:color="auto"/>
            </w:tcBorders>
          </w:tcPr>
          <w:p w14:paraId="496A590C" w14:textId="77777777" w:rsidR="005A5138" w:rsidRPr="00A845B7" w:rsidRDefault="005A5138" w:rsidP="003D4ACC">
            <w:pPr>
              <w:ind w:hanging="108"/>
              <w:jc w:val="right"/>
              <w:rPr>
                <w:rFonts w:ascii="Arial" w:hAnsi="Arial" w:cs="Arial"/>
                <w:b/>
                <w:bCs/>
              </w:rPr>
            </w:pPr>
            <w:r>
              <w:rPr>
                <w:rFonts w:ascii="Arial" w:hAnsi="Arial" w:cs="Arial"/>
                <w:b/>
                <w:bCs/>
              </w:rPr>
              <w:t>% 3-year LFL Change</w:t>
            </w:r>
          </w:p>
        </w:tc>
      </w:tr>
      <w:tr w:rsidR="005A5138" w:rsidRPr="00FB5693" w14:paraId="143BEA2A" w14:textId="77777777" w:rsidTr="003D4ACC">
        <w:trPr>
          <w:trHeight w:val="147"/>
        </w:trPr>
        <w:tc>
          <w:tcPr>
            <w:tcW w:w="1265" w:type="pct"/>
            <w:tcBorders>
              <w:bottom w:val="single" w:sz="4" w:space="0" w:color="auto"/>
            </w:tcBorders>
          </w:tcPr>
          <w:p w14:paraId="2CFD3128" w14:textId="77777777" w:rsidR="005A5138" w:rsidRPr="002F6DC3" w:rsidRDefault="005A5138" w:rsidP="003D4ACC">
            <w:pPr>
              <w:rPr>
                <w:rFonts w:ascii="Arial" w:hAnsi="Arial" w:cs="Arial"/>
              </w:rPr>
            </w:pPr>
            <w:r w:rsidRPr="002F6DC3">
              <w:rPr>
                <w:rFonts w:ascii="Arial" w:hAnsi="Arial" w:cs="Arial"/>
              </w:rPr>
              <w:t>B&amp;Q</w:t>
            </w:r>
          </w:p>
        </w:tc>
        <w:tc>
          <w:tcPr>
            <w:tcW w:w="546" w:type="pct"/>
            <w:tcBorders>
              <w:bottom w:val="single" w:sz="4" w:space="0" w:color="auto"/>
            </w:tcBorders>
            <w:vAlign w:val="center"/>
          </w:tcPr>
          <w:p w14:paraId="08538BF9" w14:textId="77777777" w:rsidR="005A5138" w:rsidRPr="00031DF4" w:rsidRDefault="005A5138" w:rsidP="003D4ACC">
            <w:pPr>
              <w:jc w:val="right"/>
              <w:rPr>
                <w:rFonts w:ascii="Arial" w:hAnsi="Arial" w:cs="Arial"/>
                <w:highlight w:val="yellow"/>
              </w:rPr>
            </w:pPr>
            <w:r w:rsidRPr="007B35A5">
              <w:rPr>
                <w:rFonts w:ascii="Arial" w:hAnsi="Arial" w:cs="Arial"/>
              </w:rPr>
              <w:t xml:space="preserve">3,835 </w:t>
            </w:r>
          </w:p>
        </w:tc>
        <w:tc>
          <w:tcPr>
            <w:tcW w:w="546" w:type="pct"/>
            <w:tcBorders>
              <w:bottom w:val="single" w:sz="4" w:space="0" w:color="auto"/>
            </w:tcBorders>
            <w:vAlign w:val="center"/>
          </w:tcPr>
          <w:p w14:paraId="082D8B07" w14:textId="77777777" w:rsidR="005A5138" w:rsidRPr="00031DF4" w:rsidRDefault="005A5138" w:rsidP="003D4ACC">
            <w:pPr>
              <w:jc w:val="right"/>
              <w:rPr>
                <w:rFonts w:ascii="Arial" w:hAnsi="Arial" w:cs="Arial"/>
              </w:rPr>
            </w:pPr>
            <w:r w:rsidRPr="007B35A5">
              <w:rPr>
                <w:rFonts w:ascii="Arial" w:hAnsi="Arial" w:cs="Arial"/>
              </w:rPr>
              <w:t xml:space="preserve">4,178 </w:t>
            </w:r>
          </w:p>
        </w:tc>
        <w:tc>
          <w:tcPr>
            <w:tcW w:w="748" w:type="pct"/>
            <w:tcBorders>
              <w:bottom w:val="single" w:sz="4" w:space="0" w:color="auto"/>
            </w:tcBorders>
            <w:vAlign w:val="center"/>
          </w:tcPr>
          <w:p w14:paraId="563B4E87" w14:textId="77777777" w:rsidR="005A5138" w:rsidRPr="00031DF4" w:rsidRDefault="005A5138" w:rsidP="003D4ACC">
            <w:pPr>
              <w:jc w:val="right"/>
              <w:rPr>
                <w:rFonts w:ascii="Arial" w:hAnsi="Arial" w:cs="Arial"/>
                <w:highlight w:val="yellow"/>
              </w:rPr>
            </w:pPr>
            <w:r w:rsidRPr="007B35A5">
              <w:rPr>
                <w:rFonts w:ascii="Arial" w:hAnsi="Arial" w:cs="Arial"/>
              </w:rPr>
              <w:t>(8.2)%</w:t>
            </w:r>
          </w:p>
        </w:tc>
        <w:tc>
          <w:tcPr>
            <w:tcW w:w="748" w:type="pct"/>
            <w:tcBorders>
              <w:bottom w:val="single" w:sz="4" w:space="0" w:color="auto"/>
            </w:tcBorders>
            <w:vAlign w:val="center"/>
          </w:tcPr>
          <w:p w14:paraId="3C4079B8" w14:textId="77777777" w:rsidR="005A5138" w:rsidRPr="00031DF4" w:rsidRDefault="005A5138" w:rsidP="003D4ACC">
            <w:pPr>
              <w:jc w:val="right"/>
              <w:rPr>
                <w:rFonts w:ascii="Arial" w:hAnsi="Arial" w:cs="Arial"/>
                <w:highlight w:val="yellow"/>
              </w:rPr>
            </w:pPr>
            <w:r w:rsidRPr="007B35A5">
              <w:rPr>
                <w:rFonts w:ascii="Arial" w:hAnsi="Arial" w:cs="Arial"/>
              </w:rPr>
              <w:t>(8.2)%</w:t>
            </w:r>
          </w:p>
        </w:tc>
        <w:tc>
          <w:tcPr>
            <w:tcW w:w="573" w:type="pct"/>
            <w:tcBorders>
              <w:bottom w:val="single" w:sz="4" w:space="0" w:color="auto"/>
            </w:tcBorders>
            <w:shd w:val="clear" w:color="auto" w:fill="auto"/>
            <w:vAlign w:val="center"/>
          </w:tcPr>
          <w:p w14:paraId="108A582C" w14:textId="77777777" w:rsidR="005A5138" w:rsidRPr="00031DF4" w:rsidDel="00F76BE8" w:rsidRDefault="005A5138" w:rsidP="003D4ACC">
            <w:pPr>
              <w:jc w:val="right"/>
              <w:rPr>
                <w:rFonts w:ascii="Arial" w:hAnsi="Arial" w:cs="Arial"/>
                <w:highlight w:val="yellow"/>
              </w:rPr>
            </w:pPr>
            <w:r w:rsidRPr="007B35A5">
              <w:rPr>
                <w:rFonts w:ascii="Arial" w:hAnsi="Arial" w:cs="Arial"/>
              </w:rPr>
              <w:t>(8.8)%</w:t>
            </w:r>
          </w:p>
        </w:tc>
        <w:tc>
          <w:tcPr>
            <w:tcW w:w="574" w:type="pct"/>
            <w:tcBorders>
              <w:bottom w:val="single" w:sz="4" w:space="0" w:color="auto"/>
            </w:tcBorders>
            <w:vAlign w:val="center"/>
          </w:tcPr>
          <w:p w14:paraId="266538AC" w14:textId="77777777" w:rsidR="005A5138" w:rsidRPr="00031DF4" w:rsidRDefault="005A5138" w:rsidP="003D4ACC">
            <w:pPr>
              <w:jc w:val="right"/>
              <w:rPr>
                <w:rFonts w:ascii="Arial" w:hAnsi="Arial" w:cs="Arial"/>
                <w:highlight w:val="yellow"/>
              </w:rPr>
            </w:pPr>
            <w:r>
              <w:rPr>
                <w:rFonts w:ascii="Arial" w:hAnsi="Arial" w:cs="Arial"/>
              </w:rPr>
              <w:t>+</w:t>
            </w:r>
            <w:r w:rsidRPr="007B35A5">
              <w:rPr>
                <w:rFonts w:ascii="Arial" w:hAnsi="Arial" w:cs="Arial"/>
              </w:rPr>
              <w:t>15.8%</w:t>
            </w:r>
          </w:p>
        </w:tc>
      </w:tr>
      <w:tr w:rsidR="005A5138" w:rsidRPr="00FB5693" w14:paraId="2D2E2834" w14:textId="77777777" w:rsidTr="003D4ACC">
        <w:trPr>
          <w:trHeight w:val="147"/>
        </w:trPr>
        <w:tc>
          <w:tcPr>
            <w:tcW w:w="1265" w:type="pct"/>
            <w:tcBorders>
              <w:bottom w:val="single" w:sz="4" w:space="0" w:color="auto"/>
            </w:tcBorders>
          </w:tcPr>
          <w:p w14:paraId="59931244" w14:textId="77777777" w:rsidR="005A5138" w:rsidRPr="002F6DC3" w:rsidRDefault="005A5138" w:rsidP="003D4ACC">
            <w:pPr>
              <w:rPr>
                <w:rFonts w:ascii="Arial" w:hAnsi="Arial" w:cs="Arial"/>
              </w:rPr>
            </w:pPr>
            <w:r w:rsidRPr="002F6DC3">
              <w:rPr>
                <w:rFonts w:ascii="Arial" w:hAnsi="Arial" w:cs="Arial"/>
              </w:rPr>
              <w:t>Screwfix</w:t>
            </w:r>
          </w:p>
        </w:tc>
        <w:tc>
          <w:tcPr>
            <w:tcW w:w="546" w:type="pct"/>
            <w:tcBorders>
              <w:bottom w:val="single" w:sz="4" w:space="0" w:color="auto"/>
            </w:tcBorders>
            <w:vAlign w:val="center"/>
          </w:tcPr>
          <w:p w14:paraId="7A309FB4" w14:textId="77777777" w:rsidR="005A5138" w:rsidRPr="00031DF4" w:rsidRDefault="005A5138" w:rsidP="003D4ACC">
            <w:pPr>
              <w:jc w:val="right"/>
              <w:rPr>
                <w:rFonts w:ascii="Arial" w:hAnsi="Arial" w:cs="Arial"/>
                <w:highlight w:val="yellow"/>
              </w:rPr>
            </w:pPr>
            <w:r w:rsidRPr="007B35A5">
              <w:rPr>
                <w:rFonts w:ascii="Arial" w:hAnsi="Arial" w:cs="Arial"/>
              </w:rPr>
              <w:t xml:space="preserve">2,365 </w:t>
            </w:r>
          </w:p>
        </w:tc>
        <w:tc>
          <w:tcPr>
            <w:tcW w:w="546" w:type="pct"/>
            <w:tcBorders>
              <w:bottom w:val="single" w:sz="4" w:space="0" w:color="auto"/>
            </w:tcBorders>
            <w:vAlign w:val="center"/>
          </w:tcPr>
          <w:p w14:paraId="366BB6E6" w14:textId="77777777" w:rsidR="005A5138" w:rsidRPr="00031DF4" w:rsidRDefault="005A5138" w:rsidP="003D4ACC">
            <w:pPr>
              <w:jc w:val="right"/>
              <w:rPr>
                <w:rFonts w:ascii="Arial" w:hAnsi="Arial" w:cs="Arial"/>
              </w:rPr>
            </w:pPr>
            <w:r w:rsidRPr="007B35A5">
              <w:rPr>
                <w:rFonts w:ascii="Arial" w:hAnsi="Arial" w:cs="Arial"/>
              </w:rPr>
              <w:t xml:space="preserve">2,327 </w:t>
            </w:r>
          </w:p>
        </w:tc>
        <w:tc>
          <w:tcPr>
            <w:tcW w:w="748" w:type="pct"/>
            <w:tcBorders>
              <w:bottom w:val="single" w:sz="4" w:space="0" w:color="auto"/>
            </w:tcBorders>
            <w:vAlign w:val="center"/>
          </w:tcPr>
          <w:p w14:paraId="5D546ECB" w14:textId="77777777" w:rsidR="005A5138" w:rsidRPr="00031DF4" w:rsidRDefault="005A5138" w:rsidP="003D4ACC">
            <w:pPr>
              <w:jc w:val="right"/>
              <w:rPr>
                <w:rFonts w:ascii="Arial" w:hAnsi="Arial" w:cs="Arial"/>
                <w:highlight w:val="yellow"/>
              </w:rPr>
            </w:pPr>
            <w:r>
              <w:rPr>
                <w:rFonts w:ascii="Arial" w:hAnsi="Arial" w:cs="Arial"/>
              </w:rPr>
              <w:t>+</w:t>
            </w:r>
            <w:r w:rsidRPr="007B35A5">
              <w:rPr>
                <w:rFonts w:ascii="Arial" w:hAnsi="Arial" w:cs="Arial"/>
              </w:rPr>
              <w:t>1.6%</w:t>
            </w:r>
          </w:p>
        </w:tc>
        <w:tc>
          <w:tcPr>
            <w:tcW w:w="748" w:type="pct"/>
            <w:tcBorders>
              <w:bottom w:val="single" w:sz="4" w:space="0" w:color="auto"/>
            </w:tcBorders>
            <w:vAlign w:val="center"/>
          </w:tcPr>
          <w:p w14:paraId="0B2B4867" w14:textId="463BAB9A" w:rsidR="005A5138" w:rsidRPr="00031DF4" w:rsidRDefault="007E5990" w:rsidP="003D4ACC">
            <w:pPr>
              <w:jc w:val="right"/>
              <w:rPr>
                <w:rFonts w:ascii="Arial" w:hAnsi="Arial" w:cs="Arial"/>
                <w:highlight w:val="yellow"/>
              </w:rPr>
            </w:pPr>
            <w:r>
              <w:rPr>
                <w:rFonts w:ascii="Arial" w:hAnsi="Arial" w:cs="Arial"/>
              </w:rPr>
              <w:t>+</w:t>
            </w:r>
            <w:r w:rsidR="005A5138" w:rsidRPr="007B35A5">
              <w:rPr>
                <w:rFonts w:ascii="Arial" w:hAnsi="Arial" w:cs="Arial"/>
              </w:rPr>
              <w:t>1.6%</w:t>
            </w:r>
          </w:p>
        </w:tc>
        <w:tc>
          <w:tcPr>
            <w:tcW w:w="573" w:type="pct"/>
            <w:tcBorders>
              <w:bottom w:val="single" w:sz="4" w:space="0" w:color="auto"/>
            </w:tcBorders>
            <w:shd w:val="clear" w:color="auto" w:fill="auto"/>
            <w:vAlign w:val="center"/>
          </w:tcPr>
          <w:p w14:paraId="1685450D" w14:textId="77777777" w:rsidR="005A5138" w:rsidRPr="00031DF4" w:rsidDel="00F76BE8" w:rsidRDefault="005A5138" w:rsidP="003D4ACC">
            <w:pPr>
              <w:jc w:val="right"/>
              <w:rPr>
                <w:rFonts w:ascii="Arial" w:hAnsi="Arial" w:cs="Arial"/>
                <w:highlight w:val="yellow"/>
              </w:rPr>
            </w:pPr>
            <w:r w:rsidRPr="007B35A5">
              <w:rPr>
                <w:rFonts w:ascii="Arial" w:hAnsi="Arial" w:cs="Arial"/>
              </w:rPr>
              <w:t>(3.4)%</w:t>
            </w:r>
          </w:p>
        </w:tc>
        <w:tc>
          <w:tcPr>
            <w:tcW w:w="574" w:type="pct"/>
            <w:tcBorders>
              <w:bottom w:val="single" w:sz="4" w:space="0" w:color="auto"/>
            </w:tcBorders>
            <w:vAlign w:val="center"/>
          </w:tcPr>
          <w:p w14:paraId="11B6CEF4" w14:textId="77777777" w:rsidR="005A5138" w:rsidRPr="00031DF4" w:rsidRDefault="005A5138" w:rsidP="003D4ACC">
            <w:pPr>
              <w:jc w:val="right"/>
              <w:rPr>
                <w:rFonts w:ascii="Arial" w:hAnsi="Arial" w:cs="Arial"/>
                <w:highlight w:val="yellow"/>
              </w:rPr>
            </w:pPr>
            <w:r>
              <w:rPr>
                <w:rFonts w:ascii="Arial" w:hAnsi="Arial" w:cs="Arial"/>
              </w:rPr>
              <w:t>+</w:t>
            </w:r>
            <w:r w:rsidRPr="007B35A5">
              <w:rPr>
                <w:rFonts w:ascii="Arial" w:hAnsi="Arial" w:cs="Arial"/>
              </w:rPr>
              <w:t>14.2%</w:t>
            </w:r>
          </w:p>
        </w:tc>
      </w:tr>
      <w:tr w:rsidR="005A5138" w:rsidRPr="00FB5693" w14:paraId="58B94348" w14:textId="77777777" w:rsidTr="003D4ACC">
        <w:trPr>
          <w:trHeight w:val="147"/>
        </w:trPr>
        <w:tc>
          <w:tcPr>
            <w:tcW w:w="1265" w:type="pct"/>
            <w:tcBorders>
              <w:bottom w:val="single" w:sz="4" w:space="0" w:color="auto"/>
            </w:tcBorders>
          </w:tcPr>
          <w:p w14:paraId="5EC92A41" w14:textId="77777777" w:rsidR="005A5138" w:rsidRPr="00216D66" w:rsidRDefault="005A5138" w:rsidP="003D4ACC">
            <w:pPr>
              <w:rPr>
                <w:rFonts w:ascii="Arial" w:hAnsi="Arial" w:cs="Arial"/>
                <w:b/>
              </w:rPr>
            </w:pPr>
            <w:r w:rsidRPr="00216D66">
              <w:rPr>
                <w:rFonts w:ascii="Arial" w:hAnsi="Arial" w:cs="Arial"/>
                <w:b/>
                <w:bCs/>
              </w:rPr>
              <w:t xml:space="preserve">Total sales </w:t>
            </w:r>
          </w:p>
        </w:tc>
        <w:tc>
          <w:tcPr>
            <w:tcW w:w="546" w:type="pct"/>
            <w:tcBorders>
              <w:bottom w:val="single" w:sz="4" w:space="0" w:color="auto"/>
            </w:tcBorders>
            <w:vAlign w:val="bottom"/>
          </w:tcPr>
          <w:p w14:paraId="6666F7DF" w14:textId="77777777" w:rsidR="005A5138" w:rsidRPr="00031DF4" w:rsidRDefault="005A5138" w:rsidP="003D4ACC">
            <w:pPr>
              <w:jc w:val="right"/>
              <w:rPr>
                <w:rFonts w:ascii="Arial" w:hAnsi="Arial" w:cs="Arial"/>
                <w:b/>
                <w:bCs/>
                <w:highlight w:val="yellow"/>
              </w:rPr>
            </w:pPr>
            <w:r w:rsidRPr="007B35A5">
              <w:rPr>
                <w:rFonts w:ascii="Arial" w:hAnsi="Arial" w:cs="Arial"/>
                <w:b/>
                <w:bCs/>
              </w:rPr>
              <w:t xml:space="preserve">6,200 </w:t>
            </w:r>
          </w:p>
        </w:tc>
        <w:tc>
          <w:tcPr>
            <w:tcW w:w="546" w:type="pct"/>
            <w:tcBorders>
              <w:bottom w:val="single" w:sz="4" w:space="0" w:color="auto"/>
            </w:tcBorders>
            <w:vAlign w:val="bottom"/>
          </w:tcPr>
          <w:p w14:paraId="1740144F" w14:textId="77777777" w:rsidR="005A5138" w:rsidRPr="00031DF4" w:rsidRDefault="005A5138" w:rsidP="003D4ACC">
            <w:pPr>
              <w:jc w:val="right"/>
              <w:rPr>
                <w:rFonts w:ascii="Arial" w:hAnsi="Arial" w:cs="Arial"/>
                <w:b/>
                <w:bCs/>
              </w:rPr>
            </w:pPr>
            <w:r w:rsidRPr="007B35A5">
              <w:rPr>
                <w:rFonts w:ascii="Arial" w:hAnsi="Arial" w:cs="Arial"/>
                <w:b/>
                <w:bCs/>
              </w:rPr>
              <w:t xml:space="preserve">6,505 </w:t>
            </w:r>
          </w:p>
        </w:tc>
        <w:tc>
          <w:tcPr>
            <w:tcW w:w="748" w:type="pct"/>
            <w:tcBorders>
              <w:bottom w:val="single" w:sz="4" w:space="0" w:color="auto"/>
            </w:tcBorders>
            <w:vAlign w:val="bottom"/>
          </w:tcPr>
          <w:p w14:paraId="1057DC90" w14:textId="77777777" w:rsidR="005A5138" w:rsidRPr="00031DF4" w:rsidRDefault="005A5138" w:rsidP="003D4ACC">
            <w:pPr>
              <w:jc w:val="right"/>
              <w:rPr>
                <w:rFonts w:ascii="Arial" w:hAnsi="Arial" w:cs="Arial"/>
                <w:b/>
                <w:bCs/>
                <w:highlight w:val="yellow"/>
              </w:rPr>
            </w:pPr>
            <w:r w:rsidRPr="007B35A5">
              <w:rPr>
                <w:rFonts w:ascii="Arial" w:hAnsi="Arial" w:cs="Arial"/>
                <w:b/>
                <w:bCs/>
              </w:rPr>
              <w:t>(4.7)%</w:t>
            </w:r>
          </w:p>
        </w:tc>
        <w:tc>
          <w:tcPr>
            <w:tcW w:w="748" w:type="pct"/>
            <w:tcBorders>
              <w:bottom w:val="single" w:sz="4" w:space="0" w:color="auto"/>
            </w:tcBorders>
            <w:vAlign w:val="bottom"/>
          </w:tcPr>
          <w:p w14:paraId="15B54D31" w14:textId="77777777" w:rsidR="005A5138" w:rsidRPr="00031DF4" w:rsidRDefault="005A5138" w:rsidP="003D4ACC">
            <w:pPr>
              <w:jc w:val="right"/>
              <w:rPr>
                <w:rFonts w:ascii="Arial" w:hAnsi="Arial" w:cs="Arial"/>
                <w:b/>
                <w:bCs/>
                <w:highlight w:val="yellow"/>
              </w:rPr>
            </w:pPr>
            <w:r w:rsidRPr="007B35A5">
              <w:rPr>
                <w:rFonts w:ascii="Arial" w:hAnsi="Arial" w:cs="Arial"/>
                <w:b/>
                <w:bCs/>
              </w:rPr>
              <w:t>(4.7)%</w:t>
            </w:r>
          </w:p>
        </w:tc>
        <w:tc>
          <w:tcPr>
            <w:tcW w:w="573" w:type="pct"/>
            <w:tcBorders>
              <w:bottom w:val="single" w:sz="4" w:space="0" w:color="auto"/>
            </w:tcBorders>
            <w:shd w:val="clear" w:color="auto" w:fill="auto"/>
            <w:vAlign w:val="bottom"/>
          </w:tcPr>
          <w:p w14:paraId="675F1236" w14:textId="77777777" w:rsidR="005A5138" w:rsidRPr="00031DF4" w:rsidRDefault="005A5138" w:rsidP="003D4ACC">
            <w:pPr>
              <w:jc w:val="right"/>
              <w:rPr>
                <w:rFonts w:ascii="Arial" w:hAnsi="Arial" w:cs="Arial"/>
                <w:b/>
                <w:bCs/>
                <w:highlight w:val="yellow"/>
              </w:rPr>
            </w:pPr>
            <w:r w:rsidRPr="007B35A5">
              <w:rPr>
                <w:rFonts w:ascii="Arial" w:hAnsi="Arial" w:cs="Arial"/>
                <w:b/>
                <w:bCs/>
              </w:rPr>
              <w:t>(6.9)%</w:t>
            </w:r>
          </w:p>
        </w:tc>
        <w:tc>
          <w:tcPr>
            <w:tcW w:w="574" w:type="pct"/>
            <w:tcBorders>
              <w:bottom w:val="single" w:sz="4" w:space="0" w:color="auto"/>
            </w:tcBorders>
            <w:vAlign w:val="bottom"/>
          </w:tcPr>
          <w:p w14:paraId="454A9169" w14:textId="77777777" w:rsidR="005A5138" w:rsidRPr="00031DF4" w:rsidRDefault="005A5138" w:rsidP="003D4ACC">
            <w:pPr>
              <w:jc w:val="right"/>
              <w:rPr>
                <w:rFonts w:ascii="Arial" w:hAnsi="Arial" w:cs="Arial"/>
                <w:b/>
                <w:bCs/>
                <w:highlight w:val="yellow"/>
              </w:rPr>
            </w:pPr>
            <w:r>
              <w:rPr>
                <w:rFonts w:ascii="Arial" w:hAnsi="Arial" w:cs="Arial"/>
                <w:b/>
                <w:bCs/>
              </w:rPr>
              <w:t>+</w:t>
            </w:r>
            <w:r w:rsidRPr="007B35A5">
              <w:rPr>
                <w:rFonts w:ascii="Arial" w:hAnsi="Arial" w:cs="Arial"/>
                <w:b/>
                <w:bCs/>
              </w:rPr>
              <w:t>15.3%</w:t>
            </w:r>
          </w:p>
        </w:tc>
      </w:tr>
      <w:tr w:rsidR="005A5138" w:rsidRPr="00FB5693" w14:paraId="65965379" w14:textId="77777777" w:rsidTr="003D4ACC">
        <w:trPr>
          <w:gridAfter w:val="2"/>
          <w:wAfter w:w="1147" w:type="pct"/>
        </w:trPr>
        <w:tc>
          <w:tcPr>
            <w:tcW w:w="1265" w:type="pct"/>
            <w:tcBorders>
              <w:top w:val="nil"/>
              <w:left w:val="nil"/>
              <w:bottom w:val="single" w:sz="4" w:space="0" w:color="auto"/>
              <w:right w:val="nil"/>
            </w:tcBorders>
          </w:tcPr>
          <w:p w14:paraId="56570EB3" w14:textId="77777777" w:rsidR="005A5138" w:rsidRPr="00E83051" w:rsidRDefault="005A5138" w:rsidP="003D4ACC">
            <w:pPr>
              <w:jc w:val="left"/>
              <w:rPr>
                <w:rFonts w:ascii="Arial" w:hAnsi="Arial" w:cs="Arial"/>
              </w:rPr>
            </w:pPr>
          </w:p>
        </w:tc>
        <w:tc>
          <w:tcPr>
            <w:tcW w:w="546" w:type="pct"/>
            <w:tcBorders>
              <w:top w:val="nil"/>
              <w:left w:val="nil"/>
              <w:bottom w:val="single" w:sz="4" w:space="0" w:color="auto"/>
              <w:right w:val="nil"/>
            </w:tcBorders>
          </w:tcPr>
          <w:p w14:paraId="64DBD84B" w14:textId="77777777" w:rsidR="005A5138" w:rsidRPr="002B6EE5" w:rsidRDefault="005A5138" w:rsidP="003D4ACC">
            <w:pPr>
              <w:jc w:val="left"/>
              <w:rPr>
                <w:rFonts w:ascii="Arial" w:hAnsi="Arial" w:cs="Arial"/>
                <w:highlight w:val="yellow"/>
              </w:rPr>
            </w:pPr>
          </w:p>
        </w:tc>
        <w:tc>
          <w:tcPr>
            <w:tcW w:w="546" w:type="pct"/>
            <w:tcBorders>
              <w:top w:val="nil"/>
              <w:left w:val="nil"/>
              <w:bottom w:val="single" w:sz="4" w:space="0" w:color="auto"/>
              <w:right w:val="nil"/>
            </w:tcBorders>
          </w:tcPr>
          <w:p w14:paraId="6105AB55" w14:textId="77777777" w:rsidR="005A5138" w:rsidRPr="00216D66" w:rsidRDefault="005A5138" w:rsidP="003D4ACC">
            <w:pPr>
              <w:jc w:val="left"/>
              <w:rPr>
                <w:rFonts w:ascii="Arial" w:hAnsi="Arial" w:cs="Arial"/>
              </w:rPr>
            </w:pPr>
          </w:p>
        </w:tc>
        <w:tc>
          <w:tcPr>
            <w:tcW w:w="748" w:type="pct"/>
            <w:tcBorders>
              <w:top w:val="nil"/>
              <w:left w:val="nil"/>
              <w:bottom w:val="single" w:sz="4" w:space="0" w:color="auto"/>
              <w:right w:val="nil"/>
            </w:tcBorders>
          </w:tcPr>
          <w:p w14:paraId="318ABFE9" w14:textId="77777777" w:rsidR="005A5138" w:rsidRPr="002B6EE5" w:rsidRDefault="005A5138" w:rsidP="003D4ACC">
            <w:pPr>
              <w:jc w:val="left"/>
              <w:rPr>
                <w:rFonts w:ascii="Arial" w:hAnsi="Arial" w:cs="Arial"/>
                <w:highlight w:val="yellow"/>
              </w:rPr>
            </w:pPr>
          </w:p>
        </w:tc>
        <w:tc>
          <w:tcPr>
            <w:tcW w:w="748" w:type="pct"/>
            <w:tcBorders>
              <w:top w:val="nil"/>
              <w:left w:val="nil"/>
              <w:bottom w:val="single" w:sz="4" w:space="0" w:color="auto"/>
              <w:right w:val="nil"/>
            </w:tcBorders>
          </w:tcPr>
          <w:p w14:paraId="32F113EE" w14:textId="77777777" w:rsidR="005A5138" w:rsidRPr="002B6EE5" w:rsidRDefault="005A5138" w:rsidP="003D4ACC">
            <w:pPr>
              <w:jc w:val="left"/>
              <w:rPr>
                <w:rFonts w:ascii="Arial" w:hAnsi="Arial" w:cs="Arial"/>
                <w:highlight w:val="yellow"/>
              </w:rPr>
            </w:pPr>
          </w:p>
        </w:tc>
      </w:tr>
      <w:tr w:rsidR="005A5138" w:rsidRPr="00FB5693" w14:paraId="05EC61A7" w14:textId="77777777" w:rsidTr="003D4ACC">
        <w:trPr>
          <w:gridAfter w:val="2"/>
          <w:wAfter w:w="1147" w:type="pct"/>
        </w:trPr>
        <w:tc>
          <w:tcPr>
            <w:tcW w:w="1265" w:type="pct"/>
            <w:tcBorders>
              <w:top w:val="single" w:sz="4" w:space="0" w:color="auto"/>
              <w:bottom w:val="single" w:sz="4" w:space="0" w:color="auto"/>
            </w:tcBorders>
          </w:tcPr>
          <w:p w14:paraId="530D23C5" w14:textId="77777777" w:rsidR="005A5138" w:rsidRPr="00216D66" w:rsidRDefault="005A5138" w:rsidP="003D4ACC">
            <w:pPr>
              <w:jc w:val="left"/>
              <w:rPr>
                <w:rFonts w:ascii="Arial" w:hAnsi="Arial" w:cs="Arial"/>
                <w:b/>
              </w:rPr>
            </w:pPr>
            <w:r w:rsidRPr="00216D66">
              <w:rPr>
                <w:rFonts w:ascii="Arial" w:hAnsi="Arial" w:cs="Arial"/>
                <w:b/>
                <w:bCs/>
              </w:rPr>
              <w:t>Retail profit</w:t>
            </w:r>
          </w:p>
        </w:tc>
        <w:tc>
          <w:tcPr>
            <w:tcW w:w="546" w:type="pct"/>
            <w:tcBorders>
              <w:top w:val="single" w:sz="4" w:space="0" w:color="auto"/>
              <w:bottom w:val="single" w:sz="4" w:space="0" w:color="auto"/>
            </w:tcBorders>
          </w:tcPr>
          <w:p w14:paraId="3A221C1A" w14:textId="77777777" w:rsidR="005A5138" w:rsidRPr="007B35A5" w:rsidRDefault="005A5138" w:rsidP="003D4ACC">
            <w:pPr>
              <w:jc w:val="right"/>
              <w:rPr>
                <w:rFonts w:ascii="Arial" w:hAnsi="Arial" w:cs="Arial"/>
                <w:b/>
                <w:bCs/>
              </w:rPr>
            </w:pPr>
            <w:r w:rsidRPr="007B35A5">
              <w:rPr>
                <w:rFonts w:ascii="Arial" w:hAnsi="Arial" w:cs="Arial"/>
                <w:b/>
                <w:bCs/>
              </w:rPr>
              <w:t>603</w:t>
            </w:r>
          </w:p>
        </w:tc>
        <w:tc>
          <w:tcPr>
            <w:tcW w:w="546" w:type="pct"/>
            <w:tcBorders>
              <w:top w:val="single" w:sz="4" w:space="0" w:color="auto"/>
              <w:bottom w:val="single" w:sz="4" w:space="0" w:color="auto"/>
            </w:tcBorders>
          </w:tcPr>
          <w:p w14:paraId="499CDBA0" w14:textId="77777777" w:rsidR="005A5138" w:rsidRPr="006A2F62" w:rsidRDefault="005A5138" w:rsidP="003D4ACC">
            <w:pPr>
              <w:jc w:val="right"/>
              <w:rPr>
                <w:rFonts w:ascii="Arial" w:hAnsi="Arial" w:cs="Arial"/>
                <w:b/>
                <w:bCs/>
                <w:highlight w:val="yellow"/>
              </w:rPr>
            </w:pPr>
            <w:r w:rsidRPr="00EA7C0B">
              <w:rPr>
                <w:rFonts w:ascii="Arial" w:hAnsi="Arial" w:cs="Arial"/>
                <w:b/>
                <w:bCs/>
              </w:rPr>
              <w:t>794</w:t>
            </w:r>
          </w:p>
        </w:tc>
        <w:tc>
          <w:tcPr>
            <w:tcW w:w="748" w:type="pct"/>
            <w:tcBorders>
              <w:top w:val="single" w:sz="4" w:space="0" w:color="auto"/>
              <w:bottom w:val="single" w:sz="4" w:space="0" w:color="auto"/>
            </w:tcBorders>
          </w:tcPr>
          <w:p w14:paraId="21A25C39" w14:textId="77777777" w:rsidR="005A5138" w:rsidRPr="002B6EE5" w:rsidRDefault="005A5138" w:rsidP="003D4ACC">
            <w:pPr>
              <w:jc w:val="right"/>
              <w:rPr>
                <w:rFonts w:ascii="Arial" w:hAnsi="Arial" w:cs="Arial"/>
                <w:b/>
                <w:bCs/>
                <w:highlight w:val="yellow"/>
              </w:rPr>
            </w:pPr>
            <w:r w:rsidRPr="007B35A5">
              <w:rPr>
                <w:rFonts w:ascii="Arial" w:hAnsi="Arial" w:cs="Arial"/>
                <w:b/>
                <w:bCs/>
              </w:rPr>
              <w:t>(24.</w:t>
            </w:r>
            <w:r>
              <w:rPr>
                <w:rFonts w:ascii="Arial" w:hAnsi="Arial" w:cs="Arial"/>
                <w:b/>
                <w:bCs/>
              </w:rPr>
              <w:t>0</w:t>
            </w:r>
            <w:r w:rsidRPr="007B35A5">
              <w:rPr>
                <w:rFonts w:ascii="Arial" w:hAnsi="Arial" w:cs="Arial"/>
                <w:b/>
                <w:bCs/>
              </w:rPr>
              <w:t>)%</w:t>
            </w:r>
          </w:p>
        </w:tc>
        <w:tc>
          <w:tcPr>
            <w:tcW w:w="748" w:type="pct"/>
            <w:tcBorders>
              <w:top w:val="single" w:sz="4" w:space="0" w:color="auto"/>
              <w:bottom w:val="single" w:sz="4" w:space="0" w:color="auto"/>
            </w:tcBorders>
          </w:tcPr>
          <w:p w14:paraId="6CB8BB0A" w14:textId="77777777" w:rsidR="005A5138" w:rsidRPr="002B6EE5" w:rsidRDefault="005A5138" w:rsidP="003D4ACC">
            <w:pPr>
              <w:jc w:val="right"/>
              <w:rPr>
                <w:rFonts w:ascii="Arial" w:hAnsi="Arial" w:cs="Arial"/>
                <w:b/>
                <w:bCs/>
                <w:highlight w:val="yellow"/>
              </w:rPr>
            </w:pPr>
            <w:r w:rsidRPr="00297EE5">
              <w:rPr>
                <w:rFonts w:ascii="Arial" w:hAnsi="Arial" w:cs="Arial"/>
                <w:b/>
                <w:bCs/>
              </w:rPr>
              <w:t>(24.</w:t>
            </w:r>
            <w:r>
              <w:rPr>
                <w:rFonts w:ascii="Arial" w:hAnsi="Arial" w:cs="Arial"/>
                <w:b/>
                <w:bCs/>
              </w:rPr>
              <w:t>0</w:t>
            </w:r>
            <w:r w:rsidRPr="00297EE5">
              <w:rPr>
                <w:rFonts w:ascii="Arial" w:hAnsi="Arial" w:cs="Arial"/>
                <w:b/>
                <w:bCs/>
              </w:rPr>
              <w:t>)%</w:t>
            </w:r>
          </w:p>
        </w:tc>
      </w:tr>
      <w:tr w:rsidR="005A5138" w:rsidRPr="00FB5693" w14:paraId="2147E2DE" w14:textId="77777777" w:rsidTr="003D4ACC">
        <w:trPr>
          <w:gridAfter w:val="2"/>
          <w:wAfter w:w="1147" w:type="pct"/>
        </w:trPr>
        <w:tc>
          <w:tcPr>
            <w:tcW w:w="1265" w:type="pct"/>
            <w:tcBorders>
              <w:top w:val="single" w:sz="4" w:space="0" w:color="auto"/>
            </w:tcBorders>
          </w:tcPr>
          <w:p w14:paraId="586AF040" w14:textId="77777777" w:rsidR="005A5138" w:rsidRPr="00216D66" w:rsidRDefault="005A5138" w:rsidP="003D4ACC">
            <w:pPr>
              <w:jc w:val="left"/>
              <w:rPr>
                <w:rFonts w:ascii="Arial" w:hAnsi="Arial" w:cs="Arial"/>
                <w:b/>
                <w:bCs/>
              </w:rPr>
            </w:pPr>
            <w:r w:rsidRPr="00216D66">
              <w:rPr>
                <w:rFonts w:ascii="Arial" w:hAnsi="Arial" w:cs="Arial"/>
                <w:b/>
                <w:bCs/>
              </w:rPr>
              <w:t>Retail profit margin</w:t>
            </w:r>
            <w:r>
              <w:rPr>
                <w:rFonts w:ascii="Arial" w:hAnsi="Arial" w:cs="Arial"/>
                <w:b/>
                <w:bCs/>
              </w:rPr>
              <w:t xml:space="preserve"> %</w:t>
            </w:r>
          </w:p>
        </w:tc>
        <w:tc>
          <w:tcPr>
            <w:tcW w:w="546" w:type="pct"/>
            <w:tcBorders>
              <w:top w:val="single" w:sz="4" w:space="0" w:color="auto"/>
            </w:tcBorders>
          </w:tcPr>
          <w:p w14:paraId="198FA404" w14:textId="77777777" w:rsidR="005A5138" w:rsidRPr="007B35A5" w:rsidRDefault="005A5138" w:rsidP="003D4ACC">
            <w:pPr>
              <w:jc w:val="right"/>
              <w:rPr>
                <w:rFonts w:ascii="Arial" w:hAnsi="Arial" w:cs="Arial"/>
              </w:rPr>
            </w:pPr>
            <w:r w:rsidRPr="007B35A5">
              <w:rPr>
                <w:rFonts w:ascii="Arial" w:hAnsi="Arial" w:cs="Arial"/>
              </w:rPr>
              <w:t>9.7%</w:t>
            </w:r>
          </w:p>
        </w:tc>
        <w:tc>
          <w:tcPr>
            <w:tcW w:w="546" w:type="pct"/>
            <w:tcBorders>
              <w:top w:val="single" w:sz="4" w:space="0" w:color="auto"/>
            </w:tcBorders>
          </w:tcPr>
          <w:p w14:paraId="3693DBFC" w14:textId="77777777" w:rsidR="005A5138" w:rsidRPr="006A2F62" w:rsidRDefault="005A5138" w:rsidP="003D4ACC">
            <w:pPr>
              <w:jc w:val="right"/>
              <w:rPr>
                <w:rFonts w:ascii="Arial" w:hAnsi="Arial" w:cs="Arial"/>
                <w:highlight w:val="yellow"/>
              </w:rPr>
            </w:pPr>
            <w:r w:rsidRPr="00EA7C0B">
              <w:rPr>
                <w:rFonts w:ascii="Arial" w:hAnsi="Arial" w:cs="Arial"/>
              </w:rPr>
              <w:t>12.2%</w:t>
            </w:r>
          </w:p>
        </w:tc>
        <w:tc>
          <w:tcPr>
            <w:tcW w:w="748" w:type="pct"/>
            <w:tcBorders>
              <w:top w:val="single" w:sz="4" w:space="0" w:color="auto"/>
            </w:tcBorders>
          </w:tcPr>
          <w:p w14:paraId="616B24AB" w14:textId="77777777" w:rsidR="005A5138" w:rsidRPr="007B35A5" w:rsidRDefault="005A5138" w:rsidP="003D4ACC">
            <w:pPr>
              <w:jc w:val="right"/>
              <w:rPr>
                <w:rFonts w:ascii="Arial" w:hAnsi="Arial" w:cs="Arial"/>
              </w:rPr>
            </w:pPr>
            <w:r w:rsidRPr="007B35A5">
              <w:rPr>
                <w:rFonts w:ascii="Arial" w:hAnsi="Arial" w:cs="Arial"/>
              </w:rPr>
              <w:t>(250)bps</w:t>
            </w:r>
          </w:p>
        </w:tc>
        <w:tc>
          <w:tcPr>
            <w:tcW w:w="748" w:type="pct"/>
            <w:tcBorders>
              <w:top w:val="single" w:sz="4" w:space="0" w:color="auto"/>
            </w:tcBorders>
          </w:tcPr>
          <w:p w14:paraId="666A90F5" w14:textId="77777777" w:rsidR="005A5138" w:rsidRPr="007B35A5" w:rsidRDefault="005A5138" w:rsidP="003D4ACC">
            <w:pPr>
              <w:jc w:val="right"/>
              <w:rPr>
                <w:rFonts w:ascii="Arial" w:hAnsi="Arial" w:cs="Arial"/>
              </w:rPr>
            </w:pPr>
            <w:r w:rsidRPr="007B35A5">
              <w:rPr>
                <w:rFonts w:ascii="Arial" w:hAnsi="Arial" w:cs="Arial"/>
              </w:rPr>
              <w:t>(250)bps</w:t>
            </w:r>
          </w:p>
        </w:tc>
      </w:tr>
    </w:tbl>
    <w:p w14:paraId="5DD72CA6" w14:textId="77777777" w:rsidR="005A5138" w:rsidRPr="002E3169" w:rsidRDefault="005A5138" w:rsidP="005A5138">
      <w:pPr>
        <w:jc w:val="left"/>
        <w:rPr>
          <w:rFonts w:ascii="Arial" w:hAnsi="Arial" w:cs="Arial"/>
        </w:rPr>
      </w:pPr>
    </w:p>
    <w:p w14:paraId="22D8B985" w14:textId="5716EA85" w:rsidR="005A5138" w:rsidRPr="00786D14" w:rsidRDefault="005A5138" w:rsidP="005A5138">
      <w:pPr>
        <w:jc w:val="left"/>
        <w:rPr>
          <w:rFonts w:ascii="Arial" w:hAnsi="Arial" w:cs="Arial"/>
        </w:rPr>
      </w:pPr>
      <w:bookmarkStart w:id="47" w:name="_Hlk508969362"/>
      <w:bookmarkStart w:id="48" w:name="_Hlk508967106"/>
      <w:r w:rsidRPr="002E3169">
        <w:rPr>
          <w:rFonts w:ascii="Arial" w:hAnsi="Arial" w:cs="Arial"/>
        </w:rPr>
        <w:t xml:space="preserve">Kingfisher UK &amp; Ireland sales </w:t>
      </w:r>
      <w:r w:rsidRPr="0098740D">
        <w:rPr>
          <w:rFonts w:ascii="Arial" w:hAnsi="Arial" w:cs="Arial"/>
        </w:rPr>
        <w:t xml:space="preserve">decreased by </w:t>
      </w:r>
      <w:r>
        <w:rPr>
          <w:rFonts w:ascii="Arial" w:hAnsi="Arial" w:cs="Arial"/>
        </w:rPr>
        <w:t>4.7</w:t>
      </w:r>
      <w:r w:rsidRPr="0098740D">
        <w:rPr>
          <w:rFonts w:ascii="Arial" w:hAnsi="Arial" w:cs="Arial"/>
        </w:rPr>
        <w:t xml:space="preserve">% (LFL </w:t>
      </w:r>
      <w:r w:rsidRPr="00C6773A">
        <w:rPr>
          <w:rFonts w:ascii="Arial" w:hAnsi="Arial" w:cs="Arial"/>
        </w:rPr>
        <w:t>-</w:t>
      </w:r>
      <w:r>
        <w:rPr>
          <w:rFonts w:ascii="Arial" w:hAnsi="Arial" w:cs="Arial"/>
        </w:rPr>
        <w:t>6.9</w:t>
      </w:r>
      <w:r w:rsidRPr="00C6773A">
        <w:rPr>
          <w:rFonts w:ascii="Arial" w:hAnsi="Arial" w:cs="Arial"/>
        </w:rPr>
        <w:t>%)</w:t>
      </w:r>
      <w:r w:rsidRPr="0098740D">
        <w:rPr>
          <w:rFonts w:ascii="Arial" w:hAnsi="Arial" w:cs="Arial"/>
        </w:rPr>
        <w:t xml:space="preserve"> </w:t>
      </w:r>
      <w:r w:rsidRPr="00C6773A">
        <w:rPr>
          <w:rFonts w:ascii="Arial" w:hAnsi="Arial" w:cs="Arial"/>
        </w:rPr>
        <w:t>to £</w:t>
      </w:r>
      <w:r w:rsidRPr="007B35A5">
        <w:rPr>
          <w:rFonts w:ascii="Arial" w:hAnsi="Arial" w:cs="Arial"/>
        </w:rPr>
        <w:t>6,200</w:t>
      </w:r>
      <w:r w:rsidRPr="008135B8">
        <w:rPr>
          <w:rFonts w:ascii="Arial" w:hAnsi="Arial" w:cs="Arial"/>
        </w:rPr>
        <w:t xml:space="preserve">m, </w:t>
      </w:r>
      <w:r>
        <w:rPr>
          <w:rFonts w:ascii="Arial" w:hAnsi="Arial" w:cs="Arial"/>
        </w:rPr>
        <w:t xml:space="preserve">against </w:t>
      </w:r>
      <w:r w:rsidRPr="008135B8">
        <w:rPr>
          <w:rFonts w:ascii="Arial" w:hAnsi="Arial" w:cs="Arial"/>
        </w:rPr>
        <w:t>very strong prior year comparatives</w:t>
      </w:r>
      <w:r>
        <w:rPr>
          <w:rFonts w:ascii="Arial" w:hAnsi="Arial" w:cs="Arial"/>
        </w:rPr>
        <w:t xml:space="preserve"> in H1.</w:t>
      </w:r>
      <w:r w:rsidRPr="00C64F57">
        <w:rPr>
          <w:rFonts w:ascii="Arial" w:hAnsi="Arial" w:cs="Arial"/>
        </w:rPr>
        <w:t xml:space="preserve"> </w:t>
      </w:r>
      <w:r>
        <w:rPr>
          <w:rFonts w:ascii="Arial" w:hAnsi="Arial" w:cs="Arial"/>
        </w:rPr>
        <w:t xml:space="preserve">In H2, total sales increased by 1.5% </w:t>
      </w:r>
      <w:r w:rsidRPr="0098740D">
        <w:rPr>
          <w:rFonts w:ascii="Arial" w:hAnsi="Arial" w:cs="Arial"/>
        </w:rPr>
        <w:t xml:space="preserve">(LFL </w:t>
      </w:r>
      <w:r w:rsidRPr="00C6773A">
        <w:rPr>
          <w:rFonts w:ascii="Arial" w:hAnsi="Arial" w:cs="Arial"/>
        </w:rPr>
        <w:t>-</w:t>
      </w:r>
      <w:r>
        <w:rPr>
          <w:rFonts w:ascii="Arial" w:hAnsi="Arial" w:cs="Arial"/>
        </w:rPr>
        <w:t>1.2</w:t>
      </w:r>
      <w:r w:rsidRPr="00C6773A">
        <w:rPr>
          <w:rFonts w:ascii="Arial" w:hAnsi="Arial" w:cs="Arial"/>
        </w:rPr>
        <w:t>%)</w:t>
      </w:r>
      <w:r>
        <w:rPr>
          <w:rFonts w:ascii="Arial" w:hAnsi="Arial" w:cs="Arial"/>
        </w:rPr>
        <w:t xml:space="preserve">. </w:t>
      </w:r>
      <w:r w:rsidRPr="0098740D">
        <w:rPr>
          <w:rFonts w:ascii="Arial" w:hAnsi="Arial" w:cs="Arial"/>
        </w:rPr>
        <w:t xml:space="preserve">3-year LFL sales </w:t>
      </w:r>
      <w:r>
        <w:rPr>
          <w:rFonts w:ascii="Arial" w:hAnsi="Arial" w:cs="Arial"/>
        </w:rPr>
        <w:t xml:space="preserve">for the year were </w:t>
      </w:r>
      <w:r w:rsidRPr="00C6773A">
        <w:rPr>
          <w:rFonts w:ascii="Arial" w:hAnsi="Arial" w:cs="Arial"/>
        </w:rPr>
        <w:t xml:space="preserve">up </w:t>
      </w:r>
      <w:r w:rsidRPr="007B35A5">
        <w:rPr>
          <w:rFonts w:ascii="Arial" w:hAnsi="Arial" w:cs="Arial"/>
        </w:rPr>
        <w:t>15.3</w:t>
      </w:r>
      <w:r w:rsidRPr="0098740D">
        <w:rPr>
          <w:rFonts w:ascii="Arial" w:hAnsi="Arial" w:cs="Arial"/>
        </w:rPr>
        <w:t>%</w:t>
      </w:r>
      <w:r>
        <w:rPr>
          <w:rFonts w:ascii="Arial" w:hAnsi="Arial" w:cs="Arial"/>
        </w:rPr>
        <w:t xml:space="preserve">. The 3-year sales trend improved to +16.2% in Q4 (versus +12.9% in Q3) </w:t>
      </w:r>
      <w:r w:rsidRPr="00C64F57">
        <w:rPr>
          <w:rFonts w:ascii="Arial" w:hAnsi="Arial" w:cs="Arial"/>
        </w:rPr>
        <w:t xml:space="preserve">supported by </w:t>
      </w:r>
      <w:r>
        <w:rPr>
          <w:rFonts w:ascii="Arial" w:hAnsi="Arial" w:cs="Arial"/>
        </w:rPr>
        <w:t xml:space="preserve">resilient sales from </w:t>
      </w:r>
      <w:r w:rsidRPr="00C64F57">
        <w:rPr>
          <w:rFonts w:ascii="Arial" w:hAnsi="Arial" w:cs="Arial"/>
        </w:rPr>
        <w:t>DIFM/trade categories</w:t>
      </w:r>
      <w:r>
        <w:rPr>
          <w:rFonts w:ascii="Arial" w:hAnsi="Arial" w:cs="Arial"/>
        </w:rPr>
        <w:t xml:space="preserve">. Over the last three years, B&amp;Q (including TradePoint) and Screwfix have increased their market shares in the UK, supported by strong engagement with </w:t>
      </w:r>
      <w:r w:rsidRPr="005B23E6">
        <w:rPr>
          <w:rFonts w:ascii="Arial" w:hAnsi="Arial" w:cs="Arial"/>
        </w:rPr>
        <w:t xml:space="preserve">new and existing customers </w:t>
      </w:r>
      <w:r>
        <w:rPr>
          <w:rFonts w:ascii="Arial" w:hAnsi="Arial" w:cs="Arial"/>
        </w:rPr>
        <w:t xml:space="preserve">and higher </w:t>
      </w:r>
      <w:r w:rsidRPr="00B63AEE">
        <w:rPr>
          <w:rFonts w:ascii="Arial" w:hAnsi="Arial" w:cs="Arial"/>
        </w:rPr>
        <w:t>store and online NPS</w:t>
      </w:r>
      <w:r>
        <w:rPr>
          <w:rFonts w:ascii="Arial" w:hAnsi="Arial" w:cs="Arial"/>
        </w:rPr>
        <w:t xml:space="preserve"> scores. </w:t>
      </w:r>
      <w:bookmarkStart w:id="49" w:name="_Hlk524514182"/>
      <w:r>
        <w:rPr>
          <w:rFonts w:ascii="Arial" w:hAnsi="Arial" w:cs="Arial"/>
        </w:rPr>
        <w:t xml:space="preserve">Gross margin % decreased by </w:t>
      </w:r>
      <w:r w:rsidRPr="007B35A5">
        <w:rPr>
          <w:rFonts w:ascii="Arial" w:hAnsi="Arial" w:cs="Arial"/>
        </w:rPr>
        <w:t>80</w:t>
      </w:r>
      <w:r>
        <w:rPr>
          <w:rFonts w:ascii="Arial" w:hAnsi="Arial" w:cs="Arial"/>
        </w:rPr>
        <w:t xml:space="preserve"> </w:t>
      </w:r>
      <w:r w:rsidRPr="00F31EDB">
        <w:rPr>
          <w:rFonts w:ascii="Arial" w:hAnsi="Arial" w:cs="Arial"/>
        </w:rPr>
        <w:t xml:space="preserve">basis points, reflecting </w:t>
      </w:r>
      <w:r w:rsidRPr="00EC4039">
        <w:rPr>
          <w:rFonts w:ascii="Arial" w:hAnsi="Arial" w:cs="Arial"/>
        </w:rPr>
        <w:t xml:space="preserve">‘normalised’ promotional activity </w:t>
      </w:r>
      <w:r w:rsidR="00EF7F99">
        <w:rPr>
          <w:rFonts w:ascii="Arial" w:hAnsi="Arial" w:cs="Arial"/>
        </w:rPr>
        <w:t xml:space="preserve">in H1 </w:t>
      </w:r>
      <w:r w:rsidRPr="00EC4039">
        <w:rPr>
          <w:rFonts w:ascii="Arial" w:hAnsi="Arial" w:cs="Arial"/>
        </w:rPr>
        <w:t>versus the prior year</w:t>
      </w:r>
      <w:r w:rsidR="00CA619B">
        <w:rPr>
          <w:rFonts w:ascii="Arial" w:hAnsi="Arial" w:cs="Arial"/>
        </w:rPr>
        <w:t xml:space="preserve"> and</w:t>
      </w:r>
      <w:r w:rsidR="00CA619B" w:rsidRPr="00EC4039">
        <w:rPr>
          <w:rFonts w:ascii="Arial" w:hAnsi="Arial" w:cs="Arial"/>
        </w:rPr>
        <w:t xml:space="preserve"> </w:t>
      </w:r>
      <w:r w:rsidRPr="00EC4039">
        <w:rPr>
          <w:rFonts w:ascii="Arial" w:hAnsi="Arial" w:cs="Arial"/>
        </w:rPr>
        <w:t xml:space="preserve">one-off logistics spend </w:t>
      </w:r>
      <w:r w:rsidR="00EF7F99">
        <w:rPr>
          <w:rFonts w:ascii="Arial" w:hAnsi="Arial" w:cs="Arial"/>
        </w:rPr>
        <w:t xml:space="preserve">in H1 </w:t>
      </w:r>
      <w:r w:rsidRPr="00EC4039">
        <w:rPr>
          <w:rFonts w:ascii="Arial" w:hAnsi="Arial" w:cs="Arial"/>
        </w:rPr>
        <w:t xml:space="preserve">to secure and manage seasonal and ‘buffer’ stock, </w:t>
      </w:r>
      <w:r w:rsidR="00CA619B">
        <w:rPr>
          <w:rFonts w:ascii="Arial" w:hAnsi="Arial" w:cs="Arial"/>
        </w:rPr>
        <w:t>in addition to</w:t>
      </w:r>
      <w:r w:rsidR="00CA619B" w:rsidRPr="00EC4039">
        <w:rPr>
          <w:rFonts w:ascii="Arial" w:hAnsi="Arial" w:cs="Arial"/>
        </w:rPr>
        <w:t xml:space="preserve"> </w:t>
      </w:r>
      <w:r w:rsidRPr="00EC4039">
        <w:rPr>
          <w:rFonts w:ascii="Arial" w:hAnsi="Arial" w:cs="Arial"/>
        </w:rPr>
        <w:t xml:space="preserve">mix impacts. Mix impacts </w:t>
      </w:r>
      <w:r>
        <w:rPr>
          <w:rFonts w:ascii="Arial" w:hAnsi="Arial" w:cs="Arial"/>
        </w:rPr>
        <w:t>we</w:t>
      </w:r>
      <w:r w:rsidRPr="00EC4039">
        <w:rPr>
          <w:rFonts w:ascii="Arial" w:hAnsi="Arial" w:cs="Arial"/>
        </w:rPr>
        <w:t xml:space="preserve">re the result of a lower YoY share (versus Screwfix) of B&amp;Q’s higher gross margin % revenues given very strong prior year sales; </w:t>
      </w:r>
      <w:r>
        <w:rPr>
          <w:rFonts w:ascii="Arial" w:hAnsi="Arial" w:cs="Arial"/>
        </w:rPr>
        <w:t xml:space="preserve">and </w:t>
      </w:r>
      <w:r w:rsidRPr="00EC4039">
        <w:rPr>
          <w:rFonts w:ascii="Arial" w:hAnsi="Arial" w:cs="Arial"/>
        </w:rPr>
        <w:t xml:space="preserve">unfavourable B&amp;Q category mix between lower margin </w:t>
      </w:r>
      <w:r w:rsidRPr="00EC4039">
        <w:rPr>
          <w:rFonts w:ascii="Arial" w:hAnsi="Arial" w:cs="Arial"/>
          <w:bCs/>
        </w:rPr>
        <w:t xml:space="preserve">building &amp; joinery and </w:t>
      </w:r>
      <w:r w:rsidRPr="00EC4039">
        <w:rPr>
          <w:rFonts w:ascii="Arial" w:hAnsi="Arial" w:cs="Arial"/>
        </w:rPr>
        <w:t xml:space="preserve">EPHC </w:t>
      </w:r>
      <w:r w:rsidRPr="00EC4039">
        <w:rPr>
          <w:rFonts w:ascii="Arial" w:hAnsi="Arial" w:cs="Arial"/>
          <w:bCs/>
        </w:rPr>
        <w:t xml:space="preserve">(electricals, plumbing, heating &amp; cooling) and </w:t>
      </w:r>
      <w:r w:rsidRPr="00EC4039">
        <w:rPr>
          <w:rFonts w:ascii="Arial" w:hAnsi="Arial" w:cs="Arial"/>
        </w:rPr>
        <w:t>higher margin surface</w:t>
      </w:r>
      <w:r w:rsidR="0083191B">
        <w:rPr>
          <w:rFonts w:ascii="Arial" w:hAnsi="Arial" w:cs="Arial"/>
        </w:rPr>
        <w:t>s</w:t>
      </w:r>
      <w:r w:rsidRPr="00EC4039">
        <w:rPr>
          <w:rFonts w:ascii="Arial" w:hAnsi="Arial" w:cs="Arial"/>
        </w:rPr>
        <w:t xml:space="preserve"> &amp; décor categories.</w:t>
      </w:r>
    </w:p>
    <w:bookmarkEnd w:id="49"/>
    <w:p w14:paraId="6F51D54B" w14:textId="77777777" w:rsidR="005A5138" w:rsidRPr="002E3169" w:rsidRDefault="005A5138" w:rsidP="005A5138">
      <w:pPr>
        <w:jc w:val="left"/>
        <w:rPr>
          <w:rFonts w:ascii="Arial" w:hAnsi="Arial" w:cs="Arial"/>
        </w:rPr>
      </w:pPr>
    </w:p>
    <w:p w14:paraId="31707E01" w14:textId="5ED992A5" w:rsidR="005A5138" w:rsidRDefault="005A5138" w:rsidP="005A5138">
      <w:pPr>
        <w:jc w:val="left"/>
        <w:rPr>
          <w:rFonts w:ascii="Arial" w:hAnsi="Arial" w:cs="Arial"/>
        </w:rPr>
      </w:pPr>
      <w:r w:rsidRPr="003A18F1">
        <w:rPr>
          <w:rFonts w:ascii="Arial" w:hAnsi="Arial" w:cs="Arial"/>
        </w:rPr>
        <w:t xml:space="preserve">Retail profit </w:t>
      </w:r>
      <w:r>
        <w:rPr>
          <w:rFonts w:ascii="Arial" w:hAnsi="Arial" w:cs="Arial"/>
        </w:rPr>
        <w:t>de</w:t>
      </w:r>
      <w:r w:rsidRPr="003A18F1">
        <w:rPr>
          <w:rFonts w:ascii="Arial" w:hAnsi="Arial" w:cs="Arial"/>
        </w:rPr>
        <w:t xml:space="preserve">creased </w:t>
      </w:r>
      <w:r w:rsidRPr="00600341">
        <w:rPr>
          <w:rFonts w:ascii="Arial" w:hAnsi="Arial" w:cs="Arial"/>
        </w:rPr>
        <w:t xml:space="preserve">by </w:t>
      </w:r>
      <w:r>
        <w:rPr>
          <w:rFonts w:ascii="Arial" w:hAnsi="Arial" w:cs="Arial"/>
        </w:rPr>
        <w:t>24.0</w:t>
      </w:r>
      <w:r w:rsidRPr="00600341">
        <w:rPr>
          <w:rFonts w:ascii="Arial" w:hAnsi="Arial" w:cs="Arial"/>
        </w:rPr>
        <w:t xml:space="preserve">% </w:t>
      </w:r>
      <w:r w:rsidRPr="00A63B43">
        <w:rPr>
          <w:rFonts w:ascii="Arial" w:hAnsi="Arial" w:cs="Arial"/>
        </w:rPr>
        <w:t>to £</w:t>
      </w:r>
      <w:r w:rsidRPr="007B35A5">
        <w:rPr>
          <w:rFonts w:ascii="Arial" w:hAnsi="Arial" w:cs="Arial"/>
        </w:rPr>
        <w:t>603</w:t>
      </w:r>
      <w:r w:rsidRPr="00A63B43">
        <w:rPr>
          <w:rFonts w:ascii="Arial" w:hAnsi="Arial" w:cs="Arial"/>
        </w:rPr>
        <w:t>m</w:t>
      </w:r>
      <w:r>
        <w:rPr>
          <w:rFonts w:ascii="Arial" w:hAnsi="Arial" w:cs="Arial"/>
        </w:rPr>
        <w:t xml:space="preserve"> (FY 21/22: £794m; FY 19/20: £499m</w:t>
      </w:r>
      <w:r w:rsidR="00B85AEF">
        <w:rPr>
          <w:rFonts w:ascii="Arial" w:hAnsi="Arial" w:cs="Arial"/>
        </w:rPr>
        <w:t xml:space="preserve">; </w:t>
      </w:r>
      <w:r w:rsidR="008E537E">
        <w:rPr>
          <w:rFonts w:ascii="Arial" w:hAnsi="Arial" w:cs="Arial"/>
        </w:rPr>
        <w:t xml:space="preserve">at </w:t>
      </w:r>
      <w:r w:rsidR="00B85AEF">
        <w:rPr>
          <w:rFonts w:ascii="Arial" w:hAnsi="Arial" w:cs="Arial"/>
        </w:rPr>
        <w:t>reported rates</w:t>
      </w:r>
      <w:r w:rsidRPr="00AD06EB">
        <w:rPr>
          <w:rFonts w:ascii="Arial" w:hAnsi="Arial" w:cs="Arial"/>
        </w:rPr>
        <w:t xml:space="preserve">), </w:t>
      </w:r>
      <w:r>
        <w:rPr>
          <w:rFonts w:ascii="Arial" w:hAnsi="Arial" w:cs="Arial"/>
        </w:rPr>
        <w:t xml:space="preserve">due to </w:t>
      </w:r>
      <w:r w:rsidRPr="00AD06EB">
        <w:rPr>
          <w:rFonts w:ascii="Arial" w:hAnsi="Arial" w:cs="Arial"/>
        </w:rPr>
        <w:t xml:space="preserve">the exceptionally higher sales and gross margin % </w:t>
      </w:r>
      <w:r>
        <w:rPr>
          <w:rFonts w:ascii="Arial" w:hAnsi="Arial" w:cs="Arial"/>
        </w:rPr>
        <w:t xml:space="preserve">in H1 </w:t>
      </w:r>
      <w:r w:rsidRPr="00AD06EB">
        <w:rPr>
          <w:rFonts w:ascii="Arial" w:hAnsi="Arial" w:cs="Arial"/>
        </w:rPr>
        <w:t xml:space="preserve">last year. </w:t>
      </w:r>
      <w:r>
        <w:rPr>
          <w:rFonts w:ascii="Arial" w:hAnsi="Arial" w:cs="Arial"/>
        </w:rPr>
        <w:t>In H2, retail profit increased 22.4% to £264m (H2 21/22: £215m</w:t>
      </w:r>
      <w:r w:rsidR="00AB7DD0">
        <w:rPr>
          <w:rFonts w:ascii="Arial" w:hAnsi="Arial" w:cs="Arial"/>
        </w:rPr>
        <w:t xml:space="preserve"> at reported rates</w:t>
      </w:r>
      <w:r>
        <w:rPr>
          <w:rFonts w:ascii="Arial" w:hAnsi="Arial" w:cs="Arial"/>
        </w:rPr>
        <w:t xml:space="preserve">). </w:t>
      </w:r>
      <w:r w:rsidRPr="00AD06EB">
        <w:rPr>
          <w:rFonts w:ascii="Arial" w:hAnsi="Arial" w:cs="Arial"/>
        </w:rPr>
        <w:t>Ope</w:t>
      </w:r>
      <w:r>
        <w:rPr>
          <w:rFonts w:ascii="Arial" w:hAnsi="Arial" w:cs="Arial"/>
        </w:rPr>
        <w:t xml:space="preserve">rating costs increased </w:t>
      </w:r>
      <w:r w:rsidRPr="00C33898">
        <w:rPr>
          <w:rFonts w:ascii="Arial" w:hAnsi="Arial" w:cs="Arial"/>
        </w:rPr>
        <w:t xml:space="preserve">by 1.3%, </w:t>
      </w:r>
      <w:r>
        <w:rPr>
          <w:rFonts w:ascii="Arial" w:hAnsi="Arial" w:cs="Arial"/>
        </w:rPr>
        <w:t xml:space="preserve">driven by </w:t>
      </w:r>
      <w:r w:rsidRPr="00EC4039">
        <w:rPr>
          <w:rFonts w:ascii="Arial" w:hAnsi="Arial" w:cs="Arial"/>
          <w:bCs/>
        </w:rPr>
        <w:t xml:space="preserve">higher costs associated with 86 net new store openings </w:t>
      </w:r>
      <w:r>
        <w:rPr>
          <w:rFonts w:ascii="Arial" w:hAnsi="Arial" w:cs="Arial"/>
          <w:bCs/>
        </w:rPr>
        <w:t xml:space="preserve">in the </w:t>
      </w:r>
      <w:r w:rsidRPr="00CB3B7A">
        <w:rPr>
          <w:rFonts w:ascii="Arial" w:hAnsi="Arial" w:cs="Arial"/>
          <w:bCs/>
        </w:rPr>
        <w:t>year</w:t>
      </w:r>
      <w:r w:rsidR="009B6A4D" w:rsidRPr="00CB3B7A">
        <w:rPr>
          <w:rFonts w:ascii="Arial" w:hAnsi="Arial" w:cs="Arial"/>
          <w:bCs/>
        </w:rPr>
        <w:t>, higher technology spend</w:t>
      </w:r>
      <w:r w:rsidR="00CB3B7A" w:rsidRPr="00CB3B7A">
        <w:rPr>
          <w:rFonts w:ascii="Arial" w:hAnsi="Arial" w:cs="Arial"/>
          <w:bCs/>
        </w:rPr>
        <w:t>,</w:t>
      </w:r>
      <w:r w:rsidRPr="00CB3B7A">
        <w:rPr>
          <w:rFonts w:ascii="Arial" w:hAnsi="Arial" w:cs="Arial"/>
          <w:bCs/>
        </w:rPr>
        <w:t xml:space="preserve"> and</w:t>
      </w:r>
      <w:r w:rsidRPr="00EC4039">
        <w:rPr>
          <w:rFonts w:ascii="Arial" w:hAnsi="Arial" w:cs="Arial"/>
          <w:bCs/>
        </w:rPr>
        <w:t xml:space="preserve"> operating cost inflation including </w:t>
      </w:r>
      <w:r w:rsidR="004D07E2" w:rsidRPr="004D07E2">
        <w:rPr>
          <w:rFonts w:ascii="Arial" w:hAnsi="Arial" w:cs="Arial"/>
          <w:bCs/>
        </w:rPr>
        <w:t xml:space="preserve">increases in pay rates and </w:t>
      </w:r>
      <w:r>
        <w:rPr>
          <w:rFonts w:ascii="Arial" w:hAnsi="Arial" w:cs="Arial"/>
          <w:bCs/>
        </w:rPr>
        <w:t xml:space="preserve">significantly </w:t>
      </w:r>
      <w:r w:rsidRPr="00EC4039">
        <w:rPr>
          <w:rFonts w:ascii="Arial" w:hAnsi="Arial" w:cs="Arial"/>
          <w:bCs/>
        </w:rPr>
        <w:t xml:space="preserve">higher </w:t>
      </w:r>
      <w:r>
        <w:rPr>
          <w:rFonts w:ascii="Arial" w:hAnsi="Arial" w:cs="Arial"/>
          <w:bCs/>
        </w:rPr>
        <w:t>energy costs</w:t>
      </w:r>
      <w:r w:rsidRPr="00EC4039">
        <w:rPr>
          <w:rFonts w:ascii="Arial" w:hAnsi="Arial" w:cs="Arial"/>
          <w:bCs/>
        </w:rPr>
        <w:t xml:space="preserve">. </w:t>
      </w:r>
      <w:r w:rsidR="00017AEA">
        <w:rPr>
          <w:rFonts w:ascii="Arial" w:hAnsi="Arial" w:cs="Arial"/>
          <w:bCs/>
        </w:rPr>
        <w:t>Advertising</w:t>
      </w:r>
      <w:r w:rsidR="004A68E2">
        <w:rPr>
          <w:rFonts w:ascii="Arial" w:hAnsi="Arial" w:cs="Arial"/>
          <w:bCs/>
        </w:rPr>
        <w:t xml:space="preserve">, </w:t>
      </w:r>
      <w:r w:rsidR="00017AEA">
        <w:rPr>
          <w:rFonts w:ascii="Arial" w:hAnsi="Arial" w:cs="Arial"/>
          <w:bCs/>
        </w:rPr>
        <w:t xml:space="preserve">marketing and travel costs also normalised compared </w:t>
      </w:r>
      <w:r w:rsidR="00CB3B7A">
        <w:rPr>
          <w:rFonts w:ascii="Arial" w:hAnsi="Arial" w:cs="Arial"/>
          <w:bCs/>
        </w:rPr>
        <w:t xml:space="preserve">to </w:t>
      </w:r>
      <w:r w:rsidR="00017AEA">
        <w:rPr>
          <w:rFonts w:ascii="Arial" w:hAnsi="Arial" w:cs="Arial"/>
          <w:bCs/>
        </w:rPr>
        <w:t>one-off COVID-related savings in the prior year. Increases were</w:t>
      </w:r>
      <w:r w:rsidR="00017AEA" w:rsidRPr="00EC4039">
        <w:rPr>
          <w:rFonts w:ascii="Arial" w:hAnsi="Arial" w:cs="Arial"/>
          <w:bCs/>
        </w:rPr>
        <w:t xml:space="preserve"> </w:t>
      </w:r>
      <w:r>
        <w:rPr>
          <w:rFonts w:ascii="Arial" w:hAnsi="Arial" w:cs="Arial"/>
        </w:rPr>
        <w:t>substantially</w:t>
      </w:r>
      <w:r w:rsidRPr="00EC4039">
        <w:rPr>
          <w:rFonts w:ascii="Arial" w:hAnsi="Arial" w:cs="Arial"/>
        </w:rPr>
        <w:t xml:space="preserve"> offset </w:t>
      </w:r>
      <w:r w:rsidR="00E74B4B">
        <w:rPr>
          <w:rFonts w:ascii="Arial" w:hAnsi="Arial" w:cs="Arial"/>
        </w:rPr>
        <w:t xml:space="preserve">through flexing our </w:t>
      </w:r>
      <w:r w:rsidRPr="00EC4039">
        <w:rPr>
          <w:rFonts w:ascii="Arial" w:hAnsi="Arial" w:cs="Arial"/>
        </w:rPr>
        <w:t>staff</w:t>
      </w:r>
      <w:r w:rsidR="00017AEA">
        <w:rPr>
          <w:rFonts w:ascii="Arial" w:hAnsi="Arial" w:cs="Arial"/>
        </w:rPr>
        <w:t xml:space="preserve"> costs</w:t>
      </w:r>
      <w:r w:rsidRPr="00EC4039">
        <w:rPr>
          <w:rFonts w:ascii="Arial" w:hAnsi="Arial" w:cs="Arial"/>
        </w:rPr>
        <w:t xml:space="preserve"> and cost reductions achieved </w:t>
      </w:r>
      <w:r w:rsidR="00E74B4B">
        <w:rPr>
          <w:rFonts w:ascii="Arial" w:hAnsi="Arial" w:cs="Arial"/>
        </w:rPr>
        <w:t xml:space="preserve">by </w:t>
      </w:r>
      <w:r w:rsidRPr="00EC4039">
        <w:rPr>
          <w:rFonts w:ascii="Arial" w:hAnsi="Arial" w:cs="Arial"/>
        </w:rPr>
        <w:t>our strategic cost reduction programme.</w:t>
      </w:r>
      <w:r w:rsidRPr="00C33898">
        <w:rPr>
          <w:rFonts w:ascii="Arial" w:hAnsi="Arial" w:cs="Arial"/>
        </w:rPr>
        <w:t xml:space="preserve"> Retail profit margin % decreased by 250 basis points to 9.7% (FY 21/22: 12.2%; FY 19/20: 9.8%).</w:t>
      </w:r>
    </w:p>
    <w:p w14:paraId="439ECB99" w14:textId="19F7C9DC" w:rsidR="005A5138" w:rsidRPr="00216D66" w:rsidRDefault="005A5138" w:rsidP="005A5138">
      <w:pPr>
        <w:jc w:val="left"/>
        <w:rPr>
          <w:rFonts w:ascii="Arial" w:hAnsi="Arial" w:cs="Arial"/>
        </w:rPr>
      </w:pPr>
    </w:p>
    <w:p w14:paraId="3DF58140" w14:textId="403385D5" w:rsidR="005A5138" w:rsidRPr="00216D66" w:rsidRDefault="005A5138" w:rsidP="005A5138">
      <w:pPr>
        <w:jc w:val="left"/>
        <w:rPr>
          <w:rFonts w:ascii="Arial" w:hAnsi="Arial" w:cs="Arial"/>
          <w:bCs/>
        </w:rPr>
      </w:pPr>
      <w:bookmarkStart w:id="50" w:name="_Hlk524463824"/>
      <w:r w:rsidRPr="00216D66">
        <w:rPr>
          <w:rFonts w:ascii="Arial" w:hAnsi="Arial" w:cs="Arial"/>
          <w:b/>
          <w:bCs/>
        </w:rPr>
        <w:t>B&amp;Q</w:t>
      </w:r>
      <w:r w:rsidRPr="00216D66">
        <w:rPr>
          <w:rFonts w:ascii="Arial" w:hAnsi="Arial" w:cs="Arial"/>
        </w:rPr>
        <w:t xml:space="preserve"> total sales </w:t>
      </w:r>
      <w:r>
        <w:rPr>
          <w:rFonts w:ascii="Arial" w:hAnsi="Arial" w:cs="Arial"/>
          <w:bCs/>
        </w:rPr>
        <w:t>de</w:t>
      </w:r>
      <w:r w:rsidRPr="009431DF">
        <w:rPr>
          <w:rFonts w:ascii="Arial" w:hAnsi="Arial" w:cs="Arial"/>
          <w:bCs/>
        </w:rPr>
        <w:t xml:space="preserve">creased </w:t>
      </w:r>
      <w:r w:rsidRPr="0098740D">
        <w:rPr>
          <w:rFonts w:ascii="Arial" w:hAnsi="Arial" w:cs="Arial"/>
          <w:bCs/>
        </w:rPr>
        <w:t>b</w:t>
      </w:r>
      <w:r w:rsidRPr="00927CC8">
        <w:rPr>
          <w:rFonts w:ascii="Arial" w:hAnsi="Arial" w:cs="Arial"/>
          <w:bCs/>
        </w:rPr>
        <w:t xml:space="preserve">y </w:t>
      </w:r>
      <w:r w:rsidRPr="007B35A5">
        <w:rPr>
          <w:rFonts w:ascii="Arial" w:hAnsi="Arial" w:cs="Arial"/>
        </w:rPr>
        <w:t>8.2</w:t>
      </w:r>
      <w:r w:rsidRPr="00927CC8">
        <w:rPr>
          <w:rFonts w:ascii="Arial" w:hAnsi="Arial" w:cs="Arial"/>
          <w:bCs/>
        </w:rPr>
        <w:t xml:space="preserve">% (LFL </w:t>
      </w:r>
      <w:r w:rsidRPr="007B35A5">
        <w:rPr>
          <w:rFonts w:ascii="Arial" w:hAnsi="Arial" w:cs="Arial"/>
          <w:bCs/>
        </w:rPr>
        <w:t>-8.8</w:t>
      </w:r>
      <w:r w:rsidRPr="00927CC8">
        <w:rPr>
          <w:rFonts w:ascii="Arial" w:hAnsi="Arial" w:cs="Arial"/>
          <w:bCs/>
        </w:rPr>
        <w:t>%) to £</w:t>
      </w:r>
      <w:r w:rsidRPr="007B35A5">
        <w:rPr>
          <w:rFonts w:ascii="Arial" w:hAnsi="Arial" w:cs="Arial"/>
        </w:rPr>
        <w:t>3,835</w:t>
      </w:r>
      <w:r w:rsidRPr="00927CC8">
        <w:rPr>
          <w:rFonts w:ascii="Arial" w:hAnsi="Arial" w:cs="Arial"/>
          <w:bCs/>
        </w:rPr>
        <w:t>m</w:t>
      </w:r>
      <w:r w:rsidRPr="0098740D">
        <w:rPr>
          <w:rFonts w:ascii="Arial" w:hAnsi="Arial" w:cs="Arial"/>
          <w:bCs/>
        </w:rPr>
        <w:t xml:space="preserve"> </w:t>
      </w:r>
      <w:r>
        <w:rPr>
          <w:rFonts w:ascii="Arial" w:hAnsi="Arial" w:cs="Arial"/>
          <w:bCs/>
        </w:rPr>
        <w:t>against very strong prior year comparatives, especially in H1. Sales trends improved in H2 (LFL -</w:t>
      </w:r>
      <w:r w:rsidR="00D91431">
        <w:rPr>
          <w:rFonts w:ascii="Arial" w:hAnsi="Arial" w:cs="Arial"/>
          <w:bCs/>
        </w:rPr>
        <w:t>3</w:t>
      </w:r>
      <w:r>
        <w:rPr>
          <w:rFonts w:ascii="Arial" w:hAnsi="Arial" w:cs="Arial"/>
          <w:bCs/>
        </w:rPr>
        <w:t>.</w:t>
      </w:r>
      <w:r w:rsidR="00D91431">
        <w:rPr>
          <w:rFonts w:ascii="Arial" w:hAnsi="Arial" w:cs="Arial"/>
          <w:bCs/>
        </w:rPr>
        <w:t>2</w:t>
      </w:r>
      <w:r>
        <w:rPr>
          <w:rFonts w:ascii="Arial" w:hAnsi="Arial" w:cs="Arial"/>
          <w:bCs/>
        </w:rPr>
        <w:t xml:space="preserve">%) with positive LFL growth in the EPHC, building &amp; joinery and bathroom &amp; storage categories. </w:t>
      </w:r>
      <w:r w:rsidRPr="0098740D">
        <w:rPr>
          <w:rFonts w:ascii="Arial" w:hAnsi="Arial" w:cs="Arial"/>
          <w:bCs/>
        </w:rPr>
        <w:t xml:space="preserve">3-year LFL sales </w:t>
      </w:r>
      <w:r>
        <w:rPr>
          <w:rFonts w:ascii="Arial" w:hAnsi="Arial" w:cs="Arial"/>
          <w:bCs/>
        </w:rPr>
        <w:t xml:space="preserve">for the year were </w:t>
      </w:r>
      <w:r w:rsidRPr="001D014F">
        <w:rPr>
          <w:rFonts w:ascii="Arial" w:hAnsi="Arial" w:cs="Arial"/>
          <w:bCs/>
        </w:rPr>
        <w:t xml:space="preserve">up </w:t>
      </w:r>
      <w:r w:rsidRPr="007B35A5">
        <w:rPr>
          <w:rFonts w:ascii="Arial" w:hAnsi="Arial" w:cs="Arial"/>
          <w:bCs/>
        </w:rPr>
        <w:t>15.8</w:t>
      </w:r>
      <w:r w:rsidRPr="0098740D">
        <w:rPr>
          <w:rFonts w:ascii="Arial" w:hAnsi="Arial" w:cs="Arial"/>
          <w:bCs/>
        </w:rPr>
        <w:t>%</w:t>
      </w:r>
      <w:r>
        <w:rPr>
          <w:rFonts w:ascii="Arial" w:hAnsi="Arial" w:cs="Arial"/>
          <w:bCs/>
        </w:rPr>
        <w:t xml:space="preserve">. The business achieved good growth </w:t>
      </w:r>
      <w:r w:rsidRPr="0013796F">
        <w:rPr>
          <w:rFonts w:ascii="Arial" w:hAnsi="Arial" w:cs="Arial"/>
          <w:bCs/>
        </w:rPr>
        <w:t>across</w:t>
      </w:r>
      <w:r>
        <w:rPr>
          <w:rFonts w:ascii="Arial" w:hAnsi="Arial" w:cs="Arial"/>
          <w:bCs/>
        </w:rPr>
        <w:t xml:space="preserve"> </w:t>
      </w:r>
      <w:r w:rsidRPr="0013796F">
        <w:rPr>
          <w:rFonts w:ascii="Arial" w:hAnsi="Arial" w:cs="Arial"/>
          <w:bCs/>
        </w:rPr>
        <w:t>all categories on a 3-year basis</w:t>
      </w:r>
      <w:r>
        <w:rPr>
          <w:rFonts w:ascii="Arial" w:hAnsi="Arial" w:cs="Arial"/>
          <w:bCs/>
        </w:rPr>
        <w:t xml:space="preserve">, </w:t>
      </w:r>
      <w:r w:rsidRPr="0013796F">
        <w:rPr>
          <w:rFonts w:ascii="Arial" w:hAnsi="Arial" w:cs="Arial"/>
          <w:bCs/>
        </w:rPr>
        <w:t xml:space="preserve">in </w:t>
      </w:r>
      <w:r>
        <w:rPr>
          <w:rFonts w:ascii="Arial" w:hAnsi="Arial" w:cs="Arial"/>
          <w:bCs/>
        </w:rPr>
        <w:t xml:space="preserve">particular </w:t>
      </w:r>
      <w:r w:rsidRPr="0013796F">
        <w:rPr>
          <w:rFonts w:ascii="Arial" w:hAnsi="Arial" w:cs="Arial"/>
          <w:bCs/>
        </w:rPr>
        <w:t>building &amp; joinery</w:t>
      </w:r>
      <w:r>
        <w:rPr>
          <w:rFonts w:ascii="Arial" w:hAnsi="Arial" w:cs="Arial"/>
          <w:bCs/>
        </w:rPr>
        <w:t xml:space="preserve"> and </w:t>
      </w:r>
      <w:r w:rsidRPr="00106072">
        <w:rPr>
          <w:rFonts w:ascii="Arial" w:hAnsi="Arial" w:cs="Arial"/>
          <w:bCs/>
        </w:rPr>
        <w:t>outdoor</w:t>
      </w:r>
      <w:r w:rsidRPr="007B35A5">
        <w:rPr>
          <w:rFonts w:ascii="Arial" w:hAnsi="Arial" w:cs="Arial"/>
          <w:bCs/>
        </w:rPr>
        <w:t xml:space="preserve">. </w:t>
      </w:r>
      <w:r w:rsidRPr="00140F3A">
        <w:rPr>
          <w:rFonts w:ascii="Arial" w:hAnsi="Arial" w:cs="Arial"/>
          <w:bCs/>
        </w:rPr>
        <w:t xml:space="preserve">LFL sales of </w:t>
      </w:r>
      <w:r w:rsidRPr="0063172A">
        <w:rPr>
          <w:rFonts w:ascii="Arial" w:hAnsi="Arial" w:cs="Arial"/>
          <w:bCs/>
        </w:rPr>
        <w:t xml:space="preserve">weather-related categories decreased by </w:t>
      </w:r>
      <w:r w:rsidRPr="007B35A5">
        <w:rPr>
          <w:rFonts w:ascii="Arial" w:hAnsi="Arial" w:cs="Arial"/>
        </w:rPr>
        <w:t>16</w:t>
      </w:r>
      <w:r w:rsidRPr="0063172A">
        <w:rPr>
          <w:rFonts w:ascii="Arial" w:hAnsi="Arial" w:cs="Arial"/>
          <w:bCs/>
        </w:rPr>
        <w:t xml:space="preserve">% (increase of </w:t>
      </w:r>
      <w:r w:rsidRPr="007B35A5">
        <w:rPr>
          <w:rFonts w:ascii="Arial" w:hAnsi="Arial" w:cs="Arial"/>
          <w:bCs/>
        </w:rPr>
        <w:t>2</w:t>
      </w:r>
      <w:r w:rsidR="007A3217">
        <w:rPr>
          <w:rFonts w:ascii="Arial" w:hAnsi="Arial" w:cs="Arial"/>
          <w:bCs/>
        </w:rPr>
        <w:t>1</w:t>
      </w:r>
      <w:r w:rsidRPr="0063172A">
        <w:rPr>
          <w:rFonts w:ascii="Arial" w:hAnsi="Arial" w:cs="Arial"/>
          <w:bCs/>
        </w:rPr>
        <w:t xml:space="preserve">% on a 3-year LFL basis), while LFL sales of non-weather-related categories, including showroom, decreased by </w:t>
      </w:r>
      <w:r w:rsidR="007A3217">
        <w:rPr>
          <w:rFonts w:ascii="Arial" w:hAnsi="Arial" w:cs="Arial"/>
          <w:bCs/>
        </w:rPr>
        <w:t>6</w:t>
      </w:r>
      <w:r w:rsidRPr="0063172A">
        <w:rPr>
          <w:rFonts w:ascii="Arial" w:hAnsi="Arial" w:cs="Arial"/>
          <w:bCs/>
        </w:rPr>
        <w:t xml:space="preserve">% (increase of </w:t>
      </w:r>
      <w:r w:rsidRPr="007B35A5">
        <w:rPr>
          <w:rFonts w:ascii="Arial" w:hAnsi="Arial" w:cs="Arial"/>
          <w:bCs/>
        </w:rPr>
        <w:t>1</w:t>
      </w:r>
      <w:r w:rsidR="007A3217">
        <w:rPr>
          <w:rFonts w:ascii="Arial" w:hAnsi="Arial" w:cs="Arial"/>
          <w:bCs/>
        </w:rPr>
        <w:t>4</w:t>
      </w:r>
      <w:r w:rsidRPr="0063172A">
        <w:rPr>
          <w:rFonts w:ascii="Arial" w:hAnsi="Arial" w:cs="Arial"/>
          <w:bCs/>
        </w:rPr>
        <w:t>% on a 3-year LFL</w:t>
      </w:r>
      <w:r w:rsidRPr="00140F3A">
        <w:rPr>
          <w:rFonts w:ascii="Arial" w:hAnsi="Arial" w:cs="Arial"/>
          <w:bCs/>
        </w:rPr>
        <w:t xml:space="preserve"> basis).</w:t>
      </w:r>
      <w:r w:rsidRPr="00216D66">
        <w:rPr>
          <w:rFonts w:ascii="Arial" w:hAnsi="Arial" w:cs="Arial"/>
          <w:bCs/>
        </w:rPr>
        <w:t xml:space="preserve"> </w:t>
      </w:r>
      <w:bookmarkStart w:id="51" w:name="_Hlk491339533"/>
      <w:r w:rsidRPr="00216D66">
        <w:rPr>
          <w:rFonts w:ascii="Arial" w:hAnsi="Arial" w:cs="Arial"/>
          <w:bCs/>
        </w:rPr>
        <w:t xml:space="preserve">B&amp;Q’s </w:t>
      </w:r>
      <w:r>
        <w:rPr>
          <w:rFonts w:ascii="Arial" w:hAnsi="Arial" w:cs="Arial"/>
          <w:bCs/>
        </w:rPr>
        <w:t xml:space="preserve">total </w:t>
      </w:r>
      <w:r w:rsidRPr="00216D66">
        <w:rPr>
          <w:rFonts w:ascii="Arial" w:hAnsi="Arial" w:cs="Arial"/>
          <w:bCs/>
        </w:rPr>
        <w:t xml:space="preserve">e-commerce </w:t>
      </w:r>
      <w:r w:rsidRPr="00D14547">
        <w:rPr>
          <w:rFonts w:ascii="Arial" w:hAnsi="Arial" w:cs="Arial"/>
          <w:bCs/>
        </w:rPr>
        <w:t xml:space="preserve">sales (including marketplace gross sales) decreased by </w:t>
      </w:r>
      <w:r>
        <w:rPr>
          <w:rFonts w:ascii="Arial" w:hAnsi="Arial" w:cs="Arial"/>
          <w:bCs/>
        </w:rPr>
        <w:t>7</w:t>
      </w:r>
      <w:r w:rsidRPr="00D14547">
        <w:rPr>
          <w:rFonts w:ascii="Arial" w:hAnsi="Arial" w:cs="Arial"/>
          <w:bCs/>
        </w:rPr>
        <w:t xml:space="preserve">% YoY, </w:t>
      </w:r>
      <w:r>
        <w:rPr>
          <w:rFonts w:ascii="Arial" w:hAnsi="Arial" w:cs="Arial"/>
          <w:bCs/>
        </w:rPr>
        <w:t>which was a</w:t>
      </w:r>
      <w:r w:rsidRPr="00D14547">
        <w:rPr>
          <w:rFonts w:ascii="Arial" w:hAnsi="Arial" w:cs="Arial"/>
          <w:bCs/>
        </w:rPr>
        <w:t xml:space="preserve"> </w:t>
      </w:r>
      <w:r>
        <w:rPr>
          <w:rFonts w:ascii="Arial" w:hAnsi="Arial" w:cs="Arial"/>
          <w:bCs/>
        </w:rPr>
        <w:t xml:space="preserve">resilient performance against </w:t>
      </w:r>
      <w:r w:rsidRPr="00D14547">
        <w:rPr>
          <w:rFonts w:ascii="Arial" w:hAnsi="Arial" w:cs="Arial"/>
          <w:bCs/>
        </w:rPr>
        <w:t xml:space="preserve">strong online trading in the </w:t>
      </w:r>
      <w:r>
        <w:rPr>
          <w:rFonts w:ascii="Arial" w:hAnsi="Arial" w:cs="Arial"/>
          <w:bCs/>
        </w:rPr>
        <w:t xml:space="preserve">first half of the </w:t>
      </w:r>
      <w:r w:rsidRPr="00D14547">
        <w:rPr>
          <w:rFonts w:ascii="Arial" w:hAnsi="Arial" w:cs="Arial"/>
          <w:bCs/>
        </w:rPr>
        <w:t>prior year</w:t>
      </w:r>
      <w:r>
        <w:rPr>
          <w:rFonts w:ascii="Arial" w:hAnsi="Arial" w:cs="Arial"/>
          <w:bCs/>
        </w:rPr>
        <w:t xml:space="preserve">. In H2, total e-commerce sales increased by 9%, driven by the growth of B&amp;Q’s marketplace which </w:t>
      </w:r>
      <w:r w:rsidRPr="000F1CD5">
        <w:rPr>
          <w:rFonts w:ascii="Arial" w:hAnsi="Arial" w:cs="Arial"/>
        </w:rPr>
        <w:t xml:space="preserve">has </w:t>
      </w:r>
      <w:r>
        <w:rPr>
          <w:rFonts w:ascii="Arial" w:hAnsi="Arial" w:cs="Arial"/>
        </w:rPr>
        <w:t xml:space="preserve">scaled rapidly since its launch in March 2022. Marketplace </w:t>
      </w:r>
      <w:r w:rsidRPr="000F1CD5">
        <w:rPr>
          <w:rFonts w:ascii="Arial" w:hAnsi="Arial" w:cs="Arial"/>
        </w:rPr>
        <w:t>reach</w:t>
      </w:r>
      <w:r>
        <w:rPr>
          <w:rFonts w:ascii="Arial" w:hAnsi="Arial" w:cs="Arial"/>
        </w:rPr>
        <w:t>ed</w:t>
      </w:r>
      <w:r w:rsidRPr="00DF7C9E">
        <w:rPr>
          <w:rFonts w:ascii="Arial" w:hAnsi="Arial" w:cs="Arial"/>
        </w:rPr>
        <w:t xml:space="preserve"> a penetration </w:t>
      </w:r>
      <w:r w:rsidRPr="00D14547">
        <w:rPr>
          <w:rFonts w:ascii="Arial" w:hAnsi="Arial" w:cs="Arial"/>
        </w:rPr>
        <w:t xml:space="preserve">of </w:t>
      </w:r>
      <w:r w:rsidRPr="007B35A5">
        <w:rPr>
          <w:rFonts w:ascii="Arial" w:hAnsi="Arial" w:cs="Arial"/>
        </w:rPr>
        <w:t>2</w:t>
      </w:r>
      <w:r>
        <w:rPr>
          <w:rFonts w:ascii="Arial" w:hAnsi="Arial" w:cs="Arial"/>
        </w:rPr>
        <w:t>2</w:t>
      </w:r>
      <w:r w:rsidRPr="00D14547">
        <w:rPr>
          <w:rFonts w:ascii="Arial" w:hAnsi="Arial" w:cs="Arial"/>
        </w:rPr>
        <w:t>% in January</w:t>
      </w:r>
      <w:r w:rsidRPr="00DF7C9E">
        <w:rPr>
          <w:rFonts w:ascii="Arial" w:hAnsi="Arial" w:cs="Arial"/>
        </w:rPr>
        <w:t xml:space="preserve"> 202</w:t>
      </w:r>
      <w:r>
        <w:rPr>
          <w:rFonts w:ascii="Arial" w:hAnsi="Arial" w:cs="Arial"/>
        </w:rPr>
        <w:t>3</w:t>
      </w:r>
      <w:r w:rsidRPr="00DF7C9E">
        <w:rPr>
          <w:rFonts w:ascii="Arial" w:hAnsi="Arial" w:cs="Arial"/>
        </w:rPr>
        <w:t xml:space="preserve"> (i.e., B&amp;Q’s marketplace gross sales divided by B&amp;Q’s total e-commerce sales). </w:t>
      </w:r>
      <w:r w:rsidRPr="00D14547">
        <w:rPr>
          <w:rFonts w:ascii="Arial" w:hAnsi="Arial" w:cs="Arial"/>
          <w:bCs/>
        </w:rPr>
        <w:t xml:space="preserve">B&amp;Q’s total e-commerce sales were up </w:t>
      </w:r>
      <w:r w:rsidRPr="007B35A5">
        <w:rPr>
          <w:rFonts w:ascii="Arial" w:hAnsi="Arial" w:cs="Arial"/>
          <w:bCs/>
        </w:rPr>
        <w:t>13</w:t>
      </w:r>
      <w:r>
        <w:rPr>
          <w:rFonts w:ascii="Arial" w:hAnsi="Arial" w:cs="Arial"/>
          <w:bCs/>
        </w:rPr>
        <w:t>0</w:t>
      </w:r>
      <w:r w:rsidRPr="00D14547">
        <w:rPr>
          <w:rFonts w:ascii="Arial" w:hAnsi="Arial" w:cs="Arial"/>
          <w:bCs/>
        </w:rPr>
        <w:t>%</w:t>
      </w:r>
      <w:r>
        <w:rPr>
          <w:rFonts w:ascii="Arial" w:hAnsi="Arial" w:cs="Arial"/>
          <w:bCs/>
        </w:rPr>
        <w:t xml:space="preserve"> on a 3-year basis,</w:t>
      </w:r>
      <w:r w:rsidRPr="00216D66">
        <w:rPr>
          <w:rFonts w:ascii="Arial" w:hAnsi="Arial" w:cs="Arial"/>
          <w:bCs/>
        </w:rPr>
        <w:t xml:space="preserve"> </w:t>
      </w:r>
      <w:r>
        <w:rPr>
          <w:rFonts w:ascii="Arial" w:hAnsi="Arial" w:cs="Arial"/>
          <w:bCs/>
        </w:rPr>
        <w:t xml:space="preserve">with overall e-commerce sales </w:t>
      </w:r>
      <w:r w:rsidRPr="00D14547">
        <w:rPr>
          <w:rFonts w:ascii="Arial" w:hAnsi="Arial" w:cs="Arial"/>
          <w:bCs/>
        </w:rPr>
        <w:t xml:space="preserve">penetration of </w:t>
      </w:r>
      <w:r w:rsidRPr="007B35A5">
        <w:rPr>
          <w:rFonts w:ascii="Arial" w:hAnsi="Arial" w:cs="Arial"/>
          <w:bCs/>
        </w:rPr>
        <w:t>11</w:t>
      </w:r>
      <w:r w:rsidRPr="00D14547">
        <w:rPr>
          <w:rFonts w:ascii="Arial" w:hAnsi="Arial" w:cs="Arial"/>
          <w:bCs/>
        </w:rPr>
        <w:t>% (FY</w:t>
      </w:r>
      <w:r w:rsidRPr="00216D66">
        <w:rPr>
          <w:rFonts w:ascii="Arial" w:hAnsi="Arial" w:cs="Arial"/>
          <w:bCs/>
        </w:rPr>
        <w:t xml:space="preserve"> </w:t>
      </w:r>
      <w:r>
        <w:rPr>
          <w:rFonts w:ascii="Arial" w:hAnsi="Arial" w:cs="Arial"/>
          <w:bCs/>
        </w:rPr>
        <w:t>21/22</w:t>
      </w:r>
      <w:r w:rsidRPr="00216D66">
        <w:rPr>
          <w:rFonts w:ascii="Arial" w:hAnsi="Arial" w:cs="Arial"/>
          <w:bCs/>
        </w:rPr>
        <w:t>:</w:t>
      </w:r>
      <w:r>
        <w:rPr>
          <w:rFonts w:ascii="Arial" w:hAnsi="Arial" w:cs="Arial"/>
          <w:bCs/>
        </w:rPr>
        <w:t xml:space="preserve"> </w:t>
      </w:r>
      <w:r w:rsidRPr="00B45D89">
        <w:rPr>
          <w:rFonts w:ascii="Arial" w:hAnsi="Arial" w:cs="Arial"/>
          <w:bCs/>
        </w:rPr>
        <w:t>1</w:t>
      </w:r>
      <w:r w:rsidRPr="000F790F">
        <w:rPr>
          <w:rFonts w:ascii="Arial" w:hAnsi="Arial" w:cs="Arial"/>
          <w:bCs/>
        </w:rPr>
        <w:t>1</w:t>
      </w:r>
      <w:r w:rsidRPr="00B45D89">
        <w:rPr>
          <w:rFonts w:ascii="Arial" w:hAnsi="Arial" w:cs="Arial"/>
          <w:bCs/>
        </w:rPr>
        <w:t xml:space="preserve">%; </w:t>
      </w:r>
      <w:r>
        <w:rPr>
          <w:rFonts w:ascii="Arial" w:hAnsi="Arial" w:cs="Arial"/>
          <w:bCs/>
        </w:rPr>
        <w:t>FY</w:t>
      </w:r>
      <w:r w:rsidRPr="00E61AEC">
        <w:rPr>
          <w:rFonts w:ascii="Arial" w:hAnsi="Arial" w:cs="Arial"/>
          <w:bCs/>
        </w:rPr>
        <w:t xml:space="preserve"> 19/20: 5%). </w:t>
      </w:r>
      <w:r>
        <w:rPr>
          <w:rFonts w:ascii="Arial" w:hAnsi="Arial" w:cs="Arial"/>
        </w:rPr>
        <w:t xml:space="preserve">B&amp;Q </w:t>
      </w:r>
      <w:r w:rsidRPr="00DF7C9E">
        <w:rPr>
          <w:rFonts w:ascii="Arial" w:hAnsi="Arial" w:cs="Arial"/>
          <w:bCs/>
        </w:rPr>
        <w:t xml:space="preserve">opened </w:t>
      </w:r>
      <w:r>
        <w:rPr>
          <w:rFonts w:ascii="Arial" w:hAnsi="Arial" w:cs="Arial"/>
          <w:bCs/>
        </w:rPr>
        <w:t xml:space="preserve">five small format stores in FY 22/23, including its first </w:t>
      </w:r>
      <w:r w:rsidRPr="00E54EC7">
        <w:rPr>
          <w:rFonts w:ascii="Arial" w:hAnsi="Arial" w:cs="Arial"/>
          <w:bCs/>
        </w:rPr>
        <w:t xml:space="preserve">two </w:t>
      </w:r>
      <w:r w:rsidRPr="002E67CD">
        <w:rPr>
          <w:rFonts w:ascii="Arial" w:hAnsi="Arial" w:cs="Arial"/>
          <w:i/>
          <w:iCs/>
        </w:rPr>
        <w:t>B&amp;Q Local</w:t>
      </w:r>
      <w:r w:rsidRPr="000815B1">
        <w:rPr>
          <w:rFonts w:ascii="Arial" w:hAnsi="Arial" w:cs="Arial"/>
        </w:rPr>
        <w:t xml:space="preserve"> </w:t>
      </w:r>
      <w:r>
        <w:rPr>
          <w:rFonts w:ascii="Arial" w:hAnsi="Arial" w:cs="Arial"/>
        </w:rPr>
        <w:t>compact format stores, and closed one store</w:t>
      </w:r>
      <w:r>
        <w:rPr>
          <w:rFonts w:ascii="Arial" w:hAnsi="Arial" w:cs="Arial"/>
          <w:bCs/>
        </w:rPr>
        <w:t xml:space="preserve">. As of 31 January 2023, B&amp;Q had a total </w:t>
      </w:r>
      <w:r w:rsidRPr="001028AC">
        <w:rPr>
          <w:rFonts w:ascii="Arial" w:hAnsi="Arial" w:cs="Arial"/>
          <w:bCs/>
        </w:rPr>
        <w:t xml:space="preserve">of </w:t>
      </w:r>
      <w:r w:rsidRPr="007B35A5">
        <w:rPr>
          <w:rFonts w:ascii="Arial" w:hAnsi="Arial" w:cs="Arial"/>
          <w:bCs/>
        </w:rPr>
        <w:t>3</w:t>
      </w:r>
      <w:r>
        <w:rPr>
          <w:rFonts w:ascii="Arial" w:hAnsi="Arial" w:cs="Arial"/>
          <w:bCs/>
        </w:rPr>
        <w:t>16</w:t>
      </w:r>
      <w:r w:rsidRPr="001028AC">
        <w:rPr>
          <w:rFonts w:ascii="Arial" w:hAnsi="Arial" w:cs="Arial"/>
          <w:bCs/>
        </w:rPr>
        <w:t xml:space="preserve"> stores</w:t>
      </w:r>
      <w:r>
        <w:rPr>
          <w:rFonts w:ascii="Arial" w:hAnsi="Arial" w:cs="Arial"/>
          <w:bCs/>
        </w:rPr>
        <w:t xml:space="preserve"> in the UK and Ireland. </w:t>
      </w:r>
      <w:r>
        <w:rPr>
          <w:rFonts w:ascii="Arial" w:hAnsi="Arial" w:cs="Arial"/>
        </w:rPr>
        <w:t>I</w:t>
      </w:r>
      <w:r w:rsidRPr="00EB53AD">
        <w:rPr>
          <w:rFonts w:ascii="Arial" w:hAnsi="Arial" w:cs="Arial"/>
        </w:rPr>
        <w:t>n February 2023</w:t>
      </w:r>
      <w:r>
        <w:rPr>
          <w:rFonts w:ascii="Arial" w:hAnsi="Arial" w:cs="Arial"/>
        </w:rPr>
        <w:t>,</w:t>
      </w:r>
      <w:r w:rsidRPr="00EB53AD">
        <w:rPr>
          <w:rFonts w:ascii="Arial" w:hAnsi="Arial" w:cs="Arial"/>
        </w:rPr>
        <w:t xml:space="preserve"> B&amp;Q </w:t>
      </w:r>
      <w:r>
        <w:rPr>
          <w:rFonts w:ascii="Arial" w:hAnsi="Arial" w:cs="Arial"/>
        </w:rPr>
        <w:t xml:space="preserve">announced that it is terminating its </w:t>
      </w:r>
      <w:r w:rsidRPr="00EB53AD">
        <w:rPr>
          <w:rFonts w:ascii="Arial" w:hAnsi="Arial" w:cs="Arial"/>
        </w:rPr>
        <w:t>‘grocery concession’ partnership with ASDA in eight stores.</w:t>
      </w:r>
    </w:p>
    <w:p w14:paraId="0E6C57D5" w14:textId="77777777" w:rsidR="005A5138" w:rsidRPr="00E83051" w:rsidRDefault="005A5138" w:rsidP="005A5138">
      <w:pPr>
        <w:jc w:val="left"/>
        <w:rPr>
          <w:rFonts w:ascii="Arial" w:hAnsi="Arial" w:cs="Arial"/>
        </w:rPr>
      </w:pPr>
    </w:p>
    <w:p w14:paraId="6D724936" w14:textId="13A215C5" w:rsidR="005A5138" w:rsidRDefault="005A5138" w:rsidP="005A5138">
      <w:pPr>
        <w:jc w:val="left"/>
        <w:rPr>
          <w:rFonts w:ascii="Arial" w:hAnsi="Arial" w:cs="Arial"/>
          <w:bCs/>
        </w:rPr>
      </w:pPr>
      <w:r w:rsidRPr="00040363">
        <w:rPr>
          <w:rFonts w:ascii="Arial" w:hAnsi="Arial" w:cs="Arial"/>
          <w:bCs/>
        </w:rPr>
        <w:t xml:space="preserve">B&amp;Q’s trade-focused banner, </w:t>
      </w:r>
      <w:r w:rsidRPr="00040363">
        <w:rPr>
          <w:rFonts w:ascii="Arial" w:hAnsi="Arial" w:cs="Arial"/>
          <w:b/>
        </w:rPr>
        <w:t>TradePoint</w:t>
      </w:r>
      <w:r w:rsidRPr="00040363">
        <w:rPr>
          <w:rFonts w:ascii="Arial" w:hAnsi="Arial" w:cs="Arial"/>
          <w:bCs/>
        </w:rPr>
        <w:t xml:space="preserve">, </w:t>
      </w:r>
      <w:r>
        <w:rPr>
          <w:rFonts w:ascii="Arial" w:hAnsi="Arial" w:cs="Arial"/>
          <w:bCs/>
        </w:rPr>
        <w:t xml:space="preserve">continued to </w:t>
      </w:r>
      <w:r w:rsidRPr="00040363">
        <w:rPr>
          <w:rFonts w:ascii="Arial" w:hAnsi="Arial" w:cs="Arial"/>
          <w:bCs/>
        </w:rPr>
        <w:t>perform ahead of expectations</w:t>
      </w:r>
      <w:r>
        <w:rPr>
          <w:rFonts w:ascii="Arial" w:hAnsi="Arial" w:cs="Arial"/>
          <w:bCs/>
        </w:rPr>
        <w:t xml:space="preserve"> in FY 22/23, supported by resilient sales from trade customers. </w:t>
      </w:r>
      <w:r w:rsidRPr="00040363">
        <w:rPr>
          <w:rFonts w:ascii="Arial" w:hAnsi="Arial" w:cs="Arial"/>
          <w:bCs/>
        </w:rPr>
        <w:t xml:space="preserve">LFL sales for TradePoint outperformed the rest of B&amp;Q, </w:t>
      </w:r>
      <w:r w:rsidRPr="000F790F">
        <w:rPr>
          <w:rFonts w:ascii="Arial" w:hAnsi="Arial" w:cs="Arial"/>
          <w:bCs/>
        </w:rPr>
        <w:t xml:space="preserve">down </w:t>
      </w:r>
      <w:r w:rsidRPr="00647E8F">
        <w:rPr>
          <w:rFonts w:ascii="Arial" w:hAnsi="Arial" w:cs="Arial"/>
          <w:bCs/>
        </w:rPr>
        <w:t xml:space="preserve">just </w:t>
      </w:r>
      <w:r w:rsidRPr="007B35A5">
        <w:rPr>
          <w:rFonts w:ascii="Arial" w:hAnsi="Arial" w:cs="Arial"/>
          <w:bCs/>
        </w:rPr>
        <w:t>1.2</w:t>
      </w:r>
      <w:r w:rsidRPr="00647E8F">
        <w:rPr>
          <w:rFonts w:ascii="Arial" w:hAnsi="Arial" w:cs="Arial"/>
          <w:bCs/>
        </w:rPr>
        <w:t>%</w:t>
      </w:r>
      <w:r>
        <w:rPr>
          <w:rFonts w:ascii="Arial" w:hAnsi="Arial" w:cs="Arial"/>
          <w:bCs/>
        </w:rPr>
        <w:t xml:space="preserve"> YoY, with </w:t>
      </w:r>
      <w:r w:rsidRPr="00040363">
        <w:rPr>
          <w:rFonts w:ascii="Arial" w:hAnsi="Arial" w:cs="Arial"/>
          <w:bCs/>
        </w:rPr>
        <w:t xml:space="preserve">3-year LFL sales </w:t>
      </w:r>
      <w:r w:rsidRPr="00647E8F">
        <w:rPr>
          <w:rFonts w:ascii="Arial" w:hAnsi="Arial" w:cs="Arial"/>
          <w:bCs/>
        </w:rPr>
        <w:t xml:space="preserve">up </w:t>
      </w:r>
      <w:r w:rsidRPr="007B35A5">
        <w:rPr>
          <w:rFonts w:ascii="Arial" w:hAnsi="Arial" w:cs="Arial"/>
          <w:bCs/>
        </w:rPr>
        <w:t>3</w:t>
      </w:r>
      <w:r>
        <w:rPr>
          <w:rFonts w:ascii="Arial" w:hAnsi="Arial" w:cs="Arial"/>
          <w:bCs/>
        </w:rPr>
        <w:t>1.5</w:t>
      </w:r>
      <w:r w:rsidRPr="00040363">
        <w:rPr>
          <w:rFonts w:ascii="Arial" w:hAnsi="Arial" w:cs="Arial"/>
          <w:bCs/>
        </w:rPr>
        <w:t>%</w:t>
      </w:r>
      <w:r>
        <w:rPr>
          <w:rFonts w:ascii="Arial" w:hAnsi="Arial" w:cs="Arial"/>
          <w:bCs/>
        </w:rPr>
        <w:t xml:space="preserve">. TradePoint’s penetration of B&amp;Q sales </w:t>
      </w:r>
      <w:r w:rsidRPr="00647E8F">
        <w:rPr>
          <w:rFonts w:ascii="Arial" w:hAnsi="Arial" w:cs="Arial"/>
          <w:bCs/>
        </w:rPr>
        <w:lastRenderedPageBreak/>
        <w:t xml:space="preserve">increased to </w:t>
      </w:r>
      <w:r w:rsidRPr="007B35A5">
        <w:rPr>
          <w:rFonts w:ascii="Arial" w:hAnsi="Arial" w:cs="Arial"/>
          <w:bCs/>
        </w:rPr>
        <w:t>22</w:t>
      </w:r>
      <w:r w:rsidRPr="00647E8F">
        <w:rPr>
          <w:rFonts w:ascii="Arial" w:hAnsi="Arial" w:cs="Arial"/>
          <w:bCs/>
        </w:rPr>
        <w:t>% (FY 21/22</w:t>
      </w:r>
      <w:r w:rsidRPr="00040363">
        <w:rPr>
          <w:rFonts w:ascii="Arial" w:hAnsi="Arial" w:cs="Arial"/>
          <w:bCs/>
        </w:rPr>
        <w:t xml:space="preserve">: </w:t>
      </w:r>
      <w:r>
        <w:rPr>
          <w:rFonts w:ascii="Arial" w:hAnsi="Arial" w:cs="Arial"/>
          <w:bCs/>
        </w:rPr>
        <w:t>20</w:t>
      </w:r>
      <w:r w:rsidRPr="00040363">
        <w:rPr>
          <w:rFonts w:ascii="Arial" w:hAnsi="Arial" w:cs="Arial"/>
          <w:bCs/>
        </w:rPr>
        <w:t>%)</w:t>
      </w:r>
      <w:r>
        <w:rPr>
          <w:rFonts w:ascii="Arial" w:hAnsi="Arial" w:cs="Arial"/>
          <w:bCs/>
        </w:rPr>
        <w:t xml:space="preserve">. Throughout the year, TradePoint continued to focus on customer engagement and loyalty through targeted campaigns, trade-only deals and events, and improvements to trade-specific product ranges and services. E-commerce sales increased by </w:t>
      </w:r>
      <w:r w:rsidRPr="007B35A5">
        <w:rPr>
          <w:rFonts w:ascii="Arial" w:hAnsi="Arial" w:cs="Arial"/>
          <w:bCs/>
        </w:rPr>
        <w:t>1</w:t>
      </w:r>
      <w:r w:rsidR="004229EC">
        <w:rPr>
          <w:rFonts w:ascii="Arial" w:hAnsi="Arial" w:cs="Arial"/>
          <w:bCs/>
        </w:rPr>
        <w:t>4</w:t>
      </w:r>
      <w:r>
        <w:rPr>
          <w:rFonts w:ascii="Arial" w:hAnsi="Arial" w:cs="Arial"/>
          <w:bCs/>
        </w:rPr>
        <w:t xml:space="preserve">% in the year as TradePoint grew awareness of its digital offer. During the year, TradePoint </w:t>
      </w:r>
      <w:r>
        <w:rPr>
          <w:rFonts w:ascii="Arial" w:hAnsi="Arial" w:cs="Arial"/>
        </w:rPr>
        <w:t>opened 18 new counters in the UK within B&amp;Q stores, and expanded into Ireland with its first eight counters.</w:t>
      </w:r>
      <w:r>
        <w:rPr>
          <w:rFonts w:ascii="Arial" w:hAnsi="Arial" w:cs="Arial"/>
          <w:bCs/>
        </w:rPr>
        <w:t xml:space="preserve"> Further roll-out of the proposition will continue in FY 23/24.</w:t>
      </w:r>
      <w:r w:rsidDel="00235E3E">
        <w:rPr>
          <w:rFonts w:ascii="Arial" w:hAnsi="Arial" w:cs="Arial"/>
          <w:bCs/>
        </w:rPr>
        <w:t xml:space="preserve"> </w:t>
      </w:r>
    </w:p>
    <w:p w14:paraId="546F9DB8" w14:textId="77777777" w:rsidR="005A5138" w:rsidRPr="00216D66" w:rsidRDefault="005A5138" w:rsidP="005A5138">
      <w:pPr>
        <w:jc w:val="left"/>
        <w:rPr>
          <w:rFonts w:ascii="Arial" w:hAnsi="Arial" w:cs="Arial"/>
          <w:bCs/>
        </w:rPr>
      </w:pPr>
    </w:p>
    <w:bookmarkEnd w:id="50"/>
    <w:bookmarkEnd w:id="51"/>
    <w:p w14:paraId="5902747C" w14:textId="77777777" w:rsidR="005A5138" w:rsidRDefault="005A5138" w:rsidP="005A5138">
      <w:pPr>
        <w:jc w:val="left"/>
        <w:rPr>
          <w:rFonts w:ascii="Arial" w:hAnsi="Arial" w:cs="Arial"/>
        </w:rPr>
      </w:pPr>
      <w:r w:rsidRPr="00216D66">
        <w:rPr>
          <w:rFonts w:ascii="Arial" w:hAnsi="Arial" w:cs="Arial"/>
          <w:b/>
        </w:rPr>
        <w:t>Screwfix</w:t>
      </w:r>
      <w:r w:rsidRPr="00216D66">
        <w:rPr>
          <w:rFonts w:ascii="Arial" w:hAnsi="Arial" w:cs="Arial"/>
        </w:rPr>
        <w:t xml:space="preserve"> total sales </w:t>
      </w:r>
      <w:r>
        <w:rPr>
          <w:rFonts w:ascii="Arial" w:hAnsi="Arial" w:cs="Arial"/>
        </w:rPr>
        <w:t>in</w:t>
      </w:r>
      <w:r w:rsidRPr="00216D66">
        <w:rPr>
          <w:rFonts w:ascii="Arial" w:hAnsi="Arial" w:cs="Arial"/>
        </w:rPr>
        <w:t xml:space="preserve">creased </w:t>
      </w:r>
      <w:r w:rsidRPr="00BB46B6">
        <w:rPr>
          <w:rFonts w:ascii="Arial" w:hAnsi="Arial" w:cs="Arial"/>
        </w:rPr>
        <w:t xml:space="preserve">by </w:t>
      </w:r>
      <w:r w:rsidRPr="007B35A5">
        <w:rPr>
          <w:rFonts w:ascii="Arial" w:hAnsi="Arial" w:cs="Arial"/>
        </w:rPr>
        <w:t>1.6</w:t>
      </w:r>
      <w:r w:rsidRPr="00BB46B6">
        <w:rPr>
          <w:rFonts w:ascii="Arial" w:hAnsi="Arial" w:cs="Arial"/>
        </w:rPr>
        <w:t xml:space="preserve">% (LFL </w:t>
      </w:r>
      <w:r w:rsidRPr="007B35A5">
        <w:rPr>
          <w:rFonts w:ascii="Arial" w:hAnsi="Arial" w:cs="Arial"/>
        </w:rPr>
        <w:t>-3.4</w:t>
      </w:r>
      <w:r w:rsidRPr="00BB46B6">
        <w:rPr>
          <w:rFonts w:ascii="Arial" w:hAnsi="Arial" w:cs="Arial"/>
        </w:rPr>
        <w:t>%) to £</w:t>
      </w:r>
      <w:r w:rsidRPr="007B35A5">
        <w:rPr>
          <w:rFonts w:ascii="Arial" w:hAnsi="Arial" w:cs="Arial"/>
        </w:rPr>
        <w:t>2,365</w:t>
      </w:r>
      <w:r w:rsidRPr="00BB46B6">
        <w:rPr>
          <w:rFonts w:ascii="Arial" w:hAnsi="Arial" w:cs="Arial"/>
        </w:rPr>
        <w:t>m</w:t>
      </w:r>
      <w:r w:rsidRPr="0098740D">
        <w:rPr>
          <w:rFonts w:ascii="Arial" w:hAnsi="Arial" w:cs="Arial"/>
        </w:rPr>
        <w:t xml:space="preserve">, </w:t>
      </w:r>
      <w:bookmarkStart w:id="52" w:name="_Hlk64969429"/>
      <w:r>
        <w:rPr>
          <w:rFonts w:ascii="Arial" w:hAnsi="Arial" w:cs="Arial"/>
        </w:rPr>
        <w:t xml:space="preserve">reflecting a robust performance against very strong prior year comparatives, especially in H1. In H2, total sales increased by 8.0% (LFL +2.1%), </w:t>
      </w:r>
      <w:r w:rsidRPr="00C64F57">
        <w:rPr>
          <w:rFonts w:ascii="Arial" w:hAnsi="Arial" w:cs="Arial"/>
          <w:bCs/>
        </w:rPr>
        <w:t xml:space="preserve">supported by </w:t>
      </w:r>
      <w:r>
        <w:rPr>
          <w:rFonts w:ascii="Arial" w:hAnsi="Arial" w:cs="Arial"/>
          <w:bCs/>
        </w:rPr>
        <w:t>good</w:t>
      </w:r>
      <w:r w:rsidRPr="00C64F57">
        <w:rPr>
          <w:rFonts w:ascii="Arial" w:hAnsi="Arial" w:cs="Arial"/>
          <w:bCs/>
        </w:rPr>
        <w:t xml:space="preserve"> demand from trade customers</w:t>
      </w:r>
      <w:r>
        <w:rPr>
          <w:rFonts w:ascii="Arial" w:hAnsi="Arial" w:cs="Arial"/>
        </w:rPr>
        <w:t xml:space="preserve">. </w:t>
      </w:r>
      <w:r w:rsidRPr="0098740D">
        <w:rPr>
          <w:rFonts w:ascii="Arial" w:hAnsi="Arial" w:cs="Arial"/>
          <w:bCs/>
        </w:rPr>
        <w:t xml:space="preserve">3-year LFL sales </w:t>
      </w:r>
      <w:r>
        <w:rPr>
          <w:rFonts w:ascii="Arial" w:hAnsi="Arial" w:cs="Arial"/>
          <w:bCs/>
        </w:rPr>
        <w:t xml:space="preserve">for the year were </w:t>
      </w:r>
      <w:r w:rsidRPr="00BB46B6">
        <w:rPr>
          <w:rFonts w:ascii="Arial" w:hAnsi="Arial" w:cs="Arial"/>
          <w:bCs/>
        </w:rPr>
        <w:t xml:space="preserve">up </w:t>
      </w:r>
      <w:r w:rsidRPr="007B35A5">
        <w:rPr>
          <w:rFonts w:ascii="Arial" w:hAnsi="Arial" w:cs="Arial"/>
          <w:bCs/>
        </w:rPr>
        <w:t>14.2</w:t>
      </w:r>
      <w:r>
        <w:rPr>
          <w:rFonts w:ascii="Arial" w:hAnsi="Arial" w:cs="Arial"/>
          <w:bCs/>
        </w:rPr>
        <w:t>%, with the sales trend accelerating to +15.3% in Q4 versus +12.4% in Q3. Screwfix continued to grow its market share in FY 22/</w:t>
      </w:r>
      <w:r w:rsidRPr="003A0DF4">
        <w:rPr>
          <w:rFonts w:ascii="Arial" w:hAnsi="Arial" w:cs="Arial"/>
          <w:bCs/>
        </w:rPr>
        <w:t xml:space="preserve">23, </w:t>
      </w:r>
      <w:r w:rsidRPr="00C64F57">
        <w:rPr>
          <w:rFonts w:ascii="Arial" w:hAnsi="Arial" w:cs="Arial"/>
          <w:bCs/>
        </w:rPr>
        <w:t xml:space="preserve">with </w:t>
      </w:r>
      <w:r>
        <w:rPr>
          <w:rFonts w:ascii="Arial" w:hAnsi="Arial" w:cs="Arial"/>
          <w:bCs/>
        </w:rPr>
        <w:t>strong gains in the year</w:t>
      </w:r>
      <w:r w:rsidRPr="003A0DF4">
        <w:rPr>
          <w:rFonts w:ascii="Arial" w:hAnsi="Arial" w:cs="Arial"/>
          <w:bCs/>
        </w:rPr>
        <w:t>.</w:t>
      </w:r>
      <w:r>
        <w:rPr>
          <w:rFonts w:ascii="Arial" w:hAnsi="Arial" w:cs="Arial"/>
          <w:bCs/>
        </w:rPr>
        <w:t xml:space="preserve"> </w:t>
      </w:r>
      <w:bookmarkEnd w:id="52"/>
      <w:r>
        <w:rPr>
          <w:rFonts w:ascii="Arial" w:hAnsi="Arial" w:cs="Arial"/>
          <w:bCs/>
        </w:rPr>
        <w:t>S</w:t>
      </w:r>
      <w:r w:rsidRPr="008853A7">
        <w:rPr>
          <w:rFonts w:ascii="Arial" w:hAnsi="Arial" w:cs="Arial"/>
          <w:bCs/>
        </w:rPr>
        <w:t xml:space="preserve">crewfix’s </w:t>
      </w:r>
      <w:r w:rsidRPr="008853A7">
        <w:rPr>
          <w:rFonts w:ascii="Arial" w:hAnsi="Arial" w:cs="Arial"/>
        </w:rPr>
        <w:t xml:space="preserve">e-commerce sales decreased by </w:t>
      </w:r>
      <w:r w:rsidRPr="007B35A5">
        <w:rPr>
          <w:rFonts w:ascii="Arial" w:hAnsi="Arial" w:cs="Arial"/>
        </w:rPr>
        <w:t>9</w:t>
      </w:r>
      <w:r w:rsidRPr="008853A7">
        <w:rPr>
          <w:rFonts w:ascii="Arial" w:hAnsi="Arial" w:cs="Arial"/>
        </w:rPr>
        <w:t xml:space="preserve">% YoY, </w:t>
      </w:r>
      <w:r>
        <w:rPr>
          <w:rFonts w:ascii="Arial" w:hAnsi="Arial" w:cs="Arial"/>
        </w:rPr>
        <w:t xml:space="preserve">again reflecting a resilient performance against </w:t>
      </w:r>
      <w:r w:rsidRPr="008853A7">
        <w:rPr>
          <w:rFonts w:ascii="Arial" w:hAnsi="Arial" w:cs="Arial"/>
          <w:bCs/>
        </w:rPr>
        <w:t xml:space="preserve">strong online trading in the </w:t>
      </w:r>
      <w:r>
        <w:rPr>
          <w:rFonts w:ascii="Arial" w:hAnsi="Arial" w:cs="Arial"/>
          <w:bCs/>
        </w:rPr>
        <w:t xml:space="preserve">first half of the </w:t>
      </w:r>
      <w:r w:rsidRPr="008853A7">
        <w:rPr>
          <w:rFonts w:ascii="Arial" w:hAnsi="Arial" w:cs="Arial"/>
          <w:bCs/>
        </w:rPr>
        <w:t>prior year.</w:t>
      </w:r>
      <w:r w:rsidRPr="008853A7">
        <w:rPr>
          <w:rFonts w:ascii="Arial" w:hAnsi="Arial" w:cs="Arial"/>
        </w:rPr>
        <w:t xml:space="preserve"> </w:t>
      </w:r>
      <w:r w:rsidRPr="008853A7">
        <w:rPr>
          <w:rFonts w:ascii="Arial" w:hAnsi="Arial" w:cs="Arial"/>
          <w:bCs/>
        </w:rPr>
        <w:t xml:space="preserve">E-commerce sales were up </w:t>
      </w:r>
      <w:r w:rsidRPr="007B35A5">
        <w:rPr>
          <w:rFonts w:ascii="Arial" w:hAnsi="Arial" w:cs="Arial"/>
          <w:bCs/>
        </w:rPr>
        <w:t>137</w:t>
      </w:r>
      <w:r w:rsidRPr="008853A7">
        <w:rPr>
          <w:rFonts w:ascii="Arial" w:hAnsi="Arial" w:cs="Arial"/>
          <w:bCs/>
        </w:rPr>
        <w:t>%</w:t>
      </w:r>
      <w:r>
        <w:rPr>
          <w:rFonts w:ascii="Arial" w:hAnsi="Arial" w:cs="Arial"/>
          <w:bCs/>
        </w:rPr>
        <w:t xml:space="preserve"> on </w:t>
      </w:r>
      <w:r>
        <w:rPr>
          <w:rFonts w:ascii="Arial" w:hAnsi="Arial" w:cs="Arial"/>
        </w:rPr>
        <w:t>a 3-year basis,</w:t>
      </w:r>
      <w:r w:rsidRPr="00216D66">
        <w:rPr>
          <w:rFonts w:ascii="Arial" w:hAnsi="Arial" w:cs="Arial"/>
        </w:rPr>
        <w:t xml:space="preserve"> </w:t>
      </w:r>
      <w:r>
        <w:rPr>
          <w:rFonts w:ascii="Arial" w:hAnsi="Arial" w:cs="Arial"/>
        </w:rPr>
        <w:t xml:space="preserve">with e-commerce sales penetration </w:t>
      </w:r>
      <w:r w:rsidRPr="008853A7">
        <w:rPr>
          <w:rFonts w:ascii="Arial" w:hAnsi="Arial" w:cs="Arial"/>
        </w:rPr>
        <w:t xml:space="preserve">of </w:t>
      </w:r>
      <w:r w:rsidRPr="007B35A5">
        <w:rPr>
          <w:rFonts w:ascii="Arial" w:hAnsi="Arial" w:cs="Arial"/>
        </w:rPr>
        <w:t>60</w:t>
      </w:r>
      <w:r w:rsidRPr="00216D66">
        <w:rPr>
          <w:rFonts w:ascii="Arial" w:hAnsi="Arial" w:cs="Arial"/>
        </w:rPr>
        <w:t>% (</w:t>
      </w:r>
      <w:r>
        <w:rPr>
          <w:rFonts w:ascii="Arial" w:hAnsi="Arial" w:cs="Arial"/>
        </w:rPr>
        <w:t>FY</w:t>
      </w:r>
      <w:r w:rsidRPr="00216D66">
        <w:rPr>
          <w:rFonts w:ascii="Arial" w:hAnsi="Arial" w:cs="Arial"/>
        </w:rPr>
        <w:t xml:space="preserve"> 2</w:t>
      </w:r>
      <w:r>
        <w:rPr>
          <w:rFonts w:ascii="Arial" w:hAnsi="Arial" w:cs="Arial"/>
        </w:rPr>
        <w:t>1/</w:t>
      </w:r>
      <w:r w:rsidRPr="004939C7">
        <w:rPr>
          <w:rFonts w:ascii="Arial" w:hAnsi="Arial" w:cs="Arial"/>
        </w:rPr>
        <w:t xml:space="preserve">22: </w:t>
      </w:r>
      <w:r>
        <w:rPr>
          <w:rFonts w:ascii="Arial" w:hAnsi="Arial" w:cs="Arial"/>
        </w:rPr>
        <w:t>67</w:t>
      </w:r>
      <w:r w:rsidRPr="004939C7">
        <w:rPr>
          <w:rFonts w:ascii="Arial" w:hAnsi="Arial" w:cs="Arial"/>
        </w:rPr>
        <w:t>%</w:t>
      </w:r>
      <w:r w:rsidRPr="004939C7">
        <w:rPr>
          <w:rFonts w:ascii="Arial" w:hAnsi="Arial" w:cs="Arial"/>
          <w:bCs/>
        </w:rPr>
        <w:t xml:space="preserve">; </w:t>
      </w:r>
      <w:r>
        <w:rPr>
          <w:rFonts w:ascii="Arial" w:hAnsi="Arial" w:cs="Arial"/>
          <w:bCs/>
        </w:rPr>
        <w:t>FY 19/20: 33%</w:t>
      </w:r>
      <w:r w:rsidRPr="00281622">
        <w:rPr>
          <w:rFonts w:ascii="Arial" w:hAnsi="Arial" w:cs="Arial"/>
        </w:rPr>
        <w:t xml:space="preserve">). </w:t>
      </w:r>
      <w:r>
        <w:rPr>
          <w:rFonts w:ascii="Arial" w:hAnsi="Arial" w:cs="Arial"/>
        </w:rPr>
        <w:t xml:space="preserve">The business continued to strengthen its digital proposition throughout the year through the introduction of digital tablets in all stores, the launch of its product recommendations feature in the new Screwfix app, and the continued roll-out of Screwfix Sprint. </w:t>
      </w:r>
    </w:p>
    <w:p w14:paraId="4E3B8E51" w14:textId="77777777" w:rsidR="005A5138" w:rsidRDefault="005A5138" w:rsidP="005A5138">
      <w:pPr>
        <w:jc w:val="left"/>
        <w:rPr>
          <w:rFonts w:ascii="Arial" w:hAnsi="Arial" w:cs="Arial"/>
        </w:rPr>
      </w:pPr>
    </w:p>
    <w:p w14:paraId="5DCF8806" w14:textId="3611897A" w:rsidR="005A5138" w:rsidRDefault="005A5138" w:rsidP="005A5138">
      <w:pPr>
        <w:pStyle w:val="PlainText"/>
        <w:rPr>
          <w:rFonts w:ascii="Arial" w:hAnsi="Arial" w:cs="Arial"/>
          <w:sz w:val="22"/>
          <w:szCs w:val="22"/>
        </w:rPr>
      </w:pPr>
      <w:r w:rsidRPr="00BF3371">
        <w:rPr>
          <w:rFonts w:ascii="Arial" w:hAnsi="Arial" w:cs="Arial"/>
          <w:sz w:val="22"/>
          <w:szCs w:val="22"/>
        </w:rPr>
        <w:t xml:space="preserve">Space growth </w:t>
      </w:r>
      <w:r w:rsidRPr="00BF00F5">
        <w:rPr>
          <w:rFonts w:ascii="Arial" w:hAnsi="Arial" w:cs="Arial"/>
          <w:sz w:val="22"/>
          <w:szCs w:val="22"/>
        </w:rPr>
        <w:t>contributed c.5%</w:t>
      </w:r>
      <w:r w:rsidRPr="00BF3371">
        <w:rPr>
          <w:rFonts w:ascii="Arial" w:hAnsi="Arial" w:cs="Arial"/>
          <w:sz w:val="22"/>
          <w:szCs w:val="22"/>
        </w:rPr>
        <w:t xml:space="preserve"> to total sales.</w:t>
      </w:r>
      <w:r w:rsidRPr="00BF3371">
        <w:rPr>
          <w:rFonts w:ascii="Arial" w:hAnsi="Arial" w:cs="Arial"/>
          <w:bCs/>
          <w:sz w:val="22"/>
          <w:szCs w:val="22"/>
        </w:rPr>
        <w:t xml:space="preserve"> </w:t>
      </w:r>
      <w:r w:rsidRPr="00216D66">
        <w:rPr>
          <w:rFonts w:ascii="Arial" w:hAnsi="Arial" w:cs="Arial"/>
          <w:sz w:val="22"/>
          <w:szCs w:val="22"/>
        </w:rPr>
        <w:t xml:space="preserve">In </w:t>
      </w:r>
      <w:r>
        <w:rPr>
          <w:rFonts w:ascii="Arial" w:hAnsi="Arial" w:cs="Arial"/>
          <w:sz w:val="22"/>
          <w:szCs w:val="22"/>
        </w:rPr>
        <w:t>FY 22/23,</w:t>
      </w:r>
      <w:r w:rsidRPr="00216D66">
        <w:rPr>
          <w:rFonts w:ascii="Arial" w:hAnsi="Arial" w:cs="Arial"/>
          <w:sz w:val="22"/>
          <w:szCs w:val="22"/>
        </w:rPr>
        <w:t xml:space="preserve"> </w:t>
      </w:r>
      <w:r w:rsidRPr="009775EA">
        <w:rPr>
          <w:rFonts w:ascii="Arial" w:hAnsi="Arial" w:cs="Arial"/>
          <w:sz w:val="22"/>
          <w:szCs w:val="22"/>
        </w:rPr>
        <w:t xml:space="preserve">Screwfix </w:t>
      </w:r>
      <w:r w:rsidRPr="00BF00F5">
        <w:rPr>
          <w:rFonts w:ascii="Arial" w:hAnsi="Arial" w:cs="Arial"/>
          <w:sz w:val="22"/>
          <w:szCs w:val="22"/>
        </w:rPr>
        <w:t xml:space="preserve">opened </w:t>
      </w:r>
      <w:r w:rsidRPr="007B35A5">
        <w:rPr>
          <w:rFonts w:ascii="Arial" w:hAnsi="Arial" w:cs="Arial"/>
          <w:sz w:val="22"/>
          <w:szCs w:val="22"/>
        </w:rPr>
        <w:t>82</w:t>
      </w:r>
      <w:r w:rsidRPr="00BF00F5">
        <w:rPr>
          <w:rFonts w:ascii="Arial" w:hAnsi="Arial" w:cs="Arial"/>
          <w:sz w:val="22"/>
          <w:szCs w:val="22"/>
        </w:rPr>
        <w:t xml:space="preserve"> new</w:t>
      </w:r>
      <w:r w:rsidRPr="009775EA">
        <w:rPr>
          <w:rFonts w:ascii="Arial" w:hAnsi="Arial" w:cs="Arial"/>
          <w:sz w:val="22"/>
          <w:szCs w:val="22"/>
        </w:rPr>
        <w:t xml:space="preserve"> stores </w:t>
      </w:r>
      <w:r>
        <w:rPr>
          <w:rFonts w:ascii="Arial" w:hAnsi="Arial" w:cs="Arial"/>
          <w:sz w:val="22"/>
          <w:szCs w:val="22"/>
        </w:rPr>
        <w:t xml:space="preserve">(including </w:t>
      </w:r>
      <w:r w:rsidR="001C6D7F">
        <w:rPr>
          <w:rFonts w:ascii="Arial" w:hAnsi="Arial" w:cs="Arial"/>
          <w:sz w:val="22"/>
          <w:szCs w:val="22"/>
        </w:rPr>
        <w:t xml:space="preserve">10 </w:t>
      </w:r>
      <w:r>
        <w:rPr>
          <w:rFonts w:ascii="Arial" w:hAnsi="Arial" w:cs="Arial"/>
          <w:sz w:val="22"/>
          <w:szCs w:val="22"/>
        </w:rPr>
        <w:t xml:space="preserve">in Ireland), </w:t>
      </w:r>
      <w:r w:rsidRPr="003D0A10">
        <w:rPr>
          <w:rFonts w:ascii="Arial" w:hAnsi="Arial" w:cs="Arial"/>
          <w:sz w:val="22"/>
          <w:szCs w:val="22"/>
        </w:rPr>
        <w:t xml:space="preserve">bringing the total </w:t>
      </w:r>
      <w:r w:rsidRPr="00BF00F5">
        <w:rPr>
          <w:rFonts w:ascii="Arial" w:hAnsi="Arial" w:cs="Arial"/>
          <w:sz w:val="22"/>
          <w:szCs w:val="22"/>
        </w:rPr>
        <w:t xml:space="preserve">to </w:t>
      </w:r>
      <w:r w:rsidRPr="007B35A5">
        <w:rPr>
          <w:rFonts w:ascii="Arial" w:hAnsi="Arial" w:cs="Arial"/>
          <w:sz w:val="22"/>
          <w:szCs w:val="22"/>
        </w:rPr>
        <w:t>872</w:t>
      </w:r>
      <w:r w:rsidRPr="00BF00F5">
        <w:rPr>
          <w:rFonts w:ascii="Arial" w:hAnsi="Arial" w:cs="Arial"/>
          <w:sz w:val="22"/>
          <w:szCs w:val="22"/>
        </w:rPr>
        <w:t xml:space="preserve"> as of 31 January 2023. The business remains on track to reach its target of over 1,000 stores </w:t>
      </w:r>
      <w:r w:rsidR="00404327" w:rsidRPr="003D0A10">
        <w:rPr>
          <w:rFonts w:ascii="Arial" w:hAnsi="Arial" w:cs="Arial"/>
          <w:sz w:val="22"/>
          <w:szCs w:val="22"/>
        </w:rPr>
        <w:t>in the UK &amp; Ireland</w:t>
      </w:r>
      <w:r w:rsidR="00404327" w:rsidRPr="00BF00F5">
        <w:rPr>
          <w:rFonts w:ascii="Arial" w:hAnsi="Arial" w:cs="Arial"/>
          <w:sz w:val="22"/>
          <w:szCs w:val="22"/>
        </w:rPr>
        <w:t xml:space="preserve"> </w:t>
      </w:r>
      <w:r w:rsidRPr="00BF00F5">
        <w:rPr>
          <w:rFonts w:ascii="Arial" w:hAnsi="Arial" w:cs="Arial"/>
          <w:sz w:val="22"/>
          <w:szCs w:val="22"/>
        </w:rPr>
        <w:t>in the medium</w:t>
      </w:r>
      <w:r w:rsidR="00901EE8">
        <w:rPr>
          <w:rFonts w:ascii="Arial" w:hAnsi="Arial" w:cs="Arial"/>
          <w:sz w:val="22"/>
          <w:szCs w:val="22"/>
        </w:rPr>
        <w:t xml:space="preserve"> </w:t>
      </w:r>
      <w:r w:rsidRPr="00BF00F5">
        <w:rPr>
          <w:rFonts w:ascii="Arial" w:hAnsi="Arial" w:cs="Arial"/>
          <w:sz w:val="22"/>
          <w:szCs w:val="22"/>
        </w:rPr>
        <w:t>term</w:t>
      </w:r>
      <w:r>
        <w:rPr>
          <w:rFonts w:ascii="Arial" w:hAnsi="Arial" w:cs="Arial"/>
          <w:sz w:val="22"/>
          <w:szCs w:val="22"/>
        </w:rPr>
        <w:t>.</w:t>
      </w:r>
    </w:p>
    <w:p w14:paraId="7DA23CC5" w14:textId="77777777" w:rsidR="005A5138" w:rsidRDefault="005A5138" w:rsidP="005A5138">
      <w:pPr>
        <w:jc w:val="left"/>
        <w:rPr>
          <w:rFonts w:ascii="Arial" w:hAnsi="Arial" w:cs="Arial"/>
        </w:rPr>
      </w:pPr>
    </w:p>
    <w:p w14:paraId="540255AA" w14:textId="5BDBA13A" w:rsidR="005A5138" w:rsidRPr="00216D66" w:rsidRDefault="005A5138" w:rsidP="005A5138">
      <w:pPr>
        <w:jc w:val="left"/>
        <w:rPr>
          <w:rFonts w:ascii="Arial" w:hAnsi="Arial" w:cs="Arial"/>
        </w:rPr>
      </w:pPr>
      <w:r w:rsidRPr="00EB53AD">
        <w:rPr>
          <w:rFonts w:ascii="Arial" w:hAnsi="Arial" w:cs="Arial"/>
        </w:rPr>
        <w:t xml:space="preserve">As part of its international expansion plans, Screwfix launched as a pure-play online retailer in France in April 2021. Following encouraging results and learnings over an 18-month period, including customer NPS scores on a par </w:t>
      </w:r>
      <w:r>
        <w:rPr>
          <w:rFonts w:ascii="Arial" w:hAnsi="Arial" w:cs="Arial"/>
        </w:rPr>
        <w:t xml:space="preserve">with </w:t>
      </w:r>
      <w:r w:rsidRPr="00EB53AD">
        <w:rPr>
          <w:rFonts w:ascii="Arial" w:hAnsi="Arial" w:cs="Arial"/>
        </w:rPr>
        <w:t>Screwfix UK, the business opened its first store in France in October 2022 and ended the financial year with five stores in operation. During the year, the business successfully implemented a tailored IT operating system, opened its first French distribution centre, onboarded a strong selection of local and national vendors, and accelerated its marketing efforts.</w:t>
      </w:r>
      <w:r>
        <w:rPr>
          <w:rFonts w:ascii="Arial" w:hAnsi="Arial" w:cs="Arial"/>
        </w:rPr>
        <w:t xml:space="preserve"> </w:t>
      </w:r>
      <w:r w:rsidRPr="00500249">
        <w:rPr>
          <w:rFonts w:ascii="Arial" w:hAnsi="Arial" w:cs="Arial"/>
        </w:rPr>
        <w:t>The results</w:t>
      </w:r>
      <w:r w:rsidRPr="00B8630D">
        <w:rPr>
          <w:rFonts w:ascii="Arial" w:hAnsi="Arial" w:cs="Arial"/>
        </w:rPr>
        <w:t xml:space="preserve"> for </w:t>
      </w:r>
      <w:r w:rsidRPr="00B63AEE">
        <w:rPr>
          <w:rFonts w:ascii="Arial" w:hAnsi="Arial" w:cs="Arial"/>
          <w:b/>
          <w:bCs/>
        </w:rPr>
        <w:t>Screwfix International</w:t>
      </w:r>
      <w:r w:rsidRPr="00B8630D">
        <w:rPr>
          <w:rFonts w:ascii="Arial" w:hAnsi="Arial" w:cs="Arial"/>
        </w:rPr>
        <w:t xml:space="preserve"> are captured in </w:t>
      </w:r>
      <w:r w:rsidRPr="00B8630D">
        <w:rPr>
          <w:rFonts w:ascii="Arial" w:hAnsi="Arial" w:cs="Arial"/>
          <w:i/>
          <w:iCs/>
        </w:rPr>
        <w:t>‘Other International’</w:t>
      </w:r>
      <w:r w:rsidRPr="00B8630D">
        <w:rPr>
          <w:rFonts w:ascii="Arial" w:hAnsi="Arial" w:cs="Arial"/>
        </w:rPr>
        <w:t xml:space="preserve"> – see below for further information.</w:t>
      </w:r>
    </w:p>
    <w:p w14:paraId="789D3D96" w14:textId="77777777" w:rsidR="005A5138" w:rsidRPr="009A7235" w:rsidRDefault="005A5138" w:rsidP="005A5138">
      <w:pPr>
        <w:jc w:val="left"/>
        <w:rPr>
          <w:rFonts w:ascii="Arial" w:hAnsi="Arial" w:cs="Arial"/>
        </w:rPr>
      </w:pPr>
    </w:p>
    <w:bookmarkEnd w:id="47"/>
    <w:bookmarkEnd w:id="48"/>
    <w:p w14:paraId="435093BC" w14:textId="77777777" w:rsidR="005A5138" w:rsidRPr="00A845B7" w:rsidRDefault="005A5138" w:rsidP="005A5138">
      <w:pPr>
        <w:jc w:val="left"/>
        <w:rPr>
          <w:rFonts w:ascii="Arial" w:hAnsi="Arial" w:cs="Arial"/>
        </w:rPr>
      </w:pPr>
      <w:r w:rsidRPr="00A845B7">
        <w:rPr>
          <w:rFonts w:ascii="Arial" w:hAnsi="Arial" w:cs="Arial"/>
          <w:b/>
          <w:bCs/>
        </w:rPr>
        <w:t>FRANCE</w:t>
      </w:r>
    </w:p>
    <w:p w14:paraId="05407109" w14:textId="77777777" w:rsidR="005A5138" w:rsidRPr="00E83051" w:rsidRDefault="005A5138" w:rsidP="005A5138">
      <w:pPr>
        <w:jc w:val="left"/>
        <w:rPr>
          <w:rFonts w:ascii="Arial" w:hAnsi="Arial" w:cs="Arial"/>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1128"/>
        <w:gridCol w:w="1128"/>
        <w:gridCol w:w="1540"/>
        <w:gridCol w:w="1540"/>
        <w:gridCol w:w="1183"/>
        <w:gridCol w:w="1181"/>
      </w:tblGrid>
      <w:tr w:rsidR="005A5138" w:rsidRPr="00216D66" w14:paraId="4F6955B6" w14:textId="77777777" w:rsidTr="003D4ACC">
        <w:tc>
          <w:tcPr>
            <w:tcW w:w="1265" w:type="pct"/>
            <w:tcBorders>
              <w:bottom w:val="single" w:sz="4" w:space="0" w:color="auto"/>
            </w:tcBorders>
          </w:tcPr>
          <w:p w14:paraId="143D22AA" w14:textId="77777777" w:rsidR="005A5138" w:rsidRPr="005E1EE0" w:rsidRDefault="005A5138" w:rsidP="003D4ACC">
            <w:pPr>
              <w:rPr>
                <w:rFonts w:ascii="Arial" w:hAnsi="Arial" w:cs="Arial"/>
                <w:b/>
                <w:bCs/>
              </w:rPr>
            </w:pPr>
            <w:r w:rsidRPr="005E1EE0">
              <w:rPr>
                <w:rFonts w:ascii="Arial" w:hAnsi="Arial" w:cs="Arial"/>
                <w:b/>
                <w:bCs/>
              </w:rPr>
              <w:t>£m</w:t>
            </w:r>
          </w:p>
        </w:tc>
        <w:tc>
          <w:tcPr>
            <w:tcW w:w="547" w:type="pct"/>
            <w:tcBorders>
              <w:bottom w:val="single" w:sz="4" w:space="0" w:color="auto"/>
            </w:tcBorders>
          </w:tcPr>
          <w:p w14:paraId="086796AC" w14:textId="77777777" w:rsidR="005A5138" w:rsidRPr="00216D66" w:rsidRDefault="005A5138" w:rsidP="003D4ACC">
            <w:pPr>
              <w:jc w:val="right"/>
              <w:rPr>
                <w:rFonts w:ascii="Arial" w:hAnsi="Arial" w:cs="Arial"/>
              </w:rPr>
            </w:pPr>
            <w:r>
              <w:rPr>
                <w:rFonts w:ascii="Arial" w:hAnsi="Arial" w:cs="Arial"/>
                <w:b/>
                <w:bCs/>
              </w:rPr>
              <w:t>2022/23</w:t>
            </w:r>
          </w:p>
        </w:tc>
        <w:tc>
          <w:tcPr>
            <w:tcW w:w="547" w:type="pct"/>
            <w:tcBorders>
              <w:bottom w:val="single" w:sz="4" w:space="0" w:color="auto"/>
            </w:tcBorders>
          </w:tcPr>
          <w:p w14:paraId="090BFFD5" w14:textId="77777777" w:rsidR="005A5138" w:rsidRPr="00216D66" w:rsidRDefault="005A5138" w:rsidP="003D4ACC">
            <w:pPr>
              <w:jc w:val="right"/>
              <w:rPr>
                <w:rFonts w:ascii="Arial" w:hAnsi="Arial" w:cs="Arial"/>
                <w:b/>
                <w:bCs/>
              </w:rPr>
            </w:pPr>
            <w:r>
              <w:rPr>
                <w:rFonts w:ascii="Arial" w:hAnsi="Arial" w:cs="Arial"/>
                <w:b/>
                <w:bCs/>
              </w:rPr>
              <w:t>2021/22</w:t>
            </w:r>
          </w:p>
        </w:tc>
        <w:tc>
          <w:tcPr>
            <w:tcW w:w="747" w:type="pct"/>
            <w:tcBorders>
              <w:bottom w:val="single" w:sz="4" w:space="0" w:color="auto"/>
            </w:tcBorders>
          </w:tcPr>
          <w:p w14:paraId="2C623C76" w14:textId="77777777" w:rsidR="005A5138" w:rsidRPr="00216D66" w:rsidRDefault="005A5138" w:rsidP="003D4ACC">
            <w:pPr>
              <w:jc w:val="right"/>
              <w:rPr>
                <w:rFonts w:ascii="Arial" w:hAnsi="Arial" w:cs="Arial"/>
                <w:b/>
                <w:bCs/>
              </w:rPr>
            </w:pPr>
            <w:r w:rsidRPr="00216D66">
              <w:rPr>
                <w:rFonts w:ascii="Arial" w:hAnsi="Arial" w:cs="Arial"/>
                <w:b/>
                <w:bCs/>
              </w:rPr>
              <w:t>% Reported</w:t>
            </w:r>
            <w:r w:rsidRPr="00216D66" w:rsidDel="00197636">
              <w:rPr>
                <w:rFonts w:ascii="Arial" w:hAnsi="Arial" w:cs="Arial"/>
                <w:b/>
                <w:bCs/>
              </w:rPr>
              <w:t xml:space="preserve"> </w:t>
            </w:r>
            <w:r w:rsidRPr="00216D66">
              <w:rPr>
                <w:rFonts w:ascii="Arial" w:hAnsi="Arial" w:cs="Arial"/>
                <w:b/>
                <w:bCs/>
              </w:rPr>
              <w:t>Change</w:t>
            </w:r>
          </w:p>
          <w:p w14:paraId="4FB6498B" w14:textId="77777777" w:rsidR="005A5138" w:rsidRPr="00216D66" w:rsidRDefault="005A5138" w:rsidP="003D4ACC">
            <w:pPr>
              <w:jc w:val="right"/>
              <w:rPr>
                <w:rFonts w:ascii="Arial" w:hAnsi="Arial" w:cs="Arial"/>
                <w:b/>
                <w:bCs/>
              </w:rPr>
            </w:pPr>
          </w:p>
        </w:tc>
        <w:tc>
          <w:tcPr>
            <w:tcW w:w="747" w:type="pct"/>
            <w:tcBorders>
              <w:bottom w:val="single" w:sz="4" w:space="0" w:color="auto"/>
            </w:tcBorders>
          </w:tcPr>
          <w:p w14:paraId="1F3028B3" w14:textId="77777777" w:rsidR="005A5138" w:rsidRPr="00216D66" w:rsidRDefault="005A5138" w:rsidP="003D4ACC">
            <w:pPr>
              <w:jc w:val="right"/>
              <w:rPr>
                <w:rFonts w:ascii="Arial" w:hAnsi="Arial" w:cs="Arial"/>
                <w:b/>
                <w:bCs/>
              </w:rPr>
            </w:pPr>
            <w:r w:rsidRPr="00216D66">
              <w:rPr>
                <w:rFonts w:ascii="Arial" w:hAnsi="Arial" w:cs="Arial"/>
                <w:b/>
                <w:bCs/>
              </w:rPr>
              <w:t>% Constant</w:t>
            </w:r>
          </w:p>
          <w:p w14:paraId="15960E48" w14:textId="77777777" w:rsidR="005A5138" w:rsidRPr="00216D66" w:rsidRDefault="005A5138" w:rsidP="003D4ACC">
            <w:pPr>
              <w:jc w:val="right"/>
              <w:rPr>
                <w:rFonts w:ascii="Arial" w:hAnsi="Arial" w:cs="Arial"/>
                <w:b/>
                <w:bCs/>
              </w:rPr>
            </w:pPr>
            <w:r w:rsidRPr="00216D66">
              <w:rPr>
                <w:rFonts w:ascii="Arial" w:hAnsi="Arial" w:cs="Arial"/>
                <w:b/>
                <w:bCs/>
              </w:rPr>
              <w:t>Currency</w:t>
            </w:r>
          </w:p>
          <w:p w14:paraId="38AE9CED" w14:textId="77777777" w:rsidR="005A5138" w:rsidRPr="00216D66" w:rsidRDefault="005A5138" w:rsidP="003D4ACC">
            <w:pPr>
              <w:jc w:val="right"/>
              <w:rPr>
                <w:rFonts w:ascii="Arial" w:hAnsi="Arial" w:cs="Arial"/>
                <w:b/>
                <w:bCs/>
              </w:rPr>
            </w:pPr>
            <w:r w:rsidRPr="00216D66">
              <w:rPr>
                <w:rFonts w:ascii="Arial" w:hAnsi="Arial" w:cs="Arial"/>
                <w:b/>
                <w:bCs/>
              </w:rPr>
              <w:t xml:space="preserve">Change  </w:t>
            </w:r>
          </w:p>
        </w:tc>
        <w:tc>
          <w:tcPr>
            <w:tcW w:w="574" w:type="pct"/>
            <w:tcBorders>
              <w:bottom w:val="single" w:sz="4" w:space="0" w:color="auto"/>
            </w:tcBorders>
          </w:tcPr>
          <w:p w14:paraId="1DC6EF7D" w14:textId="77777777" w:rsidR="005A5138" w:rsidRPr="00216D66" w:rsidRDefault="005A5138" w:rsidP="003D4ACC">
            <w:pPr>
              <w:ind w:hanging="108"/>
              <w:jc w:val="right"/>
              <w:rPr>
                <w:rFonts w:ascii="Arial" w:hAnsi="Arial" w:cs="Arial"/>
                <w:b/>
                <w:bCs/>
              </w:rPr>
            </w:pPr>
            <w:r w:rsidRPr="00216D66">
              <w:rPr>
                <w:rFonts w:ascii="Arial" w:hAnsi="Arial" w:cs="Arial"/>
                <w:b/>
                <w:bCs/>
              </w:rPr>
              <w:t>% LFL</w:t>
            </w:r>
          </w:p>
          <w:p w14:paraId="73DE5B82" w14:textId="77777777" w:rsidR="005A5138" w:rsidRPr="00216D66" w:rsidRDefault="005A5138" w:rsidP="003D4ACC">
            <w:pPr>
              <w:ind w:hanging="108"/>
              <w:jc w:val="right"/>
              <w:rPr>
                <w:rFonts w:ascii="Arial" w:hAnsi="Arial" w:cs="Arial"/>
                <w:b/>
                <w:bCs/>
              </w:rPr>
            </w:pPr>
            <w:r w:rsidRPr="00216D66">
              <w:rPr>
                <w:rFonts w:ascii="Arial" w:hAnsi="Arial" w:cs="Arial"/>
                <w:b/>
                <w:bCs/>
              </w:rPr>
              <w:t>Change</w:t>
            </w:r>
          </w:p>
        </w:tc>
        <w:tc>
          <w:tcPr>
            <w:tcW w:w="573" w:type="pct"/>
            <w:tcBorders>
              <w:bottom w:val="single" w:sz="4" w:space="0" w:color="auto"/>
            </w:tcBorders>
          </w:tcPr>
          <w:p w14:paraId="346986E9" w14:textId="77777777" w:rsidR="005A5138" w:rsidRPr="00216D66" w:rsidRDefault="005A5138" w:rsidP="003D4ACC">
            <w:pPr>
              <w:ind w:hanging="108"/>
              <w:jc w:val="right"/>
              <w:rPr>
                <w:rFonts w:ascii="Arial" w:hAnsi="Arial" w:cs="Arial"/>
                <w:b/>
                <w:bCs/>
              </w:rPr>
            </w:pPr>
            <w:r>
              <w:rPr>
                <w:rFonts w:ascii="Arial" w:hAnsi="Arial" w:cs="Arial"/>
                <w:b/>
                <w:bCs/>
              </w:rPr>
              <w:t>% 3-year LFL Change</w:t>
            </w:r>
          </w:p>
        </w:tc>
      </w:tr>
      <w:tr w:rsidR="005A5138" w:rsidRPr="00375CE2" w14:paraId="2104023F" w14:textId="77777777" w:rsidTr="003D4ACC">
        <w:trPr>
          <w:trHeight w:val="147"/>
        </w:trPr>
        <w:tc>
          <w:tcPr>
            <w:tcW w:w="1265" w:type="pct"/>
            <w:tcBorders>
              <w:bottom w:val="single" w:sz="4" w:space="0" w:color="auto"/>
            </w:tcBorders>
          </w:tcPr>
          <w:p w14:paraId="170A0262" w14:textId="77777777" w:rsidR="005A5138" w:rsidRPr="002F6DC3" w:rsidRDefault="005A5138" w:rsidP="003D4ACC">
            <w:pPr>
              <w:rPr>
                <w:rFonts w:ascii="Arial" w:hAnsi="Arial" w:cs="Arial"/>
              </w:rPr>
            </w:pPr>
            <w:r w:rsidRPr="002F6DC3">
              <w:rPr>
                <w:rFonts w:ascii="Arial" w:hAnsi="Arial" w:cs="Arial"/>
              </w:rPr>
              <w:t>Castorama</w:t>
            </w:r>
          </w:p>
        </w:tc>
        <w:tc>
          <w:tcPr>
            <w:tcW w:w="547" w:type="pct"/>
            <w:tcBorders>
              <w:bottom w:val="single" w:sz="4" w:space="0" w:color="auto"/>
            </w:tcBorders>
            <w:vAlign w:val="center"/>
          </w:tcPr>
          <w:p w14:paraId="760A2637" w14:textId="77777777" w:rsidR="005A5138" w:rsidRPr="00031DF4" w:rsidDel="00F2650F" w:rsidRDefault="005A5138" w:rsidP="003D4ACC">
            <w:pPr>
              <w:jc w:val="right"/>
              <w:rPr>
                <w:rFonts w:ascii="Arial" w:hAnsi="Arial" w:cs="Arial"/>
                <w:highlight w:val="yellow"/>
              </w:rPr>
            </w:pPr>
            <w:r w:rsidRPr="007B35A5">
              <w:rPr>
                <w:rFonts w:ascii="Arial" w:hAnsi="Arial" w:cs="Arial"/>
              </w:rPr>
              <w:t xml:space="preserve">2,302 </w:t>
            </w:r>
          </w:p>
        </w:tc>
        <w:tc>
          <w:tcPr>
            <w:tcW w:w="547" w:type="pct"/>
            <w:tcBorders>
              <w:bottom w:val="single" w:sz="4" w:space="0" w:color="auto"/>
            </w:tcBorders>
            <w:vAlign w:val="center"/>
          </w:tcPr>
          <w:p w14:paraId="7E690A28" w14:textId="77777777" w:rsidR="005A5138" w:rsidRPr="00031DF4" w:rsidRDefault="005A5138" w:rsidP="003D4ACC">
            <w:pPr>
              <w:jc w:val="right"/>
              <w:rPr>
                <w:rFonts w:ascii="Arial" w:hAnsi="Arial" w:cs="Arial"/>
              </w:rPr>
            </w:pPr>
            <w:r w:rsidRPr="007B35A5">
              <w:rPr>
                <w:rFonts w:ascii="Arial" w:hAnsi="Arial" w:cs="Arial"/>
              </w:rPr>
              <w:t xml:space="preserve">2,296 </w:t>
            </w:r>
          </w:p>
        </w:tc>
        <w:tc>
          <w:tcPr>
            <w:tcW w:w="747" w:type="pct"/>
            <w:tcBorders>
              <w:bottom w:val="single" w:sz="4" w:space="0" w:color="auto"/>
            </w:tcBorders>
            <w:vAlign w:val="center"/>
          </w:tcPr>
          <w:p w14:paraId="1EB79C3D" w14:textId="77777777" w:rsidR="005A5138" w:rsidRPr="00031DF4" w:rsidDel="00330E93" w:rsidRDefault="005A5138" w:rsidP="003D4ACC">
            <w:pPr>
              <w:jc w:val="right"/>
              <w:rPr>
                <w:rFonts w:ascii="Arial" w:hAnsi="Arial" w:cs="Arial"/>
                <w:highlight w:val="yellow"/>
              </w:rPr>
            </w:pPr>
            <w:r>
              <w:rPr>
                <w:rFonts w:ascii="Arial" w:hAnsi="Arial" w:cs="Arial"/>
              </w:rPr>
              <w:t>+</w:t>
            </w:r>
            <w:r w:rsidRPr="007B35A5">
              <w:rPr>
                <w:rFonts w:ascii="Arial" w:hAnsi="Arial" w:cs="Arial"/>
              </w:rPr>
              <w:t>0.3%</w:t>
            </w:r>
          </w:p>
        </w:tc>
        <w:tc>
          <w:tcPr>
            <w:tcW w:w="747" w:type="pct"/>
            <w:tcBorders>
              <w:bottom w:val="single" w:sz="4" w:space="0" w:color="auto"/>
            </w:tcBorders>
            <w:vAlign w:val="center"/>
          </w:tcPr>
          <w:p w14:paraId="04F1A5CF" w14:textId="77777777" w:rsidR="005A5138" w:rsidRPr="00031DF4" w:rsidDel="00330E93" w:rsidRDefault="005A5138" w:rsidP="003D4ACC">
            <w:pPr>
              <w:jc w:val="right"/>
              <w:rPr>
                <w:rFonts w:ascii="Arial" w:hAnsi="Arial" w:cs="Arial"/>
                <w:highlight w:val="yellow"/>
              </w:rPr>
            </w:pPr>
            <w:r>
              <w:rPr>
                <w:rFonts w:ascii="Arial" w:hAnsi="Arial" w:cs="Arial"/>
              </w:rPr>
              <w:t>+</w:t>
            </w:r>
            <w:r w:rsidRPr="007B35A5">
              <w:rPr>
                <w:rFonts w:ascii="Arial" w:hAnsi="Arial" w:cs="Arial"/>
              </w:rPr>
              <w:t>0.1%</w:t>
            </w:r>
          </w:p>
        </w:tc>
        <w:tc>
          <w:tcPr>
            <w:tcW w:w="574" w:type="pct"/>
            <w:tcBorders>
              <w:bottom w:val="single" w:sz="4" w:space="0" w:color="auto"/>
            </w:tcBorders>
            <w:vAlign w:val="center"/>
          </w:tcPr>
          <w:p w14:paraId="45729AEA" w14:textId="77777777" w:rsidR="005A5138" w:rsidRPr="00031DF4" w:rsidDel="00F2650F" w:rsidRDefault="005A5138" w:rsidP="003D4ACC">
            <w:pPr>
              <w:jc w:val="right"/>
              <w:rPr>
                <w:rFonts w:ascii="Arial" w:hAnsi="Arial" w:cs="Arial"/>
                <w:highlight w:val="yellow"/>
              </w:rPr>
            </w:pPr>
            <w:r w:rsidRPr="007B35A5">
              <w:rPr>
                <w:rFonts w:ascii="Arial" w:hAnsi="Arial" w:cs="Arial"/>
              </w:rPr>
              <w:t>-</w:t>
            </w:r>
          </w:p>
        </w:tc>
        <w:tc>
          <w:tcPr>
            <w:tcW w:w="573" w:type="pct"/>
            <w:tcBorders>
              <w:bottom w:val="single" w:sz="4" w:space="0" w:color="auto"/>
            </w:tcBorders>
            <w:vAlign w:val="center"/>
          </w:tcPr>
          <w:p w14:paraId="58ADDCFF" w14:textId="77777777" w:rsidR="005A5138" w:rsidRPr="00031DF4" w:rsidRDefault="005A5138" w:rsidP="003D4ACC">
            <w:pPr>
              <w:jc w:val="right"/>
              <w:rPr>
                <w:rFonts w:ascii="Arial" w:hAnsi="Arial" w:cs="Arial"/>
                <w:highlight w:val="yellow"/>
              </w:rPr>
            </w:pPr>
            <w:r>
              <w:rPr>
                <w:rFonts w:ascii="Arial" w:hAnsi="Arial" w:cs="Arial"/>
              </w:rPr>
              <w:t>+</w:t>
            </w:r>
            <w:r w:rsidRPr="007B35A5">
              <w:rPr>
                <w:rFonts w:ascii="Arial" w:hAnsi="Arial" w:cs="Arial"/>
              </w:rPr>
              <w:t>13.9%</w:t>
            </w:r>
          </w:p>
        </w:tc>
      </w:tr>
      <w:tr w:rsidR="005A5138" w:rsidRPr="00375CE2" w14:paraId="6EEE9B95" w14:textId="77777777" w:rsidTr="003D4ACC">
        <w:trPr>
          <w:trHeight w:val="147"/>
        </w:trPr>
        <w:tc>
          <w:tcPr>
            <w:tcW w:w="1265" w:type="pct"/>
            <w:tcBorders>
              <w:bottom w:val="single" w:sz="4" w:space="0" w:color="auto"/>
            </w:tcBorders>
          </w:tcPr>
          <w:p w14:paraId="31D6FC09" w14:textId="77777777" w:rsidR="005A5138" w:rsidRPr="002F6DC3" w:rsidRDefault="005A5138" w:rsidP="003D4ACC">
            <w:pPr>
              <w:rPr>
                <w:rFonts w:ascii="Arial" w:hAnsi="Arial" w:cs="Arial"/>
              </w:rPr>
            </w:pPr>
            <w:r w:rsidRPr="002F6DC3">
              <w:rPr>
                <w:rFonts w:ascii="Arial" w:hAnsi="Arial" w:cs="Arial"/>
              </w:rPr>
              <w:t>Brico Dépôt</w:t>
            </w:r>
          </w:p>
        </w:tc>
        <w:tc>
          <w:tcPr>
            <w:tcW w:w="547" w:type="pct"/>
            <w:tcBorders>
              <w:bottom w:val="single" w:sz="4" w:space="0" w:color="auto"/>
            </w:tcBorders>
            <w:vAlign w:val="center"/>
          </w:tcPr>
          <w:p w14:paraId="1F8FB43F" w14:textId="77777777" w:rsidR="005A5138" w:rsidRPr="00031DF4" w:rsidDel="00F2650F" w:rsidRDefault="005A5138" w:rsidP="003D4ACC">
            <w:pPr>
              <w:jc w:val="right"/>
              <w:rPr>
                <w:rFonts w:ascii="Arial" w:hAnsi="Arial" w:cs="Arial"/>
                <w:highlight w:val="yellow"/>
              </w:rPr>
            </w:pPr>
            <w:r w:rsidRPr="007B35A5">
              <w:rPr>
                <w:rFonts w:ascii="Arial" w:hAnsi="Arial" w:cs="Arial"/>
              </w:rPr>
              <w:t xml:space="preserve">2,150 </w:t>
            </w:r>
          </w:p>
        </w:tc>
        <w:tc>
          <w:tcPr>
            <w:tcW w:w="547" w:type="pct"/>
            <w:tcBorders>
              <w:bottom w:val="single" w:sz="4" w:space="0" w:color="auto"/>
            </w:tcBorders>
            <w:vAlign w:val="center"/>
          </w:tcPr>
          <w:p w14:paraId="67029998" w14:textId="77777777" w:rsidR="005A5138" w:rsidRPr="00031DF4" w:rsidRDefault="005A5138" w:rsidP="003D4ACC">
            <w:pPr>
              <w:jc w:val="right"/>
              <w:rPr>
                <w:rFonts w:ascii="Arial" w:hAnsi="Arial" w:cs="Arial"/>
              </w:rPr>
            </w:pPr>
            <w:r w:rsidRPr="007B35A5">
              <w:rPr>
                <w:rFonts w:ascii="Arial" w:hAnsi="Arial" w:cs="Arial"/>
              </w:rPr>
              <w:t xml:space="preserve">2,202 </w:t>
            </w:r>
          </w:p>
        </w:tc>
        <w:tc>
          <w:tcPr>
            <w:tcW w:w="747" w:type="pct"/>
            <w:tcBorders>
              <w:bottom w:val="single" w:sz="4" w:space="0" w:color="auto"/>
            </w:tcBorders>
            <w:vAlign w:val="center"/>
          </w:tcPr>
          <w:p w14:paraId="69CB4BB6" w14:textId="77777777" w:rsidR="005A5138" w:rsidRPr="00031DF4" w:rsidDel="00330E93" w:rsidRDefault="005A5138" w:rsidP="003D4ACC">
            <w:pPr>
              <w:jc w:val="right"/>
              <w:rPr>
                <w:rFonts w:ascii="Arial" w:hAnsi="Arial" w:cs="Arial"/>
                <w:highlight w:val="yellow"/>
              </w:rPr>
            </w:pPr>
            <w:r w:rsidRPr="007B35A5">
              <w:rPr>
                <w:rFonts w:ascii="Arial" w:hAnsi="Arial" w:cs="Arial"/>
              </w:rPr>
              <w:t>(2.4)%</w:t>
            </w:r>
          </w:p>
        </w:tc>
        <w:tc>
          <w:tcPr>
            <w:tcW w:w="747" w:type="pct"/>
            <w:tcBorders>
              <w:bottom w:val="single" w:sz="4" w:space="0" w:color="auto"/>
            </w:tcBorders>
            <w:vAlign w:val="center"/>
          </w:tcPr>
          <w:p w14:paraId="372469BF" w14:textId="77777777" w:rsidR="005A5138" w:rsidRPr="00031DF4" w:rsidDel="00330E93" w:rsidRDefault="005A5138" w:rsidP="003D4ACC">
            <w:pPr>
              <w:jc w:val="right"/>
              <w:rPr>
                <w:rFonts w:ascii="Arial" w:hAnsi="Arial" w:cs="Arial"/>
                <w:highlight w:val="yellow"/>
              </w:rPr>
            </w:pPr>
            <w:r w:rsidRPr="007B35A5">
              <w:rPr>
                <w:rFonts w:ascii="Arial" w:hAnsi="Arial" w:cs="Arial"/>
              </w:rPr>
              <w:t>(2.5)%</w:t>
            </w:r>
          </w:p>
        </w:tc>
        <w:tc>
          <w:tcPr>
            <w:tcW w:w="574" w:type="pct"/>
            <w:tcBorders>
              <w:bottom w:val="single" w:sz="4" w:space="0" w:color="auto"/>
            </w:tcBorders>
            <w:vAlign w:val="center"/>
          </w:tcPr>
          <w:p w14:paraId="0AF99C0E" w14:textId="77777777" w:rsidR="005A5138" w:rsidRPr="00031DF4" w:rsidDel="00F2650F" w:rsidRDefault="005A5138" w:rsidP="003D4ACC">
            <w:pPr>
              <w:jc w:val="right"/>
              <w:rPr>
                <w:rFonts w:ascii="Arial" w:hAnsi="Arial" w:cs="Arial"/>
                <w:highlight w:val="yellow"/>
              </w:rPr>
            </w:pPr>
            <w:r w:rsidRPr="007B35A5">
              <w:rPr>
                <w:rFonts w:ascii="Arial" w:hAnsi="Arial" w:cs="Arial"/>
              </w:rPr>
              <w:t>(2.9)%</w:t>
            </w:r>
          </w:p>
        </w:tc>
        <w:tc>
          <w:tcPr>
            <w:tcW w:w="573" w:type="pct"/>
            <w:tcBorders>
              <w:bottom w:val="single" w:sz="4" w:space="0" w:color="auto"/>
            </w:tcBorders>
            <w:vAlign w:val="center"/>
          </w:tcPr>
          <w:p w14:paraId="24E48C7F" w14:textId="77777777" w:rsidR="005A5138" w:rsidRPr="00031DF4" w:rsidRDefault="005A5138" w:rsidP="003D4ACC">
            <w:pPr>
              <w:jc w:val="right"/>
              <w:rPr>
                <w:rFonts w:ascii="Arial" w:hAnsi="Arial" w:cs="Arial"/>
                <w:highlight w:val="yellow"/>
              </w:rPr>
            </w:pPr>
            <w:r>
              <w:rPr>
                <w:rFonts w:ascii="Arial" w:hAnsi="Arial" w:cs="Arial"/>
              </w:rPr>
              <w:t>+</w:t>
            </w:r>
            <w:r w:rsidRPr="007B35A5">
              <w:rPr>
                <w:rFonts w:ascii="Arial" w:hAnsi="Arial" w:cs="Arial"/>
              </w:rPr>
              <w:t>12.5%</w:t>
            </w:r>
          </w:p>
        </w:tc>
      </w:tr>
      <w:tr w:rsidR="005A5138" w:rsidRPr="00375CE2" w14:paraId="40E9E99A" w14:textId="77777777" w:rsidTr="003D4ACC">
        <w:trPr>
          <w:trHeight w:val="147"/>
        </w:trPr>
        <w:tc>
          <w:tcPr>
            <w:tcW w:w="1265" w:type="pct"/>
            <w:tcBorders>
              <w:bottom w:val="single" w:sz="4" w:space="0" w:color="auto"/>
            </w:tcBorders>
          </w:tcPr>
          <w:p w14:paraId="52D38CDA" w14:textId="77777777" w:rsidR="005A5138" w:rsidRPr="00216D66" w:rsidRDefault="005A5138" w:rsidP="003D4ACC">
            <w:pPr>
              <w:rPr>
                <w:rFonts w:ascii="Arial" w:hAnsi="Arial" w:cs="Arial"/>
                <w:b/>
              </w:rPr>
            </w:pPr>
            <w:r w:rsidRPr="00216D66">
              <w:rPr>
                <w:rFonts w:ascii="Arial" w:hAnsi="Arial" w:cs="Arial"/>
                <w:b/>
                <w:bCs/>
              </w:rPr>
              <w:t>Total sales</w:t>
            </w:r>
          </w:p>
        </w:tc>
        <w:tc>
          <w:tcPr>
            <w:tcW w:w="547" w:type="pct"/>
            <w:tcBorders>
              <w:bottom w:val="single" w:sz="4" w:space="0" w:color="auto"/>
            </w:tcBorders>
            <w:vAlign w:val="center"/>
          </w:tcPr>
          <w:p w14:paraId="18CF6C6D" w14:textId="77777777" w:rsidR="005A5138" w:rsidRPr="00031DF4" w:rsidRDefault="005A5138" w:rsidP="003D4ACC">
            <w:pPr>
              <w:jc w:val="right"/>
              <w:rPr>
                <w:rFonts w:ascii="Arial" w:hAnsi="Arial" w:cs="Arial"/>
                <w:b/>
                <w:bCs/>
                <w:highlight w:val="yellow"/>
              </w:rPr>
            </w:pPr>
            <w:r w:rsidRPr="007B35A5">
              <w:rPr>
                <w:rFonts w:ascii="Arial" w:hAnsi="Arial" w:cs="Arial"/>
                <w:b/>
                <w:bCs/>
              </w:rPr>
              <w:t xml:space="preserve">4,452 </w:t>
            </w:r>
          </w:p>
        </w:tc>
        <w:tc>
          <w:tcPr>
            <w:tcW w:w="547" w:type="pct"/>
            <w:tcBorders>
              <w:bottom w:val="single" w:sz="4" w:space="0" w:color="auto"/>
            </w:tcBorders>
            <w:vAlign w:val="center"/>
          </w:tcPr>
          <w:p w14:paraId="687F5448" w14:textId="77777777" w:rsidR="005A5138" w:rsidRPr="00031DF4" w:rsidRDefault="005A5138" w:rsidP="003D4ACC">
            <w:pPr>
              <w:jc w:val="right"/>
              <w:rPr>
                <w:rFonts w:ascii="Arial" w:hAnsi="Arial" w:cs="Arial"/>
                <w:b/>
                <w:bCs/>
              </w:rPr>
            </w:pPr>
            <w:r w:rsidRPr="007B35A5">
              <w:rPr>
                <w:rFonts w:ascii="Arial" w:hAnsi="Arial" w:cs="Arial"/>
                <w:b/>
                <w:bCs/>
              </w:rPr>
              <w:t xml:space="preserve">4,498 </w:t>
            </w:r>
          </w:p>
        </w:tc>
        <w:tc>
          <w:tcPr>
            <w:tcW w:w="747" w:type="pct"/>
            <w:tcBorders>
              <w:bottom w:val="single" w:sz="4" w:space="0" w:color="auto"/>
            </w:tcBorders>
            <w:vAlign w:val="center"/>
          </w:tcPr>
          <w:p w14:paraId="77D14151" w14:textId="77777777" w:rsidR="005A5138" w:rsidRPr="00031DF4" w:rsidRDefault="005A5138" w:rsidP="003D4ACC">
            <w:pPr>
              <w:jc w:val="right"/>
              <w:rPr>
                <w:rFonts w:ascii="Arial" w:hAnsi="Arial" w:cs="Arial"/>
                <w:b/>
                <w:bCs/>
                <w:highlight w:val="yellow"/>
              </w:rPr>
            </w:pPr>
            <w:r w:rsidRPr="007B35A5">
              <w:rPr>
                <w:rFonts w:ascii="Arial" w:hAnsi="Arial" w:cs="Arial"/>
                <w:b/>
                <w:bCs/>
              </w:rPr>
              <w:t>(1.0)%</w:t>
            </w:r>
          </w:p>
        </w:tc>
        <w:tc>
          <w:tcPr>
            <w:tcW w:w="747" w:type="pct"/>
            <w:tcBorders>
              <w:bottom w:val="single" w:sz="4" w:space="0" w:color="auto"/>
            </w:tcBorders>
            <w:vAlign w:val="center"/>
          </w:tcPr>
          <w:p w14:paraId="31C3C799" w14:textId="77777777" w:rsidR="005A5138" w:rsidRPr="00031DF4" w:rsidRDefault="005A5138" w:rsidP="003D4ACC">
            <w:pPr>
              <w:jc w:val="right"/>
              <w:rPr>
                <w:rFonts w:ascii="Arial" w:hAnsi="Arial" w:cs="Arial"/>
                <w:b/>
                <w:bCs/>
                <w:highlight w:val="yellow"/>
              </w:rPr>
            </w:pPr>
            <w:r w:rsidRPr="007B35A5">
              <w:rPr>
                <w:rFonts w:ascii="Arial" w:hAnsi="Arial" w:cs="Arial"/>
                <w:b/>
                <w:bCs/>
              </w:rPr>
              <w:t>(1.2)%</w:t>
            </w:r>
          </w:p>
        </w:tc>
        <w:tc>
          <w:tcPr>
            <w:tcW w:w="574" w:type="pct"/>
            <w:tcBorders>
              <w:bottom w:val="single" w:sz="4" w:space="0" w:color="auto"/>
            </w:tcBorders>
            <w:vAlign w:val="center"/>
          </w:tcPr>
          <w:p w14:paraId="3ECD0622" w14:textId="77777777" w:rsidR="005A5138" w:rsidRPr="00031DF4" w:rsidRDefault="005A5138" w:rsidP="003D4ACC">
            <w:pPr>
              <w:jc w:val="right"/>
              <w:rPr>
                <w:rFonts w:ascii="Arial" w:hAnsi="Arial" w:cs="Arial"/>
                <w:b/>
                <w:bCs/>
                <w:highlight w:val="yellow"/>
              </w:rPr>
            </w:pPr>
            <w:r w:rsidRPr="007B35A5">
              <w:rPr>
                <w:rFonts w:ascii="Arial" w:hAnsi="Arial" w:cs="Arial"/>
                <w:b/>
                <w:bCs/>
              </w:rPr>
              <w:t>(1.4)%</w:t>
            </w:r>
          </w:p>
        </w:tc>
        <w:tc>
          <w:tcPr>
            <w:tcW w:w="573" w:type="pct"/>
            <w:tcBorders>
              <w:bottom w:val="single" w:sz="4" w:space="0" w:color="auto"/>
            </w:tcBorders>
            <w:vAlign w:val="center"/>
          </w:tcPr>
          <w:p w14:paraId="5A71201D" w14:textId="77777777" w:rsidR="005A5138" w:rsidRPr="00031DF4" w:rsidRDefault="005A5138" w:rsidP="003D4ACC">
            <w:pPr>
              <w:jc w:val="right"/>
              <w:rPr>
                <w:rFonts w:ascii="Arial" w:hAnsi="Arial" w:cs="Arial"/>
                <w:b/>
                <w:bCs/>
                <w:highlight w:val="yellow"/>
              </w:rPr>
            </w:pPr>
            <w:r>
              <w:rPr>
                <w:rFonts w:ascii="Arial" w:hAnsi="Arial" w:cs="Arial"/>
                <w:b/>
                <w:bCs/>
              </w:rPr>
              <w:t>+</w:t>
            </w:r>
            <w:r w:rsidRPr="007B35A5">
              <w:rPr>
                <w:rFonts w:ascii="Arial" w:hAnsi="Arial" w:cs="Arial"/>
                <w:b/>
                <w:bCs/>
              </w:rPr>
              <w:t>13.2%</w:t>
            </w:r>
          </w:p>
        </w:tc>
      </w:tr>
      <w:tr w:rsidR="005A5138" w:rsidRPr="00375CE2" w14:paraId="54974380" w14:textId="77777777" w:rsidTr="003D4ACC">
        <w:trPr>
          <w:gridAfter w:val="2"/>
          <w:wAfter w:w="1147" w:type="pct"/>
        </w:trPr>
        <w:tc>
          <w:tcPr>
            <w:tcW w:w="1265" w:type="pct"/>
            <w:tcBorders>
              <w:top w:val="nil"/>
              <w:left w:val="nil"/>
              <w:bottom w:val="single" w:sz="4" w:space="0" w:color="auto"/>
              <w:right w:val="nil"/>
            </w:tcBorders>
          </w:tcPr>
          <w:p w14:paraId="68B39674" w14:textId="77777777" w:rsidR="005A5138" w:rsidRPr="00E83051" w:rsidRDefault="005A5138" w:rsidP="003D4ACC">
            <w:pPr>
              <w:jc w:val="left"/>
              <w:rPr>
                <w:rFonts w:ascii="Arial" w:hAnsi="Arial" w:cs="Arial"/>
              </w:rPr>
            </w:pPr>
          </w:p>
        </w:tc>
        <w:tc>
          <w:tcPr>
            <w:tcW w:w="547" w:type="pct"/>
            <w:tcBorders>
              <w:top w:val="nil"/>
              <w:left w:val="nil"/>
              <w:bottom w:val="single" w:sz="4" w:space="0" w:color="auto"/>
              <w:right w:val="nil"/>
            </w:tcBorders>
          </w:tcPr>
          <w:p w14:paraId="4C9FD45B" w14:textId="77777777" w:rsidR="005A5138" w:rsidRPr="007B35A5" w:rsidRDefault="005A5138" w:rsidP="003D4ACC">
            <w:pPr>
              <w:jc w:val="left"/>
              <w:rPr>
                <w:rFonts w:ascii="Arial" w:hAnsi="Arial" w:cs="Arial"/>
              </w:rPr>
            </w:pPr>
          </w:p>
        </w:tc>
        <w:tc>
          <w:tcPr>
            <w:tcW w:w="547" w:type="pct"/>
            <w:tcBorders>
              <w:top w:val="nil"/>
              <w:left w:val="nil"/>
              <w:bottom w:val="single" w:sz="4" w:space="0" w:color="auto"/>
              <w:right w:val="nil"/>
            </w:tcBorders>
          </w:tcPr>
          <w:p w14:paraId="2AA27656" w14:textId="77777777" w:rsidR="005A5138" w:rsidRPr="00A63B43" w:rsidRDefault="005A5138" w:rsidP="003D4ACC">
            <w:pPr>
              <w:jc w:val="left"/>
              <w:rPr>
                <w:rFonts w:ascii="Arial" w:hAnsi="Arial" w:cs="Arial"/>
              </w:rPr>
            </w:pPr>
          </w:p>
        </w:tc>
        <w:tc>
          <w:tcPr>
            <w:tcW w:w="747" w:type="pct"/>
            <w:tcBorders>
              <w:top w:val="nil"/>
              <w:left w:val="nil"/>
              <w:bottom w:val="single" w:sz="4" w:space="0" w:color="auto"/>
              <w:right w:val="nil"/>
            </w:tcBorders>
          </w:tcPr>
          <w:p w14:paraId="35A27B76" w14:textId="77777777" w:rsidR="005A5138" w:rsidRPr="00375CE2" w:rsidRDefault="005A5138" w:rsidP="003D4ACC">
            <w:pPr>
              <w:jc w:val="left"/>
              <w:rPr>
                <w:rFonts w:ascii="Arial" w:hAnsi="Arial" w:cs="Arial"/>
                <w:highlight w:val="yellow"/>
              </w:rPr>
            </w:pPr>
          </w:p>
        </w:tc>
        <w:tc>
          <w:tcPr>
            <w:tcW w:w="747" w:type="pct"/>
            <w:tcBorders>
              <w:top w:val="nil"/>
              <w:left w:val="nil"/>
              <w:bottom w:val="single" w:sz="4" w:space="0" w:color="auto"/>
              <w:right w:val="nil"/>
            </w:tcBorders>
          </w:tcPr>
          <w:p w14:paraId="35673CE1" w14:textId="77777777" w:rsidR="005A5138" w:rsidRPr="00375CE2" w:rsidRDefault="005A5138" w:rsidP="003D4ACC">
            <w:pPr>
              <w:jc w:val="left"/>
              <w:rPr>
                <w:rFonts w:ascii="Arial" w:hAnsi="Arial" w:cs="Arial"/>
                <w:highlight w:val="yellow"/>
              </w:rPr>
            </w:pPr>
          </w:p>
        </w:tc>
      </w:tr>
      <w:tr w:rsidR="005A5138" w:rsidRPr="00375CE2" w14:paraId="28523619" w14:textId="77777777" w:rsidTr="003D4ACC">
        <w:trPr>
          <w:gridAfter w:val="2"/>
          <w:wAfter w:w="1147" w:type="pct"/>
        </w:trPr>
        <w:tc>
          <w:tcPr>
            <w:tcW w:w="1265" w:type="pct"/>
            <w:tcBorders>
              <w:top w:val="single" w:sz="4" w:space="0" w:color="auto"/>
              <w:bottom w:val="single" w:sz="4" w:space="0" w:color="auto"/>
            </w:tcBorders>
          </w:tcPr>
          <w:p w14:paraId="4A057571" w14:textId="77777777" w:rsidR="005A5138" w:rsidRPr="00216D66" w:rsidRDefault="005A5138" w:rsidP="003D4ACC">
            <w:pPr>
              <w:jc w:val="left"/>
              <w:rPr>
                <w:rFonts w:ascii="Arial" w:hAnsi="Arial" w:cs="Arial"/>
                <w:b/>
              </w:rPr>
            </w:pPr>
            <w:r w:rsidRPr="00216D66">
              <w:rPr>
                <w:rFonts w:ascii="Arial" w:hAnsi="Arial" w:cs="Arial"/>
                <w:b/>
                <w:bCs/>
              </w:rPr>
              <w:t>Retail profit</w:t>
            </w:r>
          </w:p>
        </w:tc>
        <w:tc>
          <w:tcPr>
            <w:tcW w:w="547" w:type="pct"/>
            <w:tcBorders>
              <w:top w:val="single" w:sz="4" w:space="0" w:color="auto"/>
              <w:bottom w:val="single" w:sz="4" w:space="0" w:color="auto"/>
            </w:tcBorders>
          </w:tcPr>
          <w:p w14:paraId="4E775820" w14:textId="77777777" w:rsidR="005A5138" w:rsidRPr="007B35A5" w:rsidRDefault="005A5138" w:rsidP="003D4ACC">
            <w:pPr>
              <w:jc w:val="right"/>
              <w:rPr>
                <w:rFonts w:ascii="Arial" w:hAnsi="Arial" w:cs="Arial"/>
                <w:b/>
                <w:bCs/>
              </w:rPr>
            </w:pPr>
            <w:r w:rsidRPr="007B35A5">
              <w:rPr>
                <w:rFonts w:ascii="Arial" w:hAnsi="Arial" w:cs="Arial"/>
                <w:b/>
                <w:bCs/>
              </w:rPr>
              <w:t>195</w:t>
            </w:r>
          </w:p>
        </w:tc>
        <w:tc>
          <w:tcPr>
            <w:tcW w:w="547" w:type="pct"/>
            <w:tcBorders>
              <w:top w:val="single" w:sz="4" w:space="0" w:color="auto"/>
              <w:bottom w:val="single" w:sz="4" w:space="0" w:color="auto"/>
            </w:tcBorders>
          </w:tcPr>
          <w:p w14:paraId="537CA8ED" w14:textId="77777777" w:rsidR="005A5138" w:rsidRPr="007B35A5" w:rsidRDefault="005A5138" w:rsidP="003D4ACC">
            <w:pPr>
              <w:jc w:val="right"/>
              <w:rPr>
                <w:rFonts w:ascii="Arial" w:hAnsi="Arial" w:cs="Arial"/>
                <w:b/>
                <w:bCs/>
              </w:rPr>
            </w:pPr>
            <w:r w:rsidRPr="00A63B43">
              <w:rPr>
                <w:rFonts w:ascii="Arial" w:hAnsi="Arial" w:cs="Arial"/>
                <w:b/>
                <w:bCs/>
              </w:rPr>
              <w:t>221</w:t>
            </w:r>
          </w:p>
        </w:tc>
        <w:tc>
          <w:tcPr>
            <w:tcW w:w="747" w:type="pct"/>
            <w:tcBorders>
              <w:top w:val="single" w:sz="4" w:space="0" w:color="auto"/>
              <w:bottom w:val="single" w:sz="4" w:space="0" w:color="auto"/>
            </w:tcBorders>
          </w:tcPr>
          <w:p w14:paraId="70697C1D" w14:textId="77777777" w:rsidR="005A5138" w:rsidRPr="007B35A5" w:rsidRDefault="005A5138" w:rsidP="003D4ACC">
            <w:pPr>
              <w:jc w:val="right"/>
              <w:rPr>
                <w:rFonts w:ascii="Arial" w:hAnsi="Arial" w:cs="Arial"/>
                <w:b/>
                <w:bCs/>
              </w:rPr>
            </w:pPr>
            <w:r w:rsidRPr="007B35A5">
              <w:rPr>
                <w:rFonts w:ascii="Arial" w:hAnsi="Arial" w:cs="Arial"/>
                <w:b/>
                <w:bCs/>
              </w:rPr>
              <w:t>(11.9)%</w:t>
            </w:r>
          </w:p>
        </w:tc>
        <w:tc>
          <w:tcPr>
            <w:tcW w:w="747" w:type="pct"/>
            <w:tcBorders>
              <w:top w:val="single" w:sz="4" w:space="0" w:color="auto"/>
              <w:bottom w:val="single" w:sz="4" w:space="0" w:color="auto"/>
            </w:tcBorders>
          </w:tcPr>
          <w:p w14:paraId="19CB5395" w14:textId="77777777" w:rsidR="005A5138" w:rsidRPr="007B35A5" w:rsidRDefault="005A5138" w:rsidP="003D4ACC">
            <w:pPr>
              <w:jc w:val="right"/>
              <w:rPr>
                <w:rFonts w:ascii="Arial" w:hAnsi="Arial" w:cs="Arial"/>
                <w:b/>
                <w:bCs/>
              </w:rPr>
            </w:pPr>
            <w:r w:rsidRPr="007B35A5">
              <w:rPr>
                <w:rFonts w:ascii="Arial" w:hAnsi="Arial" w:cs="Arial"/>
                <w:b/>
                <w:bCs/>
              </w:rPr>
              <w:t>(12.0)%</w:t>
            </w:r>
          </w:p>
        </w:tc>
      </w:tr>
      <w:tr w:rsidR="005A5138" w:rsidRPr="00375CE2" w14:paraId="33A5E508" w14:textId="77777777" w:rsidTr="003D4ACC">
        <w:trPr>
          <w:gridAfter w:val="2"/>
          <w:wAfter w:w="1147" w:type="pct"/>
        </w:trPr>
        <w:tc>
          <w:tcPr>
            <w:tcW w:w="1265" w:type="pct"/>
            <w:tcBorders>
              <w:top w:val="single" w:sz="4" w:space="0" w:color="auto"/>
              <w:bottom w:val="single" w:sz="4" w:space="0" w:color="auto"/>
            </w:tcBorders>
          </w:tcPr>
          <w:p w14:paraId="74F2350C" w14:textId="77777777" w:rsidR="005A5138" w:rsidRPr="00216D66" w:rsidRDefault="005A5138" w:rsidP="003D4ACC">
            <w:pPr>
              <w:jc w:val="left"/>
              <w:rPr>
                <w:rFonts w:ascii="Arial" w:hAnsi="Arial" w:cs="Arial"/>
                <w:b/>
                <w:bCs/>
              </w:rPr>
            </w:pPr>
            <w:r w:rsidRPr="00216D66">
              <w:rPr>
                <w:rFonts w:ascii="Arial" w:hAnsi="Arial" w:cs="Arial"/>
                <w:b/>
                <w:bCs/>
              </w:rPr>
              <w:t>Retail profit margin %</w:t>
            </w:r>
          </w:p>
        </w:tc>
        <w:tc>
          <w:tcPr>
            <w:tcW w:w="547" w:type="pct"/>
            <w:tcBorders>
              <w:top w:val="single" w:sz="4" w:space="0" w:color="auto"/>
              <w:bottom w:val="single" w:sz="4" w:space="0" w:color="auto"/>
            </w:tcBorders>
          </w:tcPr>
          <w:p w14:paraId="0AE9F0A5" w14:textId="77777777" w:rsidR="005A5138" w:rsidRPr="007B35A5" w:rsidRDefault="005A5138" w:rsidP="003D4ACC">
            <w:pPr>
              <w:jc w:val="right"/>
              <w:rPr>
                <w:rFonts w:ascii="Arial" w:hAnsi="Arial" w:cs="Arial"/>
              </w:rPr>
            </w:pPr>
            <w:r w:rsidRPr="007B35A5">
              <w:rPr>
                <w:rFonts w:ascii="Arial" w:hAnsi="Arial" w:cs="Arial"/>
              </w:rPr>
              <w:t>4.4%</w:t>
            </w:r>
          </w:p>
        </w:tc>
        <w:tc>
          <w:tcPr>
            <w:tcW w:w="547" w:type="pct"/>
            <w:tcBorders>
              <w:top w:val="single" w:sz="4" w:space="0" w:color="auto"/>
              <w:bottom w:val="single" w:sz="4" w:space="0" w:color="auto"/>
            </w:tcBorders>
          </w:tcPr>
          <w:p w14:paraId="4BC190FB" w14:textId="77777777" w:rsidR="005A5138" w:rsidRPr="007B35A5" w:rsidRDefault="005A5138" w:rsidP="003D4ACC">
            <w:pPr>
              <w:jc w:val="right"/>
              <w:rPr>
                <w:rFonts w:ascii="Arial" w:hAnsi="Arial" w:cs="Arial"/>
              </w:rPr>
            </w:pPr>
            <w:r w:rsidRPr="00A63B43">
              <w:rPr>
                <w:rFonts w:ascii="Arial" w:hAnsi="Arial" w:cs="Arial"/>
              </w:rPr>
              <w:t>4.9%</w:t>
            </w:r>
          </w:p>
        </w:tc>
        <w:tc>
          <w:tcPr>
            <w:tcW w:w="747" w:type="pct"/>
            <w:tcBorders>
              <w:top w:val="single" w:sz="4" w:space="0" w:color="auto"/>
              <w:bottom w:val="single" w:sz="4" w:space="0" w:color="auto"/>
            </w:tcBorders>
          </w:tcPr>
          <w:p w14:paraId="5BE3B902" w14:textId="77777777" w:rsidR="005A5138" w:rsidRPr="007B35A5" w:rsidRDefault="005A5138" w:rsidP="003D4ACC">
            <w:pPr>
              <w:jc w:val="right"/>
              <w:rPr>
                <w:rFonts w:ascii="Arial" w:hAnsi="Arial" w:cs="Arial"/>
              </w:rPr>
            </w:pPr>
            <w:r w:rsidRPr="007B35A5">
              <w:rPr>
                <w:rFonts w:ascii="Arial" w:hAnsi="Arial" w:cs="Arial"/>
              </w:rPr>
              <w:t>(50)bps</w:t>
            </w:r>
          </w:p>
        </w:tc>
        <w:tc>
          <w:tcPr>
            <w:tcW w:w="747" w:type="pct"/>
            <w:tcBorders>
              <w:top w:val="single" w:sz="4" w:space="0" w:color="auto"/>
              <w:bottom w:val="single" w:sz="4" w:space="0" w:color="auto"/>
            </w:tcBorders>
          </w:tcPr>
          <w:p w14:paraId="4A3D7B09" w14:textId="77777777" w:rsidR="005A5138" w:rsidRPr="007B35A5" w:rsidRDefault="005A5138" w:rsidP="003D4ACC">
            <w:pPr>
              <w:jc w:val="right"/>
              <w:rPr>
                <w:rFonts w:ascii="Arial" w:hAnsi="Arial" w:cs="Arial"/>
              </w:rPr>
            </w:pPr>
            <w:r w:rsidRPr="007B35A5">
              <w:rPr>
                <w:rFonts w:ascii="Arial" w:hAnsi="Arial" w:cs="Arial"/>
              </w:rPr>
              <w:t>(50)bps</w:t>
            </w:r>
          </w:p>
        </w:tc>
      </w:tr>
    </w:tbl>
    <w:p w14:paraId="7E5038CC" w14:textId="77777777" w:rsidR="005A5138" w:rsidRPr="00E83051" w:rsidRDefault="005A5138" w:rsidP="005A5138">
      <w:pPr>
        <w:jc w:val="left"/>
        <w:rPr>
          <w:rFonts w:ascii="Arial" w:hAnsi="Arial" w:cs="Arial"/>
        </w:rPr>
      </w:pPr>
    </w:p>
    <w:p w14:paraId="669FE298" w14:textId="77777777" w:rsidR="005A5138" w:rsidRPr="00117C77" w:rsidRDefault="005A5138" w:rsidP="005A5138">
      <w:pPr>
        <w:jc w:val="left"/>
        <w:rPr>
          <w:rFonts w:ascii="Arial" w:hAnsi="Arial" w:cs="Arial"/>
        </w:rPr>
      </w:pPr>
      <w:bookmarkStart w:id="53" w:name="_Hlk508895102"/>
      <w:r w:rsidRPr="00216D66">
        <w:rPr>
          <w:rFonts w:ascii="Arial" w:hAnsi="Arial" w:cs="Arial"/>
          <w:bCs/>
        </w:rPr>
        <w:t xml:space="preserve">Kingfisher France sales </w:t>
      </w:r>
      <w:r>
        <w:rPr>
          <w:rFonts w:ascii="Arial" w:hAnsi="Arial" w:cs="Arial"/>
          <w:bCs/>
        </w:rPr>
        <w:t>de</w:t>
      </w:r>
      <w:r w:rsidRPr="00216D66">
        <w:rPr>
          <w:rFonts w:ascii="Arial" w:hAnsi="Arial" w:cs="Arial"/>
          <w:bCs/>
        </w:rPr>
        <w:t xml:space="preserve">creased </w:t>
      </w:r>
      <w:r w:rsidRPr="00694EC6">
        <w:rPr>
          <w:rFonts w:ascii="Arial" w:hAnsi="Arial" w:cs="Arial"/>
          <w:bCs/>
        </w:rPr>
        <w:t xml:space="preserve">by </w:t>
      </w:r>
      <w:r w:rsidRPr="007B35A5">
        <w:rPr>
          <w:rFonts w:ascii="Arial" w:hAnsi="Arial" w:cs="Arial"/>
          <w:bCs/>
        </w:rPr>
        <w:t>1.2</w:t>
      </w:r>
      <w:r w:rsidRPr="00694EC6">
        <w:rPr>
          <w:rFonts w:ascii="Arial" w:hAnsi="Arial" w:cs="Arial"/>
          <w:bCs/>
        </w:rPr>
        <w:t xml:space="preserve">% (LFL </w:t>
      </w:r>
      <w:r w:rsidRPr="007B35A5">
        <w:rPr>
          <w:rFonts w:ascii="Arial" w:hAnsi="Arial" w:cs="Arial"/>
          <w:bCs/>
        </w:rPr>
        <w:t>-1.4</w:t>
      </w:r>
      <w:r w:rsidRPr="00694EC6">
        <w:rPr>
          <w:rFonts w:ascii="Arial" w:hAnsi="Arial" w:cs="Arial"/>
          <w:bCs/>
        </w:rPr>
        <w:t>%) to £</w:t>
      </w:r>
      <w:r w:rsidRPr="007B35A5">
        <w:rPr>
          <w:rFonts w:ascii="Arial" w:hAnsi="Arial" w:cs="Arial"/>
          <w:szCs w:val="24"/>
        </w:rPr>
        <w:t>4,452</w:t>
      </w:r>
      <w:r w:rsidRPr="00694EC6">
        <w:rPr>
          <w:rFonts w:ascii="Arial" w:hAnsi="Arial" w:cs="Arial"/>
          <w:bCs/>
        </w:rPr>
        <w:t>m</w:t>
      </w:r>
      <w:r>
        <w:rPr>
          <w:rFonts w:ascii="Arial" w:hAnsi="Arial" w:cs="Arial"/>
          <w:bCs/>
        </w:rPr>
        <w:t xml:space="preserve">, against strong prior year comparatives in H1. In H2, total sales increased by 0.5% (LFL +0.5%). A resilient sales performance in DIY categories was outpaced by sales from DIFM/trade categories. </w:t>
      </w:r>
      <w:r w:rsidRPr="0098740D">
        <w:rPr>
          <w:rFonts w:ascii="Arial" w:hAnsi="Arial" w:cs="Arial"/>
          <w:bCs/>
        </w:rPr>
        <w:t xml:space="preserve">3-year LFL </w:t>
      </w:r>
      <w:r w:rsidRPr="00694EC6">
        <w:rPr>
          <w:rFonts w:ascii="Arial" w:hAnsi="Arial" w:cs="Arial"/>
          <w:bCs/>
        </w:rPr>
        <w:t xml:space="preserve">sales </w:t>
      </w:r>
      <w:r>
        <w:rPr>
          <w:rFonts w:ascii="Arial" w:hAnsi="Arial" w:cs="Arial"/>
          <w:bCs/>
        </w:rPr>
        <w:t xml:space="preserve">for the year </w:t>
      </w:r>
      <w:r w:rsidRPr="00694EC6">
        <w:rPr>
          <w:rFonts w:ascii="Arial" w:hAnsi="Arial" w:cs="Arial"/>
          <w:bCs/>
        </w:rPr>
        <w:t xml:space="preserve">were up </w:t>
      </w:r>
      <w:r w:rsidRPr="007B35A5">
        <w:rPr>
          <w:rFonts w:ascii="Arial" w:hAnsi="Arial" w:cs="Arial"/>
          <w:bCs/>
        </w:rPr>
        <w:t>13.2</w:t>
      </w:r>
      <w:r w:rsidRPr="00694EC6">
        <w:rPr>
          <w:rFonts w:ascii="Arial" w:hAnsi="Arial" w:cs="Arial"/>
          <w:bCs/>
        </w:rPr>
        <w:t>%</w:t>
      </w:r>
      <w:r>
        <w:rPr>
          <w:rFonts w:ascii="Arial" w:hAnsi="Arial" w:cs="Arial"/>
          <w:bCs/>
        </w:rPr>
        <w:t xml:space="preserve">. </w:t>
      </w:r>
      <w:r>
        <w:rPr>
          <w:rFonts w:ascii="Arial" w:hAnsi="Arial" w:cs="Arial"/>
        </w:rPr>
        <w:t xml:space="preserve">The 3-year sales trend </w:t>
      </w:r>
      <w:r w:rsidRPr="00EB4495">
        <w:rPr>
          <w:rFonts w:ascii="Arial" w:hAnsi="Arial" w:cs="Arial"/>
        </w:rPr>
        <w:t xml:space="preserve">slowed </w:t>
      </w:r>
      <w:r>
        <w:rPr>
          <w:rFonts w:ascii="Arial" w:hAnsi="Arial" w:cs="Arial"/>
        </w:rPr>
        <w:t xml:space="preserve">to +10.9% </w:t>
      </w:r>
      <w:r w:rsidRPr="00EB4495">
        <w:rPr>
          <w:rFonts w:ascii="Arial" w:hAnsi="Arial" w:cs="Arial"/>
        </w:rPr>
        <w:t>in Q4 (</w:t>
      </w:r>
      <w:r>
        <w:rPr>
          <w:rFonts w:ascii="Arial" w:hAnsi="Arial" w:cs="Arial"/>
        </w:rPr>
        <w:t xml:space="preserve">versus +14.6% in </w:t>
      </w:r>
      <w:r w:rsidRPr="00EB4495">
        <w:rPr>
          <w:rFonts w:ascii="Arial" w:hAnsi="Arial" w:cs="Arial"/>
        </w:rPr>
        <w:t>Q3)</w:t>
      </w:r>
      <w:r>
        <w:rPr>
          <w:rFonts w:ascii="Arial" w:hAnsi="Arial" w:cs="Arial"/>
        </w:rPr>
        <w:t xml:space="preserve"> due to a significantly </w:t>
      </w:r>
      <w:r w:rsidRPr="00EB4495">
        <w:rPr>
          <w:rFonts w:ascii="Arial" w:hAnsi="Arial" w:cs="Arial"/>
        </w:rPr>
        <w:t xml:space="preserve">stronger </w:t>
      </w:r>
      <w:r>
        <w:rPr>
          <w:rFonts w:ascii="Arial" w:hAnsi="Arial" w:cs="Arial"/>
        </w:rPr>
        <w:t>3</w:t>
      </w:r>
      <w:r w:rsidRPr="00EB4495">
        <w:rPr>
          <w:rFonts w:ascii="Arial" w:hAnsi="Arial" w:cs="Arial"/>
        </w:rPr>
        <w:t xml:space="preserve">-year comparative in Q4 19/20 relative to the first nine months of FY 19/20. </w:t>
      </w:r>
      <w:r>
        <w:rPr>
          <w:rFonts w:ascii="Arial" w:hAnsi="Arial" w:cs="Arial"/>
        </w:rPr>
        <w:t xml:space="preserve">France </w:t>
      </w:r>
      <w:r w:rsidRPr="00EB4495">
        <w:rPr>
          <w:rFonts w:ascii="Arial" w:hAnsi="Arial" w:cs="Arial"/>
        </w:rPr>
        <w:t xml:space="preserve">LFL sales in Q4 19/20 were over eight percentage points higher than </w:t>
      </w:r>
      <w:r>
        <w:rPr>
          <w:rFonts w:ascii="Arial" w:hAnsi="Arial" w:cs="Arial"/>
        </w:rPr>
        <w:t xml:space="preserve">the first nine months of FY </w:t>
      </w:r>
      <w:r w:rsidRPr="00EB4495">
        <w:rPr>
          <w:rFonts w:ascii="Arial" w:hAnsi="Arial" w:cs="Arial"/>
        </w:rPr>
        <w:t>19/20.</w:t>
      </w:r>
      <w:r>
        <w:rPr>
          <w:rFonts w:ascii="Arial" w:hAnsi="Arial" w:cs="Arial"/>
        </w:rPr>
        <w:t xml:space="preserve"> </w:t>
      </w:r>
      <w:r>
        <w:rPr>
          <w:rFonts w:ascii="Arial" w:hAnsi="Arial" w:cs="Arial"/>
          <w:bCs/>
        </w:rPr>
        <w:t xml:space="preserve">Castorama and Brico Dépôt continued to focus on strengthening their respective competitive positions in the market through improving their digital capabilities, product ranges and overall customer proposition, resulting in higher store and online NPS scores. </w:t>
      </w:r>
      <w:bookmarkStart w:id="54" w:name="_Hlk97197529"/>
      <w:bookmarkStart w:id="55" w:name="_Hlk97195382"/>
      <w:r w:rsidRPr="00A80C12">
        <w:rPr>
          <w:rFonts w:ascii="Arial" w:hAnsi="Arial" w:cs="Arial"/>
        </w:rPr>
        <w:t>G</w:t>
      </w:r>
      <w:r w:rsidRPr="00A80C12">
        <w:rPr>
          <w:rFonts w:ascii="Arial" w:hAnsi="Arial" w:cs="Arial"/>
          <w:bCs/>
        </w:rPr>
        <w:t xml:space="preserve">ross margin % decreased by </w:t>
      </w:r>
      <w:r w:rsidRPr="007B35A5">
        <w:rPr>
          <w:rFonts w:ascii="Arial" w:hAnsi="Arial" w:cs="Arial"/>
          <w:bCs/>
        </w:rPr>
        <w:t>30</w:t>
      </w:r>
      <w:r w:rsidRPr="00A80C12">
        <w:rPr>
          <w:rFonts w:ascii="Arial" w:hAnsi="Arial" w:cs="Arial"/>
          <w:bCs/>
        </w:rPr>
        <w:t xml:space="preserve"> basis points, </w:t>
      </w:r>
      <w:r w:rsidRPr="00D80CD7">
        <w:rPr>
          <w:rFonts w:ascii="Arial" w:hAnsi="Arial" w:cs="Arial"/>
          <w:bCs/>
        </w:rPr>
        <w:t xml:space="preserve">largely </w:t>
      </w:r>
      <w:r w:rsidRPr="00EC4039">
        <w:rPr>
          <w:rFonts w:ascii="Arial" w:hAnsi="Arial" w:cs="Arial"/>
        </w:rPr>
        <w:t xml:space="preserve">reflecting </w:t>
      </w:r>
      <w:r>
        <w:rPr>
          <w:rFonts w:ascii="Arial" w:hAnsi="Arial" w:cs="Arial"/>
        </w:rPr>
        <w:t>category mix impacts</w:t>
      </w:r>
      <w:r w:rsidRPr="00D80CD7">
        <w:rPr>
          <w:rFonts w:ascii="Arial" w:hAnsi="Arial" w:cs="Arial"/>
          <w:bCs/>
        </w:rPr>
        <w:t>.</w:t>
      </w:r>
      <w:bookmarkEnd w:id="54"/>
      <w:r w:rsidRPr="00D80CD7">
        <w:rPr>
          <w:rFonts w:ascii="Arial" w:hAnsi="Arial" w:cs="Arial"/>
          <w:bCs/>
        </w:rPr>
        <w:t xml:space="preserve"> </w:t>
      </w:r>
      <w:r>
        <w:rPr>
          <w:rFonts w:ascii="Arial" w:hAnsi="Arial" w:cs="Arial"/>
          <w:bCs/>
        </w:rPr>
        <w:t>In H2, we completed our w</w:t>
      </w:r>
      <w:r w:rsidRPr="00D80CD7">
        <w:rPr>
          <w:rFonts w:ascii="Arial" w:hAnsi="Arial" w:cs="Arial"/>
          <w:bCs/>
        </w:rPr>
        <w:t>ork to optimise distribution centre spac</w:t>
      </w:r>
      <w:r>
        <w:rPr>
          <w:rFonts w:ascii="Arial" w:hAnsi="Arial" w:cs="Arial"/>
          <w:bCs/>
        </w:rPr>
        <w:t>e in France, resulting in a cumulative reduction of c.27% in square metres versus two years ago.</w:t>
      </w:r>
    </w:p>
    <w:bookmarkEnd w:id="55"/>
    <w:p w14:paraId="1EC4BE0F" w14:textId="77777777" w:rsidR="005A5138" w:rsidRPr="00091A8B" w:rsidRDefault="005A5138" w:rsidP="005A5138">
      <w:pPr>
        <w:jc w:val="left"/>
        <w:rPr>
          <w:rFonts w:ascii="Arial" w:hAnsi="Arial" w:cs="Arial"/>
        </w:rPr>
      </w:pPr>
    </w:p>
    <w:p w14:paraId="044FF21A" w14:textId="37DBECDC" w:rsidR="005B53DC" w:rsidRDefault="005A5138" w:rsidP="00E30392">
      <w:pPr>
        <w:jc w:val="left"/>
        <w:rPr>
          <w:rFonts w:ascii="Arial" w:hAnsi="Arial" w:cs="Arial"/>
        </w:rPr>
      </w:pPr>
      <w:bookmarkStart w:id="56" w:name="_Hlk65313871"/>
      <w:r w:rsidRPr="00E341CB">
        <w:rPr>
          <w:rFonts w:ascii="Arial" w:hAnsi="Arial" w:cs="Arial"/>
        </w:rPr>
        <w:t xml:space="preserve">Retail profit </w:t>
      </w:r>
      <w:r>
        <w:rPr>
          <w:rFonts w:ascii="Arial" w:hAnsi="Arial" w:cs="Arial"/>
        </w:rPr>
        <w:t>de</w:t>
      </w:r>
      <w:r w:rsidRPr="00E341CB">
        <w:rPr>
          <w:rFonts w:ascii="Arial" w:hAnsi="Arial" w:cs="Arial"/>
        </w:rPr>
        <w:t xml:space="preserve">creased by </w:t>
      </w:r>
      <w:r>
        <w:rPr>
          <w:rFonts w:ascii="Arial" w:hAnsi="Arial" w:cs="Arial"/>
        </w:rPr>
        <w:t>12.0</w:t>
      </w:r>
      <w:r w:rsidRPr="00E341CB">
        <w:rPr>
          <w:rFonts w:ascii="Arial" w:hAnsi="Arial" w:cs="Arial"/>
        </w:rPr>
        <w:t xml:space="preserve">% to </w:t>
      </w:r>
      <w:r w:rsidRPr="00A63B43">
        <w:rPr>
          <w:rFonts w:ascii="Arial" w:hAnsi="Arial" w:cs="Arial"/>
        </w:rPr>
        <w:t>£</w:t>
      </w:r>
      <w:r w:rsidRPr="007B35A5">
        <w:rPr>
          <w:rFonts w:ascii="Arial" w:hAnsi="Arial" w:cs="Arial"/>
        </w:rPr>
        <w:t>195</w:t>
      </w:r>
      <w:r w:rsidRPr="00A63B43">
        <w:rPr>
          <w:rFonts w:ascii="Arial" w:hAnsi="Arial" w:cs="Arial"/>
        </w:rPr>
        <w:t>m</w:t>
      </w:r>
      <w:r w:rsidRPr="00E341CB">
        <w:rPr>
          <w:rFonts w:ascii="Arial" w:hAnsi="Arial" w:cs="Arial"/>
        </w:rPr>
        <w:t xml:space="preserve"> (</w:t>
      </w:r>
      <w:r>
        <w:rPr>
          <w:rFonts w:ascii="Arial" w:hAnsi="Arial" w:cs="Arial"/>
        </w:rPr>
        <w:t>FY 21/22: £221m; FY</w:t>
      </w:r>
      <w:r w:rsidRPr="00E341CB">
        <w:rPr>
          <w:rFonts w:ascii="Arial" w:hAnsi="Arial" w:cs="Arial"/>
        </w:rPr>
        <w:t xml:space="preserve"> 19/20: £</w:t>
      </w:r>
      <w:r>
        <w:rPr>
          <w:rFonts w:ascii="Arial" w:hAnsi="Arial" w:cs="Arial"/>
        </w:rPr>
        <w:t>164</w:t>
      </w:r>
      <w:r w:rsidRPr="00E341CB">
        <w:rPr>
          <w:rFonts w:ascii="Arial" w:hAnsi="Arial" w:cs="Arial"/>
        </w:rPr>
        <w:t>m</w:t>
      </w:r>
      <w:r w:rsidR="008E537E">
        <w:rPr>
          <w:rFonts w:ascii="Arial" w:hAnsi="Arial" w:cs="Arial"/>
        </w:rPr>
        <w:t>; at reported rates</w:t>
      </w:r>
      <w:r w:rsidRPr="00E341CB">
        <w:rPr>
          <w:rFonts w:ascii="Arial" w:hAnsi="Arial" w:cs="Arial"/>
        </w:rPr>
        <w:t xml:space="preserve">), with lower gross profit </w:t>
      </w:r>
      <w:r>
        <w:rPr>
          <w:rFonts w:ascii="Arial" w:hAnsi="Arial" w:cs="Arial"/>
        </w:rPr>
        <w:t>partially</w:t>
      </w:r>
      <w:r w:rsidRPr="00E341CB">
        <w:rPr>
          <w:rFonts w:ascii="Arial" w:hAnsi="Arial" w:cs="Arial"/>
        </w:rPr>
        <w:t xml:space="preserve"> offset by lower operating costs. Operating costs </w:t>
      </w:r>
      <w:r w:rsidRPr="00D126AD">
        <w:rPr>
          <w:rFonts w:ascii="Arial" w:hAnsi="Arial" w:cs="Arial"/>
        </w:rPr>
        <w:t xml:space="preserve">decreased by 0.6% </w:t>
      </w:r>
      <w:r w:rsidRPr="00EC4039">
        <w:rPr>
          <w:rFonts w:ascii="Arial" w:hAnsi="Arial" w:cs="Arial"/>
        </w:rPr>
        <w:t xml:space="preserve">due to lower staff costs and cost reductions achieved </w:t>
      </w:r>
      <w:r w:rsidR="00E94FED">
        <w:rPr>
          <w:rFonts w:ascii="Arial" w:hAnsi="Arial" w:cs="Arial"/>
        </w:rPr>
        <w:t>by</w:t>
      </w:r>
      <w:r w:rsidRPr="00EC4039">
        <w:rPr>
          <w:rFonts w:ascii="Arial" w:hAnsi="Arial" w:cs="Arial"/>
        </w:rPr>
        <w:t xml:space="preserve"> our strategic cost reduction programme, substantially offset by operating cost inflation</w:t>
      </w:r>
      <w:r w:rsidRPr="00EC4039">
        <w:rPr>
          <w:rFonts w:ascii="Arial" w:hAnsi="Arial" w:cs="Arial"/>
          <w:bCs/>
        </w:rPr>
        <w:t xml:space="preserve"> including </w:t>
      </w:r>
      <w:r w:rsidR="004757A1" w:rsidRPr="004757A1">
        <w:rPr>
          <w:rFonts w:ascii="Arial" w:hAnsi="Arial" w:cs="Arial"/>
          <w:bCs/>
        </w:rPr>
        <w:t xml:space="preserve">increases in pay rates and </w:t>
      </w:r>
      <w:r w:rsidRPr="00EC4039">
        <w:rPr>
          <w:rFonts w:ascii="Arial" w:hAnsi="Arial" w:cs="Arial"/>
          <w:bCs/>
        </w:rPr>
        <w:t xml:space="preserve">significantly higher energy </w:t>
      </w:r>
      <w:r w:rsidRPr="00D126AD">
        <w:rPr>
          <w:rFonts w:ascii="Arial" w:hAnsi="Arial" w:cs="Arial"/>
          <w:bCs/>
        </w:rPr>
        <w:t>costs</w:t>
      </w:r>
      <w:r w:rsidRPr="00D126AD">
        <w:rPr>
          <w:rFonts w:ascii="Arial" w:hAnsi="Arial" w:cs="Arial"/>
        </w:rPr>
        <w:t>. Retail profit</w:t>
      </w:r>
      <w:r w:rsidRPr="00CB2E31">
        <w:rPr>
          <w:rFonts w:ascii="Arial" w:hAnsi="Arial" w:cs="Arial"/>
        </w:rPr>
        <w:t xml:space="preserve"> margin % decreased by 50 basis points to </w:t>
      </w:r>
      <w:r w:rsidRPr="007B35A5">
        <w:rPr>
          <w:rFonts w:ascii="Arial" w:hAnsi="Arial" w:cs="Arial"/>
        </w:rPr>
        <w:t>4.4</w:t>
      </w:r>
      <w:r w:rsidRPr="00CB2E31">
        <w:rPr>
          <w:rFonts w:ascii="Arial" w:hAnsi="Arial" w:cs="Arial"/>
        </w:rPr>
        <w:t>% (FY 21/22: 4.9%</w:t>
      </w:r>
      <w:r>
        <w:rPr>
          <w:rFonts w:ascii="Arial" w:hAnsi="Arial" w:cs="Arial"/>
        </w:rPr>
        <w:t>; FY</w:t>
      </w:r>
      <w:r w:rsidRPr="00E341CB">
        <w:rPr>
          <w:rFonts w:ascii="Arial" w:hAnsi="Arial" w:cs="Arial"/>
        </w:rPr>
        <w:t xml:space="preserve"> 19/20: </w:t>
      </w:r>
      <w:r>
        <w:rPr>
          <w:rFonts w:ascii="Arial" w:hAnsi="Arial" w:cs="Arial"/>
        </w:rPr>
        <w:t>4.0</w:t>
      </w:r>
      <w:r w:rsidRPr="00E341CB">
        <w:rPr>
          <w:rFonts w:ascii="Arial" w:hAnsi="Arial" w:cs="Arial"/>
        </w:rPr>
        <w:t>%).</w:t>
      </w:r>
      <w:r w:rsidR="005B53DC">
        <w:rPr>
          <w:rFonts w:ascii="Arial" w:hAnsi="Arial" w:cs="Arial"/>
        </w:rPr>
        <w:br w:type="page"/>
      </w:r>
    </w:p>
    <w:bookmarkEnd w:id="56"/>
    <w:p w14:paraId="07722315" w14:textId="2D42C941" w:rsidR="005A5138" w:rsidRPr="00902286" w:rsidRDefault="005A5138" w:rsidP="005A5138">
      <w:pPr>
        <w:jc w:val="left"/>
        <w:rPr>
          <w:rFonts w:ascii="Arial" w:hAnsi="Arial" w:cs="Arial"/>
          <w:bCs/>
        </w:rPr>
      </w:pPr>
      <w:r w:rsidRPr="004A382D">
        <w:rPr>
          <w:rFonts w:ascii="Arial" w:hAnsi="Arial" w:cs="Arial"/>
          <w:b/>
          <w:bCs/>
        </w:rPr>
        <w:lastRenderedPageBreak/>
        <w:t>Castorama</w:t>
      </w:r>
      <w:r w:rsidRPr="004A382D">
        <w:rPr>
          <w:rFonts w:ascii="Arial" w:hAnsi="Arial" w:cs="Arial"/>
        </w:rPr>
        <w:t xml:space="preserve"> total sales increased by </w:t>
      </w:r>
      <w:r w:rsidRPr="007B35A5">
        <w:rPr>
          <w:rFonts w:ascii="Arial" w:hAnsi="Arial" w:cs="Arial"/>
          <w:bCs/>
        </w:rPr>
        <w:t>0.1</w:t>
      </w:r>
      <w:r w:rsidRPr="004A382D">
        <w:rPr>
          <w:rFonts w:ascii="Arial" w:hAnsi="Arial" w:cs="Arial"/>
        </w:rPr>
        <w:t>% (LFL flat) to £</w:t>
      </w:r>
      <w:r w:rsidRPr="007B35A5">
        <w:rPr>
          <w:rFonts w:ascii="Arial" w:hAnsi="Arial" w:cs="Arial"/>
          <w:bCs/>
        </w:rPr>
        <w:t>2,302</w:t>
      </w:r>
      <w:r w:rsidRPr="004A382D">
        <w:rPr>
          <w:rFonts w:ascii="Arial" w:hAnsi="Arial" w:cs="Arial"/>
          <w:bCs/>
          <w:szCs w:val="24"/>
        </w:rPr>
        <w:t>m</w:t>
      </w:r>
      <w:r w:rsidRPr="0098740D">
        <w:rPr>
          <w:rFonts w:ascii="Arial" w:hAnsi="Arial" w:cs="Arial"/>
          <w:bCs/>
        </w:rPr>
        <w:t xml:space="preserve">, </w:t>
      </w:r>
      <w:r>
        <w:rPr>
          <w:rFonts w:ascii="Arial" w:hAnsi="Arial" w:cs="Arial"/>
          <w:bCs/>
        </w:rPr>
        <w:t xml:space="preserve">reflecting resilient sales despite strong prior year comparatives in H1. Sales trends improved in H2 (LFL +0.7%) with positive LFL growth in the EPHC and building &amp; joinery categories supported by energy efficiency and trade/renovation activity. </w:t>
      </w:r>
      <w:r w:rsidRPr="0098740D">
        <w:rPr>
          <w:rFonts w:ascii="Arial" w:hAnsi="Arial" w:cs="Arial"/>
          <w:bCs/>
        </w:rPr>
        <w:t xml:space="preserve">3-year LFL sales </w:t>
      </w:r>
      <w:r>
        <w:rPr>
          <w:rFonts w:ascii="Arial" w:hAnsi="Arial" w:cs="Arial"/>
          <w:bCs/>
        </w:rPr>
        <w:t xml:space="preserve">for the year were </w:t>
      </w:r>
      <w:r w:rsidRPr="004A382D">
        <w:rPr>
          <w:rFonts w:ascii="Arial" w:hAnsi="Arial" w:cs="Arial"/>
          <w:bCs/>
        </w:rPr>
        <w:t xml:space="preserve">up </w:t>
      </w:r>
      <w:r w:rsidRPr="007B35A5">
        <w:rPr>
          <w:rFonts w:ascii="Arial" w:hAnsi="Arial" w:cs="Arial"/>
          <w:bCs/>
        </w:rPr>
        <w:t>13.9</w:t>
      </w:r>
      <w:r w:rsidRPr="00873E05">
        <w:rPr>
          <w:rFonts w:ascii="Arial" w:hAnsi="Arial" w:cs="Arial"/>
          <w:bCs/>
        </w:rPr>
        <w:t>%</w:t>
      </w:r>
      <w:r w:rsidRPr="00873E05">
        <w:rPr>
          <w:rFonts w:ascii="Arial" w:hAnsi="Arial" w:cs="Arial"/>
        </w:rPr>
        <w:t xml:space="preserve">. </w:t>
      </w:r>
      <w:r w:rsidRPr="00873E05">
        <w:rPr>
          <w:rFonts w:ascii="Arial" w:hAnsi="Arial" w:cs="Arial"/>
          <w:bCs/>
        </w:rPr>
        <w:t>The business achieved growth across</w:t>
      </w:r>
      <w:r w:rsidRPr="007B35A5">
        <w:rPr>
          <w:rFonts w:ascii="Arial" w:hAnsi="Arial" w:cs="Arial"/>
          <w:bCs/>
        </w:rPr>
        <w:t xml:space="preserve"> all categories on a 3-year basis, with particularly strong performance</w:t>
      </w:r>
      <w:r>
        <w:rPr>
          <w:rFonts w:ascii="Arial" w:hAnsi="Arial" w:cs="Arial"/>
          <w:bCs/>
        </w:rPr>
        <w:t>s</w:t>
      </w:r>
      <w:r w:rsidRPr="007B35A5">
        <w:rPr>
          <w:rFonts w:ascii="Arial" w:hAnsi="Arial" w:cs="Arial"/>
          <w:bCs/>
        </w:rPr>
        <w:t xml:space="preserve"> in the </w:t>
      </w:r>
      <w:r w:rsidRPr="00873E05">
        <w:rPr>
          <w:rFonts w:ascii="Arial" w:hAnsi="Arial" w:cs="Arial"/>
        </w:rPr>
        <w:t>outdoor</w:t>
      </w:r>
      <w:r w:rsidRPr="007B35A5">
        <w:rPr>
          <w:rFonts w:ascii="Arial" w:hAnsi="Arial" w:cs="Arial"/>
        </w:rPr>
        <w:t xml:space="preserve"> and</w:t>
      </w:r>
      <w:r w:rsidRPr="00873E05">
        <w:rPr>
          <w:rFonts w:ascii="Arial" w:hAnsi="Arial" w:cs="Arial"/>
        </w:rPr>
        <w:t xml:space="preserve"> building &amp; joinery </w:t>
      </w:r>
      <w:r w:rsidRPr="007B35A5">
        <w:rPr>
          <w:rFonts w:ascii="Arial" w:hAnsi="Arial" w:cs="Arial"/>
        </w:rPr>
        <w:t xml:space="preserve">categories, </w:t>
      </w:r>
      <w:r>
        <w:rPr>
          <w:rFonts w:ascii="Arial" w:hAnsi="Arial" w:cs="Arial"/>
        </w:rPr>
        <w:t>both</w:t>
      </w:r>
      <w:r w:rsidRPr="007B35A5">
        <w:rPr>
          <w:rFonts w:ascii="Arial" w:hAnsi="Arial" w:cs="Arial"/>
        </w:rPr>
        <w:t xml:space="preserve"> </w:t>
      </w:r>
      <w:r>
        <w:rPr>
          <w:rFonts w:ascii="Arial" w:hAnsi="Arial" w:cs="Arial"/>
        </w:rPr>
        <w:t xml:space="preserve">up </w:t>
      </w:r>
      <w:r w:rsidRPr="00873E05">
        <w:rPr>
          <w:rFonts w:ascii="Arial" w:hAnsi="Arial" w:cs="Arial"/>
        </w:rPr>
        <w:t xml:space="preserve">by </w:t>
      </w:r>
      <w:r w:rsidRPr="007B35A5">
        <w:rPr>
          <w:rFonts w:ascii="Arial" w:hAnsi="Arial" w:cs="Arial"/>
        </w:rPr>
        <w:t>c.30</w:t>
      </w:r>
      <w:r w:rsidRPr="00873E05">
        <w:rPr>
          <w:rFonts w:ascii="Arial" w:hAnsi="Arial" w:cs="Arial"/>
        </w:rPr>
        <w:t xml:space="preserve">%. LFL sales of weather-related categories </w:t>
      </w:r>
      <w:r>
        <w:rPr>
          <w:rFonts w:ascii="Arial" w:hAnsi="Arial" w:cs="Arial"/>
        </w:rPr>
        <w:t xml:space="preserve">were broadly flat </w:t>
      </w:r>
      <w:r w:rsidRPr="00873E05">
        <w:rPr>
          <w:rFonts w:ascii="Arial" w:hAnsi="Arial" w:cs="Arial"/>
          <w:bCs/>
        </w:rPr>
        <w:t>(</w:t>
      </w:r>
      <w:r w:rsidRPr="0063172A">
        <w:rPr>
          <w:rFonts w:ascii="Arial" w:hAnsi="Arial" w:cs="Arial"/>
          <w:bCs/>
        </w:rPr>
        <w:t xml:space="preserve">increase of </w:t>
      </w:r>
      <w:r w:rsidRPr="007B35A5">
        <w:rPr>
          <w:rFonts w:ascii="Arial" w:hAnsi="Arial" w:cs="Arial"/>
          <w:bCs/>
        </w:rPr>
        <w:t>24</w:t>
      </w:r>
      <w:r w:rsidRPr="0063172A">
        <w:rPr>
          <w:rFonts w:ascii="Arial" w:hAnsi="Arial" w:cs="Arial"/>
          <w:bCs/>
        </w:rPr>
        <w:t>% on a 3-year LFL basis)</w:t>
      </w:r>
      <w:r>
        <w:rPr>
          <w:rFonts w:ascii="Arial" w:hAnsi="Arial" w:cs="Arial"/>
          <w:bCs/>
        </w:rPr>
        <w:t xml:space="preserve">, while </w:t>
      </w:r>
      <w:r w:rsidRPr="0063172A">
        <w:rPr>
          <w:rFonts w:ascii="Arial" w:hAnsi="Arial" w:cs="Arial"/>
        </w:rPr>
        <w:t xml:space="preserve">LFL sales of non-weather-related categories, including showroom, </w:t>
      </w:r>
      <w:r w:rsidRPr="0063172A">
        <w:rPr>
          <w:rFonts w:ascii="Arial" w:hAnsi="Arial" w:cs="Arial"/>
          <w:bCs/>
        </w:rPr>
        <w:t xml:space="preserve">were </w:t>
      </w:r>
      <w:r>
        <w:rPr>
          <w:rFonts w:ascii="Arial" w:hAnsi="Arial" w:cs="Arial"/>
          <w:bCs/>
        </w:rPr>
        <w:t xml:space="preserve">also </w:t>
      </w:r>
      <w:r w:rsidRPr="007B35A5">
        <w:rPr>
          <w:rFonts w:ascii="Arial" w:hAnsi="Arial" w:cs="Arial"/>
          <w:bCs/>
        </w:rPr>
        <w:t>flat</w:t>
      </w:r>
      <w:r w:rsidRPr="0063172A">
        <w:rPr>
          <w:rFonts w:ascii="Arial" w:hAnsi="Arial" w:cs="Arial"/>
          <w:bCs/>
        </w:rPr>
        <w:t xml:space="preserve"> (increase of </w:t>
      </w:r>
      <w:r w:rsidRPr="007B35A5">
        <w:rPr>
          <w:rFonts w:ascii="Arial" w:hAnsi="Arial" w:cs="Arial"/>
          <w:bCs/>
        </w:rPr>
        <w:t>11</w:t>
      </w:r>
      <w:r w:rsidRPr="0063172A">
        <w:rPr>
          <w:rFonts w:ascii="Arial" w:hAnsi="Arial" w:cs="Arial"/>
          <w:bCs/>
        </w:rPr>
        <w:t>% on a 3-year LFL basis)</w:t>
      </w:r>
      <w:r w:rsidRPr="0063172A">
        <w:rPr>
          <w:rFonts w:ascii="Arial" w:hAnsi="Arial" w:cs="Arial"/>
        </w:rPr>
        <w:t xml:space="preserve">. Castorama’s e-commerce sales decreased by </w:t>
      </w:r>
      <w:r w:rsidRPr="007B35A5">
        <w:rPr>
          <w:rFonts w:ascii="Arial" w:hAnsi="Arial" w:cs="Arial"/>
        </w:rPr>
        <w:t>19</w:t>
      </w:r>
      <w:r w:rsidRPr="0063172A">
        <w:rPr>
          <w:rFonts w:ascii="Arial" w:hAnsi="Arial" w:cs="Arial"/>
        </w:rPr>
        <w:t xml:space="preserve">% YoY, largely </w:t>
      </w:r>
      <w:r w:rsidRPr="0063172A">
        <w:rPr>
          <w:rFonts w:ascii="Arial" w:hAnsi="Arial" w:cs="Arial"/>
          <w:bCs/>
        </w:rPr>
        <w:t>reflecting strong</w:t>
      </w:r>
      <w:r w:rsidRPr="00F02590">
        <w:rPr>
          <w:rFonts w:ascii="Arial" w:hAnsi="Arial" w:cs="Arial"/>
          <w:bCs/>
        </w:rPr>
        <w:t xml:space="preserve"> online trading in the </w:t>
      </w:r>
      <w:r>
        <w:rPr>
          <w:rFonts w:ascii="Arial" w:hAnsi="Arial" w:cs="Arial"/>
          <w:bCs/>
        </w:rPr>
        <w:t xml:space="preserve">first half of the </w:t>
      </w:r>
      <w:r w:rsidRPr="00F02590">
        <w:rPr>
          <w:rFonts w:ascii="Arial" w:hAnsi="Arial" w:cs="Arial"/>
          <w:bCs/>
        </w:rPr>
        <w:t>prior year</w:t>
      </w:r>
      <w:r w:rsidRPr="007F1A3C">
        <w:rPr>
          <w:rFonts w:ascii="Arial" w:hAnsi="Arial" w:cs="Arial"/>
          <w:bCs/>
        </w:rPr>
        <w:t>.</w:t>
      </w:r>
      <w:r w:rsidRPr="00F02590">
        <w:rPr>
          <w:rFonts w:ascii="Arial" w:hAnsi="Arial" w:cs="Arial"/>
          <w:bCs/>
        </w:rPr>
        <w:t xml:space="preserve"> </w:t>
      </w:r>
      <w:r>
        <w:rPr>
          <w:rFonts w:ascii="Arial" w:hAnsi="Arial" w:cs="Arial"/>
          <w:bCs/>
        </w:rPr>
        <w:t xml:space="preserve">In H2, e-commerce sales increased by 27% YoY. </w:t>
      </w:r>
      <w:r w:rsidRPr="00F02590">
        <w:rPr>
          <w:rFonts w:ascii="Arial" w:hAnsi="Arial" w:cs="Arial"/>
          <w:bCs/>
        </w:rPr>
        <w:t xml:space="preserve">Castorama’s e-commerce sales were up </w:t>
      </w:r>
      <w:r w:rsidRPr="007B35A5">
        <w:rPr>
          <w:rFonts w:ascii="Arial" w:hAnsi="Arial" w:cs="Arial"/>
          <w:bCs/>
        </w:rPr>
        <w:t>240</w:t>
      </w:r>
      <w:r w:rsidRPr="00F02590">
        <w:rPr>
          <w:rFonts w:ascii="Arial" w:hAnsi="Arial" w:cs="Arial"/>
          <w:bCs/>
        </w:rPr>
        <w:t xml:space="preserve">% on a 3-year basis, with e-commerce sales penetration of </w:t>
      </w:r>
      <w:r w:rsidRPr="007B35A5">
        <w:rPr>
          <w:rFonts w:ascii="Arial" w:hAnsi="Arial" w:cs="Arial"/>
          <w:bCs/>
        </w:rPr>
        <w:t>5</w:t>
      </w:r>
      <w:r w:rsidRPr="00F02590">
        <w:rPr>
          <w:rFonts w:ascii="Arial" w:hAnsi="Arial" w:cs="Arial"/>
          <w:bCs/>
        </w:rPr>
        <w:t>% (FY 21/22</w:t>
      </w:r>
      <w:r>
        <w:rPr>
          <w:rFonts w:ascii="Arial" w:hAnsi="Arial" w:cs="Arial"/>
          <w:bCs/>
        </w:rPr>
        <w:t xml:space="preserve">: 6%; FY 19/20: 2%). </w:t>
      </w:r>
      <w:r w:rsidRPr="00F02590">
        <w:rPr>
          <w:rFonts w:ascii="Arial" w:hAnsi="Arial" w:cs="Arial"/>
          <w:bCs/>
        </w:rPr>
        <w:t xml:space="preserve">Castorama opened </w:t>
      </w:r>
      <w:r w:rsidRPr="007B35A5">
        <w:rPr>
          <w:rFonts w:ascii="Arial" w:hAnsi="Arial" w:cs="Arial"/>
          <w:bCs/>
        </w:rPr>
        <w:t>two</w:t>
      </w:r>
      <w:r w:rsidRPr="00F02590">
        <w:rPr>
          <w:rFonts w:ascii="Arial" w:hAnsi="Arial" w:cs="Arial"/>
          <w:bCs/>
        </w:rPr>
        <w:t xml:space="preserve"> new stores in FY 22/23</w:t>
      </w:r>
      <w:r>
        <w:rPr>
          <w:rFonts w:ascii="Arial" w:hAnsi="Arial" w:cs="Arial"/>
          <w:bCs/>
        </w:rPr>
        <w:t>;</w:t>
      </w:r>
      <w:r w:rsidRPr="00F02590">
        <w:rPr>
          <w:rFonts w:ascii="Arial" w:hAnsi="Arial" w:cs="Arial"/>
          <w:bCs/>
        </w:rPr>
        <w:t xml:space="preserve"> its first </w:t>
      </w:r>
      <w:r w:rsidRPr="00F02590">
        <w:rPr>
          <w:rFonts w:ascii="Arial" w:hAnsi="Arial" w:cs="Arial"/>
        </w:rPr>
        <w:t xml:space="preserve">high street compact store tests in Paris. </w:t>
      </w:r>
      <w:r>
        <w:rPr>
          <w:rFonts w:ascii="Arial" w:hAnsi="Arial" w:cs="Arial"/>
        </w:rPr>
        <w:t xml:space="preserve">As of 31 January 2023, </w:t>
      </w:r>
      <w:r w:rsidRPr="00F02590">
        <w:rPr>
          <w:rFonts w:ascii="Arial" w:hAnsi="Arial" w:cs="Arial"/>
        </w:rPr>
        <w:t xml:space="preserve">Castorama </w:t>
      </w:r>
      <w:r>
        <w:rPr>
          <w:rFonts w:ascii="Arial" w:hAnsi="Arial" w:cs="Arial"/>
        </w:rPr>
        <w:t xml:space="preserve">had a total of </w:t>
      </w:r>
      <w:r w:rsidRPr="007B35A5">
        <w:rPr>
          <w:rFonts w:ascii="Arial" w:hAnsi="Arial" w:cs="Arial"/>
        </w:rPr>
        <w:t>95</w:t>
      </w:r>
      <w:r w:rsidRPr="00F02590">
        <w:rPr>
          <w:rFonts w:ascii="Arial" w:hAnsi="Arial" w:cs="Arial"/>
        </w:rPr>
        <w:t xml:space="preserve"> stores in France</w:t>
      </w:r>
      <w:r w:rsidRPr="00F02590">
        <w:rPr>
          <w:rFonts w:ascii="Arial" w:hAnsi="Arial" w:cs="Arial"/>
          <w:bCs/>
        </w:rPr>
        <w:t>.</w:t>
      </w:r>
      <w:r>
        <w:rPr>
          <w:rFonts w:ascii="Arial" w:hAnsi="Arial" w:cs="Arial"/>
          <w:bCs/>
        </w:rPr>
        <w:t xml:space="preserve"> </w:t>
      </w:r>
    </w:p>
    <w:p w14:paraId="40B89593" w14:textId="77777777" w:rsidR="005A5138" w:rsidRPr="00902286" w:rsidRDefault="005A5138" w:rsidP="005A5138">
      <w:pPr>
        <w:jc w:val="left"/>
        <w:rPr>
          <w:rFonts w:ascii="Arial" w:hAnsi="Arial" w:cs="Arial"/>
          <w:bCs/>
        </w:rPr>
      </w:pPr>
    </w:p>
    <w:p w14:paraId="044F040B" w14:textId="3DAD3493" w:rsidR="005A5138" w:rsidRDefault="005A5138" w:rsidP="005A5138">
      <w:pPr>
        <w:jc w:val="left"/>
        <w:rPr>
          <w:rFonts w:ascii="Arial" w:hAnsi="Arial" w:cs="Arial"/>
          <w:bCs/>
        </w:rPr>
      </w:pPr>
      <w:r w:rsidRPr="00BB30B3">
        <w:rPr>
          <w:rFonts w:ascii="Arial" w:hAnsi="Arial" w:cs="Arial"/>
          <w:b/>
          <w:bCs/>
        </w:rPr>
        <w:t>Bric</w:t>
      </w:r>
      <w:r w:rsidRPr="00060A76">
        <w:rPr>
          <w:rFonts w:ascii="Arial" w:hAnsi="Arial" w:cs="Arial"/>
          <w:b/>
          <w:bCs/>
        </w:rPr>
        <w:t>o Dépôt</w:t>
      </w:r>
      <w:r w:rsidRPr="00060A76">
        <w:rPr>
          <w:rFonts w:ascii="Arial" w:hAnsi="Arial" w:cs="Arial"/>
          <w:bCs/>
        </w:rPr>
        <w:t xml:space="preserve"> total sales </w:t>
      </w:r>
      <w:r w:rsidRPr="00B54611">
        <w:rPr>
          <w:rFonts w:ascii="Arial" w:hAnsi="Arial" w:cs="Arial"/>
          <w:bCs/>
        </w:rPr>
        <w:t xml:space="preserve">decreased by </w:t>
      </w:r>
      <w:r w:rsidRPr="007B35A5">
        <w:rPr>
          <w:rFonts w:ascii="Arial" w:hAnsi="Arial" w:cs="Arial"/>
          <w:bCs/>
        </w:rPr>
        <w:t>2.5</w:t>
      </w:r>
      <w:r w:rsidRPr="00B54611">
        <w:rPr>
          <w:rFonts w:ascii="Arial" w:hAnsi="Arial" w:cs="Arial"/>
          <w:bCs/>
        </w:rPr>
        <w:t xml:space="preserve">% (LFL </w:t>
      </w:r>
      <w:r w:rsidRPr="007B35A5">
        <w:rPr>
          <w:rFonts w:ascii="Arial" w:hAnsi="Arial" w:cs="Arial"/>
          <w:bCs/>
        </w:rPr>
        <w:t>-2.9</w:t>
      </w:r>
      <w:r w:rsidRPr="00B54611">
        <w:rPr>
          <w:rFonts w:ascii="Arial" w:hAnsi="Arial" w:cs="Arial"/>
          <w:szCs w:val="24"/>
        </w:rPr>
        <w:t>%</w:t>
      </w:r>
      <w:r w:rsidRPr="00B54611">
        <w:rPr>
          <w:rFonts w:ascii="Arial" w:hAnsi="Arial" w:cs="Arial"/>
          <w:bCs/>
        </w:rPr>
        <w:t>) to £</w:t>
      </w:r>
      <w:r w:rsidRPr="007B35A5">
        <w:rPr>
          <w:rFonts w:ascii="Arial" w:hAnsi="Arial" w:cs="Arial"/>
          <w:bCs/>
        </w:rPr>
        <w:t>2,150</w:t>
      </w:r>
      <w:r w:rsidRPr="00B54611">
        <w:rPr>
          <w:rFonts w:ascii="Arial" w:hAnsi="Arial" w:cs="Arial"/>
          <w:bCs/>
        </w:rPr>
        <w:t xml:space="preserve">m, </w:t>
      </w:r>
      <w:r>
        <w:rPr>
          <w:rFonts w:ascii="Arial" w:hAnsi="Arial" w:cs="Arial"/>
          <w:bCs/>
        </w:rPr>
        <w:t>again reflecting resilient sales levels against strong prior year comparatives in H1</w:t>
      </w:r>
      <w:r>
        <w:rPr>
          <w:rFonts w:ascii="Arial" w:hAnsi="Arial" w:cs="Arial"/>
        </w:rPr>
        <w:t xml:space="preserve">. </w:t>
      </w:r>
      <w:r>
        <w:rPr>
          <w:rFonts w:ascii="Arial" w:hAnsi="Arial" w:cs="Arial"/>
          <w:bCs/>
        </w:rPr>
        <w:t xml:space="preserve">Sales trends improved in H2 (LFL +0.2%) with </w:t>
      </w:r>
      <w:r>
        <w:rPr>
          <w:rFonts w:ascii="Arial" w:hAnsi="Arial" w:cs="Arial"/>
        </w:rPr>
        <w:t>p</w:t>
      </w:r>
      <w:r w:rsidRPr="00A57462">
        <w:rPr>
          <w:rFonts w:ascii="Arial" w:hAnsi="Arial" w:cs="Arial"/>
          <w:bCs/>
        </w:rPr>
        <w:t xml:space="preserve">ositive </w:t>
      </w:r>
      <w:r>
        <w:rPr>
          <w:rFonts w:ascii="Arial" w:hAnsi="Arial" w:cs="Arial"/>
          <w:bCs/>
        </w:rPr>
        <w:t>LFL</w:t>
      </w:r>
      <w:r w:rsidRPr="00A57462">
        <w:rPr>
          <w:rFonts w:ascii="Arial" w:hAnsi="Arial" w:cs="Arial"/>
          <w:bCs/>
        </w:rPr>
        <w:t xml:space="preserve"> </w:t>
      </w:r>
      <w:r>
        <w:rPr>
          <w:rFonts w:ascii="Arial" w:hAnsi="Arial" w:cs="Arial"/>
          <w:bCs/>
        </w:rPr>
        <w:t xml:space="preserve">growth </w:t>
      </w:r>
      <w:r w:rsidRPr="00A57462">
        <w:rPr>
          <w:rFonts w:ascii="Arial" w:hAnsi="Arial" w:cs="Arial"/>
          <w:bCs/>
        </w:rPr>
        <w:t>in the EPHC</w:t>
      </w:r>
      <w:r>
        <w:rPr>
          <w:rFonts w:ascii="Arial" w:hAnsi="Arial" w:cs="Arial"/>
          <w:bCs/>
        </w:rPr>
        <w:t>,</w:t>
      </w:r>
      <w:r w:rsidRPr="00A57462">
        <w:rPr>
          <w:rFonts w:ascii="Arial" w:hAnsi="Arial" w:cs="Arial"/>
          <w:bCs/>
        </w:rPr>
        <w:t xml:space="preserve"> building &amp; joinery</w:t>
      </w:r>
      <w:r>
        <w:rPr>
          <w:rFonts w:ascii="Arial" w:hAnsi="Arial" w:cs="Arial"/>
          <w:bCs/>
        </w:rPr>
        <w:t xml:space="preserve"> and </w:t>
      </w:r>
      <w:r w:rsidRPr="00A57462">
        <w:rPr>
          <w:rFonts w:ascii="Arial" w:hAnsi="Arial" w:cs="Arial"/>
          <w:bCs/>
        </w:rPr>
        <w:t>kitchen.</w:t>
      </w:r>
      <w:r>
        <w:rPr>
          <w:rFonts w:ascii="Arial" w:hAnsi="Arial" w:cs="Arial"/>
          <w:bCs/>
        </w:rPr>
        <w:t xml:space="preserve"> </w:t>
      </w:r>
      <w:r w:rsidRPr="0098740D">
        <w:rPr>
          <w:rFonts w:ascii="Arial" w:hAnsi="Arial" w:cs="Arial"/>
          <w:bCs/>
        </w:rPr>
        <w:t xml:space="preserve">3-year LFL sales </w:t>
      </w:r>
      <w:r>
        <w:rPr>
          <w:rFonts w:ascii="Arial" w:hAnsi="Arial" w:cs="Arial"/>
          <w:bCs/>
        </w:rPr>
        <w:t xml:space="preserve">for the year were </w:t>
      </w:r>
      <w:r w:rsidRPr="00EC0A1B">
        <w:rPr>
          <w:rFonts w:ascii="Arial" w:hAnsi="Arial" w:cs="Arial"/>
          <w:bCs/>
        </w:rPr>
        <w:t xml:space="preserve">up </w:t>
      </w:r>
      <w:r w:rsidRPr="007B35A5">
        <w:rPr>
          <w:rFonts w:ascii="Arial" w:hAnsi="Arial" w:cs="Arial"/>
          <w:bCs/>
        </w:rPr>
        <w:t>12.5</w:t>
      </w:r>
      <w:r w:rsidRPr="00EC0A1B">
        <w:rPr>
          <w:rFonts w:ascii="Arial" w:hAnsi="Arial" w:cs="Arial"/>
          <w:bCs/>
        </w:rPr>
        <w:t>%.</w:t>
      </w:r>
      <w:r>
        <w:rPr>
          <w:rFonts w:ascii="Arial" w:hAnsi="Arial" w:cs="Arial"/>
          <w:bCs/>
        </w:rPr>
        <w:t xml:space="preserve"> The </w:t>
      </w:r>
      <w:r w:rsidRPr="00AD1A5A">
        <w:rPr>
          <w:rFonts w:ascii="Arial" w:hAnsi="Arial" w:cs="Arial"/>
          <w:bCs/>
        </w:rPr>
        <w:t>business achieved</w:t>
      </w:r>
      <w:r>
        <w:rPr>
          <w:rFonts w:ascii="Arial" w:hAnsi="Arial" w:cs="Arial"/>
          <w:bCs/>
        </w:rPr>
        <w:t xml:space="preserve"> </w:t>
      </w:r>
      <w:r w:rsidRPr="00AD1A5A">
        <w:rPr>
          <w:rFonts w:ascii="Arial" w:hAnsi="Arial" w:cs="Arial"/>
          <w:bCs/>
        </w:rPr>
        <w:t xml:space="preserve">strong growth across its </w:t>
      </w:r>
      <w:r w:rsidR="001E36D6">
        <w:rPr>
          <w:rFonts w:ascii="Arial" w:hAnsi="Arial" w:cs="Arial"/>
        </w:rPr>
        <w:t>outdoor,</w:t>
      </w:r>
      <w:r w:rsidR="001E36D6" w:rsidRPr="007B35A5">
        <w:rPr>
          <w:rFonts w:ascii="Arial" w:hAnsi="Arial" w:cs="Arial"/>
        </w:rPr>
        <w:t xml:space="preserve"> </w:t>
      </w:r>
      <w:r w:rsidRPr="00AD1A5A">
        <w:rPr>
          <w:rFonts w:ascii="Arial" w:hAnsi="Arial" w:cs="Arial"/>
        </w:rPr>
        <w:t>building &amp; joinery</w:t>
      </w:r>
      <w:r>
        <w:rPr>
          <w:rFonts w:ascii="Arial" w:hAnsi="Arial" w:cs="Arial"/>
        </w:rPr>
        <w:t xml:space="preserve"> and EPHC </w:t>
      </w:r>
      <w:r w:rsidRPr="007B35A5">
        <w:rPr>
          <w:rFonts w:ascii="Arial" w:hAnsi="Arial" w:cs="Arial"/>
        </w:rPr>
        <w:t>categories</w:t>
      </w:r>
      <w:r>
        <w:rPr>
          <w:rFonts w:ascii="Arial" w:hAnsi="Arial" w:cs="Arial"/>
        </w:rPr>
        <w:t xml:space="preserve"> </w:t>
      </w:r>
      <w:r>
        <w:rPr>
          <w:rFonts w:ascii="Arial" w:hAnsi="Arial" w:cs="Arial"/>
          <w:bCs/>
        </w:rPr>
        <w:t>on a 3-year basis</w:t>
      </w:r>
      <w:r w:rsidRPr="007B35A5">
        <w:rPr>
          <w:rFonts w:ascii="Arial" w:hAnsi="Arial" w:cs="Arial"/>
        </w:rPr>
        <w:t xml:space="preserve">. </w:t>
      </w:r>
      <w:r>
        <w:rPr>
          <w:rFonts w:ascii="Arial" w:hAnsi="Arial" w:cs="Arial"/>
          <w:bCs/>
        </w:rPr>
        <w:t>Brico Dépôt</w:t>
      </w:r>
      <w:r w:rsidRPr="00B137B0">
        <w:rPr>
          <w:rFonts w:ascii="Arial" w:hAnsi="Arial" w:cs="Arial"/>
          <w:bCs/>
        </w:rPr>
        <w:t xml:space="preserve"> </w:t>
      </w:r>
      <w:r>
        <w:rPr>
          <w:rFonts w:ascii="Arial" w:hAnsi="Arial" w:cs="Arial"/>
          <w:bCs/>
        </w:rPr>
        <w:t xml:space="preserve">continues to strengthen its discounter credentials through further </w:t>
      </w:r>
      <w:r w:rsidRPr="00A75715">
        <w:rPr>
          <w:rFonts w:ascii="Arial" w:hAnsi="Arial" w:cs="Arial"/>
          <w:bCs/>
        </w:rPr>
        <w:t>differentiat</w:t>
      </w:r>
      <w:r>
        <w:rPr>
          <w:rFonts w:ascii="Arial" w:hAnsi="Arial" w:cs="Arial"/>
          <w:bCs/>
        </w:rPr>
        <w:t>ing</w:t>
      </w:r>
      <w:r w:rsidRPr="00A75715">
        <w:rPr>
          <w:rFonts w:ascii="Arial" w:hAnsi="Arial" w:cs="Arial"/>
          <w:bCs/>
        </w:rPr>
        <w:t xml:space="preserve"> </w:t>
      </w:r>
      <w:r>
        <w:rPr>
          <w:rFonts w:ascii="Arial" w:hAnsi="Arial" w:cs="Arial"/>
          <w:bCs/>
        </w:rPr>
        <w:t xml:space="preserve">its </w:t>
      </w:r>
      <w:r w:rsidRPr="00A75715">
        <w:rPr>
          <w:rFonts w:ascii="Arial" w:hAnsi="Arial" w:cs="Arial"/>
          <w:bCs/>
        </w:rPr>
        <w:t>ranges</w:t>
      </w:r>
      <w:r>
        <w:rPr>
          <w:rFonts w:ascii="Arial" w:hAnsi="Arial" w:cs="Arial"/>
          <w:bCs/>
        </w:rPr>
        <w:t xml:space="preserve"> and maintaining a strong price index relative to its home improvement peers. </w:t>
      </w:r>
      <w:r w:rsidRPr="00634BA1">
        <w:rPr>
          <w:rFonts w:ascii="Arial" w:hAnsi="Arial" w:cs="Arial"/>
        </w:rPr>
        <w:t xml:space="preserve">Brico Dépôt’s e-commerce sales </w:t>
      </w:r>
      <w:r>
        <w:rPr>
          <w:rFonts w:ascii="Arial" w:hAnsi="Arial" w:cs="Arial"/>
        </w:rPr>
        <w:t>de</w:t>
      </w:r>
      <w:r w:rsidRPr="00634BA1">
        <w:rPr>
          <w:rFonts w:ascii="Arial" w:hAnsi="Arial" w:cs="Arial"/>
        </w:rPr>
        <w:t xml:space="preserve">creased </w:t>
      </w:r>
      <w:r w:rsidRPr="00AD1A5A">
        <w:rPr>
          <w:rFonts w:ascii="Arial" w:hAnsi="Arial" w:cs="Arial"/>
        </w:rPr>
        <w:t xml:space="preserve">by </w:t>
      </w:r>
      <w:r w:rsidRPr="007B35A5">
        <w:rPr>
          <w:rFonts w:ascii="Arial" w:hAnsi="Arial" w:cs="Arial"/>
          <w:bCs/>
        </w:rPr>
        <w:t>20</w:t>
      </w:r>
      <w:r w:rsidRPr="00AD1A5A">
        <w:rPr>
          <w:rFonts w:ascii="Arial" w:hAnsi="Arial" w:cs="Arial"/>
        </w:rPr>
        <w:t xml:space="preserve">% YoY, again reflecting </w:t>
      </w:r>
      <w:r w:rsidRPr="00AD1A5A">
        <w:rPr>
          <w:rFonts w:ascii="Arial" w:hAnsi="Arial" w:cs="Arial"/>
          <w:bCs/>
        </w:rPr>
        <w:t xml:space="preserve">strong online trading in the prior year. </w:t>
      </w:r>
      <w:r>
        <w:rPr>
          <w:rFonts w:ascii="Arial" w:hAnsi="Arial" w:cs="Arial"/>
          <w:bCs/>
        </w:rPr>
        <w:t xml:space="preserve">In H2, e-commerce sales increased by 7% YoY. </w:t>
      </w:r>
      <w:r w:rsidRPr="00AD1A5A">
        <w:rPr>
          <w:rFonts w:ascii="Arial" w:hAnsi="Arial" w:cs="Arial"/>
        </w:rPr>
        <w:t>Brico Dépôt’s</w:t>
      </w:r>
      <w:r w:rsidRPr="00AD1A5A">
        <w:rPr>
          <w:rFonts w:ascii="Arial" w:hAnsi="Arial" w:cs="Arial"/>
          <w:bCs/>
        </w:rPr>
        <w:t xml:space="preserve"> e-commerce sales were up </w:t>
      </w:r>
      <w:r w:rsidRPr="007B35A5">
        <w:rPr>
          <w:rFonts w:ascii="Arial" w:hAnsi="Arial" w:cs="Arial"/>
          <w:bCs/>
        </w:rPr>
        <w:t>133</w:t>
      </w:r>
      <w:r w:rsidRPr="00AD1A5A">
        <w:rPr>
          <w:rFonts w:ascii="Arial" w:hAnsi="Arial" w:cs="Arial"/>
          <w:bCs/>
        </w:rPr>
        <w:t xml:space="preserve">% on a 3-year basis, with e-commerce sales penetration of </w:t>
      </w:r>
      <w:r w:rsidRPr="007B35A5">
        <w:rPr>
          <w:rFonts w:ascii="Arial" w:hAnsi="Arial" w:cs="Arial"/>
          <w:bCs/>
        </w:rPr>
        <w:t>4</w:t>
      </w:r>
      <w:r w:rsidRPr="00AD1A5A">
        <w:rPr>
          <w:rFonts w:ascii="Arial" w:hAnsi="Arial" w:cs="Arial"/>
          <w:bCs/>
        </w:rPr>
        <w:t xml:space="preserve">% (FY 21/22: 5%; FY 19/20: 2%). </w:t>
      </w:r>
      <w:r w:rsidRPr="00EB53AD">
        <w:rPr>
          <w:rFonts w:ascii="Arial" w:hAnsi="Arial" w:cs="Arial"/>
        </w:rPr>
        <w:t>In FY 23/24, Brico Dépôt France will test its first ever compact store – a 1,000 sqm format.</w:t>
      </w:r>
    </w:p>
    <w:p w14:paraId="665AD317" w14:textId="77777777" w:rsidR="005A5138" w:rsidRDefault="005A5138" w:rsidP="005A5138">
      <w:pPr>
        <w:jc w:val="left"/>
        <w:rPr>
          <w:rFonts w:ascii="Arial" w:hAnsi="Arial" w:cs="Arial"/>
          <w:bCs/>
        </w:rPr>
      </w:pPr>
    </w:p>
    <w:bookmarkEnd w:id="53"/>
    <w:p w14:paraId="456102EE" w14:textId="77777777" w:rsidR="005A5138" w:rsidRPr="00A845B7" w:rsidRDefault="005A5138" w:rsidP="005A5138">
      <w:pPr>
        <w:spacing w:after="200"/>
        <w:contextualSpacing/>
        <w:jc w:val="left"/>
        <w:rPr>
          <w:rFonts w:ascii="Arial" w:hAnsi="Arial" w:cs="Arial"/>
          <w:b/>
          <w:bCs/>
        </w:rPr>
      </w:pPr>
      <w:r w:rsidRPr="00A845B7">
        <w:rPr>
          <w:rFonts w:ascii="Arial" w:hAnsi="Arial" w:cs="Arial"/>
          <w:b/>
          <w:bCs/>
        </w:rPr>
        <w:t>OTHER INTERNATIONAL</w:t>
      </w:r>
    </w:p>
    <w:p w14:paraId="35BA3BAE" w14:textId="77777777" w:rsidR="005A5138" w:rsidRPr="00B61A2C" w:rsidRDefault="005A5138" w:rsidP="005A5138">
      <w:pPr>
        <w:jc w:val="left"/>
        <w:rPr>
          <w:rFonts w:ascii="Arial" w:hAnsi="Arial" w:cs="Arial"/>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4"/>
        <w:gridCol w:w="70"/>
        <w:gridCol w:w="1086"/>
        <w:gridCol w:w="45"/>
        <w:gridCol w:w="25"/>
        <w:gridCol w:w="1107"/>
        <w:gridCol w:w="56"/>
        <w:gridCol w:w="10"/>
        <w:gridCol w:w="1278"/>
        <w:gridCol w:w="155"/>
        <w:gridCol w:w="52"/>
        <w:gridCol w:w="6"/>
        <w:gridCol w:w="8"/>
        <w:gridCol w:w="1123"/>
        <w:gridCol w:w="324"/>
        <w:gridCol w:w="45"/>
        <w:gridCol w:w="39"/>
        <w:gridCol w:w="6"/>
        <w:gridCol w:w="930"/>
        <w:gridCol w:w="249"/>
        <w:gridCol w:w="1148"/>
      </w:tblGrid>
      <w:tr w:rsidR="005A5138" w:rsidRPr="00A845B7" w14:paraId="7765BD96" w14:textId="77777777" w:rsidTr="003D4ACC">
        <w:tc>
          <w:tcPr>
            <w:tcW w:w="1268" w:type="pct"/>
            <w:gridSpan w:val="2"/>
            <w:tcBorders>
              <w:bottom w:val="single" w:sz="4" w:space="0" w:color="auto"/>
            </w:tcBorders>
          </w:tcPr>
          <w:p w14:paraId="4490462C" w14:textId="77777777" w:rsidR="005A5138" w:rsidRPr="00E07790" w:rsidRDefault="005A5138" w:rsidP="003D4ACC">
            <w:pPr>
              <w:jc w:val="left"/>
              <w:rPr>
                <w:rFonts w:ascii="Arial" w:hAnsi="Arial" w:cs="Arial"/>
                <w:bCs/>
              </w:rPr>
            </w:pPr>
            <w:bookmarkStart w:id="57" w:name="_Hlk34989938"/>
          </w:p>
        </w:tc>
        <w:tc>
          <w:tcPr>
            <w:tcW w:w="549" w:type="pct"/>
            <w:gridSpan w:val="2"/>
            <w:tcBorders>
              <w:bottom w:val="single" w:sz="4" w:space="0" w:color="auto"/>
            </w:tcBorders>
          </w:tcPr>
          <w:p w14:paraId="6DE0D628" w14:textId="77777777" w:rsidR="005A5138" w:rsidRPr="00A845B7" w:rsidRDefault="005A5138" w:rsidP="003D4ACC">
            <w:pPr>
              <w:jc w:val="right"/>
              <w:rPr>
                <w:rFonts w:ascii="Arial" w:hAnsi="Arial" w:cs="Arial"/>
              </w:rPr>
            </w:pPr>
            <w:r>
              <w:rPr>
                <w:rFonts w:ascii="Arial" w:hAnsi="Arial" w:cs="Arial"/>
                <w:b/>
                <w:bCs/>
              </w:rPr>
              <w:t>2022/23</w:t>
            </w:r>
          </w:p>
        </w:tc>
        <w:tc>
          <w:tcPr>
            <w:tcW w:w="549" w:type="pct"/>
            <w:gridSpan w:val="2"/>
            <w:tcBorders>
              <w:bottom w:val="single" w:sz="4" w:space="0" w:color="auto"/>
            </w:tcBorders>
          </w:tcPr>
          <w:p w14:paraId="6584A401" w14:textId="77777777" w:rsidR="005A5138" w:rsidRPr="00A845B7" w:rsidRDefault="005A5138" w:rsidP="003D4ACC">
            <w:pPr>
              <w:jc w:val="right"/>
              <w:rPr>
                <w:rFonts w:ascii="Arial" w:hAnsi="Arial" w:cs="Arial"/>
                <w:b/>
                <w:bCs/>
              </w:rPr>
            </w:pPr>
            <w:r>
              <w:rPr>
                <w:rFonts w:ascii="Arial" w:hAnsi="Arial" w:cs="Arial"/>
                <w:b/>
                <w:bCs/>
              </w:rPr>
              <w:t>2021/22</w:t>
            </w:r>
          </w:p>
        </w:tc>
        <w:tc>
          <w:tcPr>
            <w:tcW w:w="752" w:type="pct"/>
            <w:gridSpan w:val="5"/>
            <w:tcBorders>
              <w:bottom w:val="single" w:sz="4" w:space="0" w:color="auto"/>
            </w:tcBorders>
          </w:tcPr>
          <w:p w14:paraId="2C94B4B9" w14:textId="77777777" w:rsidR="005A5138" w:rsidRPr="00A845B7" w:rsidRDefault="005A5138" w:rsidP="003D4ACC">
            <w:pPr>
              <w:jc w:val="right"/>
              <w:rPr>
                <w:rFonts w:ascii="Arial" w:hAnsi="Arial" w:cs="Arial"/>
                <w:b/>
                <w:bCs/>
              </w:rPr>
            </w:pPr>
            <w:r w:rsidRPr="00A845B7">
              <w:rPr>
                <w:rFonts w:ascii="Arial" w:hAnsi="Arial" w:cs="Arial"/>
                <w:b/>
                <w:bCs/>
              </w:rPr>
              <w:t>% Reported</w:t>
            </w:r>
            <w:r w:rsidRPr="00A845B7" w:rsidDel="00197636">
              <w:rPr>
                <w:rFonts w:ascii="Arial" w:hAnsi="Arial" w:cs="Arial"/>
                <w:b/>
                <w:bCs/>
              </w:rPr>
              <w:t xml:space="preserve"> </w:t>
            </w:r>
            <w:r w:rsidRPr="00A845B7">
              <w:rPr>
                <w:rFonts w:ascii="Arial" w:hAnsi="Arial" w:cs="Arial"/>
                <w:b/>
                <w:bCs/>
              </w:rPr>
              <w:t>Change</w:t>
            </w:r>
          </w:p>
          <w:p w14:paraId="5FE5E86F" w14:textId="77777777" w:rsidR="005A5138" w:rsidRPr="00A845B7" w:rsidRDefault="005A5138" w:rsidP="003D4ACC">
            <w:pPr>
              <w:jc w:val="right"/>
              <w:rPr>
                <w:rFonts w:ascii="Arial" w:hAnsi="Arial" w:cs="Arial"/>
                <w:b/>
                <w:bCs/>
              </w:rPr>
            </w:pPr>
          </w:p>
        </w:tc>
        <w:tc>
          <w:tcPr>
            <w:tcW w:w="750" w:type="pct"/>
            <w:gridSpan w:val="6"/>
            <w:tcBorders>
              <w:bottom w:val="single" w:sz="4" w:space="0" w:color="auto"/>
            </w:tcBorders>
          </w:tcPr>
          <w:p w14:paraId="1212D241" w14:textId="77777777" w:rsidR="005A5138" w:rsidRPr="00A845B7" w:rsidRDefault="005A5138" w:rsidP="003D4ACC">
            <w:pPr>
              <w:jc w:val="right"/>
              <w:rPr>
                <w:rFonts w:ascii="Arial" w:hAnsi="Arial" w:cs="Arial"/>
                <w:b/>
                <w:bCs/>
              </w:rPr>
            </w:pPr>
            <w:r w:rsidRPr="00A845B7">
              <w:rPr>
                <w:rFonts w:ascii="Arial" w:hAnsi="Arial" w:cs="Arial"/>
                <w:b/>
                <w:bCs/>
              </w:rPr>
              <w:t>% Constant</w:t>
            </w:r>
          </w:p>
          <w:p w14:paraId="7718B89D" w14:textId="77777777" w:rsidR="005A5138" w:rsidRPr="00A845B7" w:rsidRDefault="005A5138" w:rsidP="003D4ACC">
            <w:pPr>
              <w:jc w:val="right"/>
              <w:rPr>
                <w:rFonts w:ascii="Arial" w:hAnsi="Arial" w:cs="Arial"/>
                <w:b/>
                <w:bCs/>
              </w:rPr>
            </w:pPr>
            <w:r w:rsidRPr="00A845B7">
              <w:rPr>
                <w:rFonts w:ascii="Arial" w:hAnsi="Arial" w:cs="Arial"/>
                <w:b/>
                <w:bCs/>
              </w:rPr>
              <w:t>Currency</w:t>
            </w:r>
          </w:p>
          <w:p w14:paraId="0A6F574C" w14:textId="77777777" w:rsidR="005A5138" w:rsidRPr="00A845B7" w:rsidRDefault="005A5138" w:rsidP="003D4ACC">
            <w:pPr>
              <w:jc w:val="right"/>
              <w:rPr>
                <w:rFonts w:ascii="Arial" w:hAnsi="Arial" w:cs="Arial"/>
                <w:b/>
                <w:bCs/>
              </w:rPr>
            </w:pPr>
            <w:r w:rsidRPr="00A845B7">
              <w:rPr>
                <w:rFonts w:ascii="Arial" w:hAnsi="Arial" w:cs="Arial"/>
                <w:b/>
                <w:bCs/>
              </w:rPr>
              <w:t xml:space="preserve">Change  </w:t>
            </w:r>
          </w:p>
        </w:tc>
        <w:tc>
          <w:tcPr>
            <w:tcW w:w="575" w:type="pct"/>
            <w:gridSpan w:val="3"/>
            <w:tcBorders>
              <w:bottom w:val="single" w:sz="4" w:space="0" w:color="auto"/>
            </w:tcBorders>
          </w:tcPr>
          <w:p w14:paraId="6C74C69D" w14:textId="77777777" w:rsidR="005A5138" w:rsidRPr="00A845B7" w:rsidRDefault="005A5138" w:rsidP="003D4ACC">
            <w:pPr>
              <w:ind w:hanging="108"/>
              <w:jc w:val="right"/>
              <w:rPr>
                <w:rFonts w:ascii="Arial" w:hAnsi="Arial" w:cs="Arial"/>
                <w:b/>
                <w:bCs/>
              </w:rPr>
            </w:pPr>
            <w:r w:rsidRPr="00A845B7">
              <w:rPr>
                <w:rFonts w:ascii="Arial" w:hAnsi="Arial" w:cs="Arial"/>
                <w:b/>
                <w:bCs/>
              </w:rPr>
              <w:t>% LFL</w:t>
            </w:r>
          </w:p>
          <w:p w14:paraId="56F4643A" w14:textId="77777777" w:rsidR="005A5138" w:rsidRPr="00A845B7" w:rsidRDefault="005A5138" w:rsidP="003D4ACC">
            <w:pPr>
              <w:ind w:hanging="108"/>
              <w:jc w:val="right"/>
              <w:rPr>
                <w:rFonts w:ascii="Arial" w:hAnsi="Arial" w:cs="Arial"/>
                <w:b/>
                <w:bCs/>
              </w:rPr>
            </w:pPr>
            <w:r w:rsidRPr="00A845B7">
              <w:rPr>
                <w:rFonts w:ascii="Arial" w:hAnsi="Arial" w:cs="Arial"/>
                <w:b/>
                <w:bCs/>
              </w:rPr>
              <w:t>Change</w:t>
            </w:r>
          </w:p>
        </w:tc>
        <w:tc>
          <w:tcPr>
            <w:tcW w:w="557" w:type="pct"/>
            <w:tcBorders>
              <w:bottom w:val="single" w:sz="4" w:space="0" w:color="auto"/>
            </w:tcBorders>
          </w:tcPr>
          <w:p w14:paraId="78B5F430" w14:textId="77777777" w:rsidR="005A5138" w:rsidRPr="00A845B7" w:rsidRDefault="005A5138" w:rsidP="003D4ACC">
            <w:pPr>
              <w:ind w:hanging="108"/>
              <w:jc w:val="right"/>
              <w:rPr>
                <w:rFonts w:ascii="Arial" w:hAnsi="Arial" w:cs="Arial"/>
                <w:b/>
                <w:bCs/>
              </w:rPr>
            </w:pPr>
            <w:r>
              <w:rPr>
                <w:rFonts w:ascii="Arial" w:hAnsi="Arial" w:cs="Arial"/>
                <w:b/>
                <w:bCs/>
              </w:rPr>
              <w:t>% 3-year LFL Change</w:t>
            </w:r>
          </w:p>
        </w:tc>
      </w:tr>
      <w:tr w:rsidR="005A5138" w:rsidRPr="00E04D40" w14:paraId="18147578" w14:textId="77777777" w:rsidTr="003D4ACC">
        <w:trPr>
          <w:trHeight w:val="147"/>
        </w:trPr>
        <w:tc>
          <w:tcPr>
            <w:tcW w:w="1268" w:type="pct"/>
            <w:gridSpan w:val="2"/>
            <w:tcBorders>
              <w:bottom w:val="single" w:sz="4" w:space="0" w:color="auto"/>
            </w:tcBorders>
            <w:shd w:val="clear" w:color="auto" w:fill="auto"/>
          </w:tcPr>
          <w:p w14:paraId="15270FEB" w14:textId="77777777" w:rsidR="005A5138" w:rsidRPr="005A48A0" w:rsidRDefault="005A5138" w:rsidP="003D4ACC">
            <w:pPr>
              <w:jc w:val="left"/>
              <w:rPr>
                <w:rFonts w:ascii="Arial" w:hAnsi="Arial" w:cs="Arial"/>
                <w:b/>
              </w:rPr>
            </w:pPr>
            <w:r w:rsidRPr="005A48A0">
              <w:rPr>
                <w:rFonts w:ascii="Arial" w:hAnsi="Arial" w:cs="Arial"/>
                <w:b/>
              </w:rPr>
              <w:t>Sales (£m)</w:t>
            </w:r>
          </w:p>
        </w:tc>
        <w:tc>
          <w:tcPr>
            <w:tcW w:w="549" w:type="pct"/>
            <w:gridSpan w:val="2"/>
            <w:tcBorders>
              <w:bottom w:val="single" w:sz="4" w:space="0" w:color="auto"/>
            </w:tcBorders>
            <w:shd w:val="clear" w:color="auto" w:fill="auto"/>
          </w:tcPr>
          <w:p w14:paraId="169A578E" w14:textId="77777777" w:rsidR="005A5138" w:rsidRPr="000F790F" w:rsidRDefault="005A5138" w:rsidP="003D4ACC">
            <w:pPr>
              <w:jc w:val="right"/>
              <w:rPr>
                <w:rFonts w:ascii="Arial" w:hAnsi="Arial" w:cs="Arial"/>
              </w:rPr>
            </w:pPr>
          </w:p>
        </w:tc>
        <w:tc>
          <w:tcPr>
            <w:tcW w:w="549" w:type="pct"/>
            <w:gridSpan w:val="2"/>
            <w:tcBorders>
              <w:bottom w:val="single" w:sz="4" w:space="0" w:color="auto"/>
            </w:tcBorders>
            <w:shd w:val="clear" w:color="auto" w:fill="auto"/>
          </w:tcPr>
          <w:p w14:paraId="3A1DAA5E" w14:textId="77777777" w:rsidR="005A5138" w:rsidRPr="000F790F" w:rsidRDefault="005A5138" w:rsidP="003D4ACC">
            <w:pPr>
              <w:jc w:val="right"/>
              <w:rPr>
                <w:rFonts w:ascii="Arial" w:hAnsi="Arial" w:cs="Arial"/>
              </w:rPr>
            </w:pPr>
          </w:p>
        </w:tc>
        <w:tc>
          <w:tcPr>
            <w:tcW w:w="752" w:type="pct"/>
            <w:gridSpan w:val="5"/>
            <w:tcBorders>
              <w:bottom w:val="single" w:sz="4" w:space="0" w:color="auto"/>
            </w:tcBorders>
            <w:shd w:val="clear" w:color="auto" w:fill="auto"/>
          </w:tcPr>
          <w:p w14:paraId="1F1DB270" w14:textId="77777777" w:rsidR="005A5138" w:rsidRPr="000F790F" w:rsidRDefault="005A5138" w:rsidP="003D4ACC">
            <w:pPr>
              <w:jc w:val="right"/>
              <w:rPr>
                <w:rFonts w:ascii="Arial" w:hAnsi="Arial" w:cs="Arial"/>
              </w:rPr>
            </w:pPr>
          </w:p>
        </w:tc>
        <w:tc>
          <w:tcPr>
            <w:tcW w:w="750" w:type="pct"/>
            <w:gridSpan w:val="6"/>
            <w:tcBorders>
              <w:bottom w:val="single" w:sz="4" w:space="0" w:color="auto"/>
            </w:tcBorders>
            <w:shd w:val="clear" w:color="auto" w:fill="auto"/>
          </w:tcPr>
          <w:p w14:paraId="515347CE" w14:textId="77777777" w:rsidR="005A5138" w:rsidRPr="000F790F" w:rsidRDefault="005A5138" w:rsidP="003D4ACC">
            <w:pPr>
              <w:jc w:val="right"/>
              <w:rPr>
                <w:rFonts w:ascii="Arial" w:hAnsi="Arial" w:cs="Arial"/>
              </w:rPr>
            </w:pPr>
          </w:p>
        </w:tc>
        <w:tc>
          <w:tcPr>
            <w:tcW w:w="575" w:type="pct"/>
            <w:gridSpan w:val="3"/>
            <w:tcBorders>
              <w:bottom w:val="single" w:sz="4" w:space="0" w:color="auto"/>
            </w:tcBorders>
            <w:shd w:val="clear" w:color="auto" w:fill="auto"/>
          </w:tcPr>
          <w:p w14:paraId="02F690DE" w14:textId="77777777" w:rsidR="005A5138" w:rsidRPr="000F790F" w:rsidRDefault="005A5138" w:rsidP="003D4ACC">
            <w:pPr>
              <w:jc w:val="right"/>
              <w:rPr>
                <w:rFonts w:ascii="Arial" w:hAnsi="Arial" w:cs="Arial"/>
              </w:rPr>
            </w:pPr>
          </w:p>
        </w:tc>
        <w:tc>
          <w:tcPr>
            <w:tcW w:w="557" w:type="pct"/>
            <w:tcBorders>
              <w:bottom w:val="single" w:sz="4" w:space="0" w:color="auto"/>
            </w:tcBorders>
          </w:tcPr>
          <w:p w14:paraId="48203EC2" w14:textId="77777777" w:rsidR="005A5138" w:rsidRPr="000F790F" w:rsidRDefault="005A5138" w:rsidP="003D4ACC">
            <w:pPr>
              <w:jc w:val="right"/>
              <w:rPr>
                <w:rFonts w:ascii="Arial" w:hAnsi="Arial" w:cs="Arial"/>
              </w:rPr>
            </w:pPr>
          </w:p>
        </w:tc>
      </w:tr>
      <w:bookmarkEnd w:id="57"/>
      <w:tr w:rsidR="005A5138" w:rsidRPr="00375CE2" w14:paraId="638E1444" w14:textId="77777777" w:rsidTr="003D4ACC">
        <w:trPr>
          <w:trHeight w:val="147"/>
        </w:trPr>
        <w:tc>
          <w:tcPr>
            <w:tcW w:w="1268" w:type="pct"/>
            <w:gridSpan w:val="2"/>
            <w:tcBorders>
              <w:bottom w:val="single" w:sz="4" w:space="0" w:color="auto"/>
            </w:tcBorders>
            <w:shd w:val="clear" w:color="auto" w:fill="auto"/>
          </w:tcPr>
          <w:p w14:paraId="63EB30AB" w14:textId="77777777" w:rsidR="005A5138" w:rsidRPr="002F6DC3" w:rsidRDefault="005A5138" w:rsidP="003D4ACC">
            <w:pPr>
              <w:jc w:val="left"/>
              <w:rPr>
                <w:rFonts w:ascii="Arial" w:hAnsi="Arial" w:cs="Arial"/>
                <w:bCs/>
              </w:rPr>
            </w:pPr>
            <w:r w:rsidRPr="00380BAF">
              <w:rPr>
                <w:rFonts w:ascii="Arial" w:hAnsi="Arial" w:cs="Arial"/>
                <w:bCs/>
              </w:rPr>
              <w:t>Poland</w:t>
            </w:r>
          </w:p>
        </w:tc>
        <w:tc>
          <w:tcPr>
            <w:tcW w:w="549" w:type="pct"/>
            <w:gridSpan w:val="2"/>
            <w:tcBorders>
              <w:bottom w:val="single" w:sz="4" w:space="0" w:color="auto"/>
            </w:tcBorders>
            <w:shd w:val="clear" w:color="auto" w:fill="auto"/>
            <w:vAlign w:val="center"/>
          </w:tcPr>
          <w:p w14:paraId="50B6F32D" w14:textId="77777777" w:rsidR="005A5138" w:rsidRPr="00BF14E0" w:rsidRDefault="005A5138" w:rsidP="003D4ACC">
            <w:pPr>
              <w:jc w:val="right"/>
              <w:rPr>
                <w:rFonts w:ascii="Arial" w:hAnsi="Arial" w:cs="Arial"/>
                <w:bCs/>
                <w:highlight w:val="yellow"/>
              </w:rPr>
            </w:pPr>
            <w:r>
              <w:rPr>
                <w:rFonts w:ascii="Arial" w:hAnsi="Arial" w:cs="Arial"/>
                <w:color w:val="000000"/>
              </w:rPr>
              <w:t xml:space="preserve">1,734 </w:t>
            </w:r>
          </w:p>
        </w:tc>
        <w:tc>
          <w:tcPr>
            <w:tcW w:w="549" w:type="pct"/>
            <w:gridSpan w:val="2"/>
            <w:tcBorders>
              <w:bottom w:val="single" w:sz="4" w:space="0" w:color="auto"/>
            </w:tcBorders>
            <w:shd w:val="clear" w:color="auto" w:fill="auto"/>
            <w:vAlign w:val="center"/>
          </w:tcPr>
          <w:p w14:paraId="159BE423" w14:textId="77777777" w:rsidR="005A5138" w:rsidRPr="0098740D" w:rsidDel="00C44530" w:rsidRDefault="005A5138" w:rsidP="003D4ACC">
            <w:pPr>
              <w:jc w:val="right"/>
              <w:rPr>
                <w:rFonts w:ascii="Arial" w:hAnsi="Arial" w:cs="Arial"/>
                <w:bCs/>
              </w:rPr>
            </w:pPr>
            <w:r>
              <w:rPr>
                <w:rFonts w:ascii="Arial" w:hAnsi="Arial" w:cs="Arial"/>
                <w:color w:val="000000"/>
              </w:rPr>
              <w:t xml:space="preserve">1,525 </w:t>
            </w:r>
          </w:p>
        </w:tc>
        <w:tc>
          <w:tcPr>
            <w:tcW w:w="752" w:type="pct"/>
            <w:gridSpan w:val="5"/>
            <w:tcBorders>
              <w:bottom w:val="single" w:sz="4" w:space="0" w:color="auto"/>
            </w:tcBorders>
            <w:shd w:val="clear" w:color="auto" w:fill="auto"/>
            <w:vAlign w:val="center"/>
          </w:tcPr>
          <w:p w14:paraId="188BBD94" w14:textId="77777777" w:rsidR="005A5138" w:rsidRPr="00BF14E0" w:rsidRDefault="005A5138" w:rsidP="003D4ACC">
            <w:pPr>
              <w:jc w:val="right"/>
              <w:rPr>
                <w:rFonts w:ascii="Arial" w:hAnsi="Arial" w:cs="Arial"/>
                <w:bCs/>
                <w:highlight w:val="yellow"/>
              </w:rPr>
            </w:pPr>
            <w:r>
              <w:rPr>
                <w:rFonts w:ascii="Arial" w:hAnsi="Arial" w:cs="Arial"/>
                <w:color w:val="000000"/>
              </w:rPr>
              <w:t>+13.7%</w:t>
            </w:r>
          </w:p>
        </w:tc>
        <w:tc>
          <w:tcPr>
            <w:tcW w:w="750" w:type="pct"/>
            <w:gridSpan w:val="6"/>
            <w:tcBorders>
              <w:bottom w:val="single" w:sz="4" w:space="0" w:color="auto"/>
            </w:tcBorders>
            <w:shd w:val="clear" w:color="auto" w:fill="auto"/>
            <w:vAlign w:val="center"/>
          </w:tcPr>
          <w:p w14:paraId="43F48658" w14:textId="77777777" w:rsidR="005A5138" w:rsidRPr="00BF14E0" w:rsidRDefault="005A5138" w:rsidP="003D4ACC">
            <w:pPr>
              <w:jc w:val="right"/>
              <w:rPr>
                <w:rFonts w:ascii="Arial" w:hAnsi="Arial" w:cs="Arial"/>
                <w:bCs/>
                <w:highlight w:val="yellow"/>
              </w:rPr>
            </w:pPr>
            <w:r>
              <w:rPr>
                <w:rFonts w:ascii="Arial" w:hAnsi="Arial" w:cs="Arial"/>
                <w:color w:val="000000"/>
              </w:rPr>
              <w:t>+16.7%</w:t>
            </w:r>
          </w:p>
        </w:tc>
        <w:tc>
          <w:tcPr>
            <w:tcW w:w="575" w:type="pct"/>
            <w:gridSpan w:val="3"/>
            <w:tcBorders>
              <w:bottom w:val="single" w:sz="4" w:space="0" w:color="auto"/>
            </w:tcBorders>
            <w:shd w:val="clear" w:color="auto" w:fill="auto"/>
            <w:vAlign w:val="center"/>
          </w:tcPr>
          <w:p w14:paraId="16D2C4EC" w14:textId="77777777" w:rsidR="005A5138" w:rsidRPr="00BF14E0" w:rsidRDefault="005A5138" w:rsidP="003D4ACC">
            <w:pPr>
              <w:jc w:val="right"/>
              <w:rPr>
                <w:rFonts w:ascii="Arial" w:hAnsi="Arial" w:cs="Arial"/>
                <w:bCs/>
                <w:highlight w:val="yellow"/>
              </w:rPr>
            </w:pPr>
            <w:r>
              <w:rPr>
                <w:rFonts w:ascii="Arial" w:hAnsi="Arial" w:cs="Arial"/>
                <w:color w:val="000000"/>
              </w:rPr>
              <w:t>+13.8%</w:t>
            </w:r>
          </w:p>
        </w:tc>
        <w:tc>
          <w:tcPr>
            <w:tcW w:w="557" w:type="pct"/>
            <w:tcBorders>
              <w:bottom w:val="single" w:sz="4" w:space="0" w:color="auto"/>
            </w:tcBorders>
            <w:shd w:val="clear" w:color="auto" w:fill="auto"/>
            <w:vAlign w:val="center"/>
          </w:tcPr>
          <w:p w14:paraId="2ED95B3E" w14:textId="77777777" w:rsidR="005A5138" w:rsidRPr="00BF14E0" w:rsidRDefault="005A5138" w:rsidP="003D4ACC">
            <w:pPr>
              <w:jc w:val="right"/>
              <w:rPr>
                <w:rFonts w:ascii="Arial" w:hAnsi="Arial" w:cs="Arial"/>
                <w:bCs/>
                <w:highlight w:val="yellow"/>
              </w:rPr>
            </w:pPr>
            <w:r>
              <w:rPr>
                <w:rFonts w:ascii="Arial" w:hAnsi="Arial" w:cs="Arial"/>
                <w:color w:val="000000"/>
              </w:rPr>
              <w:t>+19.8%</w:t>
            </w:r>
          </w:p>
        </w:tc>
      </w:tr>
      <w:tr w:rsidR="005A5138" w:rsidRPr="00375CE2" w14:paraId="258C03D1" w14:textId="77777777" w:rsidTr="003D4ACC">
        <w:trPr>
          <w:trHeight w:val="147"/>
        </w:trPr>
        <w:tc>
          <w:tcPr>
            <w:tcW w:w="1268" w:type="pct"/>
            <w:gridSpan w:val="2"/>
            <w:tcBorders>
              <w:bottom w:val="single" w:sz="4" w:space="0" w:color="auto"/>
            </w:tcBorders>
            <w:shd w:val="clear" w:color="auto" w:fill="auto"/>
          </w:tcPr>
          <w:p w14:paraId="5CAC5E20" w14:textId="77777777" w:rsidR="005A5138" w:rsidRPr="002F6DC3" w:rsidRDefault="005A5138" w:rsidP="003D4ACC">
            <w:pPr>
              <w:jc w:val="left"/>
              <w:rPr>
                <w:rFonts w:ascii="Arial" w:hAnsi="Arial" w:cs="Arial"/>
                <w:bCs/>
              </w:rPr>
            </w:pPr>
            <w:r w:rsidRPr="002F6DC3">
              <w:rPr>
                <w:rFonts w:ascii="Arial" w:hAnsi="Arial" w:cs="Arial"/>
                <w:bCs/>
              </w:rPr>
              <w:t>Iberia</w:t>
            </w:r>
          </w:p>
        </w:tc>
        <w:tc>
          <w:tcPr>
            <w:tcW w:w="549" w:type="pct"/>
            <w:gridSpan w:val="2"/>
            <w:tcBorders>
              <w:bottom w:val="single" w:sz="4" w:space="0" w:color="auto"/>
            </w:tcBorders>
            <w:shd w:val="clear" w:color="auto" w:fill="auto"/>
            <w:vAlign w:val="center"/>
          </w:tcPr>
          <w:p w14:paraId="5BA3E144" w14:textId="77777777" w:rsidR="005A5138" w:rsidRPr="00BF14E0" w:rsidRDefault="005A5138" w:rsidP="003D4ACC">
            <w:pPr>
              <w:jc w:val="right"/>
              <w:rPr>
                <w:rFonts w:ascii="Arial" w:hAnsi="Arial" w:cs="Arial"/>
                <w:bCs/>
                <w:highlight w:val="yellow"/>
              </w:rPr>
            </w:pPr>
            <w:r>
              <w:rPr>
                <w:rFonts w:ascii="Arial" w:hAnsi="Arial" w:cs="Arial"/>
                <w:color w:val="000000"/>
              </w:rPr>
              <w:t xml:space="preserve">373 </w:t>
            </w:r>
          </w:p>
        </w:tc>
        <w:tc>
          <w:tcPr>
            <w:tcW w:w="549" w:type="pct"/>
            <w:gridSpan w:val="2"/>
            <w:tcBorders>
              <w:bottom w:val="single" w:sz="4" w:space="0" w:color="auto"/>
            </w:tcBorders>
            <w:shd w:val="clear" w:color="auto" w:fill="auto"/>
            <w:vAlign w:val="center"/>
          </w:tcPr>
          <w:p w14:paraId="3905E045" w14:textId="77777777" w:rsidR="005A5138" w:rsidRPr="0098740D" w:rsidDel="00C44530" w:rsidRDefault="005A5138" w:rsidP="003D4ACC">
            <w:pPr>
              <w:jc w:val="right"/>
              <w:rPr>
                <w:rFonts w:ascii="Arial" w:hAnsi="Arial" w:cs="Arial"/>
                <w:bCs/>
              </w:rPr>
            </w:pPr>
            <w:r>
              <w:rPr>
                <w:rFonts w:ascii="Arial" w:hAnsi="Arial" w:cs="Arial"/>
                <w:color w:val="000000"/>
              </w:rPr>
              <w:t xml:space="preserve">366 </w:t>
            </w:r>
          </w:p>
        </w:tc>
        <w:tc>
          <w:tcPr>
            <w:tcW w:w="752" w:type="pct"/>
            <w:gridSpan w:val="5"/>
            <w:tcBorders>
              <w:bottom w:val="single" w:sz="4" w:space="0" w:color="auto"/>
            </w:tcBorders>
            <w:shd w:val="clear" w:color="auto" w:fill="auto"/>
            <w:vAlign w:val="center"/>
          </w:tcPr>
          <w:p w14:paraId="3179867E" w14:textId="77777777" w:rsidR="005A5138" w:rsidRPr="00BF14E0" w:rsidRDefault="005A5138" w:rsidP="003D4ACC">
            <w:pPr>
              <w:jc w:val="right"/>
              <w:rPr>
                <w:rFonts w:ascii="Arial" w:hAnsi="Arial" w:cs="Arial"/>
                <w:bCs/>
                <w:highlight w:val="yellow"/>
              </w:rPr>
            </w:pPr>
            <w:r>
              <w:rPr>
                <w:rFonts w:ascii="Arial" w:hAnsi="Arial" w:cs="Arial"/>
                <w:color w:val="000000"/>
              </w:rPr>
              <w:t>+2.0%</w:t>
            </w:r>
          </w:p>
        </w:tc>
        <w:tc>
          <w:tcPr>
            <w:tcW w:w="750" w:type="pct"/>
            <w:gridSpan w:val="6"/>
            <w:tcBorders>
              <w:bottom w:val="single" w:sz="4" w:space="0" w:color="auto"/>
            </w:tcBorders>
            <w:shd w:val="clear" w:color="auto" w:fill="auto"/>
            <w:vAlign w:val="center"/>
          </w:tcPr>
          <w:p w14:paraId="1E2957EF" w14:textId="77777777" w:rsidR="005A5138" w:rsidRPr="00BF14E0" w:rsidRDefault="005A5138" w:rsidP="003D4ACC">
            <w:pPr>
              <w:jc w:val="right"/>
              <w:rPr>
                <w:rFonts w:ascii="Arial" w:hAnsi="Arial" w:cs="Arial"/>
                <w:bCs/>
                <w:highlight w:val="yellow"/>
              </w:rPr>
            </w:pPr>
            <w:r>
              <w:rPr>
                <w:rFonts w:ascii="Arial" w:hAnsi="Arial" w:cs="Arial"/>
                <w:color w:val="000000"/>
              </w:rPr>
              <w:t>+1.9%</w:t>
            </w:r>
          </w:p>
        </w:tc>
        <w:tc>
          <w:tcPr>
            <w:tcW w:w="575" w:type="pct"/>
            <w:gridSpan w:val="3"/>
            <w:tcBorders>
              <w:bottom w:val="single" w:sz="4" w:space="0" w:color="auto"/>
            </w:tcBorders>
            <w:shd w:val="clear" w:color="auto" w:fill="auto"/>
            <w:vAlign w:val="center"/>
          </w:tcPr>
          <w:p w14:paraId="331F1C3B" w14:textId="77777777" w:rsidR="005A5138" w:rsidRPr="00BF14E0" w:rsidRDefault="005A5138" w:rsidP="003D4ACC">
            <w:pPr>
              <w:jc w:val="right"/>
              <w:rPr>
                <w:rFonts w:ascii="Arial" w:hAnsi="Arial" w:cs="Arial"/>
                <w:bCs/>
                <w:highlight w:val="yellow"/>
              </w:rPr>
            </w:pPr>
            <w:r>
              <w:rPr>
                <w:rFonts w:ascii="Arial" w:hAnsi="Arial" w:cs="Arial"/>
                <w:color w:val="000000"/>
              </w:rPr>
              <w:t>+1.9%</w:t>
            </w:r>
          </w:p>
        </w:tc>
        <w:tc>
          <w:tcPr>
            <w:tcW w:w="557" w:type="pct"/>
            <w:tcBorders>
              <w:bottom w:val="single" w:sz="4" w:space="0" w:color="auto"/>
            </w:tcBorders>
            <w:shd w:val="clear" w:color="auto" w:fill="auto"/>
            <w:vAlign w:val="center"/>
          </w:tcPr>
          <w:p w14:paraId="4B8AC3F2" w14:textId="77777777" w:rsidR="005A5138" w:rsidRPr="00BF14E0" w:rsidRDefault="005A5138" w:rsidP="003D4ACC">
            <w:pPr>
              <w:jc w:val="right"/>
              <w:rPr>
                <w:rFonts w:ascii="Arial" w:hAnsi="Arial" w:cs="Arial"/>
                <w:bCs/>
                <w:highlight w:val="yellow"/>
              </w:rPr>
            </w:pPr>
            <w:r>
              <w:rPr>
                <w:rFonts w:ascii="Arial" w:hAnsi="Arial" w:cs="Arial"/>
                <w:color w:val="000000"/>
              </w:rPr>
              <w:t>+16.7%</w:t>
            </w:r>
          </w:p>
        </w:tc>
      </w:tr>
      <w:tr w:rsidR="005A5138" w:rsidRPr="00375CE2" w14:paraId="389BF72B" w14:textId="77777777" w:rsidTr="003D4ACC">
        <w:trPr>
          <w:trHeight w:val="147"/>
        </w:trPr>
        <w:tc>
          <w:tcPr>
            <w:tcW w:w="1268" w:type="pct"/>
            <w:gridSpan w:val="2"/>
            <w:tcBorders>
              <w:bottom w:val="single" w:sz="4" w:space="0" w:color="auto"/>
            </w:tcBorders>
            <w:shd w:val="clear" w:color="auto" w:fill="auto"/>
          </w:tcPr>
          <w:p w14:paraId="077B27CB" w14:textId="77777777" w:rsidR="005A5138" w:rsidRPr="002F6DC3" w:rsidRDefault="005A5138" w:rsidP="003D4ACC">
            <w:pPr>
              <w:jc w:val="left"/>
              <w:rPr>
                <w:rFonts w:ascii="Arial" w:hAnsi="Arial" w:cs="Arial"/>
                <w:bCs/>
              </w:rPr>
            </w:pPr>
            <w:r w:rsidRPr="002F6DC3">
              <w:rPr>
                <w:rFonts w:ascii="Arial" w:hAnsi="Arial" w:cs="Arial"/>
                <w:bCs/>
              </w:rPr>
              <w:t>Romania</w:t>
            </w:r>
            <w:r w:rsidRPr="0072155A">
              <w:rPr>
                <w:rFonts w:ascii="Arial" w:hAnsi="Arial" w:cs="Arial"/>
                <w:sz w:val="18"/>
                <w:szCs w:val="18"/>
                <w:vertAlign w:val="superscript"/>
              </w:rPr>
              <w:t>±</w:t>
            </w:r>
          </w:p>
        </w:tc>
        <w:tc>
          <w:tcPr>
            <w:tcW w:w="549" w:type="pct"/>
            <w:gridSpan w:val="2"/>
            <w:tcBorders>
              <w:bottom w:val="single" w:sz="4" w:space="0" w:color="auto"/>
            </w:tcBorders>
            <w:shd w:val="clear" w:color="auto" w:fill="auto"/>
            <w:vAlign w:val="center"/>
          </w:tcPr>
          <w:p w14:paraId="1AB2596F" w14:textId="77777777" w:rsidR="005A5138" w:rsidRPr="00BF14E0" w:rsidRDefault="005A5138" w:rsidP="003D4ACC">
            <w:pPr>
              <w:jc w:val="right"/>
              <w:rPr>
                <w:rFonts w:ascii="Arial" w:hAnsi="Arial" w:cs="Arial"/>
                <w:bCs/>
                <w:highlight w:val="yellow"/>
              </w:rPr>
            </w:pPr>
            <w:r>
              <w:rPr>
                <w:rFonts w:ascii="Arial" w:hAnsi="Arial" w:cs="Arial"/>
                <w:color w:val="000000"/>
              </w:rPr>
              <w:t xml:space="preserve">285 </w:t>
            </w:r>
          </w:p>
        </w:tc>
        <w:tc>
          <w:tcPr>
            <w:tcW w:w="549" w:type="pct"/>
            <w:gridSpan w:val="2"/>
            <w:tcBorders>
              <w:bottom w:val="single" w:sz="4" w:space="0" w:color="auto"/>
            </w:tcBorders>
            <w:shd w:val="clear" w:color="auto" w:fill="auto"/>
            <w:vAlign w:val="center"/>
          </w:tcPr>
          <w:p w14:paraId="471DC420" w14:textId="77777777" w:rsidR="005A5138" w:rsidRPr="0098740D" w:rsidDel="00C44530" w:rsidRDefault="005A5138" w:rsidP="003D4ACC">
            <w:pPr>
              <w:jc w:val="right"/>
              <w:rPr>
                <w:rFonts w:ascii="Arial" w:hAnsi="Arial" w:cs="Arial"/>
                <w:bCs/>
              </w:rPr>
            </w:pPr>
            <w:r>
              <w:rPr>
                <w:rFonts w:ascii="Arial" w:hAnsi="Arial" w:cs="Arial"/>
                <w:color w:val="000000"/>
              </w:rPr>
              <w:t xml:space="preserve">279 </w:t>
            </w:r>
          </w:p>
        </w:tc>
        <w:tc>
          <w:tcPr>
            <w:tcW w:w="752" w:type="pct"/>
            <w:gridSpan w:val="5"/>
            <w:tcBorders>
              <w:bottom w:val="single" w:sz="4" w:space="0" w:color="auto"/>
            </w:tcBorders>
            <w:shd w:val="clear" w:color="auto" w:fill="auto"/>
            <w:vAlign w:val="center"/>
          </w:tcPr>
          <w:p w14:paraId="5BF9E06E" w14:textId="77777777" w:rsidR="005A5138" w:rsidRPr="00BF14E0" w:rsidRDefault="005A5138" w:rsidP="003D4ACC">
            <w:pPr>
              <w:jc w:val="right"/>
              <w:rPr>
                <w:rFonts w:ascii="Arial" w:hAnsi="Arial" w:cs="Arial"/>
                <w:bCs/>
                <w:highlight w:val="yellow"/>
              </w:rPr>
            </w:pPr>
            <w:r>
              <w:rPr>
                <w:rFonts w:ascii="Arial" w:hAnsi="Arial" w:cs="Arial"/>
                <w:color w:val="000000"/>
              </w:rPr>
              <w:t>+1.8%</w:t>
            </w:r>
          </w:p>
        </w:tc>
        <w:tc>
          <w:tcPr>
            <w:tcW w:w="750" w:type="pct"/>
            <w:gridSpan w:val="6"/>
            <w:tcBorders>
              <w:bottom w:val="single" w:sz="4" w:space="0" w:color="auto"/>
            </w:tcBorders>
            <w:shd w:val="clear" w:color="auto" w:fill="auto"/>
            <w:vAlign w:val="center"/>
          </w:tcPr>
          <w:p w14:paraId="1C23CFE1" w14:textId="77777777" w:rsidR="005A5138" w:rsidRPr="00BF14E0" w:rsidRDefault="005A5138" w:rsidP="003D4ACC">
            <w:pPr>
              <w:jc w:val="right"/>
              <w:rPr>
                <w:rFonts w:ascii="Arial" w:hAnsi="Arial" w:cs="Arial"/>
                <w:bCs/>
                <w:highlight w:val="yellow"/>
              </w:rPr>
            </w:pPr>
            <w:r>
              <w:rPr>
                <w:rFonts w:ascii="Arial" w:hAnsi="Arial" w:cs="Arial"/>
                <w:color w:val="000000"/>
              </w:rPr>
              <w:t>+1.7%</w:t>
            </w:r>
          </w:p>
        </w:tc>
        <w:tc>
          <w:tcPr>
            <w:tcW w:w="575" w:type="pct"/>
            <w:gridSpan w:val="3"/>
            <w:tcBorders>
              <w:bottom w:val="single" w:sz="4" w:space="0" w:color="auto"/>
            </w:tcBorders>
            <w:shd w:val="clear" w:color="auto" w:fill="auto"/>
            <w:vAlign w:val="center"/>
          </w:tcPr>
          <w:p w14:paraId="24EA9E24" w14:textId="77777777" w:rsidR="005A5138" w:rsidRPr="00BF14E0" w:rsidRDefault="005A5138" w:rsidP="003D4ACC">
            <w:pPr>
              <w:jc w:val="right"/>
              <w:rPr>
                <w:rFonts w:ascii="Arial" w:hAnsi="Arial" w:cs="Arial"/>
                <w:bCs/>
                <w:highlight w:val="yellow"/>
              </w:rPr>
            </w:pPr>
            <w:r>
              <w:rPr>
                <w:rFonts w:ascii="Arial" w:hAnsi="Arial" w:cs="Arial"/>
                <w:color w:val="000000"/>
              </w:rPr>
              <w:t>+7.8%</w:t>
            </w:r>
          </w:p>
        </w:tc>
        <w:tc>
          <w:tcPr>
            <w:tcW w:w="557" w:type="pct"/>
            <w:tcBorders>
              <w:bottom w:val="single" w:sz="4" w:space="0" w:color="auto"/>
            </w:tcBorders>
            <w:shd w:val="clear" w:color="auto" w:fill="auto"/>
            <w:vAlign w:val="center"/>
          </w:tcPr>
          <w:p w14:paraId="57C195C8" w14:textId="77777777" w:rsidR="005A5138" w:rsidRPr="00BF14E0" w:rsidRDefault="005A5138" w:rsidP="003D4ACC">
            <w:pPr>
              <w:jc w:val="right"/>
              <w:rPr>
                <w:rFonts w:ascii="Arial" w:hAnsi="Arial" w:cs="Arial"/>
                <w:bCs/>
                <w:highlight w:val="yellow"/>
              </w:rPr>
            </w:pPr>
            <w:r>
              <w:rPr>
                <w:rFonts w:ascii="Arial" w:hAnsi="Arial" w:cs="Arial"/>
                <w:color w:val="000000"/>
              </w:rPr>
              <w:t>+38.0%</w:t>
            </w:r>
          </w:p>
        </w:tc>
      </w:tr>
      <w:tr w:rsidR="005A5138" w:rsidRPr="00375CE2" w14:paraId="3DC77548" w14:textId="77777777" w:rsidTr="003D4ACC">
        <w:trPr>
          <w:trHeight w:val="147"/>
        </w:trPr>
        <w:tc>
          <w:tcPr>
            <w:tcW w:w="1268" w:type="pct"/>
            <w:gridSpan w:val="2"/>
            <w:tcBorders>
              <w:bottom w:val="single" w:sz="4" w:space="0" w:color="auto"/>
            </w:tcBorders>
            <w:shd w:val="clear" w:color="auto" w:fill="auto"/>
          </w:tcPr>
          <w:p w14:paraId="5265FA79" w14:textId="77777777" w:rsidR="005A5138" w:rsidRPr="00F532CC" w:rsidRDefault="005A5138" w:rsidP="003D4ACC">
            <w:pPr>
              <w:jc w:val="left"/>
              <w:rPr>
                <w:rFonts w:ascii="Arial" w:hAnsi="Arial" w:cs="Arial"/>
              </w:rPr>
            </w:pPr>
            <w:r w:rsidRPr="00F532CC">
              <w:rPr>
                <w:rFonts w:ascii="Arial" w:hAnsi="Arial" w:cs="Arial"/>
              </w:rPr>
              <w:t>Other</w:t>
            </w:r>
            <w:r w:rsidRPr="0072155A">
              <w:rPr>
                <w:rFonts w:ascii="Arial" w:hAnsi="Arial" w:cs="Arial"/>
                <w:sz w:val="18"/>
                <w:szCs w:val="18"/>
                <w:vertAlign w:val="superscript"/>
              </w:rPr>
              <w:t>±±</w:t>
            </w:r>
          </w:p>
        </w:tc>
        <w:tc>
          <w:tcPr>
            <w:tcW w:w="549" w:type="pct"/>
            <w:gridSpan w:val="2"/>
            <w:tcBorders>
              <w:bottom w:val="single" w:sz="4" w:space="0" w:color="auto"/>
            </w:tcBorders>
            <w:shd w:val="clear" w:color="auto" w:fill="auto"/>
            <w:vAlign w:val="center"/>
          </w:tcPr>
          <w:p w14:paraId="2D46C33C" w14:textId="77777777" w:rsidR="005A5138" w:rsidRPr="00BF14E0" w:rsidDel="004B58E6" w:rsidRDefault="005A5138" w:rsidP="003D4ACC">
            <w:pPr>
              <w:jc w:val="right"/>
              <w:rPr>
                <w:rFonts w:ascii="Arial" w:hAnsi="Arial" w:cs="Arial"/>
                <w:highlight w:val="yellow"/>
              </w:rPr>
            </w:pPr>
            <w:r>
              <w:rPr>
                <w:rFonts w:ascii="Arial" w:hAnsi="Arial" w:cs="Arial"/>
                <w:color w:val="000000"/>
              </w:rPr>
              <w:t xml:space="preserve">15 </w:t>
            </w:r>
          </w:p>
        </w:tc>
        <w:tc>
          <w:tcPr>
            <w:tcW w:w="549" w:type="pct"/>
            <w:gridSpan w:val="2"/>
            <w:tcBorders>
              <w:bottom w:val="single" w:sz="4" w:space="0" w:color="auto"/>
            </w:tcBorders>
            <w:shd w:val="clear" w:color="auto" w:fill="auto"/>
            <w:vAlign w:val="center"/>
          </w:tcPr>
          <w:p w14:paraId="0EBC8F05" w14:textId="77777777" w:rsidR="005A5138" w:rsidRPr="0098740D" w:rsidRDefault="005A5138" w:rsidP="003D4ACC">
            <w:pPr>
              <w:jc w:val="right"/>
              <w:rPr>
                <w:rFonts w:ascii="Arial" w:hAnsi="Arial" w:cs="Arial"/>
              </w:rPr>
            </w:pPr>
            <w:r>
              <w:rPr>
                <w:rFonts w:ascii="Arial" w:hAnsi="Arial" w:cs="Arial"/>
                <w:color w:val="000000"/>
              </w:rPr>
              <w:t xml:space="preserve">10 </w:t>
            </w:r>
          </w:p>
        </w:tc>
        <w:tc>
          <w:tcPr>
            <w:tcW w:w="752" w:type="pct"/>
            <w:gridSpan w:val="5"/>
            <w:tcBorders>
              <w:bottom w:val="single" w:sz="4" w:space="0" w:color="auto"/>
            </w:tcBorders>
            <w:shd w:val="clear" w:color="auto" w:fill="auto"/>
            <w:vAlign w:val="center"/>
          </w:tcPr>
          <w:p w14:paraId="72C76B76" w14:textId="77777777" w:rsidR="005A5138" w:rsidRPr="00BF14E0" w:rsidDel="00B95E8C" w:rsidRDefault="005A5138" w:rsidP="003D4ACC">
            <w:pPr>
              <w:jc w:val="right"/>
              <w:rPr>
                <w:rFonts w:ascii="Arial" w:hAnsi="Arial" w:cs="Arial"/>
                <w:highlight w:val="yellow"/>
              </w:rPr>
            </w:pPr>
            <w:r>
              <w:rPr>
                <w:rFonts w:ascii="Arial" w:hAnsi="Arial" w:cs="Arial"/>
                <w:color w:val="000000"/>
              </w:rPr>
              <w:t>n/a</w:t>
            </w:r>
          </w:p>
        </w:tc>
        <w:tc>
          <w:tcPr>
            <w:tcW w:w="750" w:type="pct"/>
            <w:gridSpan w:val="6"/>
            <w:tcBorders>
              <w:bottom w:val="single" w:sz="4" w:space="0" w:color="auto"/>
            </w:tcBorders>
            <w:shd w:val="clear" w:color="auto" w:fill="auto"/>
            <w:vAlign w:val="center"/>
          </w:tcPr>
          <w:p w14:paraId="677273FE" w14:textId="77777777" w:rsidR="005A5138" w:rsidRPr="00BF14E0" w:rsidDel="00B95E8C" w:rsidRDefault="005A5138" w:rsidP="003D4ACC">
            <w:pPr>
              <w:jc w:val="right"/>
              <w:rPr>
                <w:rFonts w:ascii="Arial" w:hAnsi="Arial" w:cs="Arial"/>
                <w:highlight w:val="yellow"/>
              </w:rPr>
            </w:pPr>
            <w:r>
              <w:rPr>
                <w:rFonts w:ascii="Arial" w:hAnsi="Arial" w:cs="Arial"/>
                <w:color w:val="000000"/>
              </w:rPr>
              <w:t>n/a</w:t>
            </w:r>
          </w:p>
        </w:tc>
        <w:tc>
          <w:tcPr>
            <w:tcW w:w="575" w:type="pct"/>
            <w:gridSpan w:val="3"/>
            <w:tcBorders>
              <w:bottom w:val="single" w:sz="4" w:space="0" w:color="auto"/>
            </w:tcBorders>
            <w:shd w:val="clear" w:color="auto" w:fill="auto"/>
            <w:vAlign w:val="center"/>
          </w:tcPr>
          <w:p w14:paraId="2CD8C74B" w14:textId="77777777" w:rsidR="005A5138" w:rsidRPr="00BF14E0" w:rsidRDefault="005A5138" w:rsidP="003D4ACC">
            <w:pPr>
              <w:jc w:val="right"/>
              <w:rPr>
                <w:rFonts w:ascii="Arial" w:hAnsi="Arial" w:cs="Arial"/>
                <w:highlight w:val="yellow"/>
              </w:rPr>
            </w:pPr>
            <w:r>
              <w:rPr>
                <w:rFonts w:ascii="Arial" w:hAnsi="Arial" w:cs="Arial"/>
                <w:color w:val="000000"/>
              </w:rPr>
              <w:t>n/a</w:t>
            </w:r>
          </w:p>
        </w:tc>
        <w:tc>
          <w:tcPr>
            <w:tcW w:w="557" w:type="pct"/>
            <w:tcBorders>
              <w:bottom w:val="single" w:sz="4" w:space="0" w:color="auto"/>
            </w:tcBorders>
            <w:shd w:val="clear" w:color="auto" w:fill="auto"/>
            <w:vAlign w:val="center"/>
          </w:tcPr>
          <w:p w14:paraId="136250EE" w14:textId="77777777" w:rsidR="005A5138" w:rsidRPr="00BF14E0" w:rsidRDefault="005A5138" w:rsidP="003D4ACC">
            <w:pPr>
              <w:jc w:val="right"/>
              <w:rPr>
                <w:rFonts w:ascii="Arial" w:hAnsi="Arial" w:cs="Arial"/>
                <w:highlight w:val="yellow"/>
              </w:rPr>
            </w:pPr>
            <w:r>
              <w:rPr>
                <w:rFonts w:ascii="Arial" w:hAnsi="Arial" w:cs="Arial"/>
                <w:color w:val="000000"/>
              </w:rPr>
              <w:t>n/a</w:t>
            </w:r>
          </w:p>
        </w:tc>
      </w:tr>
      <w:tr w:rsidR="005A5138" w:rsidRPr="00375CE2" w14:paraId="286DEFFB" w14:textId="77777777" w:rsidTr="003D4ACC">
        <w:trPr>
          <w:trHeight w:val="147"/>
        </w:trPr>
        <w:tc>
          <w:tcPr>
            <w:tcW w:w="1268" w:type="pct"/>
            <w:gridSpan w:val="2"/>
            <w:tcBorders>
              <w:bottom w:val="single" w:sz="4" w:space="0" w:color="auto"/>
            </w:tcBorders>
            <w:shd w:val="clear" w:color="auto" w:fill="auto"/>
          </w:tcPr>
          <w:p w14:paraId="27EB1530" w14:textId="77777777" w:rsidR="005A5138" w:rsidRPr="00123D08" w:rsidRDefault="005A5138" w:rsidP="003D4ACC">
            <w:pPr>
              <w:jc w:val="left"/>
              <w:rPr>
                <w:rFonts w:ascii="Arial" w:hAnsi="Arial" w:cs="Arial"/>
                <w:b/>
              </w:rPr>
            </w:pPr>
            <w:r w:rsidRPr="00123D08">
              <w:rPr>
                <w:rFonts w:ascii="Arial" w:hAnsi="Arial" w:cs="Arial"/>
                <w:b/>
              </w:rPr>
              <w:t>Other International</w:t>
            </w:r>
          </w:p>
        </w:tc>
        <w:tc>
          <w:tcPr>
            <w:tcW w:w="549" w:type="pct"/>
            <w:gridSpan w:val="2"/>
            <w:tcBorders>
              <w:bottom w:val="single" w:sz="4" w:space="0" w:color="auto"/>
            </w:tcBorders>
            <w:shd w:val="clear" w:color="auto" w:fill="auto"/>
            <w:vAlign w:val="center"/>
          </w:tcPr>
          <w:p w14:paraId="0098979A" w14:textId="77777777" w:rsidR="005A5138" w:rsidRPr="00BF14E0" w:rsidRDefault="005A5138" w:rsidP="003D4ACC">
            <w:pPr>
              <w:jc w:val="right"/>
              <w:rPr>
                <w:rFonts w:ascii="Arial" w:hAnsi="Arial" w:cs="Arial"/>
                <w:b/>
                <w:bCs/>
                <w:highlight w:val="yellow"/>
              </w:rPr>
            </w:pPr>
            <w:r>
              <w:rPr>
                <w:rFonts w:ascii="Arial" w:hAnsi="Arial" w:cs="Arial"/>
                <w:b/>
                <w:bCs/>
                <w:color w:val="000000"/>
              </w:rPr>
              <w:t xml:space="preserve">2,407 </w:t>
            </w:r>
          </w:p>
        </w:tc>
        <w:tc>
          <w:tcPr>
            <w:tcW w:w="549" w:type="pct"/>
            <w:gridSpan w:val="2"/>
            <w:tcBorders>
              <w:bottom w:val="single" w:sz="4" w:space="0" w:color="auto"/>
            </w:tcBorders>
            <w:shd w:val="clear" w:color="auto" w:fill="auto"/>
            <w:vAlign w:val="center"/>
          </w:tcPr>
          <w:p w14:paraId="78FC9528" w14:textId="77777777" w:rsidR="005A5138" w:rsidRPr="0098740D" w:rsidRDefault="005A5138" w:rsidP="003D4ACC">
            <w:pPr>
              <w:jc w:val="right"/>
              <w:rPr>
                <w:rFonts w:ascii="Arial" w:hAnsi="Arial" w:cs="Arial"/>
                <w:b/>
                <w:bCs/>
              </w:rPr>
            </w:pPr>
            <w:r>
              <w:rPr>
                <w:rFonts w:ascii="Arial" w:hAnsi="Arial" w:cs="Arial"/>
                <w:b/>
                <w:bCs/>
                <w:color w:val="000000"/>
              </w:rPr>
              <w:t xml:space="preserve">2,180 </w:t>
            </w:r>
          </w:p>
        </w:tc>
        <w:tc>
          <w:tcPr>
            <w:tcW w:w="752" w:type="pct"/>
            <w:gridSpan w:val="5"/>
            <w:tcBorders>
              <w:bottom w:val="single" w:sz="4" w:space="0" w:color="auto"/>
            </w:tcBorders>
            <w:shd w:val="clear" w:color="auto" w:fill="auto"/>
            <w:vAlign w:val="center"/>
          </w:tcPr>
          <w:p w14:paraId="0CF311CD" w14:textId="77777777" w:rsidR="005A5138" w:rsidRPr="00BF14E0" w:rsidRDefault="005A5138" w:rsidP="003D4ACC">
            <w:pPr>
              <w:jc w:val="right"/>
              <w:rPr>
                <w:rFonts w:ascii="Arial" w:hAnsi="Arial" w:cs="Arial"/>
                <w:b/>
                <w:bCs/>
                <w:highlight w:val="yellow"/>
              </w:rPr>
            </w:pPr>
            <w:r>
              <w:rPr>
                <w:rFonts w:ascii="Arial" w:hAnsi="Arial" w:cs="Arial"/>
                <w:b/>
                <w:bCs/>
                <w:color w:val="000000"/>
              </w:rPr>
              <w:t>+10.4%</w:t>
            </w:r>
          </w:p>
        </w:tc>
        <w:tc>
          <w:tcPr>
            <w:tcW w:w="750" w:type="pct"/>
            <w:gridSpan w:val="6"/>
            <w:tcBorders>
              <w:bottom w:val="single" w:sz="4" w:space="0" w:color="auto"/>
            </w:tcBorders>
            <w:shd w:val="clear" w:color="auto" w:fill="auto"/>
            <w:vAlign w:val="center"/>
          </w:tcPr>
          <w:p w14:paraId="63FEA4A3" w14:textId="77777777" w:rsidR="005A5138" w:rsidRPr="00BF14E0" w:rsidRDefault="005A5138" w:rsidP="003D4ACC">
            <w:pPr>
              <w:jc w:val="right"/>
              <w:rPr>
                <w:rFonts w:ascii="Arial" w:hAnsi="Arial" w:cs="Arial"/>
                <w:b/>
                <w:bCs/>
                <w:highlight w:val="yellow"/>
              </w:rPr>
            </w:pPr>
            <w:r>
              <w:rPr>
                <w:rFonts w:ascii="Arial" w:hAnsi="Arial" w:cs="Arial"/>
                <w:b/>
                <w:bCs/>
                <w:color w:val="000000"/>
              </w:rPr>
              <w:t>+12.4%</w:t>
            </w:r>
          </w:p>
        </w:tc>
        <w:tc>
          <w:tcPr>
            <w:tcW w:w="575" w:type="pct"/>
            <w:gridSpan w:val="3"/>
            <w:tcBorders>
              <w:bottom w:val="single" w:sz="4" w:space="0" w:color="auto"/>
            </w:tcBorders>
            <w:shd w:val="clear" w:color="auto" w:fill="auto"/>
            <w:vAlign w:val="center"/>
          </w:tcPr>
          <w:p w14:paraId="3AFEDFC6" w14:textId="77777777" w:rsidR="005A5138" w:rsidRPr="00BF14E0" w:rsidRDefault="005A5138" w:rsidP="003D4ACC">
            <w:pPr>
              <w:jc w:val="right"/>
              <w:rPr>
                <w:rFonts w:ascii="Arial" w:hAnsi="Arial" w:cs="Arial"/>
                <w:b/>
                <w:bCs/>
                <w:highlight w:val="yellow"/>
              </w:rPr>
            </w:pPr>
            <w:r>
              <w:rPr>
                <w:rFonts w:ascii="Arial" w:hAnsi="Arial" w:cs="Arial"/>
                <w:b/>
                <w:bCs/>
                <w:color w:val="000000"/>
              </w:rPr>
              <w:t>+11.2%</w:t>
            </w:r>
          </w:p>
        </w:tc>
        <w:tc>
          <w:tcPr>
            <w:tcW w:w="557" w:type="pct"/>
            <w:tcBorders>
              <w:bottom w:val="single" w:sz="4" w:space="0" w:color="auto"/>
            </w:tcBorders>
            <w:shd w:val="clear" w:color="auto" w:fill="auto"/>
            <w:vAlign w:val="center"/>
          </w:tcPr>
          <w:p w14:paraId="5EDB919C" w14:textId="77777777" w:rsidR="005A5138" w:rsidRPr="00BF14E0" w:rsidRDefault="005A5138" w:rsidP="003D4ACC">
            <w:pPr>
              <w:jc w:val="right"/>
              <w:rPr>
                <w:rFonts w:ascii="Arial" w:hAnsi="Arial" w:cs="Arial"/>
                <w:b/>
                <w:bCs/>
                <w:highlight w:val="yellow"/>
              </w:rPr>
            </w:pPr>
            <w:r>
              <w:rPr>
                <w:rFonts w:ascii="Arial" w:hAnsi="Arial" w:cs="Arial"/>
                <w:b/>
                <w:bCs/>
                <w:color w:val="000000"/>
              </w:rPr>
              <w:t>+21.5%</w:t>
            </w:r>
          </w:p>
        </w:tc>
      </w:tr>
      <w:tr w:rsidR="005A5138" w:rsidRPr="00375CE2" w14:paraId="73D0EC76" w14:textId="77777777" w:rsidTr="003D4ACC">
        <w:trPr>
          <w:gridAfter w:val="2"/>
          <w:wAfter w:w="678" w:type="pct"/>
        </w:trPr>
        <w:tc>
          <w:tcPr>
            <w:tcW w:w="1234" w:type="pct"/>
            <w:tcBorders>
              <w:top w:val="nil"/>
              <w:left w:val="nil"/>
              <w:bottom w:val="single" w:sz="4" w:space="0" w:color="auto"/>
              <w:right w:val="nil"/>
            </w:tcBorders>
          </w:tcPr>
          <w:p w14:paraId="1C9C2FA6" w14:textId="77777777" w:rsidR="005A5138" w:rsidRPr="00E83051" w:rsidRDefault="005A5138" w:rsidP="003D4ACC">
            <w:pPr>
              <w:jc w:val="left"/>
              <w:rPr>
                <w:rFonts w:ascii="Arial" w:hAnsi="Arial" w:cs="Arial"/>
              </w:rPr>
            </w:pPr>
          </w:p>
        </w:tc>
        <w:tc>
          <w:tcPr>
            <w:tcW w:w="561" w:type="pct"/>
            <w:gridSpan w:val="2"/>
            <w:tcBorders>
              <w:top w:val="nil"/>
              <w:left w:val="nil"/>
              <w:bottom w:val="nil"/>
              <w:right w:val="nil"/>
            </w:tcBorders>
          </w:tcPr>
          <w:p w14:paraId="2EDCC760" w14:textId="77777777" w:rsidR="005A5138" w:rsidRPr="00375CE2" w:rsidRDefault="005A5138" w:rsidP="003D4ACC">
            <w:pPr>
              <w:jc w:val="left"/>
              <w:rPr>
                <w:rFonts w:ascii="Arial" w:hAnsi="Arial" w:cs="Arial"/>
                <w:highlight w:val="yellow"/>
              </w:rPr>
            </w:pPr>
          </w:p>
        </w:tc>
        <w:tc>
          <w:tcPr>
            <w:tcW w:w="571" w:type="pct"/>
            <w:gridSpan w:val="3"/>
            <w:tcBorders>
              <w:top w:val="nil"/>
              <w:left w:val="nil"/>
              <w:bottom w:val="nil"/>
              <w:right w:val="nil"/>
            </w:tcBorders>
          </w:tcPr>
          <w:p w14:paraId="66D98012" w14:textId="77777777" w:rsidR="005A5138" w:rsidRPr="00375CE2" w:rsidRDefault="005A5138" w:rsidP="003D4ACC">
            <w:pPr>
              <w:jc w:val="left"/>
              <w:rPr>
                <w:rFonts w:ascii="Arial" w:hAnsi="Arial" w:cs="Arial"/>
                <w:highlight w:val="yellow"/>
              </w:rPr>
            </w:pPr>
          </w:p>
        </w:tc>
        <w:tc>
          <w:tcPr>
            <w:tcW w:w="652" w:type="pct"/>
            <w:gridSpan w:val="3"/>
            <w:tcBorders>
              <w:top w:val="nil"/>
              <w:left w:val="nil"/>
              <w:bottom w:val="nil"/>
              <w:right w:val="nil"/>
            </w:tcBorders>
          </w:tcPr>
          <w:p w14:paraId="41131658" w14:textId="77777777" w:rsidR="005A5138" w:rsidRPr="00375CE2" w:rsidRDefault="005A5138" w:rsidP="003D4ACC">
            <w:pPr>
              <w:jc w:val="left"/>
              <w:rPr>
                <w:rFonts w:ascii="Arial" w:hAnsi="Arial" w:cs="Arial"/>
                <w:highlight w:val="yellow"/>
              </w:rPr>
            </w:pPr>
          </w:p>
        </w:tc>
        <w:tc>
          <w:tcPr>
            <w:tcW w:w="652" w:type="pct"/>
            <w:gridSpan w:val="5"/>
            <w:tcBorders>
              <w:top w:val="nil"/>
              <w:left w:val="nil"/>
              <w:bottom w:val="nil"/>
              <w:right w:val="nil"/>
            </w:tcBorders>
          </w:tcPr>
          <w:p w14:paraId="144D05B6" w14:textId="77777777" w:rsidR="005A5138" w:rsidRPr="00375CE2" w:rsidRDefault="005A5138" w:rsidP="003D4ACC">
            <w:pPr>
              <w:jc w:val="left"/>
              <w:rPr>
                <w:rFonts w:ascii="Arial" w:hAnsi="Arial" w:cs="Arial"/>
                <w:highlight w:val="yellow"/>
              </w:rPr>
            </w:pPr>
          </w:p>
        </w:tc>
        <w:tc>
          <w:tcPr>
            <w:tcW w:w="652" w:type="pct"/>
            <w:gridSpan w:val="5"/>
            <w:tcBorders>
              <w:top w:val="nil"/>
              <w:left w:val="nil"/>
              <w:bottom w:val="nil"/>
              <w:right w:val="nil"/>
            </w:tcBorders>
          </w:tcPr>
          <w:p w14:paraId="69E0E57D" w14:textId="77777777" w:rsidR="005A5138" w:rsidRPr="00375CE2" w:rsidRDefault="005A5138" w:rsidP="003D4ACC">
            <w:pPr>
              <w:jc w:val="left"/>
              <w:rPr>
                <w:rFonts w:ascii="Arial" w:hAnsi="Arial" w:cs="Arial"/>
                <w:highlight w:val="yellow"/>
              </w:rPr>
            </w:pPr>
          </w:p>
        </w:tc>
      </w:tr>
      <w:tr w:rsidR="005A5138" w:rsidRPr="00375CE2" w14:paraId="4EE13345" w14:textId="77777777" w:rsidTr="003D4ACC">
        <w:trPr>
          <w:gridAfter w:val="5"/>
          <w:wAfter w:w="1151" w:type="pct"/>
        </w:trPr>
        <w:tc>
          <w:tcPr>
            <w:tcW w:w="1268" w:type="pct"/>
            <w:gridSpan w:val="2"/>
            <w:tcBorders>
              <w:top w:val="single" w:sz="4" w:space="0" w:color="auto"/>
              <w:right w:val="single" w:sz="4" w:space="0" w:color="auto"/>
            </w:tcBorders>
          </w:tcPr>
          <w:p w14:paraId="310C54F8" w14:textId="77777777" w:rsidR="005A5138" w:rsidRPr="005A48A0" w:rsidRDefault="005A5138" w:rsidP="003D4ACC">
            <w:pPr>
              <w:jc w:val="left"/>
              <w:rPr>
                <w:rFonts w:ascii="Arial" w:hAnsi="Arial" w:cs="Arial"/>
                <w:b/>
                <w:bCs/>
              </w:rPr>
            </w:pPr>
            <w:r w:rsidRPr="005A48A0">
              <w:rPr>
                <w:rFonts w:ascii="Arial" w:hAnsi="Arial" w:cs="Arial"/>
                <w:b/>
                <w:bCs/>
              </w:rPr>
              <w:t>Retail profit</w:t>
            </w:r>
            <w:r>
              <w:rPr>
                <w:rFonts w:ascii="Arial" w:hAnsi="Arial" w:cs="Arial"/>
                <w:b/>
                <w:bCs/>
              </w:rPr>
              <w:t xml:space="preserve"> (£m)</w:t>
            </w:r>
          </w:p>
        </w:tc>
        <w:tc>
          <w:tcPr>
            <w:tcW w:w="561" w:type="pct"/>
            <w:gridSpan w:val="3"/>
            <w:tcBorders>
              <w:top w:val="nil"/>
              <w:left w:val="single" w:sz="4" w:space="0" w:color="auto"/>
              <w:bottom w:val="single" w:sz="4" w:space="0" w:color="auto"/>
              <w:right w:val="nil"/>
            </w:tcBorders>
          </w:tcPr>
          <w:p w14:paraId="4124695D" w14:textId="77777777" w:rsidR="005A5138" w:rsidRPr="00375CE2" w:rsidRDefault="005A5138" w:rsidP="003D4ACC">
            <w:pPr>
              <w:jc w:val="right"/>
              <w:rPr>
                <w:rFonts w:ascii="Arial" w:hAnsi="Arial" w:cs="Arial"/>
                <w:highlight w:val="yellow"/>
              </w:rPr>
            </w:pPr>
          </w:p>
        </w:tc>
        <w:tc>
          <w:tcPr>
            <w:tcW w:w="564" w:type="pct"/>
            <w:gridSpan w:val="2"/>
            <w:tcBorders>
              <w:top w:val="nil"/>
              <w:left w:val="nil"/>
              <w:bottom w:val="single" w:sz="4" w:space="0" w:color="auto"/>
              <w:right w:val="nil"/>
            </w:tcBorders>
          </w:tcPr>
          <w:p w14:paraId="2CEAE243" w14:textId="77777777" w:rsidR="005A5138" w:rsidRPr="00375CE2" w:rsidRDefault="005A5138" w:rsidP="003D4ACC">
            <w:pPr>
              <w:jc w:val="right"/>
              <w:rPr>
                <w:rFonts w:ascii="Arial" w:hAnsi="Arial" w:cs="Arial"/>
                <w:highlight w:val="yellow"/>
              </w:rPr>
            </w:pPr>
          </w:p>
        </w:tc>
        <w:tc>
          <w:tcPr>
            <w:tcW w:w="728" w:type="pct"/>
            <w:gridSpan w:val="5"/>
            <w:tcBorders>
              <w:top w:val="nil"/>
              <w:left w:val="nil"/>
              <w:bottom w:val="single" w:sz="4" w:space="0" w:color="auto"/>
              <w:right w:val="nil"/>
            </w:tcBorders>
            <w:shd w:val="clear" w:color="auto" w:fill="auto"/>
          </w:tcPr>
          <w:p w14:paraId="49F6F723" w14:textId="77777777" w:rsidR="005A5138" w:rsidRPr="00375CE2" w:rsidRDefault="005A5138" w:rsidP="003D4ACC">
            <w:pPr>
              <w:jc w:val="right"/>
              <w:rPr>
                <w:rFonts w:ascii="Arial" w:hAnsi="Arial" w:cs="Arial"/>
                <w:highlight w:val="yellow"/>
              </w:rPr>
            </w:pPr>
          </w:p>
        </w:tc>
        <w:tc>
          <w:tcPr>
            <w:tcW w:w="728" w:type="pct"/>
            <w:gridSpan w:val="4"/>
            <w:tcBorders>
              <w:top w:val="nil"/>
              <w:left w:val="nil"/>
              <w:bottom w:val="single" w:sz="4" w:space="0" w:color="auto"/>
              <w:right w:val="nil"/>
            </w:tcBorders>
          </w:tcPr>
          <w:p w14:paraId="2273C88B" w14:textId="77777777" w:rsidR="005A5138" w:rsidRPr="00375CE2" w:rsidRDefault="005A5138" w:rsidP="003D4ACC">
            <w:pPr>
              <w:jc w:val="right"/>
              <w:rPr>
                <w:rFonts w:ascii="Arial" w:hAnsi="Arial" w:cs="Arial"/>
                <w:highlight w:val="yellow"/>
              </w:rPr>
            </w:pPr>
          </w:p>
        </w:tc>
      </w:tr>
      <w:tr w:rsidR="005A5138" w:rsidRPr="00375CE2" w14:paraId="56B90E5B" w14:textId="77777777" w:rsidTr="003D4ACC">
        <w:trPr>
          <w:gridAfter w:val="3"/>
          <w:wAfter w:w="1129" w:type="pct"/>
        </w:trPr>
        <w:tc>
          <w:tcPr>
            <w:tcW w:w="1268" w:type="pct"/>
            <w:gridSpan w:val="2"/>
            <w:tcBorders>
              <w:top w:val="single" w:sz="4" w:space="0" w:color="auto"/>
            </w:tcBorders>
          </w:tcPr>
          <w:p w14:paraId="3078AF71" w14:textId="77777777" w:rsidR="005A5138" w:rsidRPr="000278B9" w:rsidRDefault="005A5138" w:rsidP="003D4ACC">
            <w:pPr>
              <w:jc w:val="left"/>
              <w:rPr>
                <w:rFonts w:ascii="Arial" w:hAnsi="Arial" w:cs="Arial"/>
                <w:bCs/>
              </w:rPr>
            </w:pPr>
            <w:r w:rsidRPr="000278B9">
              <w:rPr>
                <w:rFonts w:ascii="Arial" w:hAnsi="Arial" w:cs="Arial"/>
              </w:rPr>
              <w:t>Poland</w:t>
            </w:r>
          </w:p>
        </w:tc>
        <w:tc>
          <w:tcPr>
            <w:tcW w:w="549" w:type="pct"/>
            <w:gridSpan w:val="2"/>
            <w:tcBorders>
              <w:top w:val="single" w:sz="4" w:space="0" w:color="auto"/>
            </w:tcBorders>
          </w:tcPr>
          <w:p w14:paraId="20EF3F92" w14:textId="77777777" w:rsidR="005A5138" w:rsidRPr="007B35A5" w:rsidRDefault="005A5138" w:rsidP="003D4ACC">
            <w:pPr>
              <w:jc w:val="right"/>
              <w:rPr>
                <w:rFonts w:ascii="Arial" w:hAnsi="Arial" w:cs="Arial"/>
              </w:rPr>
            </w:pPr>
            <w:r w:rsidRPr="007B35A5">
              <w:rPr>
                <w:rFonts w:ascii="Arial" w:hAnsi="Arial" w:cs="Arial"/>
              </w:rPr>
              <w:t>148</w:t>
            </w:r>
          </w:p>
        </w:tc>
        <w:tc>
          <w:tcPr>
            <w:tcW w:w="549" w:type="pct"/>
            <w:gridSpan w:val="2"/>
            <w:tcBorders>
              <w:top w:val="single" w:sz="4" w:space="0" w:color="auto"/>
            </w:tcBorders>
          </w:tcPr>
          <w:p w14:paraId="15667C63" w14:textId="77777777" w:rsidR="005A5138" w:rsidRPr="000F790F" w:rsidRDefault="005A5138" w:rsidP="003D4ACC">
            <w:pPr>
              <w:jc w:val="right"/>
              <w:rPr>
                <w:rFonts w:ascii="Arial" w:hAnsi="Arial" w:cs="Arial"/>
                <w:highlight w:val="yellow"/>
              </w:rPr>
            </w:pPr>
            <w:r w:rsidRPr="00EA7C0B">
              <w:rPr>
                <w:rFonts w:ascii="Arial" w:hAnsi="Arial" w:cs="Arial"/>
              </w:rPr>
              <w:t>135</w:t>
            </w:r>
          </w:p>
        </w:tc>
        <w:tc>
          <w:tcPr>
            <w:tcW w:w="755" w:type="pct"/>
            <w:gridSpan w:val="6"/>
            <w:tcBorders>
              <w:top w:val="single" w:sz="4" w:space="0" w:color="auto"/>
            </w:tcBorders>
            <w:shd w:val="clear" w:color="auto" w:fill="auto"/>
          </w:tcPr>
          <w:p w14:paraId="17BEAC39" w14:textId="3D3E0836" w:rsidR="005A5138" w:rsidRPr="007B35A5" w:rsidRDefault="005A5138" w:rsidP="003D4ACC">
            <w:pPr>
              <w:jc w:val="right"/>
              <w:rPr>
                <w:rFonts w:ascii="Arial" w:hAnsi="Arial" w:cs="Arial"/>
              </w:rPr>
            </w:pPr>
            <w:r w:rsidRPr="007B35A5">
              <w:rPr>
                <w:rFonts w:ascii="Arial" w:hAnsi="Arial" w:cs="Arial"/>
              </w:rPr>
              <w:t>+9.</w:t>
            </w:r>
            <w:r w:rsidR="002947FC">
              <w:rPr>
                <w:rFonts w:ascii="Arial" w:hAnsi="Arial" w:cs="Arial"/>
              </w:rPr>
              <w:t>4</w:t>
            </w:r>
            <w:r w:rsidRPr="007B35A5">
              <w:rPr>
                <w:rFonts w:ascii="Arial" w:hAnsi="Arial" w:cs="Arial"/>
              </w:rPr>
              <w:t>%</w:t>
            </w:r>
          </w:p>
        </w:tc>
        <w:tc>
          <w:tcPr>
            <w:tcW w:w="750" w:type="pct"/>
            <w:gridSpan w:val="6"/>
            <w:tcBorders>
              <w:top w:val="single" w:sz="4" w:space="0" w:color="auto"/>
            </w:tcBorders>
          </w:tcPr>
          <w:p w14:paraId="08E1BA69" w14:textId="0FCDD065" w:rsidR="005A5138" w:rsidRPr="007B35A5" w:rsidRDefault="005A5138" w:rsidP="003D4ACC">
            <w:pPr>
              <w:jc w:val="right"/>
              <w:rPr>
                <w:rFonts w:ascii="Arial" w:hAnsi="Arial" w:cs="Arial"/>
              </w:rPr>
            </w:pPr>
            <w:r w:rsidRPr="007B35A5">
              <w:rPr>
                <w:rFonts w:ascii="Arial" w:hAnsi="Arial" w:cs="Arial"/>
              </w:rPr>
              <w:t>+12.</w:t>
            </w:r>
            <w:r w:rsidR="002947FC">
              <w:rPr>
                <w:rFonts w:ascii="Arial" w:hAnsi="Arial" w:cs="Arial"/>
              </w:rPr>
              <w:t>4</w:t>
            </w:r>
            <w:r w:rsidRPr="007B35A5">
              <w:rPr>
                <w:rFonts w:ascii="Arial" w:hAnsi="Arial" w:cs="Arial"/>
              </w:rPr>
              <w:t>%</w:t>
            </w:r>
          </w:p>
        </w:tc>
      </w:tr>
      <w:tr w:rsidR="005A5138" w:rsidRPr="00375CE2" w14:paraId="3C97FB08" w14:textId="77777777" w:rsidTr="003D4ACC">
        <w:trPr>
          <w:gridAfter w:val="3"/>
          <w:wAfter w:w="1129" w:type="pct"/>
        </w:trPr>
        <w:tc>
          <w:tcPr>
            <w:tcW w:w="1268" w:type="pct"/>
            <w:gridSpan w:val="2"/>
            <w:tcBorders>
              <w:top w:val="single" w:sz="4" w:space="0" w:color="auto"/>
            </w:tcBorders>
          </w:tcPr>
          <w:p w14:paraId="1468AC73" w14:textId="77777777" w:rsidR="005A5138" w:rsidRDefault="005A5138" w:rsidP="003D4ACC">
            <w:pPr>
              <w:jc w:val="left"/>
              <w:rPr>
                <w:rFonts w:ascii="Arial" w:hAnsi="Arial" w:cs="Arial"/>
              </w:rPr>
            </w:pPr>
            <w:r>
              <w:rPr>
                <w:rFonts w:ascii="Arial" w:hAnsi="Arial" w:cs="Arial"/>
              </w:rPr>
              <w:t>Iberia</w:t>
            </w:r>
          </w:p>
        </w:tc>
        <w:tc>
          <w:tcPr>
            <w:tcW w:w="549" w:type="pct"/>
            <w:gridSpan w:val="2"/>
            <w:tcBorders>
              <w:top w:val="single" w:sz="4" w:space="0" w:color="auto"/>
            </w:tcBorders>
          </w:tcPr>
          <w:p w14:paraId="0EAC8721" w14:textId="77777777" w:rsidR="005A5138" w:rsidRPr="007B35A5" w:rsidRDefault="005A5138" w:rsidP="003D4ACC">
            <w:pPr>
              <w:jc w:val="right"/>
              <w:rPr>
                <w:rFonts w:ascii="Arial" w:hAnsi="Arial" w:cs="Arial"/>
              </w:rPr>
            </w:pPr>
            <w:r w:rsidRPr="007B35A5">
              <w:rPr>
                <w:rFonts w:ascii="Arial" w:hAnsi="Arial" w:cs="Arial"/>
              </w:rPr>
              <w:t>9</w:t>
            </w:r>
          </w:p>
        </w:tc>
        <w:tc>
          <w:tcPr>
            <w:tcW w:w="549" w:type="pct"/>
            <w:gridSpan w:val="2"/>
            <w:tcBorders>
              <w:top w:val="single" w:sz="4" w:space="0" w:color="auto"/>
            </w:tcBorders>
          </w:tcPr>
          <w:p w14:paraId="0BC8BE2E" w14:textId="77777777" w:rsidR="005A5138" w:rsidRPr="000F790F" w:rsidRDefault="005A5138" w:rsidP="003D4ACC">
            <w:pPr>
              <w:jc w:val="right"/>
              <w:rPr>
                <w:rFonts w:ascii="Arial" w:hAnsi="Arial" w:cs="Arial"/>
                <w:highlight w:val="yellow"/>
              </w:rPr>
            </w:pPr>
            <w:r w:rsidRPr="00EA7C0B">
              <w:rPr>
                <w:rFonts w:ascii="Arial" w:hAnsi="Arial" w:cs="Arial"/>
              </w:rPr>
              <w:t>1</w:t>
            </w:r>
            <w:r>
              <w:rPr>
                <w:rFonts w:ascii="Arial" w:hAnsi="Arial" w:cs="Arial"/>
              </w:rPr>
              <w:t>2</w:t>
            </w:r>
          </w:p>
        </w:tc>
        <w:tc>
          <w:tcPr>
            <w:tcW w:w="755" w:type="pct"/>
            <w:gridSpan w:val="6"/>
            <w:tcBorders>
              <w:top w:val="single" w:sz="4" w:space="0" w:color="auto"/>
            </w:tcBorders>
            <w:shd w:val="clear" w:color="auto" w:fill="auto"/>
          </w:tcPr>
          <w:p w14:paraId="2F349F3D" w14:textId="77777777" w:rsidR="005A5138" w:rsidRPr="007B35A5" w:rsidRDefault="005A5138" w:rsidP="003D4ACC">
            <w:pPr>
              <w:jc w:val="right"/>
              <w:rPr>
                <w:rFonts w:ascii="Arial" w:hAnsi="Arial" w:cs="Arial"/>
              </w:rPr>
            </w:pPr>
            <w:r w:rsidRPr="007B35A5">
              <w:rPr>
                <w:rFonts w:ascii="Arial" w:hAnsi="Arial" w:cs="Arial"/>
              </w:rPr>
              <w:t>(27.9)%</w:t>
            </w:r>
          </w:p>
        </w:tc>
        <w:tc>
          <w:tcPr>
            <w:tcW w:w="750" w:type="pct"/>
            <w:gridSpan w:val="6"/>
            <w:tcBorders>
              <w:top w:val="single" w:sz="4" w:space="0" w:color="auto"/>
            </w:tcBorders>
          </w:tcPr>
          <w:p w14:paraId="10CDA74D" w14:textId="77777777" w:rsidR="005A5138" w:rsidRPr="007B35A5" w:rsidRDefault="005A5138" w:rsidP="003D4ACC">
            <w:pPr>
              <w:jc w:val="right"/>
              <w:rPr>
                <w:rFonts w:ascii="Arial" w:hAnsi="Arial" w:cs="Arial"/>
              </w:rPr>
            </w:pPr>
            <w:r w:rsidRPr="007B35A5">
              <w:rPr>
                <w:rFonts w:ascii="Arial" w:hAnsi="Arial" w:cs="Arial"/>
              </w:rPr>
              <w:t>(28.0)%</w:t>
            </w:r>
          </w:p>
        </w:tc>
      </w:tr>
      <w:tr w:rsidR="005A5138" w:rsidRPr="00375CE2" w14:paraId="275F51C9" w14:textId="77777777" w:rsidTr="003D4ACC">
        <w:trPr>
          <w:gridAfter w:val="3"/>
          <w:wAfter w:w="1129" w:type="pct"/>
        </w:trPr>
        <w:tc>
          <w:tcPr>
            <w:tcW w:w="1268" w:type="pct"/>
            <w:gridSpan w:val="2"/>
            <w:tcBorders>
              <w:top w:val="single" w:sz="4" w:space="0" w:color="auto"/>
            </w:tcBorders>
          </w:tcPr>
          <w:p w14:paraId="2D863561" w14:textId="77777777" w:rsidR="005A5138" w:rsidRPr="000278B9" w:rsidRDefault="005A5138" w:rsidP="003D4ACC">
            <w:pPr>
              <w:jc w:val="left"/>
              <w:rPr>
                <w:rFonts w:ascii="Arial" w:hAnsi="Arial" w:cs="Arial"/>
              </w:rPr>
            </w:pPr>
            <w:r>
              <w:rPr>
                <w:rFonts w:ascii="Arial" w:hAnsi="Arial" w:cs="Arial"/>
              </w:rPr>
              <w:t>Romania</w:t>
            </w:r>
            <w:r w:rsidRPr="0072155A">
              <w:rPr>
                <w:rFonts w:ascii="Arial" w:hAnsi="Arial" w:cs="Arial"/>
                <w:sz w:val="18"/>
                <w:szCs w:val="18"/>
                <w:vertAlign w:val="superscript"/>
              </w:rPr>
              <w:t>±</w:t>
            </w:r>
          </w:p>
        </w:tc>
        <w:tc>
          <w:tcPr>
            <w:tcW w:w="549" w:type="pct"/>
            <w:gridSpan w:val="2"/>
            <w:tcBorders>
              <w:top w:val="single" w:sz="4" w:space="0" w:color="auto"/>
            </w:tcBorders>
          </w:tcPr>
          <w:p w14:paraId="10BA8B0E" w14:textId="77777777" w:rsidR="005A5138" w:rsidRPr="007B35A5" w:rsidRDefault="005A5138" w:rsidP="003D4ACC">
            <w:pPr>
              <w:jc w:val="right"/>
              <w:rPr>
                <w:rFonts w:ascii="Arial" w:hAnsi="Arial" w:cs="Arial"/>
              </w:rPr>
            </w:pPr>
            <w:r w:rsidRPr="007B35A5">
              <w:rPr>
                <w:rFonts w:ascii="Arial" w:hAnsi="Arial" w:cs="Arial"/>
              </w:rPr>
              <w:t>(10)</w:t>
            </w:r>
          </w:p>
        </w:tc>
        <w:tc>
          <w:tcPr>
            <w:tcW w:w="549" w:type="pct"/>
            <w:gridSpan w:val="2"/>
            <w:tcBorders>
              <w:top w:val="single" w:sz="4" w:space="0" w:color="auto"/>
            </w:tcBorders>
          </w:tcPr>
          <w:p w14:paraId="5F755021" w14:textId="77777777" w:rsidR="005A5138" w:rsidRPr="000F790F" w:rsidRDefault="005A5138" w:rsidP="003D4ACC">
            <w:pPr>
              <w:jc w:val="right"/>
              <w:rPr>
                <w:rFonts w:ascii="Arial" w:hAnsi="Arial" w:cs="Arial"/>
                <w:highlight w:val="yellow"/>
              </w:rPr>
            </w:pPr>
            <w:r w:rsidRPr="00EA7C0B">
              <w:rPr>
                <w:rFonts w:ascii="Arial" w:hAnsi="Arial" w:cs="Arial"/>
              </w:rPr>
              <w:t>(11)</w:t>
            </w:r>
          </w:p>
        </w:tc>
        <w:tc>
          <w:tcPr>
            <w:tcW w:w="755" w:type="pct"/>
            <w:gridSpan w:val="6"/>
            <w:tcBorders>
              <w:top w:val="single" w:sz="4" w:space="0" w:color="auto"/>
            </w:tcBorders>
            <w:shd w:val="clear" w:color="auto" w:fill="auto"/>
          </w:tcPr>
          <w:p w14:paraId="328FFD19" w14:textId="77777777" w:rsidR="005A5138" w:rsidRPr="007B35A5" w:rsidRDefault="005A5138" w:rsidP="003D4ACC">
            <w:pPr>
              <w:jc w:val="right"/>
              <w:rPr>
                <w:rFonts w:ascii="Arial" w:hAnsi="Arial" w:cs="Arial"/>
              </w:rPr>
            </w:pPr>
            <w:r w:rsidRPr="007B35A5">
              <w:rPr>
                <w:rFonts w:ascii="Arial" w:hAnsi="Arial" w:cs="Arial"/>
              </w:rPr>
              <w:t>+7.3%</w:t>
            </w:r>
          </w:p>
        </w:tc>
        <w:tc>
          <w:tcPr>
            <w:tcW w:w="750" w:type="pct"/>
            <w:gridSpan w:val="6"/>
            <w:tcBorders>
              <w:top w:val="single" w:sz="4" w:space="0" w:color="auto"/>
            </w:tcBorders>
          </w:tcPr>
          <w:p w14:paraId="58ED6C44" w14:textId="77777777" w:rsidR="005A5138" w:rsidRPr="007B35A5" w:rsidRDefault="005A5138" w:rsidP="003D4ACC">
            <w:pPr>
              <w:jc w:val="right"/>
              <w:rPr>
                <w:rFonts w:ascii="Arial" w:hAnsi="Arial" w:cs="Arial"/>
              </w:rPr>
            </w:pPr>
            <w:r w:rsidRPr="007B35A5">
              <w:rPr>
                <w:rFonts w:ascii="Arial" w:hAnsi="Arial" w:cs="Arial"/>
              </w:rPr>
              <w:t>+7.4%</w:t>
            </w:r>
          </w:p>
        </w:tc>
      </w:tr>
      <w:tr w:rsidR="005A5138" w:rsidRPr="00375CE2" w14:paraId="75D172FC" w14:textId="77777777" w:rsidTr="003D4ACC">
        <w:trPr>
          <w:gridAfter w:val="3"/>
          <w:wAfter w:w="1129" w:type="pct"/>
        </w:trPr>
        <w:tc>
          <w:tcPr>
            <w:tcW w:w="1268" w:type="pct"/>
            <w:gridSpan w:val="2"/>
            <w:tcBorders>
              <w:top w:val="single" w:sz="4" w:space="0" w:color="auto"/>
              <w:bottom w:val="single" w:sz="4" w:space="0" w:color="auto"/>
            </w:tcBorders>
          </w:tcPr>
          <w:p w14:paraId="0ED140C6" w14:textId="77777777" w:rsidR="005A5138" w:rsidRPr="00F532CC" w:rsidRDefault="005A5138" w:rsidP="003D4ACC">
            <w:pPr>
              <w:jc w:val="left"/>
              <w:rPr>
                <w:rFonts w:ascii="Arial" w:hAnsi="Arial" w:cs="Arial"/>
              </w:rPr>
            </w:pPr>
            <w:r w:rsidRPr="00F532CC">
              <w:rPr>
                <w:rFonts w:ascii="Arial" w:hAnsi="Arial" w:cs="Arial"/>
              </w:rPr>
              <w:t>Other</w:t>
            </w:r>
            <w:r w:rsidRPr="0072155A">
              <w:rPr>
                <w:rFonts w:ascii="Arial" w:hAnsi="Arial" w:cs="Arial"/>
                <w:sz w:val="18"/>
                <w:szCs w:val="18"/>
                <w:vertAlign w:val="superscript"/>
              </w:rPr>
              <w:t>±±</w:t>
            </w:r>
          </w:p>
        </w:tc>
        <w:tc>
          <w:tcPr>
            <w:tcW w:w="549" w:type="pct"/>
            <w:gridSpan w:val="2"/>
            <w:tcBorders>
              <w:top w:val="single" w:sz="4" w:space="0" w:color="auto"/>
              <w:bottom w:val="single" w:sz="4" w:space="0" w:color="auto"/>
            </w:tcBorders>
          </w:tcPr>
          <w:p w14:paraId="0CAE9A9D" w14:textId="77777777" w:rsidR="005A5138" w:rsidRPr="007B35A5" w:rsidDel="00B95E8C" w:rsidRDefault="005A5138" w:rsidP="003D4ACC">
            <w:pPr>
              <w:jc w:val="right"/>
              <w:rPr>
                <w:rFonts w:ascii="Arial" w:hAnsi="Arial" w:cs="Arial"/>
              </w:rPr>
            </w:pPr>
            <w:r w:rsidRPr="007B35A5">
              <w:rPr>
                <w:rFonts w:ascii="Arial" w:hAnsi="Arial" w:cs="Arial"/>
              </w:rPr>
              <w:t>(3</w:t>
            </w:r>
            <w:r>
              <w:rPr>
                <w:rFonts w:ascii="Arial" w:hAnsi="Arial" w:cs="Arial"/>
              </w:rPr>
              <w:t>0</w:t>
            </w:r>
            <w:r w:rsidRPr="007B35A5">
              <w:rPr>
                <w:rFonts w:ascii="Arial" w:hAnsi="Arial" w:cs="Arial"/>
              </w:rPr>
              <w:t>)</w:t>
            </w:r>
          </w:p>
        </w:tc>
        <w:tc>
          <w:tcPr>
            <w:tcW w:w="549" w:type="pct"/>
            <w:gridSpan w:val="2"/>
            <w:tcBorders>
              <w:top w:val="single" w:sz="4" w:space="0" w:color="auto"/>
              <w:bottom w:val="single" w:sz="4" w:space="0" w:color="auto"/>
            </w:tcBorders>
          </w:tcPr>
          <w:p w14:paraId="216E32BB" w14:textId="77777777" w:rsidR="005A5138" w:rsidRPr="000F790F" w:rsidRDefault="005A5138" w:rsidP="003D4ACC">
            <w:pPr>
              <w:jc w:val="right"/>
              <w:rPr>
                <w:rFonts w:ascii="Arial" w:hAnsi="Arial" w:cs="Arial"/>
                <w:highlight w:val="yellow"/>
              </w:rPr>
            </w:pPr>
            <w:r w:rsidRPr="00EA7C0B">
              <w:rPr>
                <w:rFonts w:ascii="Arial" w:hAnsi="Arial" w:cs="Arial"/>
              </w:rPr>
              <w:t>(10)</w:t>
            </w:r>
          </w:p>
        </w:tc>
        <w:tc>
          <w:tcPr>
            <w:tcW w:w="755" w:type="pct"/>
            <w:gridSpan w:val="6"/>
            <w:tcBorders>
              <w:top w:val="single" w:sz="4" w:space="0" w:color="auto"/>
              <w:bottom w:val="single" w:sz="4" w:space="0" w:color="auto"/>
            </w:tcBorders>
            <w:vAlign w:val="center"/>
          </w:tcPr>
          <w:p w14:paraId="1B9D0488" w14:textId="77777777" w:rsidR="005A5138" w:rsidRPr="007B35A5" w:rsidDel="0034775C" w:rsidRDefault="005A5138" w:rsidP="003D4ACC">
            <w:pPr>
              <w:jc w:val="right"/>
              <w:rPr>
                <w:rFonts w:ascii="Arial" w:hAnsi="Arial" w:cs="Arial"/>
              </w:rPr>
            </w:pPr>
            <w:r w:rsidRPr="007B35A5">
              <w:rPr>
                <w:rFonts w:ascii="Arial" w:hAnsi="Arial" w:cs="Arial"/>
              </w:rPr>
              <w:t>n/a</w:t>
            </w:r>
          </w:p>
        </w:tc>
        <w:tc>
          <w:tcPr>
            <w:tcW w:w="750" w:type="pct"/>
            <w:gridSpan w:val="6"/>
            <w:tcBorders>
              <w:top w:val="single" w:sz="4" w:space="0" w:color="auto"/>
              <w:bottom w:val="single" w:sz="4" w:space="0" w:color="auto"/>
            </w:tcBorders>
            <w:vAlign w:val="center"/>
          </w:tcPr>
          <w:p w14:paraId="71C38BA7" w14:textId="77777777" w:rsidR="005A5138" w:rsidRPr="007B35A5" w:rsidDel="0034775C" w:rsidRDefault="005A5138" w:rsidP="003D4ACC">
            <w:pPr>
              <w:jc w:val="right"/>
              <w:rPr>
                <w:rFonts w:ascii="Arial" w:hAnsi="Arial" w:cs="Arial"/>
              </w:rPr>
            </w:pPr>
            <w:r w:rsidRPr="007B35A5">
              <w:rPr>
                <w:rFonts w:ascii="Arial" w:hAnsi="Arial" w:cs="Arial"/>
              </w:rPr>
              <w:t>n/a</w:t>
            </w:r>
          </w:p>
        </w:tc>
      </w:tr>
      <w:tr w:rsidR="005A5138" w:rsidRPr="00375CE2" w14:paraId="54CF8E94" w14:textId="77777777" w:rsidTr="003D4ACC">
        <w:trPr>
          <w:gridAfter w:val="3"/>
          <w:wAfter w:w="1129" w:type="pct"/>
        </w:trPr>
        <w:tc>
          <w:tcPr>
            <w:tcW w:w="1268" w:type="pct"/>
            <w:gridSpan w:val="2"/>
            <w:tcBorders>
              <w:top w:val="single" w:sz="4" w:space="0" w:color="auto"/>
              <w:bottom w:val="single" w:sz="4" w:space="0" w:color="auto"/>
            </w:tcBorders>
          </w:tcPr>
          <w:p w14:paraId="7F352E58" w14:textId="77777777" w:rsidR="005A5138" w:rsidRDefault="005A5138" w:rsidP="003D4ACC">
            <w:pPr>
              <w:jc w:val="left"/>
              <w:rPr>
                <w:rFonts w:ascii="Arial" w:hAnsi="Arial" w:cs="Arial"/>
              </w:rPr>
            </w:pPr>
            <w:r>
              <w:rPr>
                <w:rFonts w:ascii="Arial" w:hAnsi="Arial" w:cs="Arial"/>
              </w:rPr>
              <w:t>Turkey (50% JV)</w:t>
            </w:r>
          </w:p>
        </w:tc>
        <w:tc>
          <w:tcPr>
            <w:tcW w:w="549" w:type="pct"/>
            <w:gridSpan w:val="2"/>
            <w:tcBorders>
              <w:top w:val="single" w:sz="4" w:space="0" w:color="auto"/>
              <w:bottom w:val="single" w:sz="4" w:space="0" w:color="auto"/>
            </w:tcBorders>
          </w:tcPr>
          <w:p w14:paraId="363FEF77" w14:textId="77777777" w:rsidR="005A5138" w:rsidRPr="007B35A5" w:rsidDel="005F2A2C" w:rsidRDefault="005A5138" w:rsidP="003D4ACC">
            <w:pPr>
              <w:jc w:val="right"/>
              <w:rPr>
                <w:rFonts w:ascii="Arial" w:hAnsi="Arial" w:cs="Arial"/>
              </w:rPr>
            </w:pPr>
            <w:r>
              <w:rPr>
                <w:rFonts w:ascii="Arial" w:hAnsi="Arial" w:cs="Arial"/>
              </w:rPr>
              <w:t>8</w:t>
            </w:r>
          </w:p>
        </w:tc>
        <w:tc>
          <w:tcPr>
            <w:tcW w:w="549" w:type="pct"/>
            <w:gridSpan w:val="2"/>
            <w:tcBorders>
              <w:top w:val="single" w:sz="4" w:space="0" w:color="auto"/>
              <w:bottom w:val="single" w:sz="4" w:space="0" w:color="auto"/>
            </w:tcBorders>
          </w:tcPr>
          <w:p w14:paraId="4DD267B2" w14:textId="77777777" w:rsidR="005A5138" w:rsidRPr="000F790F" w:rsidDel="005F2A2C" w:rsidRDefault="005A5138" w:rsidP="003D4ACC">
            <w:pPr>
              <w:jc w:val="right"/>
              <w:rPr>
                <w:rFonts w:ascii="Arial" w:hAnsi="Arial" w:cs="Arial"/>
                <w:highlight w:val="yellow"/>
              </w:rPr>
            </w:pPr>
            <w:r w:rsidRPr="00EA7C0B">
              <w:rPr>
                <w:rFonts w:ascii="Arial" w:hAnsi="Arial" w:cs="Arial"/>
              </w:rPr>
              <w:t>7</w:t>
            </w:r>
          </w:p>
        </w:tc>
        <w:tc>
          <w:tcPr>
            <w:tcW w:w="755" w:type="pct"/>
            <w:gridSpan w:val="6"/>
            <w:tcBorders>
              <w:top w:val="single" w:sz="4" w:space="0" w:color="auto"/>
              <w:bottom w:val="single" w:sz="4" w:space="0" w:color="auto"/>
            </w:tcBorders>
            <w:vAlign w:val="center"/>
          </w:tcPr>
          <w:p w14:paraId="1BE0EBBC" w14:textId="20029DF8" w:rsidR="005A5138" w:rsidRPr="007B35A5" w:rsidDel="005F2A2C" w:rsidRDefault="005A5138" w:rsidP="003D4ACC">
            <w:pPr>
              <w:jc w:val="right"/>
              <w:rPr>
                <w:rFonts w:ascii="Arial" w:hAnsi="Arial" w:cs="Arial"/>
              </w:rPr>
            </w:pPr>
            <w:r>
              <w:rPr>
                <w:rFonts w:ascii="Arial" w:hAnsi="Arial" w:cs="Arial"/>
              </w:rPr>
              <w:t>+</w:t>
            </w:r>
            <w:r w:rsidR="00640578">
              <w:rPr>
                <w:rFonts w:ascii="Arial" w:hAnsi="Arial" w:cs="Arial"/>
              </w:rPr>
              <w:t>19</w:t>
            </w:r>
            <w:r>
              <w:rPr>
                <w:rFonts w:ascii="Arial" w:hAnsi="Arial" w:cs="Arial"/>
              </w:rPr>
              <w:t>.</w:t>
            </w:r>
            <w:r w:rsidR="00640578">
              <w:rPr>
                <w:rFonts w:ascii="Arial" w:hAnsi="Arial" w:cs="Arial"/>
              </w:rPr>
              <w:t>8</w:t>
            </w:r>
            <w:r>
              <w:rPr>
                <w:rFonts w:ascii="Arial" w:hAnsi="Arial" w:cs="Arial"/>
              </w:rPr>
              <w:t>%</w:t>
            </w:r>
          </w:p>
        </w:tc>
        <w:tc>
          <w:tcPr>
            <w:tcW w:w="750" w:type="pct"/>
            <w:gridSpan w:val="6"/>
            <w:tcBorders>
              <w:top w:val="single" w:sz="4" w:space="0" w:color="auto"/>
              <w:bottom w:val="single" w:sz="4" w:space="0" w:color="auto"/>
            </w:tcBorders>
            <w:vAlign w:val="center"/>
          </w:tcPr>
          <w:p w14:paraId="1EC05D7F" w14:textId="1F72FA5A" w:rsidR="005A5138" w:rsidRPr="007B35A5" w:rsidDel="005F2A2C" w:rsidRDefault="005A5138" w:rsidP="003D4ACC">
            <w:pPr>
              <w:jc w:val="right"/>
              <w:rPr>
                <w:rFonts w:ascii="Arial" w:hAnsi="Arial" w:cs="Arial"/>
              </w:rPr>
            </w:pPr>
            <w:r>
              <w:rPr>
                <w:rFonts w:ascii="Arial" w:hAnsi="Arial" w:cs="Arial"/>
              </w:rPr>
              <w:t>+1</w:t>
            </w:r>
            <w:r w:rsidR="009F68E7">
              <w:rPr>
                <w:rFonts w:ascii="Arial" w:hAnsi="Arial" w:cs="Arial"/>
              </w:rPr>
              <w:t>14</w:t>
            </w:r>
            <w:r>
              <w:rPr>
                <w:rFonts w:ascii="Arial" w:hAnsi="Arial" w:cs="Arial"/>
              </w:rPr>
              <w:t>.8%</w:t>
            </w:r>
          </w:p>
        </w:tc>
      </w:tr>
      <w:tr w:rsidR="005A5138" w:rsidRPr="00375CE2" w14:paraId="7178A9E1" w14:textId="77777777" w:rsidTr="003D4ACC">
        <w:trPr>
          <w:gridAfter w:val="3"/>
          <w:wAfter w:w="1129" w:type="pct"/>
        </w:trPr>
        <w:tc>
          <w:tcPr>
            <w:tcW w:w="1268" w:type="pct"/>
            <w:gridSpan w:val="2"/>
            <w:tcBorders>
              <w:top w:val="single" w:sz="4" w:space="0" w:color="auto"/>
              <w:bottom w:val="single" w:sz="4" w:space="0" w:color="auto"/>
            </w:tcBorders>
          </w:tcPr>
          <w:p w14:paraId="399D9B82" w14:textId="77777777" w:rsidR="005A5138" w:rsidRPr="005C0F08" w:rsidRDefault="005A5138" w:rsidP="003D4ACC">
            <w:pPr>
              <w:jc w:val="left"/>
              <w:rPr>
                <w:rFonts w:ascii="Arial" w:hAnsi="Arial" w:cs="Arial"/>
              </w:rPr>
            </w:pPr>
            <w:r w:rsidRPr="005C0F08">
              <w:rPr>
                <w:rFonts w:ascii="Arial" w:hAnsi="Arial" w:cs="Arial"/>
                <w:b/>
                <w:bCs/>
              </w:rPr>
              <w:t xml:space="preserve">Other International </w:t>
            </w:r>
          </w:p>
        </w:tc>
        <w:tc>
          <w:tcPr>
            <w:tcW w:w="549" w:type="pct"/>
            <w:gridSpan w:val="2"/>
            <w:tcBorders>
              <w:top w:val="single" w:sz="4" w:space="0" w:color="auto"/>
              <w:bottom w:val="single" w:sz="4" w:space="0" w:color="auto"/>
            </w:tcBorders>
          </w:tcPr>
          <w:p w14:paraId="6E639899" w14:textId="77777777" w:rsidR="005A5138" w:rsidRPr="007B35A5" w:rsidRDefault="005A5138" w:rsidP="003D4ACC">
            <w:pPr>
              <w:jc w:val="right"/>
              <w:rPr>
                <w:rFonts w:ascii="Arial" w:hAnsi="Arial" w:cs="Arial"/>
                <w:b/>
                <w:bCs/>
              </w:rPr>
            </w:pPr>
            <w:r w:rsidRPr="007B35A5">
              <w:rPr>
                <w:rFonts w:ascii="Arial" w:hAnsi="Arial" w:cs="Arial"/>
                <w:b/>
                <w:bCs/>
              </w:rPr>
              <w:t>125</w:t>
            </w:r>
          </w:p>
        </w:tc>
        <w:tc>
          <w:tcPr>
            <w:tcW w:w="549" w:type="pct"/>
            <w:gridSpan w:val="2"/>
            <w:tcBorders>
              <w:top w:val="single" w:sz="4" w:space="0" w:color="auto"/>
              <w:bottom w:val="single" w:sz="4" w:space="0" w:color="auto"/>
            </w:tcBorders>
          </w:tcPr>
          <w:p w14:paraId="7DE225A2" w14:textId="77777777" w:rsidR="005A5138" w:rsidRPr="000F790F" w:rsidRDefault="005A5138" w:rsidP="003D4ACC">
            <w:pPr>
              <w:jc w:val="right"/>
              <w:rPr>
                <w:rFonts w:ascii="Arial" w:hAnsi="Arial" w:cs="Arial"/>
                <w:b/>
                <w:bCs/>
                <w:highlight w:val="yellow"/>
              </w:rPr>
            </w:pPr>
            <w:r w:rsidRPr="00EA7C0B">
              <w:rPr>
                <w:rFonts w:ascii="Arial" w:hAnsi="Arial" w:cs="Arial"/>
                <w:b/>
                <w:bCs/>
              </w:rPr>
              <w:t>133</w:t>
            </w:r>
          </w:p>
        </w:tc>
        <w:tc>
          <w:tcPr>
            <w:tcW w:w="755" w:type="pct"/>
            <w:gridSpan w:val="6"/>
            <w:tcBorders>
              <w:top w:val="single" w:sz="4" w:space="0" w:color="auto"/>
              <w:bottom w:val="single" w:sz="4" w:space="0" w:color="auto"/>
            </w:tcBorders>
            <w:shd w:val="clear" w:color="auto" w:fill="auto"/>
          </w:tcPr>
          <w:p w14:paraId="67CAA206" w14:textId="18FB1E92" w:rsidR="005A5138" w:rsidRPr="007B35A5" w:rsidRDefault="005A5138" w:rsidP="003D4ACC">
            <w:pPr>
              <w:jc w:val="right"/>
              <w:rPr>
                <w:rFonts w:ascii="Arial" w:hAnsi="Arial" w:cs="Arial"/>
                <w:b/>
                <w:bCs/>
              </w:rPr>
            </w:pPr>
            <w:r w:rsidRPr="007B35A5">
              <w:rPr>
                <w:rFonts w:ascii="Arial" w:hAnsi="Arial" w:cs="Arial"/>
                <w:b/>
                <w:bCs/>
              </w:rPr>
              <w:t>(6.</w:t>
            </w:r>
            <w:r w:rsidR="00EA35DE">
              <w:rPr>
                <w:rFonts w:ascii="Arial" w:hAnsi="Arial" w:cs="Arial"/>
                <w:b/>
                <w:bCs/>
              </w:rPr>
              <w:t>6</w:t>
            </w:r>
            <w:r w:rsidRPr="007B35A5">
              <w:rPr>
                <w:rFonts w:ascii="Arial" w:hAnsi="Arial" w:cs="Arial"/>
                <w:b/>
                <w:bCs/>
              </w:rPr>
              <w:t>)%</w:t>
            </w:r>
          </w:p>
        </w:tc>
        <w:tc>
          <w:tcPr>
            <w:tcW w:w="750" w:type="pct"/>
            <w:gridSpan w:val="6"/>
            <w:tcBorders>
              <w:top w:val="single" w:sz="4" w:space="0" w:color="auto"/>
              <w:bottom w:val="single" w:sz="4" w:space="0" w:color="auto"/>
            </w:tcBorders>
            <w:shd w:val="clear" w:color="auto" w:fill="auto"/>
          </w:tcPr>
          <w:p w14:paraId="63B6A8DA" w14:textId="74D092A4" w:rsidR="005A5138" w:rsidRPr="007B35A5" w:rsidRDefault="005A5138" w:rsidP="003D4ACC">
            <w:pPr>
              <w:jc w:val="right"/>
              <w:rPr>
                <w:rFonts w:ascii="Arial" w:hAnsi="Arial" w:cs="Arial"/>
                <w:b/>
                <w:bCs/>
              </w:rPr>
            </w:pPr>
            <w:r w:rsidRPr="007B35A5">
              <w:rPr>
                <w:rFonts w:ascii="Arial" w:hAnsi="Arial" w:cs="Arial"/>
                <w:b/>
                <w:bCs/>
              </w:rPr>
              <w:t>(1.</w:t>
            </w:r>
            <w:r w:rsidR="00D37E4F">
              <w:rPr>
                <w:rFonts w:ascii="Arial" w:hAnsi="Arial" w:cs="Arial"/>
                <w:b/>
                <w:bCs/>
              </w:rPr>
              <w:t>8</w:t>
            </w:r>
            <w:r w:rsidRPr="007B35A5">
              <w:rPr>
                <w:rFonts w:ascii="Arial" w:hAnsi="Arial" w:cs="Arial"/>
                <w:b/>
                <w:bCs/>
              </w:rPr>
              <w:t>)%</w:t>
            </w:r>
          </w:p>
        </w:tc>
      </w:tr>
      <w:tr w:rsidR="005A5138" w:rsidRPr="006278E2" w14:paraId="45B2F0F6" w14:textId="77777777" w:rsidTr="003D4ACC">
        <w:trPr>
          <w:gridAfter w:val="6"/>
          <w:wAfter w:w="1173" w:type="pct"/>
        </w:trPr>
        <w:tc>
          <w:tcPr>
            <w:tcW w:w="1234" w:type="pct"/>
            <w:tcBorders>
              <w:top w:val="single" w:sz="4" w:space="0" w:color="auto"/>
              <w:left w:val="nil"/>
              <w:bottom w:val="single" w:sz="4" w:space="0" w:color="auto"/>
              <w:right w:val="nil"/>
            </w:tcBorders>
          </w:tcPr>
          <w:p w14:paraId="3D1A1227" w14:textId="77777777" w:rsidR="005A5138" w:rsidRPr="005C0F08" w:rsidRDefault="005A5138" w:rsidP="003D4ACC">
            <w:pPr>
              <w:jc w:val="left"/>
              <w:rPr>
                <w:rFonts w:ascii="Arial" w:hAnsi="Arial" w:cs="Arial"/>
              </w:rPr>
            </w:pPr>
          </w:p>
        </w:tc>
        <w:tc>
          <w:tcPr>
            <w:tcW w:w="561" w:type="pct"/>
            <w:gridSpan w:val="2"/>
            <w:tcBorders>
              <w:top w:val="single" w:sz="4" w:space="0" w:color="auto"/>
              <w:left w:val="nil"/>
              <w:bottom w:val="nil"/>
              <w:right w:val="nil"/>
            </w:tcBorders>
          </w:tcPr>
          <w:p w14:paraId="2C372DEC" w14:textId="77777777" w:rsidR="005A5138" w:rsidRPr="00EA7C0B" w:rsidRDefault="005A5138" w:rsidP="003D4ACC">
            <w:pPr>
              <w:jc w:val="left"/>
              <w:rPr>
                <w:rFonts w:ascii="Arial" w:hAnsi="Arial" w:cs="Arial"/>
              </w:rPr>
            </w:pPr>
          </w:p>
        </w:tc>
        <w:tc>
          <w:tcPr>
            <w:tcW w:w="571" w:type="pct"/>
            <w:gridSpan w:val="3"/>
            <w:tcBorders>
              <w:top w:val="single" w:sz="4" w:space="0" w:color="auto"/>
              <w:left w:val="nil"/>
              <w:bottom w:val="nil"/>
              <w:right w:val="nil"/>
            </w:tcBorders>
          </w:tcPr>
          <w:p w14:paraId="5BE982B6" w14:textId="77777777" w:rsidR="005A5138" w:rsidRPr="00EA7C0B" w:rsidRDefault="005A5138" w:rsidP="003D4ACC">
            <w:pPr>
              <w:jc w:val="left"/>
              <w:rPr>
                <w:rFonts w:ascii="Arial" w:hAnsi="Arial" w:cs="Arial"/>
              </w:rPr>
            </w:pPr>
          </w:p>
        </w:tc>
        <w:tc>
          <w:tcPr>
            <w:tcW w:w="727" w:type="pct"/>
            <w:gridSpan w:val="4"/>
            <w:tcBorders>
              <w:top w:val="single" w:sz="4" w:space="0" w:color="auto"/>
              <w:left w:val="nil"/>
              <w:bottom w:val="nil"/>
              <w:right w:val="nil"/>
            </w:tcBorders>
          </w:tcPr>
          <w:p w14:paraId="28486100" w14:textId="77777777" w:rsidR="005A5138" w:rsidRPr="00EA7C0B" w:rsidRDefault="005A5138" w:rsidP="003D4ACC">
            <w:pPr>
              <w:jc w:val="left"/>
              <w:rPr>
                <w:rFonts w:ascii="Arial" w:hAnsi="Arial" w:cs="Arial"/>
              </w:rPr>
            </w:pPr>
          </w:p>
        </w:tc>
        <w:tc>
          <w:tcPr>
            <w:tcW w:w="734" w:type="pct"/>
            <w:gridSpan w:val="5"/>
            <w:tcBorders>
              <w:top w:val="single" w:sz="4" w:space="0" w:color="auto"/>
              <w:left w:val="nil"/>
              <w:bottom w:val="nil"/>
              <w:right w:val="nil"/>
            </w:tcBorders>
          </w:tcPr>
          <w:p w14:paraId="7BBE1184" w14:textId="77777777" w:rsidR="005A5138" w:rsidRPr="00EA7C0B" w:rsidRDefault="005A5138" w:rsidP="003D4ACC">
            <w:pPr>
              <w:jc w:val="left"/>
              <w:rPr>
                <w:rFonts w:ascii="Arial" w:hAnsi="Arial" w:cs="Arial"/>
              </w:rPr>
            </w:pPr>
          </w:p>
        </w:tc>
      </w:tr>
      <w:tr w:rsidR="005A5138" w:rsidRPr="00375CE2" w14:paraId="01BA53D1" w14:textId="77777777" w:rsidTr="003D4ACC">
        <w:trPr>
          <w:gridAfter w:val="4"/>
          <w:wAfter w:w="1132" w:type="pct"/>
        </w:trPr>
        <w:tc>
          <w:tcPr>
            <w:tcW w:w="1268" w:type="pct"/>
            <w:gridSpan w:val="2"/>
            <w:tcBorders>
              <w:top w:val="single" w:sz="4" w:space="0" w:color="auto"/>
              <w:right w:val="single" w:sz="4" w:space="0" w:color="auto"/>
            </w:tcBorders>
          </w:tcPr>
          <w:p w14:paraId="7CD2D884" w14:textId="77777777" w:rsidR="005A5138" w:rsidRPr="005A48A0" w:rsidRDefault="005A5138" w:rsidP="003D4ACC">
            <w:pPr>
              <w:jc w:val="left"/>
              <w:rPr>
                <w:rFonts w:ascii="Arial" w:hAnsi="Arial" w:cs="Arial"/>
                <w:b/>
                <w:bCs/>
              </w:rPr>
            </w:pPr>
            <w:r w:rsidRPr="005A48A0">
              <w:rPr>
                <w:rFonts w:ascii="Arial" w:hAnsi="Arial" w:cs="Arial"/>
                <w:b/>
                <w:bCs/>
              </w:rPr>
              <w:t>Retail profit margin %</w:t>
            </w:r>
          </w:p>
        </w:tc>
        <w:tc>
          <w:tcPr>
            <w:tcW w:w="561" w:type="pct"/>
            <w:gridSpan w:val="3"/>
            <w:tcBorders>
              <w:top w:val="nil"/>
              <w:left w:val="single" w:sz="4" w:space="0" w:color="auto"/>
              <w:bottom w:val="single" w:sz="4" w:space="0" w:color="auto"/>
              <w:right w:val="nil"/>
            </w:tcBorders>
          </w:tcPr>
          <w:p w14:paraId="3FC94746" w14:textId="77777777" w:rsidR="005A5138" w:rsidRPr="00EA7C0B" w:rsidRDefault="005A5138" w:rsidP="003D4ACC">
            <w:pPr>
              <w:jc w:val="right"/>
              <w:rPr>
                <w:rFonts w:ascii="Arial" w:hAnsi="Arial" w:cs="Arial"/>
              </w:rPr>
            </w:pPr>
          </w:p>
        </w:tc>
        <w:tc>
          <w:tcPr>
            <w:tcW w:w="569" w:type="pct"/>
            <w:gridSpan w:val="3"/>
            <w:tcBorders>
              <w:top w:val="nil"/>
              <w:left w:val="nil"/>
              <w:bottom w:val="single" w:sz="4" w:space="0" w:color="auto"/>
              <w:right w:val="nil"/>
            </w:tcBorders>
          </w:tcPr>
          <w:p w14:paraId="27C02412" w14:textId="77777777" w:rsidR="005A5138" w:rsidRPr="00EA7C0B" w:rsidRDefault="005A5138" w:rsidP="003D4ACC">
            <w:pPr>
              <w:jc w:val="right"/>
              <w:rPr>
                <w:rFonts w:ascii="Arial" w:hAnsi="Arial" w:cs="Arial"/>
              </w:rPr>
            </w:pPr>
          </w:p>
        </w:tc>
        <w:tc>
          <w:tcPr>
            <w:tcW w:w="727" w:type="pct"/>
            <w:gridSpan w:val="5"/>
            <w:tcBorders>
              <w:top w:val="nil"/>
              <w:left w:val="nil"/>
              <w:bottom w:val="single" w:sz="4" w:space="0" w:color="auto"/>
              <w:right w:val="nil"/>
            </w:tcBorders>
          </w:tcPr>
          <w:p w14:paraId="11347FA3" w14:textId="77777777" w:rsidR="005A5138" w:rsidRPr="00EA7C0B" w:rsidRDefault="005A5138" w:rsidP="003D4ACC">
            <w:pPr>
              <w:jc w:val="right"/>
              <w:rPr>
                <w:rFonts w:ascii="Arial" w:hAnsi="Arial" w:cs="Arial"/>
              </w:rPr>
            </w:pPr>
          </w:p>
        </w:tc>
        <w:tc>
          <w:tcPr>
            <w:tcW w:w="743" w:type="pct"/>
            <w:gridSpan w:val="4"/>
            <w:tcBorders>
              <w:top w:val="nil"/>
              <w:left w:val="nil"/>
              <w:bottom w:val="single" w:sz="4" w:space="0" w:color="auto"/>
              <w:right w:val="nil"/>
            </w:tcBorders>
          </w:tcPr>
          <w:p w14:paraId="2611536D" w14:textId="77777777" w:rsidR="005A5138" w:rsidRPr="00EA7C0B" w:rsidRDefault="005A5138" w:rsidP="003D4ACC">
            <w:pPr>
              <w:jc w:val="right"/>
              <w:rPr>
                <w:rFonts w:ascii="Arial" w:hAnsi="Arial" w:cs="Arial"/>
              </w:rPr>
            </w:pPr>
          </w:p>
        </w:tc>
      </w:tr>
      <w:tr w:rsidR="005A5138" w:rsidRPr="00375CE2" w14:paraId="062141E7" w14:textId="77777777" w:rsidTr="003D4ACC">
        <w:trPr>
          <w:gridAfter w:val="4"/>
          <w:wAfter w:w="1132" w:type="pct"/>
        </w:trPr>
        <w:tc>
          <w:tcPr>
            <w:tcW w:w="1268" w:type="pct"/>
            <w:gridSpan w:val="2"/>
            <w:tcBorders>
              <w:top w:val="single" w:sz="4" w:space="0" w:color="auto"/>
            </w:tcBorders>
          </w:tcPr>
          <w:p w14:paraId="642E3CE2" w14:textId="77777777" w:rsidR="005A5138" w:rsidRPr="005C0F08" w:rsidRDefault="005A5138" w:rsidP="003D4ACC">
            <w:pPr>
              <w:jc w:val="left"/>
              <w:rPr>
                <w:rFonts w:ascii="Arial" w:hAnsi="Arial" w:cs="Arial"/>
                <w:b/>
                <w:bCs/>
              </w:rPr>
            </w:pPr>
            <w:r w:rsidRPr="005C0F08">
              <w:rPr>
                <w:rFonts w:ascii="Arial" w:hAnsi="Arial" w:cs="Arial"/>
              </w:rPr>
              <w:t>Poland</w:t>
            </w:r>
          </w:p>
        </w:tc>
        <w:tc>
          <w:tcPr>
            <w:tcW w:w="549" w:type="pct"/>
            <w:gridSpan w:val="2"/>
            <w:tcBorders>
              <w:top w:val="single" w:sz="4" w:space="0" w:color="auto"/>
            </w:tcBorders>
          </w:tcPr>
          <w:p w14:paraId="5CE2A0A4" w14:textId="77777777" w:rsidR="005A5138" w:rsidRPr="007B35A5" w:rsidRDefault="005A5138" w:rsidP="003D4ACC">
            <w:pPr>
              <w:jc w:val="right"/>
              <w:rPr>
                <w:rFonts w:ascii="Arial" w:hAnsi="Arial" w:cs="Arial"/>
              </w:rPr>
            </w:pPr>
            <w:r w:rsidRPr="007B35A5">
              <w:rPr>
                <w:rFonts w:ascii="Arial" w:hAnsi="Arial" w:cs="Arial"/>
              </w:rPr>
              <w:t>8.5%</w:t>
            </w:r>
          </w:p>
        </w:tc>
        <w:tc>
          <w:tcPr>
            <w:tcW w:w="549" w:type="pct"/>
            <w:gridSpan w:val="2"/>
            <w:tcBorders>
              <w:top w:val="single" w:sz="4" w:space="0" w:color="auto"/>
            </w:tcBorders>
          </w:tcPr>
          <w:p w14:paraId="7D398BB1" w14:textId="77777777" w:rsidR="005A5138" w:rsidRPr="007B35A5" w:rsidRDefault="005A5138" w:rsidP="003D4ACC">
            <w:pPr>
              <w:jc w:val="right"/>
              <w:rPr>
                <w:rFonts w:ascii="Arial" w:hAnsi="Arial" w:cs="Arial"/>
              </w:rPr>
            </w:pPr>
            <w:r w:rsidRPr="00F03ECB">
              <w:rPr>
                <w:rFonts w:ascii="Arial" w:hAnsi="Arial" w:cs="Arial"/>
              </w:rPr>
              <w:t>8.8%</w:t>
            </w:r>
          </w:p>
        </w:tc>
        <w:tc>
          <w:tcPr>
            <w:tcW w:w="752" w:type="pct"/>
            <w:gridSpan w:val="5"/>
            <w:tcBorders>
              <w:top w:val="single" w:sz="4" w:space="0" w:color="auto"/>
            </w:tcBorders>
          </w:tcPr>
          <w:p w14:paraId="23B0F685" w14:textId="77777777" w:rsidR="005A5138" w:rsidRPr="007B35A5" w:rsidRDefault="005A5138" w:rsidP="003D4ACC">
            <w:pPr>
              <w:jc w:val="right"/>
              <w:rPr>
                <w:rFonts w:ascii="Arial" w:hAnsi="Arial" w:cs="Arial"/>
              </w:rPr>
            </w:pPr>
            <w:r w:rsidRPr="007B35A5">
              <w:rPr>
                <w:rFonts w:ascii="Arial" w:hAnsi="Arial" w:cs="Arial"/>
              </w:rPr>
              <w:t>(30)bps</w:t>
            </w:r>
          </w:p>
        </w:tc>
        <w:tc>
          <w:tcPr>
            <w:tcW w:w="750" w:type="pct"/>
            <w:gridSpan w:val="6"/>
            <w:tcBorders>
              <w:top w:val="single" w:sz="4" w:space="0" w:color="auto"/>
            </w:tcBorders>
          </w:tcPr>
          <w:p w14:paraId="56EE1179" w14:textId="77777777" w:rsidR="005A5138" w:rsidRPr="007B35A5" w:rsidRDefault="005A5138" w:rsidP="003D4ACC">
            <w:pPr>
              <w:jc w:val="right"/>
              <w:rPr>
                <w:rFonts w:ascii="Arial" w:hAnsi="Arial" w:cs="Arial"/>
              </w:rPr>
            </w:pPr>
            <w:r w:rsidRPr="007B35A5">
              <w:rPr>
                <w:rFonts w:ascii="Arial" w:hAnsi="Arial" w:cs="Arial"/>
              </w:rPr>
              <w:t>(30)bps</w:t>
            </w:r>
          </w:p>
        </w:tc>
      </w:tr>
      <w:tr w:rsidR="005A5138" w:rsidRPr="004C4357" w14:paraId="085937EA" w14:textId="77777777" w:rsidTr="003D4ACC">
        <w:trPr>
          <w:gridAfter w:val="4"/>
          <w:wAfter w:w="1132" w:type="pct"/>
        </w:trPr>
        <w:tc>
          <w:tcPr>
            <w:tcW w:w="1268" w:type="pct"/>
            <w:gridSpan w:val="2"/>
            <w:tcBorders>
              <w:top w:val="single" w:sz="4" w:space="0" w:color="auto"/>
            </w:tcBorders>
          </w:tcPr>
          <w:p w14:paraId="44E9E075" w14:textId="77777777" w:rsidR="005A5138" w:rsidRPr="004C4357" w:rsidRDefault="005A5138" w:rsidP="003D4ACC">
            <w:pPr>
              <w:jc w:val="left"/>
              <w:rPr>
                <w:rFonts w:ascii="Arial" w:hAnsi="Arial" w:cs="Arial"/>
                <w:b/>
                <w:bCs/>
              </w:rPr>
            </w:pPr>
            <w:bookmarkStart w:id="58" w:name="_Hlk34989928"/>
            <w:r w:rsidRPr="001F2A41">
              <w:rPr>
                <w:rFonts w:ascii="Arial" w:hAnsi="Arial" w:cs="Arial"/>
                <w:b/>
                <w:bCs/>
              </w:rPr>
              <w:t>Other International</w:t>
            </w:r>
          </w:p>
        </w:tc>
        <w:tc>
          <w:tcPr>
            <w:tcW w:w="549" w:type="pct"/>
            <w:gridSpan w:val="2"/>
            <w:tcBorders>
              <w:top w:val="single" w:sz="4" w:space="0" w:color="auto"/>
            </w:tcBorders>
          </w:tcPr>
          <w:p w14:paraId="5B54C26B" w14:textId="77777777" w:rsidR="005A5138" w:rsidRPr="007B35A5" w:rsidRDefault="005A5138" w:rsidP="003D4ACC">
            <w:pPr>
              <w:jc w:val="right"/>
              <w:rPr>
                <w:rFonts w:ascii="Arial" w:hAnsi="Arial" w:cs="Arial"/>
                <w:b/>
                <w:bCs/>
              </w:rPr>
            </w:pPr>
            <w:r w:rsidRPr="007B35A5">
              <w:rPr>
                <w:rFonts w:ascii="Arial" w:hAnsi="Arial" w:cs="Arial"/>
                <w:b/>
                <w:bCs/>
              </w:rPr>
              <w:t>5.2%</w:t>
            </w:r>
          </w:p>
        </w:tc>
        <w:tc>
          <w:tcPr>
            <w:tcW w:w="549" w:type="pct"/>
            <w:gridSpan w:val="2"/>
            <w:tcBorders>
              <w:top w:val="single" w:sz="4" w:space="0" w:color="auto"/>
            </w:tcBorders>
          </w:tcPr>
          <w:p w14:paraId="5DB35B83" w14:textId="77777777" w:rsidR="005A5138" w:rsidRPr="007B35A5" w:rsidRDefault="005A5138" w:rsidP="003D4ACC">
            <w:pPr>
              <w:jc w:val="right"/>
              <w:rPr>
                <w:rFonts w:ascii="Arial" w:hAnsi="Arial" w:cs="Arial"/>
                <w:b/>
                <w:bCs/>
              </w:rPr>
            </w:pPr>
            <w:r w:rsidRPr="00F03ECB">
              <w:rPr>
                <w:rFonts w:ascii="Arial" w:hAnsi="Arial" w:cs="Arial"/>
                <w:b/>
                <w:bCs/>
              </w:rPr>
              <w:t>6.1%</w:t>
            </w:r>
          </w:p>
        </w:tc>
        <w:tc>
          <w:tcPr>
            <w:tcW w:w="752" w:type="pct"/>
            <w:gridSpan w:val="5"/>
            <w:tcBorders>
              <w:top w:val="single" w:sz="4" w:space="0" w:color="auto"/>
            </w:tcBorders>
          </w:tcPr>
          <w:p w14:paraId="44CA85DC" w14:textId="77777777" w:rsidR="005A5138" w:rsidRPr="007B35A5" w:rsidRDefault="005A5138" w:rsidP="003D4ACC">
            <w:pPr>
              <w:jc w:val="right"/>
              <w:rPr>
                <w:rFonts w:ascii="Arial" w:hAnsi="Arial" w:cs="Arial"/>
                <w:b/>
                <w:bCs/>
              </w:rPr>
            </w:pPr>
            <w:r w:rsidRPr="007B35A5">
              <w:rPr>
                <w:rFonts w:ascii="Arial" w:hAnsi="Arial" w:cs="Arial"/>
                <w:b/>
                <w:bCs/>
              </w:rPr>
              <w:t>(90)bps</w:t>
            </w:r>
          </w:p>
        </w:tc>
        <w:tc>
          <w:tcPr>
            <w:tcW w:w="750" w:type="pct"/>
            <w:gridSpan w:val="6"/>
            <w:tcBorders>
              <w:top w:val="single" w:sz="4" w:space="0" w:color="auto"/>
            </w:tcBorders>
          </w:tcPr>
          <w:p w14:paraId="287E1786" w14:textId="77777777" w:rsidR="005A5138" w:rsidRPr="007B35A5" w:rsidRDefault="005A5138" w:rsidP="003D4ACC">
            <w:pPr>
              <w:jc w:val="right"/>
              <w:rPr>
                <w:rFonts w:ascii="Arial" w:hAnsi="Arial" w:cs="Arial"/>
                <w:b/>
                <w:bCs/>
              </w:rPr>
            </w:pPr>
            <w:r w:rsidRPr="007B35A5">
              <w:rPr>
                <w:rFonts w:ascii="Arial" w:hAnsi="Arial" w:cs="Arial"/>
                <w:b/>
                <w:bCs/>
              </w:rPr>
              <w:t>(70)bps</w:t>
            </w:r>
          </w:p>
        </w:tc>
      </w:tr>
      <w:bookmarkEnd w:id="58"/>
    </w:tbl>
    <w:p w14:paraId="61C2C361" w14:textId="77777777" w:rsidR="005A5138" w:rsidRPr="00DD06BC" w:rsidRDefault="005A5138" w:rsidP="005A5138">
      <w:pPr>
        <w:rPr>
          <w:rFonts w:ascii="Arial" w:hAnsi="Arial" w:cs="Arial"/>
          <w:sz w:val="18"/>
          <w:szCs w:val="18"/>
        </w:rPr>
      </w:pPr>
    </w:p>
    <w:p w14:paraId="07CE42FF" w14:textId="77777777" w:rsidR="005A5138" w:rsidRDefault="005A5138" w:rsidP="005A5138">
      <w:pPr>
        <w:jc w:val="left"/>
        <w:rPr>
          <w:rFonts w:ascii="Arial" w:eastAsiaTheme="minorHAnsi" w:hAnsi="Arial" w:cs="Arial"/>
          <w:sz w:val="18"/>
          <w:szCs w:val="18"/>
        </w:rPr>
      </w:pPr>
      <w:r w:rsidRPr="00BF14E0">
        <w:rPr>
          <w:rFonts w:ascii="Arial" w:hAnsi="Arial" w:cs="Arial"/>
          <w:sz w:val="18"/>
          <w:szCs w:val="18"/>
          <w:vertAlign w:val="superscript"/>
        </w:rPr>
        <w:t>±</w:t>
      </w:r>
      <w:r w:rsidRPr="00BF14E0">
        <w:rPr>
          <w:rFonts w:ascii="Arial" w:hAnsi="Arial" w:cs="Arial"/>
          <w:sz w:val="18"/>
          <w:szCs w:val="18"/>
        </w:rPr>
        <w:t xml:space="preserve"> </w:t>
      </w:r>
      <w:r w:rsidRPr="00BF14E0">
        <w:rPr>
          <w:rFonts w:ascii="Arial" w:eastAsiaTheme="minorHAnsi" w:hAnsi="Arial" w:cs="Arial"/>
          <w:bCs/>
          <w:sz w:val="18"/>
          <w:szCs w:val="18"/>
        </w:rPr>
        <w:t>Kingfisher’s subsidiary in Romania historically prepared its financial statements to 31 December. In the prior year (FY 21/22), Romania migrated to Kingfisher’s financial reporting calendar (year ended 31 January). Its sales and retail loss presented in FY 21/22 therefore included one additional month of results (J</w:t>
      </w:r>
      <w:r>
        <w:rPr>
          <w:rFonts w:ascii="Arial" w:eastAsiaTheme="minorHAnsi" w:hAnsi="Arial" w:cs="Arial"/>
          <w:bCs/>
          <w:sz w:val="18"/>
          <w:szCs w:val="18"/>
        </w:rPr>
        <w:t>anuary</w:t>
      </w:r>
      <w:r w:rsidRPr="00BF14E0">
        <w:rPr>
          <w:rFonts w:ascii="Arial" w:eastAsiaTheme="minorHAnsi" w:hAnsi="Arial" w:cs="Arial"/>
          <w:bCs/>
          <w:sz w:val="18"/>
          <w:szCs w:val="18"/>
        </w:rPr>
        <w:t xml:space="preserve"> 202</w:t>
      </w:r>
      <w:r>
        <w:rPr>
          <w:rFonts w:ascii="Arial" w:eastAsiaTheme="minorHAnsi" w:hAnsi="Arial" w:cs="Arial"/>
          <w:bCs/>
          <w:sz w:val="18"/>
          <w:szCs w:val="18"/>
        </w:rPr>
        <w:t>2</w:t>
      </w:r>
      <w:r w:rsidRPr="00BF14E0">
        <w:rPr>
          <w:rFonts w:ascii="Arial" w:eastAsiaTheme="minorHAnsi" w:hAnsi="Arial" w:cs="Arial"/>
          <w:bCs/>
          <w:sz w:val="18"/>
          <w:szCs w:val="18"/>
        </w:rPr>
        <w:t xml:space="preserve">) in order to facilitate the alignment to Kingfisher’s financial reporting calendar. Reported and constant currency variances for Romania’s </w:t>
      </w:r>
      <w:r>
        <w:rPr>
          <w:rFonts w:ascii="Arial" w:eastAsiaTheme="minorHAnsi" w:hAnsi="Arial" w:cs="Arial"/>
          <w:bCs/>
          <w:sz w:val="18"/>
          <w:szCs w:val="18"/>
        </w:rPr>
        <w:t xml:space="preserve">total sales and </w:t>
      </w:r>
      <w:r w:rsidRPr="00BF14E0">
        <w:rPr>
          <w:rFonts w:ascii="Arial" w:eastAsiaTheme="minorHAnsi" w:hAnsi="Arial" w:cs="Arial"/>
          <w:bCs/>
          <w:sz w:val="18"/>
          <w:szCs w:val="18"/>
        </w:rPr>
        <w:t xml:space="preserve">retail loss are for February </w:t>
      </w:r>
      <w:r>
        <w:rPr>
          <w:rFonts w:ascii="Arial" w:eastAsiaTheme="minorHAnsi" w:hAnsi="Arial" w:cs="Arial"/>
          <w:bCs/>
          <w:sz w:val="18"/>
          <w:szCs w:val="18"/>
        </w:rPr>
        <w:t xml:space="preserve">2022 </w:t>
      </w:r>
      <w:r w:rsidRPr="00BF14E0">
        <w:rPr>
          <w:rFonts w:ascii="Arial" w:eastAsiaTheme="minorHAnsi" w:hAnsi="Arial" w:cs="Arial"/>
          <w:bCs/>
          <w:sz w:val="18"/>
          <w:szCs w:val="18"/>
        </w:rPr>
        <w:t xml:space="preserve">to January 2023 (compared against January 2021 to January 2022), whilst </w:t>
      </w:r>
      <w:r w:rsidRPr="00BF14E0">
        <w:rPr>
          <w:rFonts w:ascii="Arial" w:hAnsi="Arial" w:cs="Arial"/>
          <w:bCs/>
          <w:sz w:val="18"/>
          <w:szCs w:val="18"/>
        </w:rPr>
        <w:t>LFL and 3-year LFL sales growth compares equivalent periods in the current and prior years.</w:t>
      </w:r>
    </w:p>
    <w:p w14:paraId="0EECF38D" w14:textId="77777777" w:rsidR="005A5138" w:rsidRDefault="005A5138" w:rsidP="005A5138">
      <w:pPr>
        <w:jc w:val="left"/>
        <w:rPr>
          <w:rFonts w:ascii="Arial" w:hAnsi="Arial" w:cs="Arial"/>
          <w:sz w:val="18"/>
          <w:szCs w:val="18"/>
        </w:rPr>
      </w:pPr>
      <w:r w:rsidRPr="0072155A">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‘Other’ consists of the consolidated results of Screwfix International, NeedHelp, and results from franchise agreements.</w:t>
      </w:r>
    </w:p>
    <w:p w14:paraId="33482391" w14:textId="77777777" w:rsidR="005A5138" w:rsidRPr="0007608C" w:rsidRDefault="005A5138" w:rsidP="005A5138">
      <w:pPr>
        <w:jc w:val="left"/>
        <w:rPr>
          <w:rFonts w:ascii="Arial" w:hAnsi="Arial" w:cs="Arial"/>
        </w:rPr>
      </w:pPr>
    </w:p>
    <w:p w14:paraId="7189461E" w14:textId="738309E7" w:rsidR="005A5138" w:rsidRDefault="005A5138" w:rsidP="005A5138">
      <w:pPr>
        <w:jc w:val="left"/>
        <w:rPr>
          <w:rFonts w:ascii="Arial" w:hAnsi="Arial" w:cs="Arial"/>
        </w:rPr>
      </w:pPr>
      <w:r w:rsidRPr="00A77BDA">
        <w:rPr>
          <w:rFonts w:ascii="Arial" w:hAnsi="Arial" w:cs="Arial"/>
          <w:b/>
          <w:bCs/>
        </w:rPr>
        <w:t xml:space="preserve">Other International </w:t>
      </w:r>
      <w:r w:rsidRPr="00E9564C">
        <w:rPr>
          <w:rFonts w:ascii="Arial" w:hAnsi="Arial" w:cs="Arial"/>
        </w:rPr>
        <w:t xml:space="preserve">total </w:t>
      </w:r>
      <w:r w:rsidRPr="00480926">
        <w:rPr>
          <w:rFonts w:ascii="Arial" w:hAnsi="Arial" w:cs="Arial"/>
        </w:rPr>
        <w:t xml:space="preserve">sales increased by </w:t>
      </w:r>
      <w:r w:rsidRPr="007B35A5">
        <w:rPr>
          <w:rFonts w:ascii="Arial" w:hAnsi="Arial" w:cs="Arial"/>
        </w:rPr>
        <w:t>12.4</w:t>
      </w:r>
      <w:r w:rsidRPr="00480926">
        <w:rPr>
          <w:rFonts w:ascii="Arial" w:hAnsi="Arial" w:cs="Arial"/>
        </w:rPr>
        <w:t xml:space="preserve">% (LFL </w:t>
      </w:r>
      <w:r w:rsidRPr="007B35A5">
        <w:rPr>
          <w:rFonts w:ascii="Arial" w:hAnsi="Arial" w:cs="Arial"/>
        </w:rPr>
        <w:t>+11.2</w:t>
      </w:r>
      <w:r w:rsidRPr="00480926">
        <w:rPr>
          <w:rFonts w:ascii="Arial" w:hAnsi="Arial" w:cs="Arial"/>
        </w:rPr>
        <w:t>%) to £</w:t>
      </w:r>
      <w:r w:rsidRPr="007B35A5">
        <w:rPr>
          <w:rFonts w:ascii="Arial" w:hAnsi="Arial" w:cs="Arial"/>
        </w:rPr>
        <w:t>2,407</w:t>
      </w:r>
      <w:r w:rsidRPr="00480926">
        <w:rPr>
          <w:rFonts w:ascii="Arial" w:hAnsi="Arial" w:cs="Arial"/>
        </w:rPr>
        <w:t xml:space="preserve">m, with 3-year LFL sales up </w:t>
      </w:r>
      <w:r w:rsidRPr="007B35A5">
        <w:rPr>
          <w:rFonts w:ascii="Arial" w:hAnsi="Arial" w:cs="Arial"/>
        </w:rPr>
        <w:t>21.5</w:t>
      </w:r>
      <w:r w:rsidRPr="00480926">
        <w:rPr>
          <w:rFonts w:ascii="Arial" w:hAnsi="Arial" w:cs="Arial"/>
        </w:rPr>
        <w:t>%, driven by gr</w:t>
      </w:r>
      <w:r w:rsidRPr="00E9564C">
        <w:rPr>
          <w:rFonts w:ascii="Arial" w:hAnsi="Arial" w:cs="Arial"/>
        </w:rPr>
        <w:t xml:space="preserve">owth in </w:t>
      </w:r>
      <w:r>
        <w:rPr>
          <w:rFonts w:ascii="Arial" w:hAnsi="Arial" w:cs="Arial"/>
        </w:rPr>
        <w:t>all key geographies</w:t>
      </w:r>
      <w:r w:rsidRPr="00E9564C">
        <w:rPr>
          <w:rFonts w:ascii="Arial" w:hAnsi="Arial" w:cs="Arial"/>
        </w:rPr>
        <w:t xml:space="preserve">. Retail profit </w:t>
      </w:r>
      <w:r>
        <w:rPr>
          <w:rFonts w:ascii="Arial" w:hAnsi="Arial" w:cs="Arial"/>
        </w:rPr>
        <w:t xml:space="preserve">decreased </w:t>
      </w:r>
      <w:r w:rsidRPr="00A546BD">
        <w:rPr>
          <w:rFonts w:ascii="Arial" w:hAnsi="Arial" w:cs="Arial"/>
        </w:rPr>
        <w:t xml:space="preserve">by </w:t>
      </w:r>
      <w:r>
        <w:rPr>
          <w:rFonts w:ascii="Arial" w:hAnsi="Arial" w:cs="Arial"/>
        </w:rPr>
        <w:t>1.</w:t>
      </w:r>
      <w:r w:rsidR="006C043E">
        <w:rPr>
          <w:rFonts w:ascii="Arial" w:hAnsi="Arial" w:cs="Arial"/>
        </w:rPr>
        <w:t>8</w:t>
      </w:r>
      <w:r w:rsidRPr="00A546BD">
        <w:rPr>
          <w:rFonts w:ascii="Arial" w:hAnsi="Arial" w:cs="Arial"/>
        </w:rPr>
        <w:t>% to £</w:t>
      </w:r>
      <w:r w:rsidRPr="007B35A5">
        <w:rPr>
          <w:rFonts w:ascii="Arial" w:hAnsi="Arial" w:cs="Arial"/>
        </w:rPr>
        <w:t>125</w:t>
      </w:r>
      <w:r>
        <w:rPr>
          <w:rFonts w:ascii="Arial" w:hAnsi="Arial" w:cs="Arial"/>
        </w:rPr>
        <w:t>m (FY 21/22: £133m; FY 19/20</w:t>
      </w:r>
      <w:r w:rsidRPr="005247B0">
        <w:rPr>
          <w:rFonts w:ascii="Arial" w:hAnsi="Arial" w:cs="Arial"/>
        </w:rPr>
        <w:t>: £</w:t>
      </w:r>
      <w:r w:rsidRPr="007B35A5">
        <w:rPr>
          <w:rFonts w:ascii="Arial" w:hAnsi="Arial" w:cs="Arial"/>
        </w:rPr>
        <w:t>123</w:t>
      </w:r>
      <w:r w:rsidRPr="005247B0">
        <w:rPr>
          <w:rFonts w:ascii="Arial" w:hAnsi="Arial" w:cs="Arial"/>
        </w:rPr>
        <w:t>m</w:t>
      </w:r>
      <w:r w:rsidR="00036CF1">
        <w:rPr>
          <w:rFonts w:ascii="Arial" w:hAnsi="Arial" w:cs="Arial"/>
        </w:rPr>
        <w:t>; at reported rates</w:t>
      </w:r>
      <w:r w:rsidRPr="005247B0">
        <w:rPr>
          <w:rFonts w:ascii="Arial" w:hAnsi="Arial" w:cs="Arial"/>
        </w:rPr>
        <w:t>)</w:t>
      </w:r>
      <w:r w:rsidRPr="00A546BD">
        <w:rPr>
          <w:rFonts w:ascii="Arial" w:hAnsi="Arial" w:cs="Arial"/>
        </w:rPr>
        <w:t xml:space="preserve">, </w:t>
      </w:r>
      <w:r>
        <w:rPr>
          <w:rFonts w:ascii="Arial" w:hAnsi="Arial" w:cs="Arial"/>
        </w:rPr>
        <w:t xml:space="preserve">largely due to an increase in losses incurred in ‘Other’ operations, driven by investment in Screwfix France, and a lower retail profit in Iberia. This was </w:t>
      </w:r>
      <w:r>
        <w:rPr>
          <w:rFonts w:ascii="Arial" w:hAnsi="Arial" w:cs="Arial"/>
        </w:rPr>
        <w:lastRenderedPageBreak/>
        <w:t xml:space="preserve">substantially offset by higher retail profit in Poland. The retail profit margin % </w:t>
      </w:r>
      <w:r w:rsidRPr="007D26CA">
        <w:rPr>
          <w:rFonts w:ascii="Arial" w:hAnsi="Arial" w:cs="Arial"/>
        </w:rPr>
        <w:t xml:space="preserve">decreased by </w:t>
      </w:r>
      <w:r w:rsidRPr="007B35A5">
        <w:rPr>
          <w:rFonts w:ascii="Arial" w:hAnsi="Arial" w:cs="Arial"/>
        </w:rPr>
        <w:t>70</w:t>
      </w:r>
      <w:r w:rsidRPr="007D26CA">
        <w:rPr>
          <w:rFonts w:ascii="Arial" w:hAnsi="Arial" w:cs="Arial"/>
        </w:rPr>
        <w:t xml:space="preserve"> basis points to </w:t>
      </w:r>
      <w:r w:rsidRPr="007B35A5">
        <w:rPr>
          <w:rFonts w:ascii="Arial" w:hAnsi="Arial" w:cs="Arial"/>
        </w:rPr>
        <w:t>5.2</w:t>
      </w:r>
      <w:r w:rsidRPr="007D26CA">
        <w:rPr>
          <w:rFonts w:ascii="Arial" w:hAnsi="Arial" w:cs="Arial"/>
        </w:rPr>
        <w:t>%</w:t>
      </w:r>
      <w:r>
        <w:rPr>
          <w:rFonts w:ascii="Arial" w:hAnsi="Arial" w:cs="Arial"/>
        </w:rPr>
        <w:t xml:space="preserve"> (FY 21/22: 6.1%; FY 19</w:t>
      </w:r>
      <w:r w:rsidRPr="00E94462">
        <w:rPr>
          <w:rFonts w:ascii="Arial" w:hAnsi="Arial" w:cs="Arial"/>
        </w:rPr>
        <w:t xml:space="preserve">/20: </w:t>
      </w:r>
      <w:r w:rsidRPr="007B35A5">
        <w:rPr>
          <w:rFonts w:ascii="Arial" w:hAnsi="Arial" w:cs="Arial"/>
        </w:rPr>
        <w:t>5.3</w:t>
      </w:r>
      <w:r w:rsidRPr="00E94462">
        <w:rPr>
          <w:rFonts w:ascii="Arial" w:hAnsi="Arial" w:cs="Arial"/>
        </w:rPr>
        <w:t>%)</w:t>
      </w:r>
      <w:r>
        <w:rPr>
          <w:rFonts w:ascii="Arial" w:hAnsi="Arial" w:cs="Arial"/>
        </w:rPr>
        <w:t>.</w:t>
      </w:r>
    </w:p>
    <w:p w14:paraId="3A53E1F0" w14:textId="77777777" w:rsidR="005A5138" w:rsidRDefault="005A5138" w:rsidP="005A5138">
      <w:pPr>
        <w:jc w:val="left"/>
        <w:rPr>
          <w:rFonts w:ascii="Arial" w:hAnsi="Arial" w:cs="Arial"/>
        </w:rPr>
      </w:pPr>
    </w:p>
    <w:p w14:paraId="3F0F8389" w14:textId="405E6774" w:rsidR="005A5138" w:rsidRDefault="005A5138" w:rsidP="005A5138">
      <w:pPr>
        <w:jc w:val="left"/>
        <w:rPr>
          <w:rFonts w:ascii="Arial" w:hAnsi="Arial" w:cs="Arial"/>
          <w:bCs/>
        </w:rPr>
      </w:pPr>
      <w:r w:rsidRPr="00A77BDA">
        <w:rPr>
          <w:rFonts w:ascii="Arial" w:hAnsi="Arial" w:cs="Arial"/>
          <w:b/>
          <w:bCs/>
        </w:rPr>
        <w:t>Poland</w:t>
      </w:r>
      <w:r w:rsidRPr="002F6DC3">
        <w:rPr>
          <w:rFonts w:ascii="Arial" w:hAnsi="Arial" w:cs="Arial"/>
        </w:rPr>
        <w:t xml:space="preserve"> </w:t>
      </w:r>
      <w:r>
        <w:rPr>
          <w:rFonts w:ascii="Arial" w:hAnsi="Arial" w:cs="Arial"/>
        </w:rPr>
        <w:t>total sales in</w:t>
      </w:r>
      <w:r w:rsidRPr="002F6DC3">
        <w:rPr>
          <w:rFonts w:ascii="Arial" w:hAnsi="Arial" w:cs="Arial"/>
        </w:rPr>
        <w:t xml:space="preserve">creased </w:t>
      </w:r>
      <w:r w:rsidRPr="00480926">
        <w:rPr>
          <w:rFonts w:ascii="Arial" w:hAnsi="Arial" w:cs="Arial"/>
        </w:rPr>
        <w:t xml:space="preserve">by </w:t>
      </w:r>
      <w:r w:rsidRPr="007B35A5">
        <w:rPr>
          <w:rFonts w:ascii="Arial" w:hAnsi="Arial" w:cs="Arial"/>
        </w:rPr>
        <w:t>16.7</w:t>
      </w:r>
      <w:r w:rsidRPr="00480926">
        <w:rPr>
          <w:rFonts w:ascii="Arial" w:hAnsi="Arial" w:cs="Arial"/>
        </w:rPr>
        <w:t xml:space="preserve">% (LFL </w:t>
      </w:r>
      <w:r w:rsidRPr="007B35A5">
        <w:rPr>
          <w:rFonts w:ascii="Arial" w:hAnsi="Arial" w:cs="Arial"/>
        </w:rPr>
        <w:t>+13.8</w:t>
      </w:r>
      <w:r w:rsidRPr="00480926">
        <w:rPr>
          <w:rFonts w:ascii="Arial" w:hAnsi="Arial" w:cs="Arial"/>
        </w:rPr>
        <w:t>%) to £</w:t>
      </w:r>
      <w:r w:rsidRPr="007B35A5">
        <w:rPr>
          <w:rFonts w:ascii="Arial" w:hAnsi="Arial" w:cs="Arial"/>
        </w:rPr>
        <w:t>1,734</w:t>
      </w:r>
      <w:r w:rsidRPr="00480926">
        <w:rPr>
          <w:rFonts w:ascii="Arial" w:hAnsi="Arial" w:cs="Arial"/>
        </w:rPr>
        <w:t>m,</w:t>
      </w:r>
      <w:r w:rsidRPr="0098740D">
        <w:rPr>
          <w:rFonts w:ascii="Arial" w:hAnsi="Arial" w:cs="Arial"/>
        </w:rPr>
        <w:t xml:space="preserve"> </w:t>
      </w:r>
      <w:r>
        <w:rPr>
          <w:rFonts w:ascii="Arial" w:hAnsi="Arial" w:cs="Arial"/>
        </w:rPr>
        <w:t>against a prior year comparative impacted</w:t>
      </w:r>
      <w:r w:rsidRPr="006D40B1">
        <w:rPr>
          <w:rFonts w:ascii="Arial" w:hAnsi="Arial" w:cs="Arial"/>
        </w:rPr>
        <w:t xml:space="preserve"> </w:t>
      </w:r>
      <w:r>
        <w:rPr>
          <w:rFonts w:ascii="Arial" w:hAnsi="Arial" w:cs="Arial"/>
        </w:rPr>
        <w:t xml:space="preserve">in Q1 by the COVID-related temporary closure of all Castorama stores (between 27 March and 3 May 2021). Notwithstanding this, Castorama continued to attract new customers and achieved strong market share gains in FY 22/23 by leveraging its leading market position and competitive </w:t>
      </w:r>
      <w:r w:rsidRPr="003A0DF4">
        <w:rPr>
          <w:rFonts w:ascii="Arial" w:hAnsi="Arial" w:cs="Arial"/>
        </w:rPr>
        <w:t>pricing</w:t>
      </w:r>
      <w:r>
        <w:rPr>
          <w:rFonts w:ascii="Arial" w:hAnsi="Arial" w:cs="Arial"/>
        </w:rPr>
        <w:t>,</w:t>
      </w:r>
      <w:r w:rsidRPr="003A0DF4">
        <w:rPr>
          <w:rFonts w:ascii="Arial" w:hAnsi="Arial" w:cs="Arial"/>
        </w:rPr>
        <w:t xml:space="preserve"> </w:t>
      </w:r>
      <w:r w:rsidRPr="00C64F57">
        <w:rPr>
          <w:rFonts w:ascii="Arial" w:hAnsi="Arial" w:cs="Arial"/>
        </w:rPr>
        <w:t xml:space="preserve">supported by </w:t>
      </w:r>
      <w:r>
        <w:rPr>
          <w:rFonts w:ascii="Arial" w:hAnsi="Arial" w:cs="Arial"/>
        </w:rPr>
        <w:t xml:space="preserve">robust sales of </w:t>
      </w:r>
      <w:r w:rsidRPr="00C64F57">
        <w:rPr>
          <w:rFonts w:ascii="Arial" w:hAnsi="Arial" w:cs="Arial"/>
        </w:rPr>
        <w:t xml:space="preserve">DIY and DIFM/trade </w:t>
      </w:r>
      <w:r>
        <w:rPr>
          <w:rFonts w:ascii="Arial" w:hAnsi="Arial" w:cs="Arial"/>
        </w:rPr>
        <w:t>categories</w:t>
      </w:r>
      <w:r w:rsidRPr="003A0DF4">
        <w:rPr>
          <w:rFonts w:ascii="Arial" w:hAnsi="Arial" w:cs="Arial"/>
        </w:rPr>
        <w:t>.</w:t>
      </w:r>
      <w:r>
        <w:rPr>
          <w:rFonts w:ascii="Arial" w:hAnsi="Arial" w:cs="Arial"/>
        </w:rPr>
        <w:t xml:space="preserve"> </w:t>
      </w:r>
      <w:r>
        <w:rPr>
          <w:rFonts w:ascii="Arial" w:hAnsi="Arial" w:cs="Arial"/>
          <w:bCs/>
        </w:rPr>
        <w:t xml:space="preserve">On a YoY basis, nearly all categories achieved double-digit LFL sales growth, with a standout performance in the kitchen category </w:t>
      </w:r>
      <w:r w:rsidR="0000546F">
        <w:rPr>
          <w:rFonts w:ascii="Arial" w:hAnsi="Arial" w:cs="Arial"/>
          <w:bCs/>
        </w:rPr>
        <w:t xml:space="preserve">where its new OEB kitchen ranges </w:t>
      </w:r>
      <w:r>
        <w:rPr>
          <w:rFonts w:ascii="Arial" w:hAnsi="Arial" w:cs="Arial"/>
          <w:bCs/>
        </w:rPr>
        <w:t xml:space="preserve">delivered over </w:t>
      </w:r>
      <w:r w:rsidR="006D306D">
        <w:rPr>
          <w:rFonts w:ascii="Arial" w:hAnsi="Arial" w:cs="Arial"/>
          <w:bCs/>
        </w:rPr>
        <w:t>4</w:t>
      </w:r>
      <w:r>
        <w:rPr>
          <w:rFonts w:ascii="Arial" w:hAnsi="Arial" w:cs="Arial"/>
          <w:bCs/>
        </w:rPr>
        <w:t xml:space="preserve">0% LFL </w:t>
      </w:r>
      <w:r w:rsidR="003816A9">
        <w:rPr>
          <w:rFonts w:ascii="Arial" w:hAnsi="Arial" w:cs="Arial"/>
          <w:bCs/>
        </w:rPr>
        <w:t xml:space="preserve">sales </w:t>
      </w:r>
      <w:r>
        <w:rPr>
          <w:rFonts w:ascii="Arial" w:hAnsi="Arial" w:cs="Arial"/>
          <w:bCs/>
        </w:rPr>
        <w:t>growth.</w:t>
      </w:r>
      <w:r w:rsidRPr="00E22324">
        <w:rPr>
          <w:rFonts w:ascii="Arial" w:hAnsi="Arial" w:cs="Arial"/>
        </w:rPr>
        <w:t xml:space="preserve"> </w:t>
      </w:r>
      <w:r w:rsidRPr="0098740D">
        <w:rPr>
          <w:rFonts w:ascii="Arial" w:hAnsi="Arial" w:cs="Arial"/>
        </w:rPr>
        <w:t xml:space="preserve">3-year LFL sales </w:t>
      </w:r>
      <w:r>
        <w:rPr>
          <w:rFonts w:ascii="Arial" w:hAnsi="Arial" w:cs="Arial"/>
        </w:rPr>
        <w:t xml:space="preserve">for the year were </w:t>
      </w:r>
      <w:r w:rsidRPr="00CB5742">
        <w:rPr>
          <w:rFonts w:ascii="Arial" w:hAnsi="Arial" w:cs="Arial"/>
        </w:rPr>
        <w:t xml:space="preserve">up </w:t>
      </w:r>
      <w:r w:rsidRPr="007B35A5">
        <w:rPr>
          <w:rFonts w:ascii="Arial" w:hAnsi="Arial" w:cs="Arial"/>
        </w:rPr>
        <w:t>19.8</w:t>
      </w:r>
      <w:r>
        <w:rPr>
          <w:rFonts w:ascii="Arial" w:hAnsi="Arial" w:cs="Arial"/>
        </w:rPr>
        <w:t xml:space="preserve">%. </w:t>
      </w:r>
      <w:r w:rsidRPr="007B35A5">
        <w:rPr>
          <w:rFonts w:ascii="Arial" w:hAnsi="Arial" w:cs="Arial"/>
          <w:bCs/>
        </w:rPr>
        <w:t xml:space="preserve">The business achieved </w:t>
      </w:r>
      <w:r w:rsidR="002E193E">
        <w:rPr>
          <w:rFonts w:ascii="Arial" w:hAnsi="Arial" w:cs="Arial"/>
          <w:bCs/>
        </w:rPr>
        <w:t xml:space="preserve">good </w:t>
      </w:r>
      <w:r w:rsidRPr="007B35A5">
        <w:rPr>
          <w:rFonts w:ascii="Arial" w:hAnsi="Arial" w:cs="Arial"/>
          <w:bCs/>
        </w:rPr>
        <w:t xml:space="preserve">growth across all categories on a 3-year basis, </w:t>
      </w:r>
      <w:r>
        <w:rPr>
          <w:rFonts w:ascii="Arial" w:hAnsi="Arial" w:cs="Arial"/>
          <w:bCs/>
        </w:rPr>
        <w:t xml:space="preserve">in particular its </w:t>
      </w:r>
      <w:r w:rsidRPr="007B35A5">
        <w:rPr>
          <w:rFonts w:ascii="Arial" w:hAnsi="Arial" w:cs="Arial"/>
          <w:bCs/>
        </w:rPr>
        <w:t xml:space="preserve">building &amp; joinery, </w:t>
      </w:r>
      <w:r>
        <w:rPr>
          <w:rFonts w:ascii="Arial" w:hAnsi="Arial" w:cs="Arial"/>
          <w:bCs/>
        </w:rPr>
        <w:t xml:space="preserve">outdoor, </w:t>
      </w:r>
      <w:r w:rsidRPr="007B35A5">
        <w:rPr>
          <w:rFonts w:ascii="Arial" w:hAnsi="Arial" w:cs="Arial"/>
          <w:bCs/>
        </w:rPr>
        <w:t xml:space="preserve">EPHC </w:t>
      </w:r>
      <w:r>
        <w:rPr>
          <w:rFonts w:ascii="Arial" w:hAnsi="Arial" w:cs="Arial"/>
          <w:bCs/>
        </w:rPr>
        <w:t xml:space="preserve">and kitchen categories. </w:t>
      </w:r>
      <w:r w:rsidRPr="00C50D7F">
        <w:rPr>
          <w:rFonts w:ascii="Arial" w:hAnsi="Arial" w:cs="Arial"/>
        </w:rPr>
        <w:t xml:space="preserve">LFL sales of weather-related categories increased </w:t>
      </w:r>
      <w:r w:rsidRPr="004D415E">
        <w:rPr>
          <w:rFonts w:ascii="Arial" w:hAnsi="Arial" w:cs="Arial"/>
        </w:rPr>
        <w:t xml:space="preserve">by </w:t>
      </w:r>
      <w:r w:rsidRPr="007B35A5">
        <w:rPr>
          <w:rFonts w:ascii="Arial" w:hAnsi="Arial" w:cs="Arial"/>
        </w:rPr>
        <w:t>20</w:t>
      </w:r>
      <w:r w:rsidRPr="004D415E">
        <w:rPr>
          <w:rFonts w:ascii="Arial" w:hAnsi="Arial" w:cs="Arial"/>
        </w:rPr>
        <w:t xml:space="preserve">% (increase of </w:t>
      </w:r>
      <w:r w:rsidRPr="007B35A5">
        <w:rPr>
          <w:rFonts w:ascii="Arial" w:hAnsi="Arial" w:cs="Arial"/>
        </w:rPr>
        <w:t>34</w:t>
      </w:r>
      <w:r w:rsidRPr="004D415E">
        <w:rPr>
          <w:rFonts w:ascii="Arial" w:hAnsi="Arial" w:cs="Arial"/>
        </w:rPr>
        <w:t>% on a 3-year LFL basis)</w:t>
      </w:r>
      <w:r>
        <w:rPr>
          <w:rFonts w:ascii="Arial" w:hAnsi="Arial" w:cs="Arial"/>
        </w:rPr>
        <w:t>,</w:t>
      </w:r>
      <w:r w:rsidRPr="004D415E">
        <w:rPr>
          <w:rFonts w:ascii="Arial" w:hAnsi="Arial" w:cs="Arial"/>
        </w:rPr>
        <w:t xml:space="preserve"> while LFL sales of non-weather-related categories, including showroom, increased by </w:t>
      </w:r>
      <w:r w:rsidRPr="007B35A5">
        <w:rPr>
          <w:rFonts w:ascii="Arial" w:hAnsi="Arial" w:cs="Arial"/>
        </w:rPr>
        <w:t>13</w:t>
      </w:r>
      <w:r w:rsidRPr="004D415E">
        <w:rPr>
          <w:rFonts w:ascii="Arial" w:hAnsi="Arial" w:cs="Arial"/>
        </w:rPr>
        <w:t xml:space="preserve">% (increase of </w:t>
      </w:r>
      <w:r w:rsidRPr="007B35A5">
        <w:rPr>
          <w:rFonts w:ascii="Arial" w:hAnsi="Arial" w:cs="Arial"/>
        </w:rPr>
        <w:t>18</w:t>
      </w:r>
      <w:r w:rsidRPr="004D415E">
        <w:rPr>
          <w:rFonts w:ascii="Arial" w:hAnsi="Arial" w:cs="Arial"/>
        </w:rPr>
        <w:t>%</w:t>
      </w:r>
      <w:r w:rsidRPr="00C50D7F">
        <w:rPr>
          <w:rFonts w:ascii="Arial" w:hAnsi="Arial" w:cs="Arial"/>
        </w:rPr>
        <w:t xml:space="preserve"> on a 3-year LFL basis). </w:t>
      </w:r>
      <w:r w:rsidR="005B7FDA">
        <w:rPr>
          <w:rFonts w:ascii="Arial" w:hAnsi="Arial" w:cs="Arial"/>
        </w:rPr>
        <w:t>Castorama</w:t>
      </w:r>
      <w:r w:rsidRPr="00C50D7F">
        <w:rPr>
          <w:rFonts w:ascii="Arial" w:hAnsi="Arial" w:cs="Arial"/>
        </w:rPr>
        <w:t>’s</w:t>
      </w:r>
      <w:r w:rsidRPr="00A77BDA">
        <w:rPr>
          <w:rFonts w:ascii="Arial" w:hAnsi="Arial" w:cs="Arial"/>
        </w:rPr>
        <w:t xml:space="preserve"> e-commerce </w:t>
      </w:r>
      <w:r w:rsidRPr="00704402">
        <w:rPr>
          <w:rFonts w:ascii="Arial" w:hAnsi="Arial" w:cs="Arial"/>
        </w:rPr>
        <w:t xml:space="preserve">sales </w:t>
      </w:r>
      <w:r>
        <w:rPr>
          <w:rFonts w:ascii="Arial" w:hAnsi="Arial" w:cs="Arial"/>
        </w:rPr>
        <w:t>in</w:t>
      </w:r>
      <w:r w:rsidRPr="00704402">
        <w:rPr>
          <w:rFonts w:ascii="Arial" w:hAnsi="Arial" w:cs="Arial"/>
        </w:rPr>
        <w:t xml:space="preserve">creased by </w:t>
      </w:r>
      <w:r w:rsidRPr="007A78ED">
        <w:rPr>
          <w:rFonts w:ascii="Arial" w:hAnsi="Arial" w:cs="Arial"/>
        </w:rPr>
        <w:t>2</w:t>
      </w:r>
      <w:r w:rsidRPr="00704402">
        <w:rPr>
          <w:rFonts w:ascii="Arial" w:hAnsi="Arial" w:cs="Arial"/>
        </w:rPr>
        <w:t xml:space="preserve">% </w:t>
      </w:r>
      <w:r>
        <w:rPr>
          <w:rFonts w:ascii="Arial" w:hAnsi="Arial" w:cs="Arial"/>
        </w:rPr>
        <w:t>YoY</w:t>
      </w:r>
      <w:r w:rsidRPr="00A42F9D">
        <w:rPr>
          <w:rFonts w:ascii="Arial" w:hAnsi="Arial" w:cs="Arial"/>
        </w:rPr>
        <w:t xml:space="preserve">, </w:t>
      </w:r>
      <w:r>
        <w:rPr>
          <w:rFonts w:ascii="Arial" w:hAnsi="Arial" w:cs="Arial"/>
        </w:rPr>
        <w:t>with growth of +11% in H2</w:t>
      </w:r>
      <w:r w:rsidRPr="00A42F9D">
        <w:rPr>
          <w:rFonts w:ascii="Arial" w:hAnsi="Arial" w:cs="Arial"/>
        </w:rPr>
        <w:t>.</w:t>
      </w:r>
      <w:r>
        <w:rPr>
          <w:rFonts w:ascii="Arial" w:hAnsi="Arial" w:cs="Arial"/>
        </w:rPr>
        <w:t xml:space="preserve"> </w:t>
      </w:r>
      <w:r w:rsidR="005B7FDA">
        <w:rPr>
          <w:rFonts w:ascii="Arial" w:hAnsi="Arial" w:cs="Arial"/>
          <w:bCs/>
        </w:rPr>
        <w:t>Castorama</w:t>
      </w:r>
      <w:r w:rsidR="005B7FDA" w:rsidRPr="007C3095">
        <w:rPr>
          <w:rFonts w:ascii="Arial" w:hAnsi="Arial" w:cs="Arial"/>
          <w:bCs/>
        </w:rPr>
        <w:t xml:space="preserve">’s </w:t>
      </w:r>
      <w:r w:rsidRPr="007C3095">
        <w:rPr>
          <w:rFonts w:ascii="Arial" w:hAnsi="Arial" w:cs="Arial"/>
          <w:bCs/>
        </w:rPr>
        <w:t xml:space="preserve">e-commerce sales were </w:t>
      </w:r>
      <w:r w:rsidRPr="007A78ED">
        <w:rPr>
          <w:rFonts w:ascii="Arial" w:hAnsi="Arial" w:cs="Arial"/>
          <w:bCs/>
        </w:rPr>
        <w:t xml:space="preserve">up </w:t>
      </w:r>
      <w:r w:rsidRPr="007B35A5">
        <w:rPr>
          <w:rFonts w:ascii="Arial" w:hAnsi="Arial" w:cs="Arial"/>
          <w:bCs/>
        </w:rPr>
        <w:t>285</w:t>
      </w:r>
      <w:r w:rsidRPr="007A78ED">
        <w:rPr>
          <w:rFonts w:ascii="Arial" w:hAnsi="Arial" w:cs="Arial"/>
          <w:bCs/>
        </w:rPr>
        <w:t xml:space="preserve">% on a 3-year basis, with e-commerce sales penetration of </w:t>
      </w:r>
      <w:r w:rsidRPr="007B35A5">
        <w:rPr>
          <w:rFonts w:ascii="Arial" w:hAnsi="Arial" w:cs="Arial"/>
          <w:bCs/>
        </w:rPr>
        <w:t>5</w:t>
      </w:r>
      <w:r w:rsidRPr="007A78ED">
        <w:rPr>
          <w:rFonts w:ascii="Arial" w:hAnsi="Arial" w:cs="Arial"/>
          <w:bCs/>
        </w:rPr>
        <w:t>% (FY</w:t>
      </w:r>
      <w:r w:rsidRPr="007C3095">
        <w:rPr>
          <w:rFonts w:ascii="Arial" w:hAnsi="Arial" w:cs="Arial"/>
          <w:bCs/>
        </w:rPr>
        <w:t xml:space="preserve"> 21/22: </w:t>
      </w:r>
      <w:r>
        <w:rPr>
          <w:rFonts w:ascii="Arial" w:hAnsi="Arial" w:cs="Arial"/>
          <w:bCs/>
        </w:rPr>
        <w:t>5</w:t>
      </w:r>
      <w:r w:rsidRPr="007C3095">
        <w:rPr>
          <w:rFonts w:ascii="Arial" w:hAnsi="Arial" w:cs="Arial"/>
          <w:bCs/>
        </w:rPr>
        <w:t xml:space="preserve">%; </w:t>
      </w:r>
      <w:r>
        <w:rPr>
          <w:rFonts w:ascii="Arial" w:hAnsi="Arial" w:cs="Arial"/>
          <w:bCs/>
        </w:rPr>
        <w:t>FY</w:t>
      </w:r>
      <w:r w:rsidRPr="007C3095">
        <w:rPr>
          <w:rFonts w:ascii="Arial" w:hAnsi="Arial" w:cs="Arial"/>
          <w:bCs/>
        </w:rPr>
        <w:t xml:space="preserve"> 19/20: </w:t>
      </w:r>
      <w:r>
        <w:rPr>
          <w:rFonts w:ascii="Arial" w:hAnsi="Arial" w:cs="Arial"/>
          <w:bCs/>
        </w:rPr>
        <w:t>2</w:t>
      </w:r>
      <w:r w:rsidRPr="007C3095">
        <w:rPr>
          <w:rFonts w:ascii="Arial" w:hAnsi="Arial" w:cs="Arial"/>
          <w:bCs/>
        </w:rPr>
        <w:t>%).</w:t>
      </w:r>
      <w:bookmarkStart w:id="59" w:name="_Hlk97197543"/>
    </w:p>
    <w:p w14:paraId="51360652" w14:textId="77777777" w:rsidR="005A5138" w:rsidRDefault="005A5138" w:rsidP="005A5138">
      <w:pPr>
        <w:jc w:val="left"/>
        <w:rPr>
          <w:rFonts w:ascii="Arial" w:hAnsi="Arial" w:cs="Arial"/>
          <w:bCs/>
        </w:rPr>
      </w:pPr>
    </w:p>
    <w:p w14:paraId="209D52AE" w14:textId="3275D827" w:rsidR="005A5138" w:rsidRPr="00ED44B9" w:rsidRDefault="005A5138" w:rsidP="005A5138">
      <w:pPr>
        <w:jc w:val="left"/>
        <w:rPr>
          <w:rFonts w:ascii="Arial" w:hAnsi="Arial" w:cs="Arial"/>
          <w:bCs/>
        </w:rPr>
      </w:pPr>
      <w:r w:rsidRPr="00243678">
        <w:rPr>
          <w:rFonts w:ascii="Arial" w:hAnsi="Arial" w:cs="Arial"/>
        </w:rPr>
        <w:t xml:space="preserve">Gross margin % </w:t>
      </w:r>
      <w:r>
        <w:rPr>
          <w:rFonts w:ascii="Arial" w:hAnsi="Arial" w:cs="Arial"/>
        </w:rPr>
        <w:t>decreased</w:t>
      </w:r>
      <w:r w:rsidRPr="00243678">
        <w:rPr>
          <w:rFonts w:ascii="Arial" w:hAnsi="Arial" w:cs="Arial"/>
        </w:rPr>
        <w:t xml:space="preserve"> by </w:t>
      </w:r>
      <w:r w:rsidRPr="007B35A5">
        <w:rPr>
          <w:rFonts w:ascii="Arial" w:hAnsi="Arial" w:cs="Arial"/>
        </w:rPr>
        <w:t>30</w:t>
      </w:r>
      <w:r w:rsidRPr="00243678">
        <w:rPr>
          <w:rFonts w:ascii="Arial" w:hAnsi="Arial" w:cs="Arial"/>
        </w:rPr>
        <w:t xml:space="preserve"> </w:t>
      </w:r>
      <w:r w:rsidRPr="00573B70">
        <w:rPr>
          <w:rFonts w:ascii="Arial" w:hAnsi="Arial" w:cs="Arial"/>
        </w:rPr>
        <w:t xml:space="preserve">basis points, </w:t>
      </w:r>
      <w:r w:rsidRPr="00EC4039">
        <w:rPr>
          <w:rFonts w:ascii="Arial" w:hAnsi="Arial" w:cs="Arial"/>
        </w:rPr>
        <w:t>largely reflecting ‘normalised’ promotional activity versus the prior year.</w:t>
      </w:r>
      <w:bookmarkEnd w:id="59"/>
      <w:r w:rsidRPr="00EC4039">
        <w:rPr>
          <w:rFonts w:ascii="Arial" w:hAnsi="Arial" w:cs="Arial"/>
        </w:rPr>
        <w:t xml:space="preserve"> </w:t>
      </w:r>
      <w:r w:rsidRPr="00573B70">
        <w:rPr>
          <w:rFonts w:ascii="Arial" w:hAnsi="Arial" w:cs="Arial"/>
        </w:rPr>
        <w:t>Retail profit increased</w:t>
      </w:r>
      <w:r w:rsidRPr="00243678">
        <w:rPr>
          <w:rFonts w:ascii="Arial" w:hAnsi="Arial" w:cs="Arial"/>
        </w:rPr>
        <w:t xml:space="preserve"> by </w:t>
      </w:r>
      <w:r>
        <w:rPr>
          <w:rFonts w:ascii="Arial" w:hAnsi="Arial" w:cs="Arial"/>
        </w:rPr>
        <w:t>12.</w:t>
      </w:r>
      <w:r w:rsidR="00657CA7">
        <w:rPr>
          <w:rFonts w:ascii="Arial" w:hAnsi="Arial" w:cs="Arial"/>
        </w:rPr>
        <w:t>4</w:t>
      </w:r>
      <w:r w:rsidRPr="00243678">
        <w:rPr>
          <w:rFonts w:ascii="Arial" w:hAnsi="Arial" w:cs="Arial"/>
        </w:rPr>
        <w:t>% to £</w:t>
      </w:r>
      <w:r>
        <w:rPr>
          <w:rFonts w:ascii="Arial" w:hAnsi="Arial" w:cs="Arial"/>
        </w:rPr>
        <w:t>148</w:t>
      </w:r>
      <w:r w:rsidRPr="00243678">
        <w:rPr>
          <w:rFonts w:ascii="Arial" w:hAnsi="Arial" w:cs="Arial"/>
        </w:rPr>
        <w:t xml:space="preserve">m </w:t>
      </w:r>
      <w:r w:rsidRPr="00F456B6">
        <w:rPr>
          <w:rFonts w:ascii="Arial" w:hAnsi="Arial" w:cs="Arial"/>
        </w:rPr>
        <w:t>(</w:t>
      </w:r>
      <w:r>
        <w:rPr>
          <w:rFonts w:ascii="Arial" w:hAnsi="Arial" w:cs="Arial"/>
        </w:rPr>
        <w:t>FY 21/22: £135m; FY</w:t>
      </w:r>
      <w:r w:rsidRPr="00F456B6">
        <w:rPr>
          <w:rFonts w:ascii="Arial" w:hAnsi="Arial" w:cs="Arial"/>
        </w:rPr>
        <w:t xml:space="preserve"> 19/20: £</w:t>
      </w:r>
      <w:r>
        <w:rPr>
          <w:rFonts w:ascii="Arial" w:hAnsi="Arial" w:cs="Arial"/>
        </w:rPr>
        <w:t>151</w:t>
      </w:r>
      <w:r w:rsidRPr="00F456B6">
        <w:rPr>
          <w:rFonts w:ascii="Arial" w:hAnsi="Arial" w:cs="Arial"/>
        </w:rPr>
        <w:t>m</w:t>
      </w:r>
      <w:r w:rsidR="00591C6E">
        <w:rPr>
          <w:rFonts w:ascii="Arial" w:hAnsi="Arial" w:cs="Arial"/>
        </w:rPr>
        <w:t>; at reported rates</w:t>
      </w:r>
      <w:r w:rsidRPr="00F456B6">
        <w:rPr>
          <w:rFonts w:ascii="Arial" w:hAnsi="Arial" w:cs="Arial"/>
        </w:rPr>
        <w:t>)</w:t>
      </w:r>
      <w:r>
        <w:rPr>
          <w:rFonts w:ascii="Arial" w:hAnsi="Arial" w:cs="Arial"/>
        </w:rPr>
        <w:t xml:space="preserve"> with growth in gross profit partially </w:t>
      </w:r>
      <w:r w:rsidRPr="00BB26C0">
        <w:rPr>
          <w:rFonts w:ascii="Arial" w:hAnsi="Arial" w:cs="Arial"/>
        </w:rPr>
        <w:t xml:space="preserve">offset by an increase in operating costs. Operating costs increased by 16.8%, </w:t>
      </w:r>
      <w:r w:rsidRPr="00EC4039">
        <w:rPr>
          <w:rFonts w:ascii="Arial" w:hAnsi="Arial" w:cs="Arial"/>
        </w:rPr>
        <w:t xml:space="preserve">reflecting </w:t>
      </w:r>
      <w:r w:rsidR="0021287A" w:rsidRPr="00EC4039">
        <w:rPr>
          <w:rFonts w:ascii="Arial" w:hAnsi="Arial" w:cs="Arial"/>
        </w:rPr>
        <w:t>staff and operating cost inflation including higher energy costs</w:t>
      </w:r>
      <w:r w:rsidR="0021287A">
        <w:rPr>
          <w:rFonts w:ascii="Arial" w:hAnsi="Arial" w:cs="Arial"/>
        </w:rPr>
        <w:t>,</w:t>
      </w:r>
      <w:r w:rsidR="0021287A" w:rsidRPr="00EC4039">
        <w:rPr>
          <w:rFonts w:ascii="Arial" w:hAnsi="Arial" w:cs="Arial"/>
        </w:rPr>
        <w:t xml:space="preserve"> </w:t>
      </w:r>
      <w:r w:rsidRPr="00EC4039">
        <w:rPr>
          <w:rFonts w:ascii="Arial" w:hAnsi="Arial" w:cs="Arial"/>
        </w:rPr>
        <w:t>space growth and new store opening costs</w:t>
      </w:r>
      <w:r w:rsidR="00671AA1">
        <w:rPr>
          <w:rFonts w:ascii="Arial" w:hAnsi="Arial" w:cs="Arial"/>
        </w:rPr>
        <w:t>,</w:t>
      </w:r>
      <w:r w:rsidR="0021287A">
        <w:rPr>
          <w:rFonts w:ascii="Arial" w:hAnsi="Arial" w:cs="Arial"/>
        </w:rPr>
        <w:t xml:space="preserve"> and</w:t>
      </w:r>
      <w:r w:rsidRPr="00EC4039">
        <w:rPr>
          <w:rFonts w:ascii="Arial" w:hAnsi="Arial" w:cs="Arial"/>
        </w:rPr>
        <w:t xml:space="preserve"> higher marketing costs. </w:t>
      </w:r>
      <w:r w:rsidRPr="00EC4039">
        <w:rPr>
          <w:rFonts w:ascii="Arial" w:hAnsi="Arial" w:cs="Arial"/>
          <w:bCs/>
        </w:rPr>
        <w:t xml:space="preserve">The increase in operating costs was </w:t>
      </w:r>
      <w:r w:rsidRPr="00EC4039">
        <w:rPr>
          <w:rFonts w:ascii="Arial" w:hAnsi="Arial" w:cs="Arial"/>
        </w:rPr>
        <w:t xml:space="preserve">partially offset by cost reductions achieved </w:t>
      </w:r>
      <w:r w:rsidR="00911109">
        <w:rPr>
          <w:rFonts w:ascii="Arial" w:hAnsi="Arial" w:cs="Arial"/>
        </w:rPr>
        <w:t xml:space="preserve">by </w:t>
      </w:r>
      <w:r w:rsidRPr="00EC4039">
        <w:rPr>
          <w:rFonts w:ascii="Arial" w:hAnsi="Arial" w:cs="Arial"/>
        </w:rPr>
        <w:t>our strategic cost reduction programme</w:t>
      </w:r>
      <w:r w:rsidRPr="00BB26C0">
        <w:rPr>
          <w:rFonts w:ascii="Arial" w:hAnsi="Arial" w:cs="Arial"/>
        </w:rPr>
        <w:t>. Retail profit margin % decreased by 30 basis points to 8.5% (FY 21/22: 8.8%; FY 19/20: 10.4%).</w:t>
      </w:r>
    </w:p>
    <w:p w14:paraId="4E799D59" w14:textId="77777777" w:rsidR="005A5138" w:rsidRDefault="005A5138" w:rsidP="005A5138">
      <w:pPr>
        <w:jc w:val="left"/>
        <w:rPr>
          <w:rFonts w:ascii="Arial" w:hAnsi="Arial" w:cs="Arial"/>
        </w:rPr>
      </w:pPr>
    </w:p>
    <w:p w14:paraId="2A964BC1" w14:textId="77777777" w:rsidR="005A5138" w:rsidRDefault="005A5138" w:rsidP="005A5138">
      <w:pPr>
        <w:jc w:val="left"/>
        <w:rPr>
          <w:rFonts w:ascii="Arial" w:hAnsi="Arial" w:cs="Arial"/>
        </w:rPr>
      </w:pPr>
      <w:r>
        <w:rPr>
          <w:rFonts w:ascii="Arial" w:hAnsi="Arial" w:cs="Arial"/>
        </w:rPr>
        <w:t>S</w:t>
      </w:r>
      <w:r w:rsidRPr="003E0692">
        <w:rPr>
          <w:rFonts w:ascii="Arial" w:hAnsi="Arial" w:cs="Arial"/>
        </w:rPr>
        <w:t xml:space="preserve">pace growth contributed </w:t>
      </w:r>
      <w:r w:rsidRPr="00C8242F">
        <w:rPr>
          <w:rFonts w:ascii="Arial" w:hAnsi="Arial" w:cs="Arial"/>
        </w:rPr>
        <w:t>c.</w:t>
      </w:r>
      <w:r w:rsidRPr="007B35A5">
        <w:rPr>
          <w:rFonts w:ascii="Arial" w:hAnsi="Arial" w:cs="Arial"/>
        </w:rPr>
        <w:t>3</w:t>
      </w:r>
      <w:r w:rsidRPr="00C8242F">
        <w:rPr>
          <w:rFonts w:ascii="Arial" w:hAnsi="Arial" w:cs="Arial"/>
        </w:rPr>
        <w:t>% to</w:t>
      </w:r>
      <w:r w:rsidRPr="003E0692">
        <w:rPr>
          <w:rFonts w:ascii="Arial" w:hAnsi="Arial" w:cs="Arial"/>
        </w:rPr>
        <w:t xml:space="preserve"> total sales</w:t>
      </w:r>
      <w:r>
        <w:rPr>
          <w:rFonts w:ascii="Arial" w:hAnsi="Arial" w:cs="Arial"/>
        </w:rPr>
        <w:t xml:space="preserve">. Castorama </w:t>
      </w:r>
      <w:r w:rsidRPr="00C8242F">
        <w:rPr>
          <w:rFonts w:ascii="Arial" w:hAnsi="Arial" w:cs="Arial"/>
        </w:rPr>
        <w:t xml:space="preserve">opened </w:t>
      </w:r>
      <w:r w:rsidRPr="007B35A5">
        <w:rPr>
          <w:rFonts w:ascii="Arial" w:hAnsi="Arial" w:cs="Arial"/>
        </w:rPr>
        <w:t>seven</w:t>
      </w:r>
      <w:r w:rsidRPr="00C8242F">
        <w:rPr>
          <w:rFonts w:ascii="Arial" w:hAnsi="Arial" w:cs="Arial"/>
        </w:rPr>
        <w:t xml:space="preserve"> new</w:t>
      </w:r>
      <w:r>
        <w:rPr>
          <w:rFonts w:ascii="Arial" w:hAnsi="Arial" w:cs="Arial"/>
        </w:rPr>
        <w:t xml:space="preserve"> stores in FY 22/23</w:t>
      </w:r>
      <w:r w:rsidRPr="00243678">
        <w:rPr>
          <w:rFonts w:ascii="Arial" w:hAnsi="Arial" w:cs="Arial"/>
        </w:rPr>
        <w:t xml:space="preserve">, </w:t>
      </w:r>
      <w:r w:rsidRPr="00AD06EB">
        <w:rPr>
          <w:rFonts w:ascii="Arial" w:hAnsi="Arial" w:cs="Arial"/>
        </w:rPr>
        <w:t xml:space="preserve">including </w:t>
      </w:r>
      <w:r w:rsidRPr="00170FA8">
        <w:rPr>
          <w:rFonts w:ascii="Arial" w:hAnsi="Arial" w:cs="Arial"/>
        </w:rPr>
        <w:t>three</w:t>
      </w:r>
      <w:r w:rsidRPr="00AD06EB">
        <w:rPr>
          <w:rFonts w:ascii="Arial" w:hAnsi="Arial" w:cs="Arial"/>
        </w:rPr>
        <w:t xml:space="preserve"> big</w:t>
      </w:r>
      <w:r w:rsidRPr="00593C09">
        <w:rPr>
          <w:rFonts w:ascii="Arial" w:hAnsi="Arial" w:cs="Arial"/>
        </w:rPr>
        <w:t>-boxes</w:t>
      </w:r>
      <w:r>
        <w:rPr>
          <w:rFonts w:ascii="Arial" w:hAnsi="Arial" w:cs="Arial"/>
        </w:rPr>
        <w:t xml:space="preserve"> </w:t>
      </w:r>
      <w:r w:rsidRPr="00593C09">
        <w:rPr>
          <w:rFonts w:ascii="Arial" w:hAnsi="Arial" w:cs="Arial"/>
        </w:rPr>
        <w:t xml:space="preserve">and </w:t>
      </w:r>
      <w:r>
        <w:rPr>
          <w:rFonts w:ascii="Arial" w:hAnsi="Arial" w:cs="Arial"/>
        </w:rPr>
        <w:t xml:space="preserve">four </w:t>
      </w:r>
      <w:r w:rsidRPr="00593C09">
        <w:rPr>
          <w:rFonts w:ascii="Arial" w:hAnsi="Arial" w:cs="Arial"/>
        </w:rPr>
        <w:t>compact</w:t>
      </w:r>
      <w:r w:rsidRPr="00243678">
        <w:rPr>
          <w:rFonts w:ascii="Arial" w:hAnsi="Arial" w:cs="Arial"/>
        </w:rPr>
        <w:t xml:space="preserve"> store</w:t>
      </w:r>
      <w:r>
        <w:rPr>
          <w:rFonts w:ascii="Arial" w:hAnsi="Arial" w:cs="Arial"/>
        </w:rPr>
        <w:t>s,</w:t>
      </w:r>
      <w:r>
        <w:rPr>
          <w:rFonts w:ascii="Arial" w:hAnsi="Arial" w:cs="Arial"/>
          <w:bCs/>
        </w:rPr>
        <w:t xml:space="preserve"> bringing its total </w:t>
      </w:r>
      <w:r w:rsidRPr="008463CD">
        <w:rPr>
          <w:rFonts w:ascii="Arial" w:hAnsi="Arial" w:cs="Arial"/>
          <w:bCs/>
        </w:rPr>
        <w:t xml:space="preserve">to </w:t>
      </w:r>
      <w:r w:rsidRPr="007B35A5">
        <w:rPr>
          <w:rFonts w:ascii="Arial" w:hAnsi="Arial" w:cs="Arial"/>
          <w:bCs/>
        </w:rPr>
        <w:t>97</w:t>
      </w:r>
      <w:r w:rsidRPr="008463CD">
        <w:rPr>
          <w:rFonts w:ascii="Arial" w:hAnsi="Arial" w:cs="Arial"/>
          <w:bCs/>
        </w:rPr>
        <w:t xml:space="preserve"> stores</w:t>
      </w:r>
      <w:r>
        <w:rPr>
          <w:rFonts w:ascii="Arial" w:hAnsi="Arial" w:cs="Arial"/>
          <w:bCs/>
        </w:rPr>
        <w:t xml:space="preserve"> in Poland.</w:t>
      </w:r>
    </w:p>
    <w:p w14:paraId="62E4FE95" w14:textId="77777777" w:rsidR="005A5138" w:rsidRPr="00E83051" w:rsidRDefault="005A5138" w:rsidP="005A5138">
      <w:pPr>
        <w:jc w:val="left"/>
        <w:rPr>
          <w:rFonts w:ascii="Arial" w:hAnsi="Arial" w:cs="Arial"/>
        </w:rPr>
      </w:pPr>
    </w:p>
    <w:p w14:paraId="0607814F" w14:textId="6DF215D9" w:rsidR="005A5138" w:rsidRDefault="005A5138" w:rsidP="005A5138">
      <w:pPr>
        <w:jc w:val="left"/>
        <w:rPr>
          <w:rFonts w:ascii="Arial" w:hAnsi="Arial" w:cs="Arial"/>
        </w:rPr>
      </w:pPr>
      <w:bookmarkStart w:id="60" w:name="_Hlk524460777"/>
      <w:r w:rsidRPr="005C6580">
        <w:rPr>
          <w:rFonts w:ascii="Arial" w:hAnsi="Arial" w:cs="Arial"/>
          <w:b/>
          <w:bCs/>
        </w:rPr>
        <w:t>Iberia</w:t>
      </w:r>
      <w:r>
        <w:rPr>
          <w:rFonts w:ascii="Arial" w:hAnsi="Arial" w:cs="Arial"/>
        </w:rPr>
        <w:t xml:space="preserve"> total</w:t>
      </w:r>
      <w:r w:rsidRPr="005C6580">
        <w:rPr>
          <w:rFonts w:ascii="Arial" w:hAnsi="Arial" w:cs="Arial"/>
        </w:rPr>
        <w:t xml:space="preserve"> sales</w:t>
      </w:r>
      <w:r w:rsidRPr="002F6DC3">
        <w:rPr>
          <w:rFonts w:ascii="Arial" w:hAnsi="Arial" w:cs="Arial"/>
        </w:rPr>
        <w:t xml:space="preserve"> </w:t>
      </w:r>
      <w:r w:rsidRPr="0098740D">
        <w:rPr>
          <w:rFonts w:ascii="Arial" w:hAnsi="Arial" w:cs="Arial"/>
        </w:rPr>
        <w:t xml:space="preserve">increased </w:t>
      </w:r>
      <w:r w:rsidRPr="00C8242F">
        <w:rPr>
          <w:rFonts w:ascii="Arial" w:hAnsi="Arial" w:cs="Arial"/>
        </w:rPr>
        <w:t xml:space="preserve">by </w:t>
      </w:r>
      <w:r w:rsidRPr="007B35A5">
        <w:rPr>
          <w:rFonts w:ascii="Arial" w:hAnsi="Arial" w:cs="Arial"/>
        </w:rPr>
        <w:t>1.9</w:t>
      </w:r>
      <w:r w:rsidRPr="00C8242F">
        <w:rPr>
          <w:rFonts w:ascii="Arial" w:hAnsi="Arial" w:cs="Arial"/>
        </w:rPr>
        <w:t xml:space="preserve">% (LFL </w:t>
      </w:r>
      <w:r w:rsidRPr="007B35A5">
        <w:rPr>
          <w:rFonts w:ascii="Arial" w:hAnsi="Arial" w:cs="Arial"/>
        </w:rPr>
        <w:t>+1.9</w:t>
      </w:r>
      <w:r w:rsidRPr="00C8242F">
        <w:rPr>
          <w:rFonts w:ascii="Arial" w:hAnsi="Arial" w:cs="Arial"/>
        </w:rPr>
        <w:t>%) to £</w:t>
      </w:r>
      <w:r w:rsidRPr="007B35A5">
        <w:rPr>
          <w:rFonts w:ascii="Arial" w:hAnsi="Arial" w:cs="Arial"/>
        </w:rPr>
        <w:t>373</w:t>
      </w:r>
      <w:r w:rsidRPr="00C8242F">
        <w:rPr>
          <w:rFonts w:ascii="Arial" w:hAnsi="Arial" w:cs="Arial"/>
        </w:rPr>
        <w:t>m</w:t>
      </w:r>
      <w:r w:rsidRPr="0098740D">
        <w:rPr>
          <w:rFonts w:ascii="Arial" w:hAnsi="Arial" w:cs="Arial"/>
        </w:rPr>
        <w:t xml:space="preserve">, </w:t>
      </w:r>
      <w:r>
        <w:rPr>
          <w:rFonts w:ascii="Arial" w:hAnsi="Arial" w:cs="Arial"/>
        </w:rPr>
        <w:t xml:space="preserve">reflecting </w:t>
      </w:r>
      <w:r w:rsidRPr="000D0A2C">
        <w:rPr>
          <w:rFonts w:ascii="Arial" w:hAnsi="Arial" w:cs="Arial"/>
          <w:bCs/>
        </w:rPr>
        <w:t xml:space="preserve">resilient </w:t>
      </w:r>
      <w:r>
        <w:rPr>
          <w:rFonts w:ascii="Arial" w:hAnsi="Arial" w:cs="Arial"/>
          <w:bCs/>
        </w:rPr>
        <w:t>sales</w:t>
      </w:r>
      <w:r w:rsidRPr="000D0A2C">
        <w:rPr>
          <w:rFonts w:ascii="Arial" w:hAnsi="Arial" w:cs="Arial"/>
          <w:bCs/>
        </w:rPr>
        <w:t xml:space="preserve"> against strong prior year comparatives</w:t>
      </w:r>
      <w:r>
        <w:rPr>
          <w:rFonts w:ascii="Arial" w:hAnsi="Arial" w:cs="Arial"/>
          <w:bCs/>
        </w:rPr>
        <w:t xml:space="preserve">. </w:t>
      </w:r>
      <w:r w:rsidRPr="00EE73DD">
        <w:rPr>
          <w:rFonts w:ascii="Arial" w:hAnsi="Arial" w:cs="Arial"/>
          <w:bCs/>
        </w:rPr>
        <w:t>The busine</w:t>
      </w:r>
      <w:r>
        <w:rPr>
          <w:rFonts w:ascii="Arial" w:hAnsi="Arial" w:cs="Arial"/>
          <w:bCs/>
        </w:rPr>
        <w:t>ss</w:t>
      </w:r>
      <w:r w:rsidRPr="007B35A5">
        <w:rPr>
          <w:rFonts w:ascii="Arial" w:hAnsi="Arial" w:cs="Arial"/>
          <w:bCs/>
        </w:rPr>
        <w:t xml:space="preserve"> achieved good </w:t>
      </w:r>
      <w:r>
        <w:rPr>
          <w:rFonts w:ascii="Arial" w:hAnsi="Arial" w:cs="Arial"/>
          <w:bCs/>
        </w:rPr>
        <w:t xml:space="preserve">YoY </w:t>
      </w:r>
      <w:r w:rsidRPr="007B35A5">
        <w:rPr>
          <w:rFonts w:ascii="Arial" w:hAnsi="Arial" w:cs="Arial"/>
          <w:bCs/>
        </w:rPr>
        <w:t>growth in its EPHC</w:t>
      </w:r>
      <w:r>
        <w:rPr>
          <w:rFonts w:ascii="Arial" w:hAnsi="Arial" w:cs="Arial"/>
          <w:bCs/>
        </w:rPr>
        <w:t>,</w:t>
      </w:r>
      <w:r w:rsidRPr="007B35A5">
        <w:rPr>
          <w:rFonts w:ascii="Arial" w:hAnsi="Arial" w:cs="Arial"/>
          <w:bCs/>
        </w:rPr>
        <w:t xml:space="preserve"> building &amp; joinery and kitchen categories. </w:t>
      </w:r>
      <w:r w:rsidRPr="0098740D">
        <w:rPr>
          <w:rFonts w:ascii="Arial" w:hAnsi="Arial" w:cs="Arial"/>
        </w:rPr>
        <w:t xml:space="preserve">3-year LFL sales </w:t>
      </w:r>
      <w:r>
        <w:rPr>
          <w:rFonts w:ascii="Arial" w:hAnsi="Arial" w:cs="Arial"/>
        </w:rPr>
        <w:t xml:space="preserve">for the year were </w:t>
      </w:r>
      <w:r w:rsidRPr="00C8242F">
        <w:rPr>
          <w:rFonts w:ascii="Arial" w:hAnsi="Arial" w:cs="Arial"/>
        </w:rPr>
        <w:t xml:space="preserve">up </w:t>
      </w:r>
      <w:r w:rsidRPr="007B35A5">
        <w:rPr>
          <w:rFonts w:ascii="Arial" w:hAnsi="Arial" w:cs="Arial"/>
        </w:rPr>
        <w:t>16</w:t>
      </w:r>
      <w:r w:rsidRPr="00C8242F">
        <w:rPr>
          <w:rFonts w:ascii="Arial" w:hAnsi="Arial" w:cs="Arial"/>
        </w:rPr>
        <w:t>.7</w:t>
      </w:r>
      <w:r w:rsidRPr="00EE73DD">
        <w:rPr>
          <w:rFonts w:ascii="Arial" w:hAnsi="Arial" w:cs="Arial"/>
        </w:rPr>
        <w:t>%</w:t>
      </w:r>
      <w:r>
        <w:rPr>
          <w:rFonts w:ascii="Arial" w:hAnsi="Arial" w:cs="Arial"/>
        </w:rPr>
        <w:t>, with</w:t>
      </w:r>
      <w:r w:rsidRPr="00EE73DD">
        <w:rPr>
          <w:rFonts w:ascii="Arial" w:hAnsi="Arial" w:cs="Arial"/>
        </w:rPr>
        <w:t xml:space="preserve"> </w:t>
      </w:r>
      <w:r w:rsidR="004271B9">
        <w:rPr>
          <w:rFonts w:ascii="Arial" w:hAnsi="Arial" w:cs="Arial"/>
          <w:bCs/>
        </w:rPr>
        <w:t xml:space="preserve">strong performances in </w:t>
      </w:r>
      <w:r w:rsidRPr="007B35A5">
        <w:rPr>
          <w:rFonts w:ascii="Arial" w:hAnsi="Arial" w:cs="Arial"/>
          <w:bCs/>
        </w:rPr>
        <w:t xml:space="preserve">building &amp; joinery and outdoor, both </w:t>
      </w:r>
      <w:r>
        <w:rPr>
          <w:rFonts w:ascii="Arial" w:hAnsi="Arial" w:cs="Arial"/>
          <w:bCs/>
        </w:rPr>
        <w:t>up</w:t>
      </w:r>
      <w:r w:rsidRPr="007B35A5">
        <w:rPr>
          <w:rFonts w:ascii="Arial" w:hAnsi="Arial" w:cs="Arial"/>
          <w:bCs/>
        </w:rPr>
        <w:t xml:space="preserve"> by c.30%. </w:t>
      </w:r>
      <w:r w:rsidRPr="001F01E2">
        <w:rPr>
          <w:rFonts w:ascii="Arial" w:hAnsi="Arial" w:cs="Arial"/>
        </w:rPr>
        <w:t>Retail profit decreased to £</w:t>
      </w:r>
      <w:r w:rsidRPr="007B35A5">
        <w:rPr>
          <w:rFonts w:ascii="Arial" w:hAnsi="Arial" w:cs="Arial"/>
        </w:rPr>
        <w:t>9</w:t>
      </w:r>
      <w:r w:rsidRPr="001F01E2">
        <w:rPr>
          <w:rFonts w:ascii="Arial" w:hAnsi="Arial" w:cs="Arial"/>
        </w:rPr>
        <w:t>m (FY</w:t>
      </w:r>
      <w:r>
        <w:rPr>
          <w:rFonts w:ascii="Arial" w:hAnsi="Arial" w:cs="Arial"/>
        </w:rPr>
        <w:t xml:space="preserve"> </w:t>
      </w:r>
      <w:r w:rsidRPr="001F01E2">
        <w:rPr>
          <w:rFonts w:ascii="Arial" w:hAnsi="Arial" w:cs="Arial"/>
        </w:rPr>
        <w:t>21/22: £12m</w:t>
      </w:r>
      <w:r>
        <w:rPr>
          <w:rFonts w:ascii="Arial" w:hAnsi="Arial" w:cs="Arial"/>
        </w:rPr>
        <w:t xml:space="preserve">; FY 19/20: </w:t>
      </w:r>
      <w:r w:rsidRPr="00DF0505">
        <w:rPr>
          <w:rFonts w:ascii="Arial" w:hAnsi="Arial" w:cs="Arial"/>
        </w:rPr>
        <w:t>£2</w:t>
      </w:r>
      <w:r>
        <w:rPr>
          <w:rFonts w:ascii="Arial" w:hAnsi="Arial" w:cs="Arial"/>
        </w:rPr>
        <w:t>m</w:t>
      </w:r>
      <w:r w:rsidR="00DF0CE0">
        <w:rPr>
          <w:rFonts w:ascii="Arial" w:hAnsi="Arial" w:cs="Arial"/>
        </w:rPr>
        <w:t>; at reported rates</w:t>
      </w:r>
      <w:r>
        <w:rPr>
          <w:rFonts w:ascii="Arial" w:hAnsi="Arial" w:cs="Arial"/>
        </w:rPr>
        <w:t xml:space="preserve">), </w:t>
      </w:r>
      <w:r w:rsidRPr="00E34194">
        <w:rPr>
          <w:rFonts w:ascii="Arial" w:hAnsi="Arial" w:cs="Arial"/>
        </w:rPr>
        <w:t xml:space="preserve">reflecting </w:t>
      </w:r>
      <w:r>
        <w:rPr>
          <w:rFonts w:ascii="Arial" w:hAnsi="Arial" w:cs="Arial"/>
        </w:rPr>
        <w:t xml:space="preserve">a lower gross margin % and </w:t>
      </w:r>
      <w:r w:rsidRPr="00E34194">
        <w:rPr>
          <w:rFonts w:ascii="Arial" w:hAnsi="Arial" w:cs="Arial"/>
        </w:rPr>
        <w:t xml:space="preserve">an increase in operating </w:t>
      </w:r>
      <w:r w:rsidRPr="000F3731">
        <w:rPr>
          <w:rFonts w:ascii="Arial" w:hAnsi="Arial" w:cs="Arial"/>
        </w:rPr>
        <w:t xml:space="preserve">costs of </w:t>
      </w:r>
      <w:r w:rsidRPr="007B35A5">
        <w:rPr>
          <w:rFonts w:ascii="Arial" w:hAnsi="Arial" w:cs="Arial"/>
        </w:rPr>
        <w:t>1.2</w:t>
      </w:r>
      <w:r w:rsidRPr="000F3731">
        <w:rPr>
          <w:rFonts w:ascii="Arial" w:hAnsi="Arial" w:cs="Arial"/>
        </w:rPr>
        <w:t>%.</w:t>
      </w:r>
    </w:p>
    <w:p w14:paraId="68F86BBE" w14:textId="77777777" w:rsidR="005A5138" w:rsidRPr="002F6DC3" w:rsidRDefault="005A5138" w:rsidP="005A5138">
      <w:pPr>
        <w:jc w:val="left"/>
        <w:rPr>
          <w:rFonts w:ascii="Arial" w:hAnsi="Arial" w:cs="Arial"/>
        </w:rPr>
      </w:pPr>
    </w:p>
    <w:p w14:paraId="1D4A5322" w14:textId="755EA799" w:rsidR="005A5138" w:rsidRDefault="005A5138" w:rsidP="005A5138">
      <w:pPr>
        <w:jc w:val="left"/>
        <w:rPr>
          <w:rFonts w:ascii="Arial" w:hAnsi="Arial" w:cs="Arial"/>
        </w:rPr>
      </w:pPr>
      <w:bookmarkStart w:id="61" w:name="_Hlk81402464"/>
      <w:r w:rsidRPr="00507E9F">
        <w:rPr>
          <w:rFonts w:ascii="Arial" w:hAnsi="Arial" w:cs="Arial"/>
          <w:b/>
        </w:rPr>
        <w:t>Romania</w:t>
      </w:r>
      <w:r w:rsidRPr="000F790F">
        <w:rPr>
          <w:rFonts w:ascii="Arial" w:hAnsi="Arial" w:cs="Arial"/>
          <w:bCs/>
        </w:rPr>
        <w:t xml:space="preserve"> </w:t>
      </w:r>
      <w:r>
        <w:rPr>
          <w:rFonts w:ascii="Arial" w:hAnsi="Arial" w:cs="Arial"/>
          <w:bCs/>
        </w:rPr>
        <w:t xml:space="preserve">total </w:t>
      </w:r>
      <w:r w:rsidRPr="000F790F">
        <w:rPr>
          <w:rFonts w:ascii="Arial" w:hAnsi="Arial" w:cs="Arial"/>
          <w:bCs/>
        </w:rPr>
        <w:t xml:space="preserve">sales </w:t>
      </w:r>
      <w:r>
        <w:rPr>
          <w:rFonts w:ascii="Arial" w:hAnsi="Arial" w:cs="Arial"/>
          <w:bCs/>
        </w:rPr>
        <w:t>in</w:t>
      </w:r>
      <w:r w:rsidRPr="000F790F">
        <w:rPr>
          <w:rFonts w:ascii="Arial" w:hAnsi="Arial" w:cs="Arial"/>
          <w:bCs/>
        </w:rPr>
        <w:t xml:space="preserve">creased </w:t>
      </w:r>
      <w:r w:rsidRPr="00A621AF">
        <w:rPr>
          <w:rFonts w:ascii="Arial" w:hAnsi="Arial" w:cs="Arial"/>
          <w:bCs/>
        </w:rPr>
        <w:t xml:space="preserve">by </w:t>
      </w:r>
      <w:r w:rsidRPr="007B35A5">
        <w:rPr>
          <w:rFonts w:ascii="Arial" w:hAnsi="Arial" w:cs="Arial"/>
          <w:bCs/>
        </w:rPr>
        <w:t>1.7</w:t>
      </w:r>
      <w:r w:rsidRPr="00A621AF">
        <w:rPr>
          <w:rFonts w:ascii="Arial" w:hAnsi="Arial" w:cs="Arial"/>
          <w:bCs/>
        </w:rPr>
        <w:t>% to £</w:t>
      </w:r>
      <w:r w:rsidRPr="007B35A5">
        <w:rPr>
          <w:rFonts w:ascii="Arial" w:hAnsi="Arial" w:cs="Arial"/>
          <w:bCs/>
        </w:rPr>
        <w:t>285</w:t>
      </w:r>
      <w:r w:rsidRPr="00A621AF">
        <w:rPr>
          <w:rFonts w:ascii="Arial" w:hAnsi="Arial" w:cs="Arial"/>
          <w:bCs/>
        </w:rPr>
        <w:t xml:space="preserve">m, </w:t>
      </w:r>
      <w:r>
        <w:rPr>
          <w:rFonts w:ascii="Arial" w:hAnsi="Arial" w:cs="Arial"/>
          <w:bCs/>
        </w:rPr>
        <w:t xml:space="preserve">despite the inclusion of </w:t>
      </w:r>
      <w:r w:rsidRPr="000F790F">
        <w:rPr>
          <w:rFonts w:ascii="Arial" w:hAnsi="Arial" w:cs="Arial"/>
          <w:bCs/>
        </w:rPr>
        <w:t>one additional month of sales in the prior year comparative</w:t>
      </w:r>
      <w:r>
        <w:rPr>
          <w:rFonts w:ascii="Arial" w:hAnsi="Arial" w:cs="Arial"/>
          <w:bCs/>
        </w:rPr>
        <w:t xml:space="preserve"> and the impact of </w:t>
      </w:r>
      <w:r w:rsidRPr="00911D81">
        <w:rPr>
          <w:rFonts w:ascii="Arial" w:hAnsi="Arial" w:cs="Arial"/>
          <w:bCs/>
        </w:rPr>
        <w:t xml:space="preserve">COVID-related trading restrictions </w:t>
      </w:r>
      <w:r>
        <w:rPr>
          <w:rFonts w:ascii="Arial" w:hAnsi="Arial" w:cs="Arial"/>
          <w:bCs/>
        </w:rPr>
        <w:t xml:space="preserve">earlier in the year </w:t>
      </w:r>
      <w:r w:rsidRPr="00911D81">
        <w:rPr>
          <w:rFonts w:ascii="Arial" w:hAnsi="Arial" w:cs="Arial"/>
          <w:bCs/>
        </w:rPr>
        <w:t>(lifted in March 2022)</w:t>
      </w:r>
      <w:r>
        <w:rPr>
          <w:rFonts w:ascii="Arial" w:hAnsi="Arial" w:cs="Arial"/>
          <w:bCs/>
        </w:rPr>
        <w:t>.</w:t>
      </w:r>
      <w:r w:rsidRPr="000F790F">
        <w:rPr>
          <w:rFonts w:ascii="Arial" w:hAnsi="Arial" w:cs="Arial"/>
          <w:bCs/>
        </w:rPr>
        <w:t xml:space="preserve"> </w:t>
      </w:r>
      <w:r>
        <w:rPr>
          <w:rFonts w:ascii="Arial" w:hAnsi="Arial" w:cs="Arial"/>
          <w:bCs/>
        </w:rPr>
        <w:t xml:space="preserve">On an </w:t>
      </w:r>
      <w:r w:rsidRPr="000F790F">
        <w:rPr>
          <w:rFonts w:ascii="Arial" w:hAnsi="Arial" w:cs="Arial"/>
          <w:bCs/>
        </w:rPr>
        <w:t xml:space="preserve">LFL </w:t>
      </w:r>
      <w:r>
        <w:rPr>
          <w:rFonts w:ascii="Arial" w:hAnsi="Arial" w:cs="Arial"/>
          <w:bCs/>
        </w:rPr>
        <w:t xml:space="preserve">basis </w:t>
      </w:r>
      <w:r w:rsidRPr="00F46EF9">
        <w:rPr>
          <w:rFonts w:ascii="Arial" w:hAnsi="Arial" w:cs="Arial"/>
          <w:bCs/>
        </w:rPr>
        <w:t xml:space="preserve">sales </w:t>
      </w:r>
      <w:r>
        <w:rPr>
          <w:rFonts w:ascii="Arial" w:hAnsi="Arial" w:cs="Arial"/>
          <w:bCs/>
        </w:rPr>
        <w:t>growth was +</w:t>
      </w:r>
      <w:r w:rsidRPr="007B35A5">
        <w:rPr>
          <w:rFonts w:ascii="Arial" w:hAnsi="Arial" w:cs="Arial"/>
          <w:bCs/>
        </w:rPr>
        <w:t>7.8</w:t>
      </w:r>
      <w:r w:rsidRPr="00F46EF9">
        <w:rPr>
          <w:rFonts w:ascii="Arial" w:hAnsi="Arial" w:cs="Arial"/>
          <w:bCs/>
        </w:rPr>
        <w:t xml:space="preserve">%, reflecting strong YoY performances in </w:t>
      </w:r>
      <w:r>
        <w:rPr>
          <w:rFonts w:ascii="Arial" w:hAnsi="Arial" w:cs="Arial"/>
          <w:bCs/>
        </w:rPr>
        <w:t xml:space="preserve">the </w:t>
      </w:r>
      <w:r w:rsidRPr="00F46EF9">
        <w:rPr>
          <w:rFonts w:ascii="Arial" w:hAnsi="Arial" w:cs="Arial"/>
          <w:bCs/>
        </w:rPr>
        <w:t>outdoo</w:t>
      </w:r>
      <w:r w:rsidRPr="007B35A5">
        <w:rPr>
          <w:rFonts w:ascii="Arial" w:hAnsi="Arial" w:cs="Arial"/>
          <w:bCs/>
        </w:rPr>
        <w:t>r</w:t>
      </w:r>
      <w:r>
        <w:rPr>
          <w:rFonts w:ascii="Arial" w:hAnsi="Arial" w:cs="Arial"/>
          <w:bCs/>
        </w:rPr>
        <w:t xml:space="preserve">, surfaces &amp; décor and kitchen </w:t>
      </w:r>
      <w:r w:rsidRPr="00F46EF9">
        <w:rPr>
          <w:rFonts w:ascii="Arial" w:hAnsi="Arial" w:cs="Arial"/>
          <w:bCs/>
        </w:rPr>
        <w:t>categories.</w:t>
      </w:r>
      <w:r>
        <w:rPr>
          <w:rFonts w:ascii="Arial" w:hAnsi="Arial" w:cs="Arial"/>
          <w:bCs/>
        </w:rPr>
        <w:t xml:space="preserve"> </w:t>
      </w:r>
      <w:r w:rsidR="005D4E64" w:rsidRPr="0098740D">
        <w:rPr>
          <w:rFonts w:ascii="Arial" w:hAnsi="Arial" w:cs="Arial"/>
        </w:rPr>
        <w:t xml:space="preserve">3-year LFL sales </w:t>
      </w:r>
      <w:r w:rsidR="005D4E64">
        <w:rPr>
          <w:rFonts w:ascii="Arial" w:hAnsi="Arial" w:cs="Arial"/>
        </w:rPr>
        <w:t xml:space="preserve">for the year were </w:t>
      </w:r>
      <w:r w:rsidR="005D4E64" w:rsidRPr="00CB5742">
        <w:rPr>
          <w:rFonts w:ascii="Arial" w:hAnsi="Arial" w:cs="Arial"/>
        </w:rPr>
        <w:t xml:space="preserve">up </w:t>
      </w:r>
      <w:r w:rsidR="005D4E64">
        <w:rPr>
          <w:rFonts w:ascii="Arial" w:hAnsi="Arial" w:cs="Arial"/>
        </w:rPr>
        <w:t>3</w:t>
      </w:r>
      <w:r w:rsidR="00047671">
        <w:rPr>
          <w:rFonts w:ascii="Arial" w:hAnsi="Arial" w:cs="Arial"/>
        </w:rPr>
        <w:t>8</w:t>
      </w:r>
      <w:r w:rsidR="005D4E64" w:rsidRPr="007B35A5">
        <w:rPr>
          <w:rFonts w:ascii="Arial" w:hAnsi="Arial" w:cs="Arial"/>
        </w:rPr>
        <w:t>.</w:t>
      </w:r>
      <w:r w:rsidR="00047671">
        <w:rPr>
          <w:rFonts w:ascii="Arial" w:hAnsi="Arial" w:cs="Arial"/>
        </w:rPr>
        <w:t>0</w:t>
      </w:r>
      <w:r w:rsidR="005D4E64">
        <w:rPr>
          <w:rFonts w:ascii="Arial" w:hAnsi="Arial" w:cs="Arial"/>
        </w:rPr>
        <w:t xml:space="preserve">%. </w:t>
      </w:r>
      <w:r w:rsidRPr="000F790F">
        <w:rPr>
          <w:rFonts w:ascii="Arial" w:hAnsi="Arial" w:cs="Arial"/>
          <w:bCs/>
        </w:rPr>
        <w:t xml:space="preserve">Growth in gross profit was partially offset by </w:t>
      </w:r>
      <w:r>
        <w:rPr>
          <w:rFonts w:ascii="Arial" w:hAnsi="Arial" w:cs="Arial"/>
          <w:bCs/>
        </w:rPr>
        <w:t xml:space="preserve">an increase in </w:t>
      </w:r>
      <w:r w:rsidRPr="000F790F">
        <w:rPr>
          <w:rFonts w:ascii="Arial" w:hAnsi="Arial" w:cs="Arial"/>
          <w:bCs/>
        </w:rPr>
        <w:t xml:space="preserve">operating </w:t>
      </w:r>
      <w:r w:rsidRPr="000F3731">
        <w:rPr>
          <w:rFonts w:ascii="Arial" w:hAnsi="Arial" w:cs="Arial"/>
          <w:bCs/>
        </w:rPr>
        <w:t xml:space="preserve">costs of </w:t>
      </w:r>
      <w:r w:rsidRPr="007B35A5">
        <w:rPr>
          <w:rFonts w:ascii="Arial" w:hAnsi="Arial" w:cs="Arial"/>
          <w:bCs/>
        </w:rPr>
        <w:t>7</w:t>
      </w:r>
      <w:r w:rsidRPr="00073CA2">
        <w:rPr>
          <w:rFonts w:ascii="Arial" w:hAnsi="Arial" w:cs="Arial"/>
          <w:bCs/>
        </w:rPr>
        <w:t xml:space="preserve">.1%, </w:t>
      </w:r>
      <w:r w:rsidRPr="00EC4039">
        <w:rPr>
          <w:rFonts w:ascii="Arial" w:hAnsi="Arial" w:cs="Arial"/>
          <w:bCs/>
        </w:rPr>
        <w:t xml:space="preserve">mainly driven by staff costs and </w:t>
      </w:r>
      <w:r w:rsidRPr="00EC4039">
        <w:rPr>
          <w:rFonts w:ascii="Arial" w:hAnsi="Arial" w:cs="Arial"/>
        </w:rPr>
        <w:t>operating cost</w:t>
      </w:r>
      <w:r w:rsidRPr="00EC4039">
        <w:rPr>
          <w:rFonts w:ascii="Arial" w:hAnsi="Arial" w:cs="Arial"/>
          <w:bCs/>
        </w:rPr>
        <w:t xml:space="preserve"> inflation</w:t>
      </w:r>
      <w:r w:rsidRPr="00073CA2">
        <w:rPr>
          <w:rFonts w:ascii="Arial" w:hAnsi="Arial" w:cs="Arial"/>
          <w:bCs/>
        </w:rPr>
        <w:t xml:space="preserve"> including higher energy costs. As a result,</w:t>
      </w:r>
      <w:r w:rsidRPr="000F790F">
        <w:rPr>
          <w:rFonts w:ascii="Arial" w:hAnsi="Arial" w:cs="Arial"/>
          <w:bCs/>
        </w:rPr>
        <w:t xml:space="preserve"> the business reduced its retail loss by </w:t>
      </w:r>
      <w:r>
        <w:rPr>
          <w:rFonts w:ascii="Arial" w:hAnsi="Arial" w:cs="Arial"/>
          <w:bCs/>
        </w:rPr>
        <w:t>7.4</w:t>
      </w:r>
      <w:r w:rsidRPr="000F790F">
        <w:rPr>
          <w:rFonts w:ascii="Arial" w:hAnsi="Arial" w:cs="Arial"/>
          <w:bCs/>
        </w:rPr>
        <w:t>% to £</w:t>
      </w:r>
      <w:r w:rsidRPr="007B35A5">
        <w:rPr>
          <w:rFonts w:ascii="Arial" w:hAnsi="Arial" w:cs="Arial"/>
          <w:bCs/>
        </w:rPr>
        <w:t>10</w:t>
      </w:r>
      <w:r w:rsidRPr="001F01E2">
        <w:rPr>
          <w:rFonts w:ascii="Arial" w:hAnsi="Arial" w:cs="Arial"/>
          <w:bCs/>
        </w:rPr>
        <w:t>m</w:t>
      </w:r>
      <w:r w:rsidRPr="000F790F">
        <w:rPr>
          <w:rFonts w:ascii="Arial" w:hAnsi="Arial" w:cs="Arial"/>
          <w:bCs/>
        </w:rPr>
        <w:t xml:space="preserve"> </w:t>
      </w:r>
      <w:r w:rsidRPr="00A93BC7">
        <w:rPr>
          <w:rFonts w:ascii="Arial" w:hAnsi="Arial" w:cs="Arial"/>
        </w:rPr>
        <w:t>(</w:t>
      </w:r>
      <w:r>
        <w:rPr>
          <w:rFonts w:ascii="Arial" w:hAnsi="Arial" w:cs="Arial"/>
        </w:rPr>
        <w:t>FY</w:t>
      </w:r>
      <w:r w:rsidRPr="00A93BC7">
        <w:rPr>
          <w:rFonts w:ascii="Arial" w:hAnsi="Arial" w:cs="Arial"/>
        </w:rPr>
        <w:t xml:space="preserve"> </w:t>
      </w:r>
      <w:r>
        <w:rPr>
          <w:rFonts w:ascii="Arial" w:hAnsi="Arial" w:cs="Arial"/>
        </w:rPr>
        <w:t>21/22</w:t>
      </w:r>
      <w:r w:rsidRPr="004D1B95">
        <w:rPr>
          <w:rFonts w:ascii="Arial" w:hAnsi="Arial" w:cs="Arial"/>
        </w:rPr>
        <w:t>: £</w:t>
      </w:r>
      <w:r>
        <w:rPr>
          <w:rFonts w:ascii="Arial" w:hAnsi="Arial" w:cs="Arial"/>
        </w:rPr>
        <w:t>11</w:t>
      </w:r>
      <w:r w:rsidRPr="004D1B95">
        <w:rPr>
          <w:rFonts w:ascii="Arial" w:hAnsi="Arial" w:cs="Arial"/>
        </w:rPr>
        <w:t xml:space="preserve">m </w:t>
      </w:r>
      <w:r>
        <w:rPr>
          <w:rFonts w:ascii="Arial" w:hAnsi="Arial" w:cs="Arial"/>
        </w:rPr>
        <w:t xml:space="preserve">reported </w:t>
      </w:r>
      <w:r w:rsidRPr="004D1B95">
        <w:rPr>
          <w:rFonts w:ascii="Arial" w:hAnsi="Arial" w:cs="Arial"/>
        </w:rPr>
        <w:t>retail loss</w:t>
      </w:r>
      <w:r>
        <w:rPr>
          <w:rFonts w:ascii="Arial" w:hAnsi="Arial" w:cs="Arial"/>
        </w:rPr>
        <w:t>; FY</w:t>
      </w:r>
      <w:r w:rsidRPr="00A93BC7">
        <w:rPr>
          <w:rFonts w:ascii="Arial" w:hAnsi="Arial" w:cs="Arial"/>
        </w:rPr>
        <w:t xml:space="preserve"> </w:t>
      </w:r>
      <w:r>
        <w:rPr>
          <w:rFonts w:ascii="Arial" w:hAnsi="Arial" w:cs="Arial"/>
        </w:rPr>
        <w:t>19</w:t>
      </w:r>
      <w:r w:rsidRPr="00A93BC7">
        <w:rPr>
          <w:rFonts w:ascii="Arial" w:hAnsi="Arial" w:cs="Arial"/>
        </w:rPr>
        <w:t>/2</w:t>
      </w:r>
      <w:r>
        <w:rPr>
          <w:rFonts w:ascii="Arial" w:hAnsi="Arial" w:cs="Arial"/>
        </w:rPr>
        <w:t>0</w:t>
      </w:r>
      <w:r w:rsidRPr="004D1B95">
        <w:rPr>
          <w:rFonts w:ascii="Arial" w:hAnsi="Arial" w:cs="Arial"/>
        </w:rPr>
        <w:t>: £</w:t>
      </w:r>
      <w:r>
        <w:rPr>
          <w:rFonts w:ascii="Arial" w:hAnsi="Arial" w:cs="Arial"/>
        </w:rPr>
        <w:t>23</w:t>
      </w:r>
      <w:r w:rsidRPr="004D1B95">
        <w:rPr>
          <w:rFonts w:ascii="Arial" w:hAnsi="Arial" w:cs="Arial"/>
        </w:rPr>
        <w:t xml:space="preserve">m </w:t>
      </w:r>
      <w:r>
        <w:rPr>
          <w:rFonts w:ascii="Arial" w:hAnsi="Arial" w:cs="Arial"/>
        </w:rPr>
        <w:t xml:space="preserve">reported </w:t>
      </w:r>
      <w:r w:rsidRPr="004D1B95">
        <w:rPr>
          <w:rFonts w:ascii="Arial" w:hAnsi="Arial" w:cs="Arial"/>
        </w:rPr>
        <w:t>retail loss</w:t>
      </w:r>
      <w:r w:rsidRPr="00A93BC7">
        <w:rPr>
          <w:rFonts w:ascii="Arial" w:hAnsi="Arial" w:cs="Arial"/>
        </w:rPr>
        <w:t>)</w:t>
      </w:r>
      <w:r>
        <w:rPr>
          <w:rFonts w:ascii="Arial" w:hAnsi="Arial" w:cs="Arial"/>
        </w:rPr>
        <w:t xml:space="preserve">. </w:t>
      </w:r>
      <w:r w:rsidRPr="001C030B">
        <w:rPr>
          <w:rFonts w:ascii="Arial" w:hAnsi="Arial" w:cs="Arial"/>
        </w:rPr>
        <w:t xml:space="preserve">On a </w:t>
      </w:r>
      <w:r w:rsidRPr="00375AF9">
        <w:rPr>
          <w:rFonts w:ascii="Arial" w:hAnsi="Arial" w:cs="Arial"/>
        </w:rPr>
        <w:t xml:space="preserve">comparable basis, excluding losses incurred in the month of January 2021, Romania’s retail loss increased by </w:t>
      </w:r>
      <w:r w:rsidRPr="00170FA8">
        <w:rPr>
          <w:rFonts w:ascii="Arial" w:hAnsi="Arial" w:cs="Arial"/>
        </w:rPr>
        <w:t>6.8</w:t>
      </w:r>
      <w:r w:rsidRPr="00AD06EB">
        <w:rPr>
          <w:rFonts w:ascii="Arial" w:hAnsi="Arial" w:cs="Arial"/>
        </w:rPr>
        <w:t>%</w:t>
      </w:r>
      <w:r w:rsidRPr="00375AF9">
        <w:rPr>
          <w:rFonts w:ascii="Arial" w:hAnsi="Arial" w:cs="Arial"/>
        </w:rPr>
        <w:t xml:space="preserve"> YoY.</w:t>
      </w:r>
      <w:r w:rsidRPr="001C030B">
        <w:rPr>
          <w:rFonts w:ascii="Arial" w:hAnsi="Arial" w:cs="Arial"/>
        </w:rPr>
        <w:t xml:space="preserve"> </w:t>
      </w:r>
    </w:p>
    <w:p w14:paraId="47640389" w14:textId="77777777" w:rsidR="005A5138" w:rsidRPr="002F6DC3" w:rsidRDefault="005A5138" w:rsidP="005A5138">
      <w:pPr>
        <w:jc w:val="left"/>
        <w:rPr>
          <w:rFonts w:ascii="Arial" w:hAnsi="Arial" w:cs="Arial"/>
        </w:rPr>
      </w:pPr>
      <w:bookmarkStart w:id="62" w:name="_Hlk50622015"/>
      <w:bookmarkEnd w:id="60"/>
      <w:bookmarkEnd w:id="61"/>
    </w:p>
    <w:p w14:paraId="62E883D9" w14:textId="7B3D232F" w:rsidR="005A5138" w:rsidRPr="001811BB" w:rsidRDefault="005A5138" w:rsidP="005A5138">
      <w:pPr>
        <w:jc w:val="left"/>
        <w:rPr>
          <w:rFonts w:ascii="Arial" w:hAnsi="Arial" w:cs="Arial"/>
          <w:b/>
          <w:color w:val="C00000"/>
        </w:rPr>
      </w:pPr>
      <w:bookmarkStart w:id="63" w:name="_Hlk524460401"/>
      <w:bookmarkEnd w:id="62"/>
      <w:r w:rsidRPr="002F6DC3">
        <w:rPr>
          <w:rFonts w:ascii="Arial" w:hAnsi="Arial" w:cs="Arial"/>
          <w:bCs/>
        </w:rPr>
        <w:t>In</w:t>
      </w:r>
      <w:r w:rsidRPr="002F6DC3">
        <w:rPr>
          <w:rFonts w:ascii="Arial" w:hAnsi="Arial" w:cs="Arial"/>
          <w:b/>
        </w:rPr>
        <w:t xml:space="preserve"> Turkey</w:t>
      </w:r>
      <w:r w:rsidRPr="002F6DC3">
        <w:rPr>
          <w:rFonts w:ascii="Arial" w:hAnsi="Arial" w:cs="Arial"/>
          <w:bCs/>
        </w:rPr>
        <w:t>, Kingfisher’s 50</w:t>
      </w:r>
      <w:r w:rsidRPr="002F6DC3">
        <w:rPr>
          <w:rFonts w:ascii="Arial" w:hAnsi="Arial" w:cs="Arial"/>
        </w:rPr>
        <w:t xml:space="preserve">% </w:t>
      </w:r>
      <w:r>
        <w:rPr>
          <w:rFonts w:ascii="Arial" w:hAnsi="Arial" w:cs="Arial"/>
        </w:rPr>
        <w:t xml:space="preserve">joint </w:t>
      </w:r>
      <w:r w:rsidRPr="00354165">
        <w:rPr>
          <w:rFonts w:ascii="Arial" w:hAnsi="Arial" w:cs="Arial"/>
        </w:rPr>
        <w:t xml:space="preserve">venture, </w:t>
      </w:r>
      <w:r w:rsidRPr="00354165">
        <w:rPr>
          <w:rFonts w:ascii="Arial" w:hAnsi="Arial" w:cs="Arial"/>
          <w:bCs/>
        </w:rPr>
        <w:t>Koçtaş,</w:t>
      </w:r>
      <w:r w:rsidRPr="00354165">
        <w:rPr>
          <w:rFonts w:ascii="Arial" w:hAnsi="Arial" w:cs="Arial"/>
        </w:rPr>
        <w:t xml:space="preserve"> </w:t>
      </w:r>
      <w:r>
        <w:rPr>
          <w:rFonts w:ascii="Arial" w:hAnsi="Arial" w:cs="Arial"/>
          <w:bCs/>
        </w:rPr>
        <w:t>continued to grow successfully against a challenging macroeconomic backdrop.</w:t>
      </w:r>
      <w:r w:rsidRPr="00354165">
        <w:rPr>
          <w:rFonts w:ascii="Arial" w:hAnsi="Arial" w:cs="Arial"/>
        </w:rPr>
        <w:t xml:space="preserve"> </w:t>
      </w:r>
      <w:r>
        <w:rPr>
          <w:rFonts w:ascii="Arial" w:hAnsi="Arial" w:cs="Arial"/>
        </w:rPr>
        <w:t xml:space="preserve">The business </w:t>
      </w:r>
      <w:r w:rsidRPr="00354165">
        <w:rPr>
          <w:rFonts w:ascii="Arial" w:hAnsi="Arial" w:cs="Arial"/>
        </w:rPr>
        <w:t xml:space="preserve">contributed £8m of retail profit in the </w:t>
      </w:r>
      <w:r>
        <w:rPr>
          <w:rFonts w:ascii="Arial" w:hAnsi="Arial" w:cs="Arial"/>
        </w:rPr>
        <w:t xml:space="preserve">year </w:t>
      </w:r>
      <w:r w:rsidRPr="00354165">
        <w:rPr>
          <w:rFonts w:ascii="Arial" w:hAnsi="Arial" w:cs="Arial"/>
        </w:rPr>
        <w:t>(FY 21/22: £7m; FY 19/20 £9m</w:t>
      </w:r>
      <w:r w:rsidR="00D01B71">
        <w:rPr>
          <w:rFonts w:ascii="Arial" w:hAnsi="Arial" w:cs="Arial"/>
        </w:rPr>
        <w:t>; at reported rates</w:t>
      </w:r>
      <w:r w:rsidRPr="00354165">
        <w:rPr>
          <w:rFonts w:ascii="Arial" w:hAnsi="Arial" w:cs="Arial"/>
        </w:rPr>
        <w:t>)</w:t>
      </w:r>
      <w:r w:rsidRPr="00190238">
        <w:rPr>
          <w:rFonts w:ascii="Arial" w:hAnsi="Arial" w:cs="Arial"/>
        </w:rPr>
        <w:t xml:space="preserve">. </w:t>
      </w:r>
      <w:r w:rsidRPr="00190238">
        <w:rPr>
          <w:rFonts w:ascii="Arial" w:hAnsi="Arial" w:cs="Arial"/>
          <w:bCs/>
        </w:rPr>
        <w:t xml:space="preserve">The business </w:t>
      </w:r>
      <w:r w:rsidRPr="00EB53AD">
        <w:rPr>
          <w:rFonts w:ascii="Arial" w:hAnsi="Arial" w:cs="Arial"/>
        </w:rPr>
        <w:t>opened 12</w:t>
      </w:r>
      <w:r>
        <w:rPr>
          <w:rFonts w:ascii="Arial" w:hAnsi="Arial" w:cs="Arial"/>
        </w:rPr>
        <w:t>9 mostly compact</w:t>
      </w:r>
      <w:r w:rsidRPr="00EB53AD">
        <w:rPr>
          <w:rFonts w:ascii="Arial" w:hAnsi="Arial" w:cs="Arial"/>
        </w:rPr>
        <w:t xml:space="preserve"> stores in </w:t>
      </w:r>
      <w:r>
        <w:rPr>
          <w:rFonts w:ascii="Arial" w:hAnsi="Arial" w:cs="Arial"/>
        </w:rPr>
        <w:t>their financial year to 31 December 2022</w:t>
      </w:r>
      <w:r w:rsidRPr="00EB53AD">
        <w:rPr>
          <w:rFonts w:ascii="Arial" w:hAnsi="Arial" w:cs="Arial"/>
        </w:rPr>
        <w:t>, bringing its total store count to 355</w:t>
      </w:r>
      <w:r w:rsidRPr="00170FA8">
        <w:rPr>
          <w:rFonts w:ascii="Arial" w:hAnsi="Arial" w:cs="Arial"/>
          <w:bCs/>
        </w:rPr>
        <w:t>.</w:t>
      </w:r>
    </w:p>
    <w:bookmarkEnd w:id="63"/>
    <w:p w14:paraId="0D16F6F3" w14:textId="77777777" w:rsidR="005A5138" w:rsidRDefault="005A5138" w:rsidP="005A5138">
      <w:pPr>
        <w:jc w:val="left"/>
        <w:rPr>
          <w:rFonts w:ascii="Arial" w:hAnsi="Arial" w:cs="Arial"/>
        </w:rPr>
      </w:pPr>
    </w:p>
    <w:p w14:paraId="7FDAC16B" w14:textId="65188094" w:rsidR="00117C77" w:rsidRDefault="005A5138" w:rsidP="00117C77">
      <w:pPr>
        <w:jc w:val="left"/>
        <w:rPr>
          <w:rFonts w:ascii="Arial" w:hAnsi="Arial" w:cs="Arial"/>
          <w:b/>
          <w:bCs/>
        </w:rPr>
      </w:pPr>
      <w:r w:rsidRPr="0021532D">
        <w:rPr>
          <w:rFonts w:ascii="Arial" w:hAnsi="Arial" w:cs="Arial"/>
          <w:b/>
          <w:bCs/>
        </w:rPr>
        <w:t>‘Other</w:t>
      </w:r>
      <w:r w:rsidRPr="005E1EE0">
        <w:rPr>
          <w:rFonts w:ascii="Arial" w:hAnsi="Arial" w:cs="Arial"/>
          <w:b/>
          <w:bCs/>
        </w:rPr>
        <w:t>’</w:t>
      </w:r>
      <w:r>
        <w:rPr>
          <w:rFonts w:ascii="Arial" w:hAnsi="Arial" w:cs="Arial"/>
        </w:rPr>
        <w:t xml:space="preserve"> </w:t>
      </w:r>
      <w:r w:rsidRPr="00F976CE">
        <w:rPr>
          <w:rFonts w:ascii="Arial" w:hAnsi="Arial" w:cs="Arial"/>
        </w:rPr>
        <w:t xml:space="preserve">consists of the consolidated results of </w:t>
      </w:r>
      <w:r w:rsidRPr="00281622">
        <w:rPr>
          <w:rFonts w:ascii="Arial" w:hAnsi="Arial" w:cs="Arial"/>
          <w:b/>
          <w:bCs/>
        </w:rPr>
        <w:t>Screwfix International</w:t>
      </w:r>
      <w:r w:rsidRPr="00EC4039">
        <w:rPr>
          <w:rFonts w:ascii="Arial" w:hAnsi="Arial" w:cs="Arial"/>
        </w:rPr>
        <w:t>,</w:t>
      </w:r>
      <w:r w:rsidRPr="00281622">
        <w:rPr>
          <w:rFonts w:ascii="Arial" w:hAnsi="Arial" w:cs="Arial"/>
          <w:b/>
          <w:bCs/>
        </w:rPr>
        <w:t xml:space="preserve"> NeedHelp</w:t>
      </w:r>
      <w:r w:rsidRPr="00F976CE">
        <w:rPr>
          <w:rFonts w:ascii="Arial" w:hAnsi="Arial" w:cs="Arial"/>
        </w:rPr>
        <w:t xml:space="preserve">, and </w:t>
      </w:r>
      <w:r w:rsidRPr="00281622">
        <w:rPr>
          <w:rFonts w:ascii="Arial" w:hAnsi="Arial" w:cs="Arial"/>
          <w:b/>
          <w:bCs/>
        </w:rPr>
        <w:t>franchise</w:t>
      </w:r>
      <w:r w:rsidRPr="005E1EE0">
        <w:rPr>
          <w:rFonts w:ascii="Arial" w:hAnsi="Arial" w:cs="Arial"/>
        </w:rPr>
        <w:t xml:space="preserve"> agreements</w:t>
      </w:r>
      <w:r w:rsidRPr="004A26DB">
        <w:rPr>
          <w:rFonts w:ascii="Arial" w:hAnsi="Arial" w:cs="Arial"/>
        </w:rPr>
        <w:t>. Due to these businesses being in their early investment phase, a combined retail l</w:t>
      </w:r>
      <w:r>
        <w:rPr>
          <w:rFonts w:ascii="Arial" w:hAnsi="Arial" w:cs="Arial"/>
        </w:rPr>
        <w:t>oss of £</w:t>
      </w:r>
      <w:r w:rsidRPr="007B35A5">
        <w:rPr>
          <w:rFonts w:ascii="Arial" w:hAnsi="Arial" w:cs="Arial"/>
        </w:rPr>
        <w:t>3</w:t>
      </w:r>
      <w:r>
        <w:rPr>
          <w:rFonts w:ascii="Arial" w:hAnsi="Arial" w:cs="Arial"/>
        </w:rPr>
        <w:t>0</w:t>
      </w:r>
      <w:r w:rsidRPr="001F01E2">
        <w:rPr>
          <w:rFonts w:ascii="Arial" w:hAnsi="Arial" w:cs="Arial"/>
        </w:rPr>
        <w:t>m</w:t>
      </w:r>
      <w:r>
        <w:rPr>
          <w:rFonts w:ascii="Arial" w:hAnsi="Arial" w:cs="Arial"/>
        </w:rPr>
        <w:t xml:space="preserve"> (FY 21/22: £10m reported retail loss) was recorded, largely driven by Screwfix France as the business invested in the opening of its first distribution centre and stores. </w:t>
      </w:r>
      <w:r w:rsidRPr="00B020BA">
        <w:rPr>
          <w:rFonts w:ascii="Arial" w:hAnsi="Arial" w:cs="Arial"/>
        </w:rPr>
        <w:t xml:space="preserve">As </w:t>
      </w:r>
      <w:r>
        <w:rPr>
          <w:rFonts w:ascii="Arial" w:hAnsi="Arial" w:cs="Arial"/>
        </w:rPr>
        <w:t xml:space="preserve">noted in the </w:t>
      </w:r>
      <w:r w:rsidRPr="00121264">
        <w:rPr>
          <w:rFonts w:ascii="Arial" w:hAnsi="Arial" w:cs="Arial"/>
          <w:i/>
          <w:iCs/>
        </w:rPr>
        <w:t>UK &amp; Ireland</w:t>
      </w:r>
      <w:r>
        <w:rPr>
          <w:rFonts w:ascii="Arial" w:hAnsi="Arial" w:cs="Arial"/>
        </w:rPr>
        <w:t xml:space="preserve"> commentary above</w:t>
      </w:r>
      <w:r w:rsidRPr="00B020BA">
        <w:rPr>
          <w:rFonts w:ascii="Arial" w:hAnsi="Arial" w:cs="Arial"/>
        </w:rPr>
        <w:t xml:space="preserve">, </w:t>
      </w:r>
      <w:r w:rsidRPr="00B020BA">
        <w:rPr>
          <w:rFonts w:ascii="Arial" w:hAnsi="Arial" w:cs="Arial"/>
          <w:b/>
          <w:bCs/>
        </w:rPr>
        <w:t>Screwfix</w:t>
      </w:r>
      <w:r w:rsidRPr="00B020BA">
        <w:rPr>
          <w:rFonts w:ascii="Arial" w:hAnsi="Arial" w:cs="Arial"/>
        </w:rPr>
        <w:t xml:space="preserve"> </w:t>
      </w:r>
      <w:r>
        <w:rPr>
          <w:rFonts w:ascii="Arial" w:hAnsi="Arial" w:cs="Arial"/>
        </w:rPr>
        <w:t>opened its first five stores in France following encouraging results as a pure-play only operator. During the year, w</w:t>
      </w:r>
      <w:r w:rsidRPr="00500249">
        <w:rPr>
          <w:rFonts w:ascii="Arial" w:hAnsi="Arial" w:cs="Arial"/>
        </w:rPr>
        <w:t xml:space="preserve">e </w:t>
      </w:r>
      <w:r w:rsidR="00804C62">
        <w:rPr>
          <w:rFonts w:ascii="Arial" w:hAnsi="Arial" w:cs="Arial"/>
        </w:rPr>
        <w:t xml:space="preserve">also </w:t>
      </w:r>
      <w:r w:rsidRPr="00500249">
        <w:rPr>
          <w:rFonts w:ascii="Arial" w:hAnsi="Arial" w:cs="Arial"/>
        </w:rPr>
        <w:t xml:space="preserve">opened </w:t>
      </w:r>
      <w:r>
        <w:rPr>
          <w:rFonts w:ascii="Arial" w:hAnsi="Arial" w:cs="Arial"/>
        </w:rPr>
        <w:t>two</w:t>
      </w:r>
      <w:r w:rsidRPr="00500249">
        <w:rPr>
          <w:rFonts w:ascii="Arial" w:hAnsi="Arial" w:cs="Arial"/>
        </w:rPr>
        <w:t xml:space="preserve"> </w:t>
      </w:r>
      <w:r w:rsidRPr="00500249">
        <w:rPr>
          <w:rFonts w:ascii="Arial" w:hAnsi="Arial" w:cs="Arial"/>
          <w:b/>
          <w:bCs/>
        </w:rPr>
        <w:t>franchise</w:t>
      </w:r>
      <w:r w:rsidRPr="00500249">
        <w:rPr>
          <w:rFonts w:ascii="Arial" w:hAnsi="Arial" w:cs="Arial"/>
        </w:rPr>
        <w:t xml:space="preserve"> store</w:t>
      </w:r>
      <w:r>
        <w:rPr>
          <w:rFonts w:ascii="Arial" w:hAnsi="Arial" w:cs="Arial"/>
        </w:rPr>
        <w:t>s</w:t>
      </w:r>
      <w:r w:rsidRPr="00500249">
        <w:rPr>
          <w:rFonts w:ascii="Arial" w:hAnsi="Arial" w:cs="Arial"/>
        </w:rPr>
        <w:t xml:space="preserve"> under the B&amp;Q banner in the Middle</w:t>
      </w:r>
      <w:r w:rsidRPr="00C454FE">
        <w:rPr>
          <w:rFonts w:ascii="Arial" w:hAnsi="Arial" w:cs="Arial"/>
        </w:rPr>
        <w:t xml:space="preserve"> East</w:t>
      </w:r>
      <w:r>
        <w:rPr>
          <w:rFonts w:ascii="Arial" w:hAnsi="Arial" w:cs="Arial"/>
        </w:rPr>
        <w:t>. The</w:t>
      </w:r>
      <w:r w:rsidRPr="009F628A">
        <w:rPr>
          <w:rFonts w:ascii="Arial" w:hAnsi="Arial" w:cs="Arial"/>
        </w:rPr>
        <w:t xml:space="preserve"> stores and support office functions are fully operated and staffed by the Al-Futtaim Group</w:t>
      </w:r>
      <w:r>
        <w:rPr>
          <w:rFonts w:ascii="Arial" w:hAnsi="Arial" w:cs="Arial"/>
        </w:rPr>
        <w:t>.</w:t>
      </w:r>
      <w:r w:rsidR="00117C77">
        <w:rPr>
          <w:rFonts w:ascii="Arial" w:hAnsi="Arial" w:cs="Arial"/>
          <w:b/>
          <w:bCs/>
        </w:rPr>
        <w:br w:type="page"/>
      </w:r>
    </w:p>
    <w:p w14:paraId="063B1B5D" w14:textId="77777777" w:rsidR="00117C77" w:rsidRDefault="00117C77" w:rsidP="00117C77">
      <w:pPr>
        <w:jc w:val="left"/>
        <w:rPr>
          <w:rFonts w:ascii="Arial" w:hAnsi="Arial" w:cs="Arial"/>
          <w:b/>
          <w:bCs/>
        </w:rPr>
      </w:pPr>
      <w:bookmarkStart w:id="64" w:name="_Hlk3406411"/>
      <w:bookmarkStart w:id="65" w:name="_Hlk96700295"/>
      <w:r>
        <w:rPr>
          <w:rFonts w:ascii="Arial" w:hAnsi="Arial" w:cs="Arial"/>
          <w:b/>
          <w:bCs/>
        </w:rPr>
        <w:lastRenderedPageBreak/>
        <w:t xml:space="preserve">RETAIL BANNER </w:t>
      </w:r>
      <w:r w:rsidRPr="00165A9B">
        <w:rPr>
          <w:rFonts w:ascii="Arial" w:hAnsi="Arial" w:cs="Arial"/>
          <w:b/>
          <w:bCs/>
        </w:rPr>
        <w:t>EMPLOYEES, STORE</w:t>
      </w:r>
      <w:r>
        <w:rPr>
          <w:rFonts w:ascii="Arial" w:hAnsi="Arial" w:cs="Arial"/>
          <w:b/>
          <w:bCs/>
        </w:rPr>
        <w:t xml:space="preserve"> NUMBERS AND SALES AREA</w:t>
      </w:r>
    </w:p>
    <w:tbl>
      <w:tblPr>
        <w:tblW w:w="3449" w:type="pct"/>
        <w:tblInd w:w="108" w:type="dxa"/>
        <w:tblLayout w:type="fixed"/>
        <w:tblLook w:val="01E0" w:firstRow="1" w:lastRow="1" w:firstColumn="1" w:lastColumn="1" w:noHBand="0" w:noVBand="0"/>
      </w:tblPr>
      <w:tblGrid>
        <w:gridCol w:w="2416"/>
        <w:gridCol w:w="1567"/>
        <w:gridCol w:w="1567"/>
        <w:gridCol w:w="1567"/>
      </w:tblGrid>
      <w:tr w:rsidR="00117C77" w:rsidRPr="00F13B87" w14:paraId="343DE324" w14:textId="77777777" w:rsidTr="00E553C7">
        <w:trPr>
          <w:trHeight w:val="739"/>
        </w:trPr>
        <w:tc>
          <w:tcPr>
            <w:tcW w:w="1697" w:type="pct"/>
          </w:tcPr>
          <w:p w14:paraId="24956B12" w14:textId="77777777" w:rsidR="00117C77" w:rsidRPr="00A845B7" w:rsidRDefault="00117C77" w:rsidP="00E553C7">
            <w:pPr>
              <w:ind w:left="110" w:hanging="110"/>
              <w:jc w:val="left"/>
              <w:rPr>
                <w:rFonts w:ascii="Arial" w:hAnsi="Arial" w:cs="Arial"/>
              </w:rPr>
            </w:pPr>
            <w:bookmarkStart w:id="66" w:name="_Hlk34750628"/>
            <w:bookmarkEnd w:id="64"/>
          </w:p>
          <w:p w14:paraId="1339526E" w14:textId="77777777" w:rsidR="00117C77" w:rsidRPr="00A845B7" w:rsidRDefault="00117C77" w:rsidP="00E553C7">
            <w:pPr>
              <w:jc w:val="left"/>
              <w:rPr>
                <w:rFonts w:ascii="Arial" w:hAnsi="Arial" w:cs="Arial"/>
                <w:b/>
                <w:bCs/>
              </w:rPr>
            </w:pPr>
          </w:p>
        </w:tc>
        <w:tc>
          <w:tcPr>
            <w:tcW w:w="1101" w:type="pct"/>
            <w:vAlign w:val="center"/>
          </w:tcPr>
          <w:p w14:paraId="191C04FA" w14:textId="77777777" w:rsidR="00117C77" w:rsidRPr="00A845B7" w:rsidRDefault="00117C77" w:rsidP="00E553C7">
            <w:pPr>
              <w:ind w:left="110" w:hanging="110"/>
              <w:jc w:val="right"/>
              <w:rPr>
                <w:rFonts w:ascii="Arial" w:hAnsi="Arial" w:cs="Arial"/>
                <w:b/>
                <w:bCs/>
              </w:rPr>
            </w:pPr>
          </w:p>
          <w:p w14:paraId="62F7BB71" w14:textId="77777777" w:rsidR="00117C77" w:rsidRPr="00F13B87" w:rsidRDefault="00117C77" w:rsidP="00E553C7">
            <w:pPr>
              <w:ind w:left="110" w:hanging="110"/>
              <w:jc w:val="right"/>
              <w:rPr>
                <w:rFonts w:ascii="Arial" w:hAnsi="Arial" w:cs="Arial"/>
                <w:b/>
                <w:bCs/>
              </w:rPr>
            </w:pPr>
            <w:r w:rsidRPr="00F13B87">
              <w:rPr>
                <w:rFonts w:ascii="Arial" w:hAnsi="Arial" w:cs="Arial"/>
                <w:b/>
                <w:bCs/>
              </w:rPr>
              <w:t>Employees</w:t>
            </w:r>
          </w:p>
          <w:p w14:paraId="54DEC8F9" w14:textId="77777777" w:rsidR="00117C77" w:rsidRPr="00F13B87" w:rsidRDefault="00117C77" w:rsidP="00E553C7">
            <w:pPr>
              <w:ind w:left="110" w:hanging="110"/>
              <w:jc w:val="right"/>
              <w:rPr>
                <w:rFonts w:ascii="Arial" w:hAnsi="Arial" w:cs="Arial"/>
                <w:b/>
                <w:bCs/>
              </w:rPr>
            </w:pPr>
            <w:r w:rsidRPr="00F13B87">
              <w:rPr>
                <w:rFonts w:ascii="Arial" w:hAnsi="Arial" w:cs="Arial"/>
                <w:b/>
                <w:bCs/>
              </w:rPr>
              <w:t xml:space="preserve">(FTE) </w:t>
            </w:r>
          </w:p>
          <w:p w14:paraId="01D0DA05" w14:textId="3CAB78DB" w:rsidR="00117C77" w:rsidRPr="00F13B87" w:rsidRDefault="00117C77" w:rsidP="00E553C7">
            <w:pPr>
              <w:ind w:left="110" w:hanging="110"/>
              <w:jc w:val="right"/>
              <w:rPr>
                <w:rFonts w:ascii="Arial" w:hAnsi="Arial" w:cs="Arial"/>
                <w:b/>
                <w:bCs/>
              </w:rPr>
            </w:pPr>
            <w:r w:rsidRPr="00F13B87">
              <w:rPr>
                <w:rFonts w:ascii="Arial" w:hAnsi="Arial" w:cs="Arial"/>
                <w:b/>
                <w:bCs/>
              </w:rPr>
              <w:t xml:space="preserve">at 31 </w:t>
            </w:r>
            <w:r w:rsidR="00A9408C">
              <w:rPr>
                <w:rFonts w:ascii="Arial" w:hAnsi="Arial" w:cs="Arial"/>
                <w:b/>
                <w:bCs/>
              </w:rPr>
              <w:t>Jan</w:t>
            </w:r>
            <w:r w:rsidRPr="00F13B87">
              <w:rPr>
                <w:rFonts w:ascii="Arial" w:hAnsi="Arial" w:cs="Arial"/>
                <w:b/>
                <w:bCs/>
              </w:rPr>
              <w:t xml:space="preserve"> 202</w:t>
            </w:r>
            <w:r w:rsidR="00A9408C">
              <w:rPr>
                <w:rFonts w:ascii="Arial" w:hAnsi="Arial" w:cs="Arial"/>
                <w:b/>
                <w:bCs/>
              </w:rPr>
              <w:t>3</w:t>
            </w:r>
          </w:p>
        </w:tc>
        <w:tc>
          <w:tcPr>
            <w:tcW w:w="1101" w:type="pct"/>
            <w:vAlign w:val="center"/>
          </w:tcPr>
          <w:p w14:paraId="444891F6" w14:textId="77777777" w:rsidR="00117C77" w:rsidRPr="00F13B87" w:rsidRDefault="00117C77" w:rsidP="00E553C7">
            <w:pPr>
              <w:ind w:left="110" w:hanging="110"/>
              <w:jc w:val="right"/>
              <w:rPr>
                <w:rFonts w:ascii="Arial" w:hAnsi="Arial" w:cs="Arial"/>
                <w:b/>
                <w:bCs/>
              </w:rPr>
            </w:pPr>
          </w:p>
          <w:p w14:paraId="2F14614A" w14:textId="77777777" w:rsidR="00117C77" w:rsidRPr="00F13B87" w:rsidRDefault="00117C77" w:rsidP="00E553C7">
            <w:pPr>
              <w:ind w:left="110" w:hanging="110"/>
              <w:jc w:val="right"/>
              <w:rPr>
                <w:rFonts w:ascii="Arial" w:hAnsi="Arial" w:cs="Arial"/>
                <w:b/>
                <w:bCs/>
              </w:rPr>
            </w:pPr>
            <w:r w:rsidRPr="00F13B87">
              <w:rPr>
                <w:rFonts w:ascii="Arial" w:hAnsi="Arial" w:cs="Arial"/>
                <w:b/>
                <w:bCs/>
              </w:rPr>
              <w:t xml:space="preserve">Store </w:t>
            </w:r>
          </w:p>
          <w:p w14:paraId="3BE512F9" w14:textId="2B2CA7FC" w:rsidR="00117C77" w:rsidRPr="00F13B87" w:rsidRDefault="00117C77" w:rsidP="00E553C7">
            <w:pPr>
              <w:ind w:left="110" w:hanging="110"/>
              <w:jc w:val="right"/>
              <w:rPr>
                <w:rFonts w:ascii="Arial" w:hAnsi="Arial" w:cs="Arial"/>
                <w:b/>
                <w:bCs/>
              </w:rPr>
            </w:pPr>
            <w:r w:rsidRPr="00F13B87">
              <w:rPr>
                <w:rFonts w:ascii="Arial" w:hAnsi="Arial" w:cs="Arial"/>
                <w:b/>
                <w:bCs/>
              </w:rPr>
              <w:t xml:space="preserve">numbers at 31 </w:t>
            </w:r>
            <w:r w:rsidR="009C1568">
              <w:rPr>
                <w:rFonts w:ascii="Arial" w:hAnsi="Arial" w:cs="Arial"/>
                <w:b/>
                <w:bCs/>
              </w:rPr>
              <w:t>Jan</w:t>
            </w:r>
            <w:r w:rsidRPr="00F13B87">
              <w:rPr>
                <w:rFonts w:ascii="Arial" w:hAnsi="Arial" w:cs="Arial"/>
                <w:b/>
                <w:bCs/>
              </w:rPr>
              <w:t xml:space="preserve"> 202</w:t>
            </w:r>
            <w:r w:rsidR="00A9408C">
              <w:rPr>
                <w:rFonts w:ascii="Arial" w:hAnsi="Arial" w:cs="Arial"/>
                <w:b/>
                <w:bCs/>
              </w:rPr>
              <w:t>3</w:t>
            </w:r>
          </w:p>
        </w:tc>
        <w:tc>
          <w:tcPr>
            <w:tcW w:w="1101" w:type="pct"/>
            <w:vAlign w:val="center"/>
          </w:tcPr>
          <w:p w14:paraId="5E15B20C" w14:textId="77777777" w:rsidR="00117C77" w:rsidRPr="00F13B87" w:rsidRDefault="00117C77" w:rsidP="00E553C7">
            <w:pPr>
              <w:ind w:left="110" w:hanging="110"/>
              <w:jc w:val="right"/>
              <w:rPr>
                <w:rFonts w:ascii="Arial" w:hAnsi="Arial" w:cs="Arial"/>
                <w:b/>
                <w:bCs/>
              </w:rPr>
            </w:pPr>
          </w:p>
          <w:p w14:paraId="015C5D2A" w14:textId="77777777" w:rsidR="00117C77" w:rsidRPr="00F13B87" w:rsidRDefault="00117C77" w:rsidP="00E553C7">
            <w:pPr>
              <w:ind w:left="110" w:hanging="110"/>
              <w:jc w:val="right"/>
              <w:rPr>
                <w:rFonts w:ascii="Arial" w:hAnsi="Arial" w:cs="Arial"/>
                <w:b/>
                <w:bCs/>
              </w:rPr>
            </w:pPr>
            <w:r w:rsidRPr="00F13B87">
              <w:rPr>
                <w:rFonts w:ascii="Arial" w:hAnsi="Arial" w:cs="Arial"/>
                <w:b/>
                <w:bCs/>
              </w:rPr>
              <w:t>Sales area</w:t>
            </w:r>
            <w:r w:rsidRPr="00F13B87">
              <w:rPr>
                <w:rFonts w:ascii="Arial" w:hAnsi="Arial" w:cs="Arial"/>
                <w:b/>
                <w:bCs/>
                <w:vertAlign w:val="superscript"/>
              </w:rPr>
              <w:t>(1)</w:t>
            </w:r>
          </w:p>
          <w:p w14:paraId="4F6ECFD3" w14:textId="0A69FE3D" w:rsidR="00117C77" w:rsidRPr="00F13B87" w:rsidRDefault="00117C77" w:rsidP="00E553C7">
            <w:pPr>
              <w:ind w:left="110" w:hanging="110"/>
              <w:jc w:val="right"/>
              <w:rPr>
                <w:rFonts w:ascii="Arial" w:hAnsi="Arial" w:cs="Arial"/>
                <w:b/>
                <w:bCs/>
              </w:rPr>
            </w:pPr>
            <w:r w:rsidRPr="00F13B87">
              <w:rPr>
                <w:rFonts w:ascii="Arial" w:hAnsi="Arial" w:cs="Arial"/>
                <w:b/>
                <w:bCs/>
              </w:rPr>
              <w:t>(000</w:t>
            </w:r>
            <w:r w:rsidR="009A4FFD">
              <w:rPr>
                <w:rFonts w:ascii="Arial" w:hAnsi="Arial" w:cs="Arial"/>
                <w:b/>
                <w:bCs/>
              </w:rPr>
              <w:t>s</w:t>
            </w:r>
            <w:r w:rsidRPr="00F13B87">
              <w:rPr>
                <w:rFonts w:ascii="Arial" w:hAnsi="Arial" w:cs="Arial"/>
                <w:b/>
                <w:bCs/>
              </w:rPr>
              <w:t xml:space="preserve"> m</w:t>
            </w:r>
            <w:r w:rsidRPr="00F13B87">
              <w:rPr>
                <w:rFonts w:ascii="Arial" w:hAnsi="Arial" w:cs="Arial"/>
                <w:b/>
                <w:bCs/>
                <w:vertAlign w:val="superscript"/>
              </w:rPr>
              <w:t>2</w:t>
            </w:r>
            <w:r w:rsidRPr="00F13B87">
              <w:rPr>
                <w:rFonts w:ascii="Arial" w:hAnsi="Arial" w:cs="Arial"/>
                <w:b/>
                <w:bCs/>
              </w:rPr>
              <w:t xml:space="preserve">) </w:t>
            </w:r>
          </w:p>
          <w:p w14:paraId="6927BB00" w14:textId="3A5C0D14" w:rsidR="00117C77" w:rsidRPr="00F13B87" w:rsidRDefault="00117C77" w:rsidP="00E553C7">
            <w:pPr>
              <w:ind w:left="110" w:hanging="110"/>
              <w:jc w:val="right"/>
              <w:rPr>
                <w:rFonts w:ascii="Arial" w:hAnsi="Arial" w:cs="Arial"/>
                <w:b/>
                <w:bCs/>
              </w:rPr>
            </w:pPr>
            <w:r w:rsidRPr="00F13B87">
              <w:rPr>
                <w:rFonts w:ascii="Arial" w:hAnsi="Arial" w:cs="Arial"/>
                <w:b/>
                <w:bCs/>
              </w:rPr>
              <w:t xml:space="preserve">at 31 </w:t>
            </w:r>
            <w:r w:rsidR="009C1568">
              <w:rPr>
                <w:rFonts w:ascii="Arial" w:hAnsi="Arial" w:cs="Arial"/>
                <w:b/>
                <w:bCs/>
              </w:rPr>
              <w:t>Jan</w:t>
            </w:r>
            <w:r w:rsidRPr="00F13B87">
              <w:rPr>
                <w:rFonts w:ascii="Arial" w:hAnsi="Arial" w:cs="Arial"/>
                <w:b/>
                <w:bCs/>
              </w:rPr>
              <w:t xml:space="preserve"> 202</w:t>
            </w:r>
            <w:r w:rsidR="005B749C">
              <w:rPr>
                <w:rFonts w:ascii="Arial" w:hAnsi="Arial" w:cs="Arial"/>
                <w:b/>
                <w:bCs/>
              </w:rPr>
              <w:t>3</w:t>
            </w:r>
          </w:p>
        </w:tc>
      </w:tr>
      <w:tr w:rsidR="006F1217" w:rsidRPr="00F13B87" w14:paraId="77648435" w14:textId="77777777" w:rsidTr="00B4195E">
        <w:trPr>
          <w:trHeight w:val="227"/>
        </w:trPr>
        <w:tc>
          <w:tcPr>
            <w:tcW w:w="1697" w:type="pct"/>
            <w:tcBorders>
              <w:top w:val="single" w:sz="4" w:space="0" w:color="auto"/>
            </w:tcBorders>
            <w:vAlign w:val="center"/>
          </w:tcPr>
          <w:p w14:paraId="453FA462" w14:textId="77777777" w:rsidR="006F1217" w:rsidRPr="00F13B87" w:rsidRDefault="006F1217" w:rsidP="00B4195E">
            <w:pPr>
              <w:spacing w:before="60"/>
              <w:jc w:val="left"/>
              <w:rPr>
                <w:rFonts w:ascii="Arial" w:hAnsi="Arial" w:cs="Arial"/>
              </w:rPr>
            </w:pPr>
            <w:r w:rsidRPr="00F13B87">
              <w:rPr>
                <w:rFonts w:ascii="Arial" w:hAnsi="Arial" w:cs="Arial"/>
              </w:rPr>
              <w:t>B&amp;Q</w:t>
            </w:r>
          </w:p>
        </w:tc>
        <w:tc>
          <w:tcPr>
            <w:tcW w:w="1101" w:type="pct"/>
            <w:tcBorders>
              <w:top w:val="single" w:sz="4" w:space="0" w:color="auto"/>
            </w:tcBorders>
            <w:vAlign w:val="center"/>
          </w:tcPr>
          <w:p w14:paraId="3592284E" w14:textId="070ADA90" w:rsidR="006F1217" w:rsidRPr="006F1217" w:rsidRDefault="006F1217" w:rsidP="006F1217">
            <w:pPr>
              <w:spacing w:before="60"/>
              <w:ind w:left="110" w:hanging="110"/>
              <w:jc w:val="right"/>
              <w:rPr>
                <w:rFonts w:ascii="Arial" w:hAnsi="Arial" w:cs="Arial"/>
              </w:rPr>
            </w:pPr>
            <w:r w:rsidRPr="006F1217">
              <w:rPr>
                <w:rFonts w:ascii="Arial" w:hAnsi="Arial" w:cs="Arial"/>
              </w:rPr>
              <w:t>16,413</w:t>
            </w:r>
          </w:p>
        </w:tc>
        <w:tc>
          <w:tcPr>
            <w:tcW w:w="1101" w:type="pct"/>
            <w:tcBorders>
              <w:top w:val="single" w:sz="4" w:space="0" w:color="auto"/>
            </w:tcBorders>
            <w:vAlign w:val="center"/>
          </w:tcPr>
          <w:p w14:paraId="432116F8" w14:textId="71F1085B" w:rsidR="006F1217" w:rsidRPr="006F1217" w:rsidRDefault="006F1217" w:rsidP="006F1217">
            <w:pPr>
              <w:spacing w:before="60"/>
              <w:ind w:left="110" w:hanging="110"/>
              <w:jc w:val="right"/>
              <w:rPr>
                <w:rFonts w:ascii="Arial" w:hAnsi="Arial" w:cs="Arial"/>
              </w:rPr>
            </w:pPr>
            <w:r w:rsidRPr="006F1217">
              <w:rPr>
                <w:rFonts w:ascii="Arial" w:hAnsi="Arial" w:cs="Arial"/>
              </w:rPr>
              <w:t>316</w:t>
            </w:r>
          </w:p>
        </w:tc>
        <w:tc>
          <w:tcPr>
            <w:tcW w:w="1101" w:type="pct"/>
            <w:tcBorders>
              <w:top w:val="single" w:sz="4" w:space="0" w:color="auto"/>
            </w:tcBorders>
            <w:vAlign w:val="center"/>
          </w:tcPr>
          <w:p w14:paraId="677B11BE" w14:textId="34CE83BC" w:rsidR="006F1217" w:rsidRPr="006F1217" w:rsidRDefault="006F1217" w:rsidP="006F1217">
            <w:pPr>
              <w:spacing w:before="60"/>
              <w:ind w:left="110" w:hanging="110"/>
              <w:jc w:val="right"/>
              <w:rPr>
                <w:rFonts w:ascii="Arial" w:hAnsi="Arial" w:cs="Arial"/>
              </w:rPr>
            </w:pPr>
            <w:r w:rsidRPr="006F1217">
              <w:rPr>
                <w:rFonts w:ascii="Arial" w:hAnsi="Arial" w:cs="Arial"/>
              </w:rPr>
              <w:t>2,</w:t>
            </w:r>
            <w:r w:rsidR="00453EF1">
              <w:rPr>
                <w:rFonts w:ascii="Arial" w:hAnsi="Arial" w:cs="Arial"/>
              </w:rPr>
              <w:t>20</w:t>
            </w:r>
            <w:r w:rsidRPr="006F1217">
              <w:rPr>
                <w:rFonts w:ascii="Arial" w:hAnsi="Arial" w:cs="Arial"/>
              </w:rPr>
              <w:t>3</w:t>
            </w:r>
          </w:p>
        </w:tc>
      </w:tr>
      <w:tr w:rsidR="006F1217" w:rsidRPr="00F13B87" w14:paraId="1FB388EB" w14:textId="77777777" w:rsidTr="00B4195E">
        <w:trPr>
          <w:trHeight w:val="227"/>
        </w:trPr>
        <w:tc>
          <w:tcPr>
            <w:tcW w:w="1697" w:type="pct"/>
            <w:tcBorders>
              <w:bottom w:val="single" w:sz="4" w:space="0" w:color="auto"/>
            </w:tcBorders>
            <w:vAlign w:val="center"/>
          </w:tcPr>
          <w:p w14:paraId="6630CB74" w14:textId="77777777" w:rsidR="006F1217" w:rsidRPr="00F13B87" w:rsidRDefault="006F1217" w:rsidP="00B4195E">
            <w:pPr>
              <w:ind w:left="110" w:hanging="110"/>
              <w:jc w:val="left"/>
              <w:rPr>
                <w:rFonts w:ascii="Arial" w:hAnsi="Arial" w:cs="Arial"/>
              </w:rPr>
            </w:pPr>
            <w:r w:rsidRPr="00F13B87">
              <w:rPr>
                <w:rFonts w:ascii="Arial" w:hAnsi="Arial" w:cs="Arial"/>
              </w:rPr>
              <w:t>Screwfix</w:t>
            </w:r>
          </w:p>
        </w:tc>
        <w:tc>
          <w:tcPr>
            <w:tcW w:w="1101" w:type="pct"/>
            <w:tcBorders>
              <w:bottom w:val="single" w:sz="4" w:space="0" w:color="auto"/>
            </w:tcBorders>
            <w:vAlign w:val="center"/>
          </w:tcPr>
          <w:p w14:paraId="78FA180C" w14:textId="5341D83D" w:rsidR="006F1217" w:rsidRPr="006F1217" w:rsidRDefault="006F1217" w:rsidP="006F1217">
            <w:pPr>
              <w:spacing w:before="60"/>
              <w:ind w:left="110" w:hanging="110"/>
              <w:jc w:val="right"/>
              <w:rPr>
                <w:rFonts w:ascii="Arial" w:hAnsi="Arial" w:cs="Arial"/>
              </w:rPr>
            </w:pPr>
            <w:r w:rsidRPr="006F1217">
              <w:rPr>
                <w:rFonts w:ascii="Arial" w:hAnsi="Arial" w:cs="Arial"/>
              </w:rPr>
              <w:t>9,380</w:t>
            </w:r>
          </w:p>
        </w:tc>
        <w:tc>
          <w:tcPr>
            <w:tcW w:w="1101" w:type="pct"/>
            <w:tcBorders>
              <w:bottom w:val="single" w:sz="4" w:space="0" w:color="auto"/>
            </w:tcBorders>
            <w:vAlign w:val="center"/>
          </w:tcPr>
          <w:p w14:paraId="2D798EAE" w14:textId="53AB5A06" w:rsidR="006F1217" w:rsidRPr="006F1217" w:rsidRDefault="006F1217" w:rsidP="006F1217">
            <w:pPr>
              <w:spacing w:before="60"/>
              <w:ind w:left="110" w:hanging="110"/>
              <w:jc w:val="right"/>
              <w:rPr>
                <w:rFonts w:ascii="Arial" w:hAnsi="Arial" w:cs="Arial"/>
              </w:rPr>
            </w:pPr>
            <w:r w:rsidRPr="006F1217">
              <w:rPr>
                <w:rFonts w:ascii="Arial" w:hAnsi="Arial" w:cs="Arial"/>
              </w:rPr>
              <w:t>872</w:t>
            </w:r>
          </w:p>
        </w:tc>
        <w:tc>
          <w:tcPr>
            <w:tcW w:w="1101" w:type="pct"/>
            <w:tcBorders>
              <w:bottom w:val="single" w:sz="4" w:space="0" w:color="auto"/>
            </w:tcBorders>
            <w:shd w:val="clear" w:color="auto" w:fill="auto"/>
            <w:vAlign w:val="center"/>
          </w:tcPr>
          <w:p w14:paraId="2B6368AD" w14:textId="63D521D9" w:rsidR="006F1217" w:rsidRPr="006F1217" w:rsidRDefault="006F1217" w:rsidP="006F1217">
            <w:pPr>
              <w:spacing w:before="60"/>
              <w:ind w:left="110" w:hanging="110"/>
              <w:jc w:val="right"/>
              <w:rPr>
                <w:rFonts w:ascii="Arial" w:hAnsi="Arial" w:cs="Arial"/>
              </w:rPr>
            </w:pPr>
            <w:r w:rsidRPr="006F1217">
              <w:rPr>
                <w:rFonts w:ascii="Arial" w:hAnsi="Arial" w:cs="Arial"/>
              </w:rPr>
              <w:t>55</w:t>
            </w:r>
          </w:p>
        </w:tc>
      </w:tr>
      <w:tr w:rsidR="006F1217" w:rsidRPr="00F13B87" w14:paraId="783E2E25" w14:textId="77777777" w:rsidTr="00B4195E">
        <w:trPr>
          <w:trHeight w:val="227"/>
        </w:trPr>
        <w:tc>
          <w:tcPr>
            <w:tcW w:w="1697" w:type="pct"/>
            <w:tcBorders>
              <w:top w:val="single" w:sz="4" w:space="0" w:color="auto"/>
            </w:tcBorders>
            <w:vAlign w:val="center"/>
          </w:tcPr>
          <w:p w14:paraId="45987191" w14:textId="77777777" w:rsidR="006F1217" w:rsidRPr="00F13B87" w:rsidRDefault="006F1217" w:rsidP="00B4195E">
            <w:pPr>
              <w:ind w:left="110" w:hanging="110"/>
              <w:jc w:val="left"/>
              <w:rPr>
                <w:rFonts w:ascii="Arial" w:hAnsi="Arial" w:cs="Arial"/>
                <w:b/>
                <w:bCs/>
              </w:rPr>
            </w:pPr>
            <w:r w:rsidRPr="00F13B87">
              <w:rPr>
                <w:rFonts w:ascii="Arial" w:hAnsi="Arial" w:cs="Arial"/>
                <w:b/>
                <w:bCs/>
              </w:rPr>
              <w:t>UK &amp; Ireland</w:t>
            </w:r>
          </w:p>
        </w:tc>
        <w:tc>
          <w:tcPr>
            <w:tcW w:w="1101" w:type="pct"/>
            <w:tcBorders>
              <w:top w:val="single" w:sz="4" w:space="0" w:color="auto"/>
            </w:tcBorders>
            <w:vAlign w:val="center"/>
          </w:tcPr>
          <w:p w14:paraId="0449AB7C" w14:textId="4CE5730A" w:rsidR="006F1217" w:rsidRPr="006F1217" w:rsidRDefault="006F1217" w:rsidP="006F1217">
            <w:pPr>
              <w:ind w:left="110" w:hanging="110"/>
              <w:jc w:val="right"/>
              <w:rPr>
                <w:rFonts w:ascii="Arial" w:hAnsi="Arial" w:cs="Arial"/>
                <w:b/>
                <w:bCs/>
              </w:rPr>
            </w:pPr>
            <w:r w:rsidRPr="006F1217">
              <w:rPr>
                <w:rFonts w:ascii="Arial" w:hAnsi="Arial" w:cs="Arial"/>
                <w:b/>
                <w:bCs/>
              </w:rPr>
              <w:t>25,793</w:t>
            </w:r>
          </w:p>
        </w:tc>
        <w:tc>
          <w:tcPr>
            <w:tcW w:w="1101" w:type="pct"/>
            <w:tcBorders>
              <w:top w:val="single" w:sz="4" w:space="0" w:color="auto"/>
            </w:tcBorders>
            <w:vAlign w:val="center"/>
          </w:tcPr>
          <w:p w14:paraId="1944656D" w14:textId="72CBE7E3" w:rsidR="006F1217" w:rsidRPr="006F1217" w:rsidRDefault="006F1217" w:rsidP="006F1217">
            <w:pPr>
              <w:ind w:left="110" w:hanging="110"/>
              <w:jc w:val="right"/>
              <w:rPr>
                <w:rFonts w:ascii="Arial" w:hAnsi="Arial" w:cs="Arial"/>
                <w:b/>
                <w:bCs/>
              </w:rPr>
            </w:pPr>
            <w:r w:rsidRPr="006F1217">
              <w:rPr>
                <w:rFonts w:ascii="Arial" w:hAnsi="Arial" w:cs="Arial"/>
                <w:b/>
                <w:bCs/>
              </w:rPr>
              <w:t>1,188</w:t>
            </w:r>
          </w:p>
        </w:tc>
        <w:tc>
          <w:tcPr>
            <w:tcW w:w="1101" w:type="pct"/>
            <w:tcBorders>
              <w:top w:val="single" w:sz="4" w:space="0" w:color="auto"/>
            </w:tcBorders>
            <w:vAlign w:val="center"/>
          </w:tcPr>
          <w:p w14:paraId="6FF3D4F8" w14:textId="71A089E0" w:rsidR="006F1217" w:rsidRPr="006F1217" w:rsidRDefault="006F1217" w:rsidP="006F1217">
            <w:pPr>
              <w:ind w:left="110" w:hanging="110"/>
              <w:jc w:val="right"/>
              <w:rPr>
                <w:rFonts w:ascii="Arial" w:hAnsi="Arial" w:cs="Arial"/>
                <w:b/>
                <w:bCs/>
              </w:rPr>
            </w:pPr>
            <w:r w:rsidRPr="006F1217">
              <w:rPr>
                <w:rFonts w:ascii="Arial" w:hAnsi="Arial" w:cs="Arial"/>
                <w:b/>
                <w:bCs/>
              </w:rPr>
              <w:t>2,2</w:t>
            </w:r>
            <w:r w:rsidR="00453EF1">
              <w:rPr>
                <w:rFonts w:ascii="Arial" w:hAnsi="Arial" w:cs="Arial"/>
                <w:b/>
                <w:bCs/>
              </w:rPr>
              <w:t>5</w:t>
            </w:r>
            <w:r w:rsidRPr="006F1217">
              <w:rPr>
                <w:rFonts w:ascii="Arial" w:hAnsi="Arial" w:cs="Arial"/>
                <w:b/>
                <w:bCs/>
              </w:rPr>
              <w:t>8</w:t>
            </w:r>
          </w:p>
        </w:tc>
      </w:tr>
      <w:tr w:rsidR="006F1217" w:rsidRPr="00F13B87" w14:paraId="15B54320" w14:textId="77777777" w:rsidTr="00B4195E">
        <w:trPr>
          <w:trHeight w:val="227"/>
        </w:trPr>
        <w:tc>
          <w:tcPr>
            <w:tcW w:w="1697" w:type="pct"/>
            <w:tcBorders>
              <w:top w:val="single" w:sz="4" w:space="0" w:color="auto"/>
            </w:tcBorders>
            <w:vAlign w:val="center"/>
          </w:tcPr>
          <w:p w14:paraId="047D2B9E" w14:textId="77777777" w:rsidR="006F1217" w:rsidRPr="00F13B87" w:rsidRDefault="006F1217" w:rsidP="00B4195E">
            <w:pPr>
              <w:ind w:left="110" w:hanging="110"/>
              <w:jc w:val="left"/>
              <w:rPr>
                <w:rFonts w:ascii="Arial" w:hAnsi="Arial" w:cs="Arial"/>
              </w:rPr>
            </w:pPr>
            <w:r w:rsidRPr="00F13B87">
              <w:rPr>
                <w:rFonts w:ascii="Arial" w:hAnsi="Arial" w:cs="Arial"/>
              </w:rPr>
              <w:t>Castorama</w:t>
            </w:r>
          </w:p>
        </w:tc>
        <w:tc>
          <w:tcPr>
            <w:tcW w:w="1101" w:type="pct"/>
            <w:tcBorders>
              <w:top w:val="single" w:sz="4" w:space="0" w:color="auto"/>
            </w:tcBorders>
            <w:vAlign w:val="center"/>
          </w:tcPr>
          <w:p w14:paraId="50FF0EB6" w14:textId="69978CC8" w:rsidR="006F1217" w:rsidRPr="006F1217" w:rsidRDefault="006F1217" w:rsidP="006F1217">
            <w:pPr>
              <w:spacing w:before="60"/>
              <w:ind w:left="110" w:hanging="110"/>
              <w:jc w:val="right"/>
              <w:rPr>
                <w:rFonts w:ascii="Arial" w:hAnsi="Arial" w:cs="Arial"/>
              </w:rPr>
            </w:pPr>
            <w:r w:rsidRPr="006F1217">
              <w:rPr>
                <w:rFonts w:ascii="Arial" w:hAnsi="Arial" w:cs="Arial"/>
              </w:rPr>
              <w:t>10,</w:t>
            </w:r>
            <w:r w:rsidR="00C81DDC" w:rsidRPr="006F1217">
              <w:rPr>
                <w:rFonts w:ascii="Arial" w:hAnsi="Arial" w:cs="Arial"/>
              </w:rPr>
              <w:t>5</w:t>
            </w:r>
            <w:r w:rsidR="00C81DDC">
              <w:rPr>
                <w:rFonts w:ascii="Arial" w:hAnsi="Arial" w:cs="Arial"/>
              </w:rPr>
              <w:t>09</w:t>
            </w:r>
          </w:p>
        </w:tc>
        <w:tc>
          <w:tcPr>
            <w:tcW w:w="1101" w:type="pct"/>
            <w:tcBorders>
              <w:top w:val="single" w:sz="4" w:space="0" w:color="auto"/>
            </w:tcBorders>
            <w:vAlign w:val="center"/>
          </w:tcPr>
          <w:p w14:paraId="63E42C70" w14:textId="521A9322" w:rsidR="006F1217" w:rsidRPr="006F1217" w:rsidRDefault="006F1217" w:rsidP="006F1217">
            <w:pPr>
              <w:spacing w:before="60"/>
              <w:ind w:left="110" w:hanging="110"/>
              <w:jc w:val="right"/>
              <w:rPr>
                <w:rFonts w:ascii="Arial" w:hAnsi="Arial" w:cs="Arial"/>
              </w:rPr>
            </w:pPr>
            <w:r w:rsidRPr="006F1217">
              <w:rPr>
                <w:rFonts w:ascii="Arial" w:hAnsi="Arial" w:cs="Arial"/>
              </w:rPr>
              <w:t>95</w:t>
            </w:r>
          </w:p>
        </w:tc>
        <w:tc>
          <w:tcPr>
            <w:tcW w:w="1101" w:type="pct"/>
            <w:tcBorders>
              <w:top w:val="single" w:sz="4" w:space="0" w:color="auto"/>
            </w:tcBorders>
            <w:vAlign w:val="center"/>
          </w:tcPr>
          <w:p w14:paraId="4389BA1A" w14:textId="11D7011B" w:rsidR="006F1217" w:rsidRPr="006F1217" w:rsidRDefault="006F1217" w:rsidP="006F1217">
            <w:pPr>
              <w:spacing w:before="60"/>
              <w:ind w:left="110" w:hanging="110"/>
              <w:jc w:val="right"/>
              <w:rPr>
                <w:rFonts w:ascii="Arial" w:hAnsi="Arial" w:cs="Arial"/>
              </w:rPr>
            </w:pPr>
            <w:r w:rsidRPr="006F1217">
              <w:rPr>
                <w:rFonts w:ascii="Arial" w:hAnsi="Arial" w:cs="Arial"/>
              </w:rPr>
              <w:t>1,156</w:t>
            </w:r>
          </w:p>
        </w:tc>
      </w:tr>
      <w:tr w:rsidR="006F1217" w:rsidRPr="00F13B87" w14:paraId="73086C44" w14:textId="77777777" w:rsidTr="00B4195E">
        <w:trPr>
          <w:trHeight w:val="227"/>
        </w:trPr>
        <w:tc>
          <w:tcPr>
            <w:tcW w:w="1697" w:type="pct"/>
            <w:tcBorders>
              <w:bottom w:val="single" w:sz="4" w:space="0" w:color="auto"/>
            </w:tcBorders>
            <w:vAlign w:val="center"/>
          </w:tcPr>
          <w:p w14:paraId="65DCE7A2" w14:textId="77777777" w:rsidR="006F1217" w:rsidRPr="00F13B87" w:rsidRDefault="006F1217" w:rsidP="00B4195E">
            <w:pPr>
              <w:ind w:left="110" w:hanging="110"/>
              <w:jc w:val="left"/>
              <w:rPr>
                <w:rFonts w:ascii="Arial" w:hAnsi="Arial" w:cs="Arial"/>
              </w:rPr>
            </w:pPr>
            <w:r w:rsidRPr="00F13B87">
              <w:rPr>
                <w:rFonts w:ascii="Arial" w:hAnsi="Arial" w:cs="Arial"/>
              </w:rPr>
              <w:t>Brico Dépôt</w:t>
            </w:r>
          </w:p>
        </w:tc>
        <w:tc>
          <w:tcPr>
            <w:tcW w:w="1101" w:type="pct"/>
            <w:tcBorders>
              <w:bottom w:val="single" w:sz="4" w:space="0" w:color="auto"/>
            </w:tcBorders>
            <w:vAlign w:val="center"/>
          </w:tcPr>
          <w:p w14:paraId="66AF16DA" w14:textId="7600CEDC" w:rsidR="006F1217" w:rsidRPr="006F1217" w:rsidRDefault="006F1217" w:rsidP="006F1217">
            <w:pPr>
              <w:spacing w:before="60"/>
              <w:ind w:left="110" w:hanging="110"/>
              <w:jc w:val="right"/>
              <w:rPr>
                <w:rFonts w:ascii="Arial" w:hAnsi="Arial" w:cs="Arial"/>
              </w:rPr>
            </w:pPr>
            <w:r w:rsidRPr="006F1217">
              <w:rPr>
                <w:rFonts w:ascii="Arial" w:hAnsi="Arial" w:cs="Arial"/>
              </w:rPr>
              <w:t>8,23</w:t>
            </w:r>
            <w:r w:rsidR="008A5B62">
              <w:rPr>
                <w:rFonts w:ascii="Arial" w:hAnsi="Arial" w:cs="Arial"/>
              </w:rPr>
              <w:t>8</w:t>
            </w:r>
          </w:p>
        </w:tc>
        <w:tc>
          <w:tcPr>
            <w:tcW w:w="1101" w:type="pct"/>
            <w:tcBorders>
              <w:bottom w:val="single" w:sz="4" w:space="0" w:color="auto"/>
            </w:tcBorders>
            <w:vAlign w:val="center"/>
          </w:tcPr>
          <w:p w14:paraId="660CA3B3" w14:textId="034449F2" w:rsidR="006F1217" w:rsidRPr="006F1217" w:rsidRDefault="006F1217" w:rsidP="006F1217">
            <w:pPr>
              <w:spacing w:before="60"/>
              <w:ind w:left="110" w:hanging="110"/>
              <w:jc w:val="right"/>
              <w:rPr>
                <w:rFonts w:ascii="Arial" w:hAnsi="Arial" w:cs="Arial"/>
              </w:rPr>
            </w:pPr>
            <w:r w:rsidRPr="006F1217">
              <w:rPr>
                <w:rFonts w:ascii="Arial" w:hAnsi="Arial" w:cs="Arial"/>
              </w:rPr>
              <w:t>123</w:t>
            </w:r>
          </w:p>
        </w:tc>
        <w:tc>
          <w:tcPr>
            <w:tcW w:w="1101" w:type="pct"/>
            <w:tcBorders>
              <w:bottom w:val="single" w:sz="4" w:space="0" w:color="auto"/>
            </w:tcBorders>
            <w:vAlign w:val="center"/>
          </w:tcPr>
          <w:p w14:paraId="0DF1098F" w14:textId="36D65AA0" w:rsidR="006F1217" w:rsidRPr="006F1217" w:rsidRDefault="006F1217" w:rsidP="006F1217">
            <w:pPr>
              <w:spacing w:before="60"/>
              <w:ind w:left="110" w:hanging="110"/>
              <w:jc w:val="right"/>
              <w:rPr>
                <w:rFonts w:ascii="Arial" w:hAnsi="Arial" w:cs="Arial"/>
              </w:rPr>
            </w:pPr>
            <w:r w:rsidRPr="006F1217">
              <w:rPr>
                <w:rFonts w:ascii="Arial" w:hAnsi="Arial" w:cs="Arial"/>
              </w:rPr>
              <w:t>8</w:t>
            </w:r>
            <w:r w:rsidR="00453EF1">
              <w:rPr>
                <w:rFonts w:ascii="Arial" w:hAnsi="Arial" w:cs="Arial"/>
              </w:rPr>
              <w:t>7</w:t>
            </w:r>
            <w:r w:rsidRPr="006F1217">
              <w:rPr>
                <w:rFonts w:ascii="Arial" w:hAnsi="Arial" w:cs="Arial"/>
              </w:rPr>
              <w:t>2</w:t>
            </w:r>
          </w:p>
        </w:tc>
      </w:tr>
      <w:tr w:rsidR="006F1217" w:rsidRPr="00F13B87" w14:paraId="6199421E" w14:textId="77777777" w:rsidTr="00B4195E">
        <w:trPr>
          <w:trHeight w:val="227"/>
        </w:trPr>
        <w:tc>
          <w:tcPr>
            <w:tcW w:w="1697" w:type="pct"/>
            <w:tcBorders>
              <w:top w:val="single" w:sz="4" w:space="0" w:color="auto"/>
            </w:tcBorders>
            <w:vAlign w:val="center"/>
          </w:tcPr>
          <w:p w14:paraId="252E6B2F" w14:textId="77777777" w:rsidR="006F1217" w:rsidRPr="00F13B87" w:rsidRDefault="006F1217" w:rsidP="00B4195E">
            <w:pPr>
              <w:ind w:left="110" w:hanging="110"/>
              <w:jc w:val="left"/>
              <w:rPr>
                <w:rFonts w:ascii="Arial" w:hAnsi="Arial" w:cs="Arial"/>
                <w:b/>
                <w:bCs/>
              </w:rPr>
            </w:pPr>
            <w:r w:rsidRPr="00F13B87">
              <w:rPr>
                <w:rFonts w:ascii="Arial" w:hAnsi="Arial" w:cs="Arial"/>
                <w:b/>
                <w:bCs/>
              </w:rPr>
              <w:t>France</w:t>
            </w:r>
          </w:p>
        </w:tc>
        <w:tc>
          <w:tcPr>
            <w:tcW w:w="1101" w:type="pct"/>
            <w:tcBorders>
              <w:top w:val="single" w:sz="4" w:space="0" w:color="auto"/>
            </w:tcBorders>
            <w:vAlign w:val="center"/>
          </w:tcPr>
          <w:p w14:paraId="00D2B4EF" w14:textId="52A0E208" w:rsidR="006F1217" w:rsidRPr="006F1217" w:rsidRDefault="006F1217" w:rsidP="006F1217">
            <w:pPr>
              <w:spacing w:before="60"/>
              <w:ind w:left="110" w:hanging="110"/>
              <w:jc w:val="right"/>
              <w:rPr>
                <w:rFonts w:ascii="Arial" w:hAnsi="Arial" w:cs="Arial"/>
                <w:b/>
              </w:rPr>
            </w:pPr>
            <w:r w:rsidRPr="006F1217">
              <w:rPr>
                <w:rFonts w:ascii="Arial" w:hAnsi="Arial" w:cs="Arial"/>
                <w:b/>
              </w:rPr>
              <w:t>18,747</w:t>
            </w:r>
          </w:p>
        </w:tc>
        <w:tc>
          <w:tcPr>
            <w:tcW w:w="1101" w:type="pct"/>
            <w:tcBorders>
              <w:top w:val="single" w:sz="4" w:space="0" w:color="auto"/>
            </w:tcBorders>
            <w:vAlign w:val="center"/>
          </w:tcPr>
          <w:p w14:paraId="2E73D38C" w14:textId="54083DB1" w:rsidR="006F1217" w:rsidRPr="006F1217" w:rsidRDefault="006F1217" w:rsidP="006F1217">
            <w:pPr>
              <w:spacing w:before="60"/>
              <w:ind w:left="110" w:hanging="110"/>
              <w:jc w:val="right"/>
              <w:rPr>
                <w:rFonts w:ascii="Arial" w:hAnsi="Arial" w:cs="Arial"/>
                <w:b/>
              </w:rPr>
            </w:pPr>
            <w:r w:rsidRPr="006F1217">
              <w:rPr>
                <w:rFonts w:ascii="Arial" w:hAnsi="Arial" w:cs="Arial"/>
                <w:b/>
              </w:rPr>
              <w:t>218</w:t>
            </w:r>
          </w:p>
        </w:tc>
        <w:tc>
          <w:tcPr>
            <w:tcW w:w="1101" w:type="pct"/>
            <w:tcBorders>
              <w:top w:val="single" w:sz="4" w:space="0" w:color="auto"/>
            </w:tcBorders>
            <w:vAlign w:val="center"/>
          </w:tcPr>
          <w:p w14:paraId="2C876778" w14:textId="585F7687" w:rsidR="006F1217" w:rsidRPr="006F1217" w:rsidRDefault="006F1217" w:rsidP="006F1217">
            <w:pPr>
              <w:spacing w:before="60"/>
              <w:ind w:left="110" w:hanging="110"/>
              <w:jc w:val="right"/>
              <w:rPr>
                <w:rFonts w:ascii="Arial" w:hAnsi="Arial" w:cs="Arial"/>
                <w:b/>
              </w:rPr>
            </w:pPr>
            <w:r w:rsidRPr="006F1217">
              <w:rPr>
                <w:rFonts w:ascii="Arial" w:hAnsi="Arial" w:cs="Arial"/>
                <w:b/>
              </w:rPr>
              <w:t>2,0</w:t>
            </w:r>
            <w:r w:rsidR="00453EF1">
              <w:rPr>
                <w:rFonts w:ascii="Arial" w:hAnsi="Arial" w:cs="Arial"/>
                <w:b/>
              </w:rPr>
              <w:t>2</w:t>
            </w:r>
            <w:r w:rsidRPr="006F1217">
              <w:rPr>
                <w:rFonts w:ascii="Arial" w:hAnsi="Arial" w:cs="Arial"/>
                <w:b/>
              </w:rPr>
              <w:t>8</w:t>
            </w:r>
          </w:p>
        </w:tc>
      </w:tr>
      <w:tr w:rsidR="006F1217" w:rsidRPr="00F13B87" w14:paraId="5CA32943" w14:textId="77777777" w:rsidTr="00B4195E">
        <w:trPr>
          <w:trHeight w:val="227"/>
        </w:trPr>
        <w:tc>
          <w:tcPr>
            <w:tcW w:w="1697" w:type="pct"/>
            <w:tcBorders>
              <w:top w:val="single" w:sz="4" w:space="0" w:color="auto"/>
            </w:tcBorders>
            <w:vAlign w:val="center"/>
          </w:tcPr>
          <w:p w14:paraId="4F8A6116" w14:textId="77777777" w:rsidR="006F1217" w:rsidRPr="00F13B87" w:rsidRDefault="006F1217" w:rsidP="00B4195E">
            <w:pPr>
              <w:ind w:left="110" w:hanging="110"/>
              <w:jc w:val="left"/>
              <w:rPr>
                <w:rFonts w:ascii="Arial" w:hAnsi="Arial" w:cs="Arial"/>
                <w:lang w:val="it-IT"/>
              </w:rPr>
            </w:pPr>
            <w:r w:rsidRPr="00F13B87">
              <w:rPr>
                <w:rFonts w:ascii="Arial" w:hAnsi="Arial" w:cs="Arial"/>
              </w:rPr>
              <w:t>Poland</w:t>
            </w:r>
          </w:p>
        </w:tc>
        <w:tc>
          <w:tcPr>
            <w:tcW w:w="1101" w:type="pct"/>
            <w:tcBorders>
              <w:top w:val="single" w:sz="4" w:space="0" w:color="auto"/>
            </w:tcBorders>
            <w:vAlign w:val="center"/>
          </w:tcPr>
          <w:p w14:paraId="0ABB659B" w14:textId="5C3BF6ED" w:rsidR="006F1217" w:rsidRPr="006F1217" w:rsidRDefault="006F1217" w:rsidP="006F1217">
            <w:pPr>
              <w:spacing w:before="60"/>
              <w:ind w:left="110" w:hanging="110"/>
              <w:jc w:val="right"/>
              <w:rPr>
                <w:rFonts w:ascii="Arial" w:hAnsi="Arial" w:cs="Arial"/>
              </w:rPr>
            </w:pPr>
            <w:r w:rsidRPr="006F1217">
              <w:rPr>
                <w:rFonts w:ascii="Arial" w:hAnsi="Arial" w:cs="Arial"/>
              </w:rPr>
              <w:t>12,136</w:t>
            </w:r>
          </w:p>
        </w:tc>
        <w:tc>
          <w:tcPr>
            <w:tcW w:w="1101" w:type="pct"/>
            <w:tcBorders>
              <w:top w:val="single" w:sz="4" w:space="0" w:color="auto"/>
            </w:tcBorders>
            <w:vAlign w:val="center"/>
          </w:tcPr>
          <w:p w14:paraId="5235B244" w14:textId="5352C39C" w:rsidR="006F1217" w:rsidRPr="006F1217" w:rsidRDefault="006F1217" w:rsidP="006F1217">
            <w:pPr>
              <w:spacing w:before="60"/>
              <w:ind w:left="110" w:hanging="110"/>
              <w:jc w:val="right"/>
              <w:rPr>
                <w:rFonts w:ascii="Arial" w:hAnsi="Arial" w:cs="Arial"/>
              </w:rPr>
            </w:pPr>
            <w:r w:rsidRPr="006F1217">
              <w:rPr>
                <w:rFonts w:ascii="Arial" w:hAnsi="Arial" w:cs="Arial"/>
              </w:rPr>
              <w:t>97</w:t>
            </w:r>
          </w:p>
        </w:tc>
        <w:tc>
          <w:tcPr>
            <w:tcW w:w="1101" w:type="pct"/>
            <w:tcBorders>
              <w:top w:val="single" w:sz="4" w:space="0" w:color="auto"/>
            </w:tcBorders>
            <w:vAlign w:val="center"/>
          </w:tcPr>
          <w:p w14:paraId="7104B510" w14:textId="5B2011C9" w:rsidR="006F1217" w:rsidRPr="006F1217" w:rsidRDefault="006F1217" w:rsidP="006F1217">
            <w:pPr>
              <w:spacing w:before="60"/>
              <w:ind w:left="110" w:hanging="110"/>
              <w:jc w:val="right"/>
              <w:rPr>
                <w:rFonts w:ascii="Arial" w:hAnsi="Arial" w:cs="Arial"/>
              </w:rPr>
            </w:pPr>
            <w:r w:rsidRPr="006F1217">
              <w:rPr>
                <w:rFonts w:ascii="Arial" w:hAnsi="Arial" w:cs="Arial"/>
              </w:rPr>
              <w:t>817</w:t>
            </w:r>
          </w:p>
        </w:tc>
      </w:tr>
      <w:tr w:rsidR="006F1217" w:rsidRPr="00F13B87" w14:paraId="7C62B244" w14:textId="77777777" w:rsidTr="00B4195E">
        <w:trPr>
          <w:trHeight w:val="227"/>
        </w:trPr>
        <w:tc>
          <w:tcPr>
            <w:tcW w:w="1697" w:type="pct"/>
            <w:vAlign w:val="center"/>
          </w:tcPr>
          <w:p w14:paraId="7A72D251" w14:textId="77777777" w:rsidR="006F1217" w:rsidRPr="00F13B87" w:rsidRDefault="006F1217" w:rsidP="00B4195E">
            <w:pPr>
              <w:ind w:left="110" w:hanging="110"/>
              <w:jc w:val="left"/>
              <w:rPr>
                <w:rFonts w:ascii="Arial" w:hAnsi="Arial" w:cs="Arial"/>
                <w:lang w:val="it-IT"/>
              </w:rPr>
            </w:pPr>
            <w:r w:rsidRPr="00F13B87">
              <w:rPr>
                <w:rFonts w:ascii="Arial" w:hAnsi="Arial" w:cs="Arial"/>
              </w:rPr>
              <w:t>Iberia</w:t>
            </w:r>
          </w:p>
        </w:tc>
        <w:tc>
          <w:tcPr>
            <w:tcW w:w="1101" w:type="pct"/>
            <w:vAlign w:val="center"/>
          </w:tcPr>
          <w:p w14:paraId="21FB6B9B" w14:textId="3B0135D3" w:rsidR="006F1217" w:rsidRPr="006F1217" w:rsidRDefault="006F1217" w:rsidP="006F1217">
            <w:pPr>
              <w:spacing w:before="60"/>
              <w:ind w:left="110" w:hanging="110"/>
              <w:jc w:val="right"/>
              <w:rPr>
                <w:rFonts w:ascii="Arial" w:hAnsi="Arial" w:cs="Arial"/>
              </w:rPr>
            </w:pPr>
            <w:r w:rsidRPr="006F1217">
              <w:rPr>
                <w:rFonts w:ascii="Arial" w:hAnsi="Arial" w:cs="Arial"/>
              </w:rPr>
              <w:t>1,777</w:t>
            </w:r>
          </w:p>
        </w:tc>
        <w:tc>
          <w:tcPr>
            <w:tcW w:w="1101" w:type="pct"/>
            <w:vAlign w:val="center"/>
          </w:tcPr>
          <w:p w14:paraId="455BEEA7" w14:textId="5C643088" w:rsidR="006F1217" w:rsidRPr="006F1217" w:rsidRDefault="006F1217" w:rsidP="006F1217">
            <w:pPr>
              <w:spacing w:before="60"/>
              <w:ind w:left="110" w:hanging="110"/>
              <w:jc w:val="right"/>
              <w:rPr>
                <w:rFonts w:ascii="Arial" w:hAnsi="Arial" w:cs="Arial"/>
              </w:rPr>
            </w:pPr>
            <w:r w:rsidRPr="006F1217">
              <w:rPr>
                <w:rFonts w:ascii="Arial" w:hAnsi="Arial" w:cs="Arial"/>
              </w:rPr>
              <w:t>31</w:t>
            </w:r>
          </w:p>
        </w:tc>
        <w:tc>
          <w:tcPr>
            <w:tcW w:w="1101" w:type="pct"/>
            <w:vAlign w:val="center"/>
          </w:tcPr>
          <w:p w14:paraId="72DF523C" w14:textId="24F4CA7B" w:rsidR="006F1217" w:rsidRPr="006F1217" w:rsidRDefault="006F1217" w:rsidP="006F1217">
            <w:pPr>
              <w:spacing w:before="60"/>
              <w:ind w:left="110" w:hanging="110"/>
              <w:jc w:val="right"/>
              <w:rPr>
                <w:rFonts w:ascii="Arial" w:hAnsi="Arial" w:cs="Arial"/>
              </w:rPr>
            </w:pPr>
            <w:r w:rsidRPr="006F1217">
              <w:rPr>
                <w:rFonts w:ascii="Arial" w:hAnsi="Arial" w:cs="Arial"/>
              </w:rPr>
              <w:t>195</w:t>
            </w:r>
          </w:p>
        </w:tc>
      </w:tr>
      <w:tr w:rsidR="006F1217" w:rsidRPr="00F13B87" w14:paraId="740AE399" w14:textId="77777777" w:rsidTr="00B4195E">
        <w:trPr>
          <w:trHeight w:val="227"/>
        </w:trPr>
        <w:tc>
          <w:tcPr>
            <w:tcW w:w="1697" w:type="pct"/>
            <w:vAlign w:val="center"/>
          </w:tcPr>
          <w:p w14:paraId="715DDF40" w14:textId="77777777" w:rsidR="006F1217" w:rsidRPr="00F13B87" w:rsidRDefault="006F1217" w:rsidP="00B4195E">
            <w:pPr>
              <w:ind w:left="110" w:hanging="110"/>
              <w:jc w:val="left"/>
              <w:rPr>
                <w:rFonts w:ascii="Arial" w:hAnsi="Arial" w:cs="Arial"/>
                <w:lang w:val="it-IT"/>
              </w:rPr>
            </w:pPr>
            <w:r w:rsidRPr="00F13B87">
              <w:rPr>
                <w:rFonts w:ascii="Arial" w:hAnsi="Arial" w:cs="Arial"/>
                <w:lang w:val="it-IT"/>
              </w:rPr>
              <w:t>Romania</w:t>
            </w:r>
          </w:p>
        </w:tc>
        <w:tc>
          <w:tcPr>
            <w:tcW w:w="1101" w:type="pct"/>
            <w:vAlign w:val="center"/>
          </w:tcPr>
          <w:p w14:paraId="394A8087" w14:textId="07A940DF" w:rsidR="006F1217" w:rsidRPr="006F1217" w:rsidRDefault="006F1217" w:rsidP="006F1217">
            <w:pPr>
              <w:spacing w:before="60"/>
              <w:ind w:left="110" w:hanging="110"/>
              <w:jc w:val="right"/>
              <w:rPr>
                <w:rFonts w:ascii="Arial" w:hAnsi="Arial" w:cs="Arial"/>
              </w:rPr>
            </w:pPr>
            <w:r w:rsidRPr="006F1217">
              <w:rPr>
                <w:rFonts w:ascii="Arial" w:hAnsi="Arial" w:cs="Arial"/>
              </w:rPr>
              <w:t>2,542</w:t>
            </w:r>
          </w:p>
        </w:tc>
        <w:tc>
          <w:tcPr>
            <w:tcW w:w="1101" w:type="pct"/>
            <w:vAlign w:val="center"/>
          </w:tcPr>
          <w:p w14:paraId="7A3192A2" w14:textId="24DC9A7C" w:rsidR="006F1217" w:rsidRPr="006F1217" w:rsidRDefault="006F1217" w:rsidP="006F1217">
            <w:pPr>
              <w:spacing w:before="60"/>
              <w:ind w:left="110" w:hanging="110"/>
              <w:jc w:val="right"/>
              <w:rPr>
                <w:rFonts w:ascii="Arial" w:hAnsi="Arial" w:cs="Arial"/>
              </w:rPr>
            </w:pPr>
            <w:r w:rsidRPr="006F1217">
              <w:rPr>
                <w:rFonts w:ascii="Arial" w:hAnsi="Arial" w:cs="Arial"/>
              </w:rPr>
              <w:t>33</w:t>
            </w:r>
          </w:p>
        </w:tc>
        <w:tc>
          <w:tcPr>
            <w:tcW w:w="1101" w:type="pct"/>
            <w:vAlign w:val="center"/>
          </w:tcPr>
          <w:p w14:paraId="5AD337A7" w14:textId="0A1274D7" w:rsidR="006F1217" w:rsidRPr="006F1217" w:rsidRDefault="006F1217" w:rsidP="006F1217">
            <w:pPr>
              <w:spacing w:before="60"/>
              <w:ind w:left="110" w:hanging="110"/>
              <w:jc w:val="right"/>
              <w:rPr>
                <w:rFonts w:ascii="Arial" w:hAnsi="Arial" w:cs="Arial"/>
                <w:vertAlign w:val="superscript"/>
              </w:rPr>
            </w:pPr>
            <w:r w:rsidRPr="006F1217">
              <w:rPr>
                <w:rFonts w:ascii="Arial" w:hAnsi="Arial" w:cs="Arial"/>
              </w:rPr>
              <w:t>238</w:t>
            </w:r>
          </w:p>
        </w:tc>
      </w:tr>
      <w:tr w:rsidR="006F1217" w:rsidRPr="00F13B87" w14:paraId="0AB57EBC" w14:textId="77777777" w:rsidTr="00B4195E">
        <w:trPr>
          <w:trHeight w:val="227"/>
        </w:trPr>
        <w:tc>
          <w:tcPr>
            <w:tcW w:w="1697" w:type="pct"/>
            <w:vAlign w:val="center"/>
          </w:tcPr>
          <w:p w14:paraId="60CA4DEE" w14:textId="77777777" w:rsidR="006F1217" w:rsidRPr="00F13B87" w:rsidRDefault="006F1217" w:rsidP="00B4195E">
            <w:pPr>
              <w:ind w:left="110" w:hanging="110"/>
              <w:jc w:val="left"/>
              <w:rPr>
                <w:rFonts w:ascii="Arial" w:hAnsi="Arial" w:cs="Arial"/>
                <w:lang w:val="it-IT"/>
              </w:rPr>
            </w:pPr>
            <w:r w:rsidRPr="00F13B87">
              <w:rPr>
                <w:rFonts w:ascii="Arial" w:hAnsi="Arial" w:cs="Arial"/>
                <w:lang w:val="it-IT"/>
              </w:rPr>
              <w:t>Other</w:t>
            </w:r>
            <w:r w:rsidRPr="00F13B87">
              <w:rPr>
                <w:rFonts w:ascii="Arial" w:hAnsi="Arial" w:cs="Arial"/>
                <w:vertAlign w:val="superscript"/>
                <w:lang w:val="it-IT"/>
              </w:rPr>
              <w:t>(2)</w:t>
            </w:r>
          </w:p>
        </w:tc>
        <w:tc>
          <w:tcPr>
            <w:tcW w:w="1101" w:type="pct"/>
            <w:vAlign w:val="center"/>
          </w:tcPr>
          <w:p w14:paraId="4C1C8C49" w14:textId="7ACA0C82" w:rsidR="006F1217" w:rsidRPr="006F1217" w:rsidRDefault="006F1217" w:rsidP="006F1217">
            <w:pPr>
              <w:spacing w:before="60"/>
              <w:ind w:left="110" w:hanging="110"/>
              <w:jc w:val="right"/>
              <w:rPr>
                <w:rFonts w:ascii="Arial" w:hAnsi="Arial" w:cs="Arial"/>
              </w:rPr>
            </w:pPr>
            <w:r w:rsidRPr="006F1217">
              <w:rPr>
                <w:rFonts w:ascii="Arial" w:hAnsi="Arial" w:cs="Arial"/>
              </w:rPr>
              <w:t>143</w:t>
            </w:r>
          </w:p>
        </w:tc>
        <w:tc>
          <w:tcPr>
            <w:tcW w:w="1101" w:type="pct"/>
            <w:vAlign w:val="center"/>
          </w:tcPr>
          <w:p w14:paraId="7E3EAAC7" w14:textId="674EC076" w:rsidR="006F1217" w:rsidRPr="006F1217" w:rsidRDefault="006F1217" w:rsidP="006F1217">
            <w:pPr>
              <w:spacing w:before="60"/>
              <w:ind w:left="110" w:hanging="110"/>
              <w:jc w:val="right"/>
              <w:rPr>
                <w:rFonts w:ascii="Arial" w:hAnsi="Arial" w:cs="Arial"/>
              </w:rPr>
            </w:pPr>
            <w:r w:rsidRPr="006F1217">
              <w:rPr>
                <w:rFonts w:ascii="Arial" w:hAnsi="Arial" w:cs="Arial"/>
              </w:rPr>
              <w:t>5</w:t>
            </w:r>
          </w:p>
        </w:tc>
        <w:tc>
          <w:tcPr>
            <w:tcW w:w="1101" w:type="pct"/>
            <w:vAlign w:val="center"/>
          </w:tcPr>
          <w:p w14:paraId="452A8177" w14:textId="6153010B" w:rsidR="006F1217" w:rsidRPr="006F1217" w:rsidRDefault="00453EF1" w:rsidP="006F1217">
            <w:pPr>
              <w:spacing w:before="60"/>
              <w:ind w:left="110" w:hanging="110"/>
              <w:jc w:val="right"/>
              <w:rPr>
                <w:rFonts w:ascii="Arial" w:hAnsi="Arial" w:cs="Arial"/>
              </w:rPr>
            </w:pPr>
            <w:r>
              <w:rPr>
                <w:rFonts w:ascii="Arial" w:hAnsi="Arial" w:cs="Arial"/>
              </w:rPr>
              <w:t>-</w:t>
            </w:r>
          </w:p>
        </w:tc>
      </w:tr>
      <w:tr w:rsidR="006F1217" w:rsidRPr="00F13B87" w14:paraId="77B69E15" w14:textId="77777777" w:rsidTr="00B4195E">
        <w:trPr>
          <w:trHeight w:val="227"/>
        </w:trPr>
        <w:tc>
          <w:tcPr>
            <w:tcW w:w="1697" w:type="pct"/>
            <w:tcBorders>
              <w:top w:val="single" w:sz="4" w:space="0" w:color="auto"/>
              <w:bottom w:val="single" w:sz="4" w:space="0" w:color="auto"/>
            </w:tcBorders>
            <w:vAlign w:val="center"/>
          </w:tcPr>
          <w:p w14:paraId="6FCBB73A" w14:textId="77777777" w:rsidR="006F1217" w:rsidRPr="00F13B87" w:rsidRDefault="006F1217" w:rsidP="00B4195E">
            <w:pPr>
              <w:jc w:val="left"/>
              <w:rPr>
                <w:rFonts w:ascii="Arial" w:hAnsi="Arial" w:cs="Arial"/>
                <w:b/>
                <w:bCs/>
              </w:rPr>
            </w:pPr>
            <w:r w:rsidRPr="00F13B87">
              <w:rPr>
                <w:rFonts w:ascii="Arial" w:hAnsi="Arial" w:cs="Arial"/>
                <w:b/>
                <w:bCs/>
              </w:rPr>
              <w:t>Other International</w:t>
            </w:r>
          </w:p>
        </w:tc>
        <w:tc>
          <w:tcPr>
            <w:tcW w:w="1101" w:type="pct"/>
            <w:tcBorders>
              <w:top w:val="single" w:sz="4" w:space="0" w:color="auto"/>
              <w:bottom w:val="single" w:sz="4" w:space="0" w:color="auto"/>
            </w:tcBorders>
            <w:vAlign w:val="center"/>
          </w:tcPr>
          <w:p w14:paraId="75413077" w14:textId="1F8AF84A" w:rsidR="006F1217" w:rsidRPr="006F1217" w:rsidRDefault="006F1217" w:rsidP="006F1217">
            <w:pPr>
              <w:spacing w:before="60"/>
              <w:ind w:left="110" w:hanging="110"/>
              <w:jc w:val="right"/>
              <w:rPr>
                <w:rFonts w:ascii="Arial" w:hAnsi="Arial" w:cs="Arial"/>
                <w:b/>
              </w:rPr>
            </w:pPr>
            <w:r w:rsidRPr="006F1217">
              <w:rPr>
                <w:rFonts w:ascii="Arial" w:hAnsi="Arial" w:cs="Arial"/>
                <w:b/>
              </w:rPr>
              <w:t>16,598</w:t>
            </w:r>
          </w:p>
        </w:tc>
        <w:tc>
          <w:tcPr>
            <w:tcW w:w="1101" w:type="pct"/>
            <w:tcBorders>
              <w:top w:val="single" w:sz="4" w:space="0" w:color="auto"/>
              <w:bottom w:val="single" w:sz="4" w:space="0" w:color="auto"/>
            </w:tcBorders>
            <w:vAlign w:val="center"/>
          </w:tcPr>
          <w:p w14:paraId="60ED43EF" w14:textId="7F63C26B" w:rsidR="006F1217" w:rsidRPr="006F1217" w:rsidRDefault="006F1217" w:rsidP="006F1217">
            <w:pPr>
              <w:spacing w:before="60"/>
              <w:ind w:left="110" w:hanging="110"/>
              <w:jc w:val="right"/>
              <w:rPr>
                <w:rFonts w:ascii="Arial" w:hAnsi="Arial" w:cs="Arial"/>
                <w:b/>
              </w:rPr>
            </w:pPr>
            <w:r w:rsidRPr="006F1217">
              <w:rPr>
                <w:rFonts w:ascii="Arial" w:hAnsi="Arial" w:cs="Arial"/>
                <w:b/>
              </w:rPr>
              <w:t>166</w:t>
            </w:r>
          </w:p>
        </w:tc>
        <w:tc>
          <w:tcPr>
            <w:tcW w:w="1101" w:type="pct"/>
            <w:tcBorders>
              <w:top w:val="single" w:sz="4" w:space="0" w:color="auto"/>
              <w:bottom w:val="single" w:sz="4" w:space="0" w:color="auto"/>
            </w:tcBorders>
            <w:vAlign w:val="center"/>
          </w:tcPr>
          <w:p w14:paraId="095407A9" w14:textId="485BE155" w:rsidR="006F1217" w:rsidRPr="006F1217" w:rsidRDefault="006F1217" w:rsidP="006F1217">
            <w:pPr>
              <w:spacing w:before="60"/>
              <w:ind w:left="110" w:hanging="110"/>
              <w:jc w:val="right"/>
              <w:rPr>
                <w:rFonts w:ascii="Arial" w:hAnsi="Arial" w:cs="Arial"/>
                <w:b/>
              </w:rPr>
            </w:pPr>
            <w:r w:rsidRPr="006F1217">
              <w:rPr>
                <w:rFonts w:ascii="Arial" w:hAnsi="Arial" w:cs="Arial"/>
                <w:b/>
              </w:rPr>
              <w:t>1,25</w:t>
            </w:r>
            <w:r w:rsidR="00453EF1">
              <w:rPr>
                <w:rFonts w:ascii="Arial" w:hAnsi="Arial" w:cs="Arial"/>
                <w:b/>
              </w:rPr>
              <w:t>0</w:t>
            </w:r>
          </w:p>
        </w:tc>
      </w:tr>
      <w:tr w:rsidR="006F1217" w:rsidRPr="004226C9" w14:paraId="257BAE69" w14:textId="77777777" w:rsidTr="00B4195E">
        <w:trPr>
          <w:trHeight w:val="227"/>
        </w:trPr>
        <w:tc>
          <w:tcPr>
            <w:tcW w:w="1697" w:type="pct"/>
            <w:tcBorders>
              <w:top w:val="single" w:sz="4" w:space="0" w:color="auto"/>
              <w:bottom w:val="single" w:sz="4" w:space="0" w:color="auto"/>
            </w:tcBorders>
            <w:vAlign w:val="center"/>
          </w:tcPr>
          <w:p w14:paraId="33DB749B" w14:textId="77777777" w:rsidR="006F1217" w:rsidRPr="00F13B87" w:rsidRDefault="006F1217" w:rsidP="00B4195E">
            <w:pPr>
              <w:jc w:val="left"/>
              <w:rPr>
                <w:rFonts w:ascii="Arial" w:hAnsi="Arial" w:cs="Arial"/>
                <w:b/>
                <w:bCs/>
              </w:rPr>
            </w:pPr>
            <w:r w:rsidRPr="00F13B87">
              <w:rPr>
                <w:rFonts w:ascii="Arial" w:hAnsi="Arial" w:cs="Arial"/>
                <w:b/>
                <w:bCs/>
              </w:rPr>
              <w:t>Total</w:t>
            </w:r>
          </w:p>
        </w:tc>
        <w:tc>
          <w:tcPr>
            <w:tcW w:w="1101" w:type="pct"/>
            <w:tcBorders>
              <w:top w:val="single" w:sz="4" w:space="0" w:color="auto"/>
              <w:bottom w:val="single" w:sz="4" w:space="0" w:color="auto"/>
            </w:tcBorders>
            <w:vAlign w:val="center"/>
          </w:tcPr>
          <w:p w14:paraId="05152438" w14:textId="27149B4F" w:rsidR="006F1217" w:rsidRPr="006F1217" w:rsidRDefault="006F1217" w:rsidP="006F1217">
            <w:pPr>
              <w:spacing w:before="60"/>
              <w:ind w:left="110" w:hanging="110"/>
              <w:jc w:val="right"/>
              <w:rPr>
                <w:rFonts w:ascii="Arial" w:hAnsi="Arial" w:cs="Arial"/>
                <w:b/>
              </w:rPr>
            </w:pPr>
            <w:r w:rsidRPr="006F1217">
              <w:rPr>
                <w:rFonts w:ascii="Arial" w:hAnsi="Arial" w:cs="Arial"/>
                <w:b/>
              </w:rPr>
              <w:t>61,138</w:t>
            </w:r>
          </w:p>
        </w:tc>
        <w:tc>
          <w:tcPr>
            <w:tcW w:w="1101" w:type="pct"/>
            <w:tcBorders>
              <w:top w:val="single" w:sz="4" w:space="0" w:color="auto"/>
              <w:bottom w:val="single" w:sz="4" w:space="0" w:color="auto"/>
            </w:tcBorders>
            <w:vAlign w:val="center"/>
          </w:tcPr>
          <w:p w14:paraId="171B3DE1" w14:textId="7CF80FBC" w:rsidR="006F1217" w:rsidRPr="006F1217" w:rsidRDefault="006F1217" w:rsidP="006F1217">
            <w:pPr>
              <w:spacing w:before="60"/>
              <w:ind w:left="110" w:hanging="110"/>
              <w:jc w:val="right"/>
              <w:rPr>
                <w:rFonts w:ascii="Arial" w:hAnsi="Arial" w:cs="Arial"/>
                <w:b/>
              </w:rPr>
            </w:pPr>
            <w:r w:rsidRPr="006F1217">
              <w:rPr>
                <w:rFonts w:ascii="Arial" w:hAnsi="Arial" w:cs="Arial"/>
                <w:b/>
              </w:rPr>
              <w:t>1,572</w:t>
            </w:r>
          </w:p>
        </w:tc>
        <w:tc>
          <w:tcPr>
            <w:tcW w:w="1101" w:type="pct"/>
            <w:tcBorders>
              <w:top w:val="single" w:sz="4" w:space="0" w:color="auto"/>
              <w:bottom w:val="single" w:sz="4" w:space="0" w:color="auto"/>
            </w:tcBorders>
            <w:vAlign w:val="center"/>
          </w:tcPr>
          <w:p w14:paraId="0B21A9CC" w14:textId="07E047A9" w:rsidR="006F1217" w:rsidRPr="006F1217" w:rsidRDefault="006F1217" w:rsidP="006F1217">
            <w:pPr>
              <w:spacing w:before="60"/>
              <w:ind w:left="110" w:hanging="110"/>
              <w:jc w:val="right"/>
              <w:rPr>
                <w:rFonts w:ascii="Arial" w:hAnsi="Arial" w:cs="Arial"/>
                <w:b/>
              </w:rPr>
            </w:pPr>
            <w:r w:rsidRPr="006F1217">
              <w:rPr>
                <w:rFonts w:ascii="Arial" w:hAnsi="Arial" w:cs="Arial"/>
                <w:b/>
              </w:rPr>
              <w:t>5,5</w:t>
            </w:r>
            <w:r w:rsidR="00453EF1">
              <w:rPr>
                <w:rFonts w:ascii="Arial" w:hAnsi="Arial" w:cs="Arial"/>
                <w:b/>
              </w:rPr>
              <w:t>36</w:t>
            </w:r>
          </w:p>
        </w:tc>
      </w:tr>
      <w:bookmarkEnd w:id="66"/>
    </w:tbl>
    <w:p w14:paraId="14DEA792" w14:textId="77777777" w:rsidR="00117C77" w:rsidRPr="006F352B" w:rsidRDefault="00117C77" w:rsidP="00117C77">
      <w:pPr>
        <w:jc w:val="left"/>
        <w:rPr>
          <w:rFonts w:ascii="Arial" w:hAnsi="Arial" w:cs="Arial"/>
          <w:sz w:val="18"/>
          <w:szCs w:val="18"/>
        </w:rPr>
      </w:pPr>
    </w:p>
    <w:bookmarkEnd w:id="65"/>
    <w:p w14:paraId="3CCF5312" w14:textId="77777777" w:rsidR="00117C77" w:rsidRPr="00973825" w:rsidRDefault="00117C77" w:rsidP="00117C77">
      <w:pPr>
        <w:jc w:val="left"/>
        <w:rPr>
          <w:rFonts w:ascii="Arial" w:hAnsi="Arial" w:cs="Arial"/>
          <w:sz w:val="18"/>
          <w:szCs w:val="18"/>
        </w:rPr>
      </w:pPr>
      <w:r w:rsidRPr="00522995">
        <w:rPr>
          <w:rFonts w:ascii="Arial" w:hAnsi="Arial" w:cs="Arial"/>
          <w:bCs/>
          <w:sz w:val="18"/>
          <w:szCs w:val="18"/>
          <w:vertAlign w:val="superscript"/>
        </w:rPr>
        <w:t xml:space="preserve">(1) </w:t>
      </w:r>
      <w:r w:rsidRPr="00973825">
        <w:rPr>
          <w:rFonts w:ascii="Arial" w:hAnsi="Arial" w:cs="Arial"/>
          <w:sz w:val="18"/>
          <w:szCs w:val="18"/>
        </w:rPr>
        <w:t>Screwfix sales area relates to the front of counter area of an outlet.</w:t>
      </w:r>
    </w:p>
    <w:p w14:paraId="78B2BADE" w14:textId="5DB001AD" w:rsidR="00117C77" w:rsidRPr="006A2F62" w:rsidRDefault="00117C77" w:rsidP="00117C77">
      <w:pPr>
        <w:jc w:val="left"/>
        <w:rPr>
          <w:rFonts w:ascii="Arial" w:hAnsi="Arial" w:cs="Arial"/>
          <w:sz w:val="18"/>
          <w:szCs w:val="18"/>
        </w:rPr>
      </w:pPr>
      <w:r w:rsidRPr="00257208">
        <w:rPr>
          <w:rFonts w:ascii="Arial" w:hAnsi="Arial" w:cs="Arial"/>
          <w:sz w:val="18"/>
          <w:szCs w:val="18"/>
          <w:vertAlign w:val="superscript"/>
        </w:rPr>
        <w:t>(2)</w:t>
      </w:r>
      <w:r w:rsidRPr="00257208">
        <w:rPr>
          <w:rFonts w:ascii="Arial" w:hAnsi="Arial" w:cs="Arial"/>
          <w:sz w:val="18"/>
          <w:szCs w:val="18"/>
        </w:rPr>
        <w:t xml:space="preserve"> </w:t>
      </w:r>
      <w:r>
        <w:rPr>
          <w:rFonts w:ascii="Arial" w:hAnsi="Arial" w:cs="Arial"/>
          <w:sz w:val="18"/>
          <w:szCs w:val="18"/>
        </w:rPr>
        <w:t>‘</w:t>
      </w:r>
      <w:r w:rsidRPr="00257208">
        <w:rPr>
          <w:rFonts w:ascii="Arial" w:hAnsi="Arial" w:cs="Arial"/>
          <w:sz w:val="18"/>
          <w:szCs w:val="18"/>
        </w:rPr>
        <w:t xml:space="preserve">Other’ consists of </w:t>
      </w:r>
      <w:r w:rsidR="003B78D1">
        <w:rPr>
          <w:rFonts w:ascii="Arial" w:hAnsi="Arial" w:cs="Arial"/>
          <w:sz w:val="18"/>
          <w:szCs w:val="18"/>
        </w:rPr>
        <w:t>Screwfix International,</w:t>
      </w:r>
      <w:r w:rsidR="003B78D1" w:rsidRPr="00095546">
        <w:rPr>
          <w:rFonts w:ascii="Arial" w:hAnsi="Arial" w:cs="Arial"/>
          <w:sz w:val="18"/>
          <w:szCs w:val="18"/>
        </w:rPr>
        <w:t xml:space="preserve"> </w:t>
      </w:r>
      <w:r w:rsidRPr="00257208">
        <w:rPr>
          <w:rFonts w:ascii="Arial" w:hAnsi="Arial" w:cs="Arial"/>
          <w:sz w:val="18"/>
          <w:szCs w:val="18"/>
        </w:rPr>
        <w:t>NeedHelp</w:t>
      </w:r>
      <w:r>
        <w:rPr>
          <w:rFonts w:ascii="Arial" w:hAnsi="Arial" w:cs="Arial"/>
          <w:sz w:val="18"/>
          <w:szCs w:val="18"/>
        </w:rPr>
        <w:t xml:space="preserve">, </w:t>
      </w:r>
      <w:r w:rsidRPr="00095546">
        <w:rPr>
          <w:rFonts w:ascii="Arial" w:hAnsi="Arial" w:cs="Arial"/>
          <w:sz w:val="18"/>
          <w:szCs w:val="18"/>
        </w:rPr>
        <w:t>and franchising.</w:t>
      </w:r>
    </w:p>
    <w:p w14:paraId="43B3786A" w14:textId="10747F70" w:rsidR="00DA1CC3" w:rsidRPr="008C77D2" w:rsidRDefault="00DA1CC3" w:rsidP="00954596">
      <w:pPr>
        <w:jc w:val="left"/>
        <w:rPr>
          <w:rFonts w:ascii="Arial" w:hAnsi="Arial" w:cs="Arial"/>
          <w:sz w:val="18"/>
          <w:szCs w:val="18"/>
        </w:rPr>
      </w:pPr>
    </w:p>
    <w:p w14:paraId="6049A2AF" w14:textId="03F2F9DB" w:rsidR="00954596" w:rsidRDefault="00954596" w:rsidP="00954596">
      <w:pPr>
        <w:jc w:val="left"/>
        <w:rPr>
          <w:rFonts w:ascii="Arial" w:hAnsi="Arial" w:cs="Arial"/>
        </w:rPr>
      </w:pPr>
      <w:r>
        <w:rPr>
          <w:rFonts w:ascii="Arial" w:hAnsi="Arial" w:cs="Arial"/>
        </w:rPr>
        <w:br w:type="page"/>
      </w:r>
    </w:p>
    <w:p w14:paraId="53E5D1AF" w14:textId="188E628A" w:rsidR="008966E7" w:rsidRPr="00EB4495" w:rsidRDefault="008966E7" w:rsidP="008966E7">
      <w:pPr>
        <w:pBdr>
          <w:top w:val="single" w:sz="4" w:space="1" w:color="auto"/>
          <w:left w:val="single" w:sz="4" w:space="4" w:color="auto"/>
          <w:bottom w:val="single" w:sz="4" w:space="1" w:color="auto"/>
          <w:right w:val="single" w:sz="4" w:space="4" w:color="auto"/>
        </w:pBdr>
        <w:shd w:val="clear" w:color="auto" w:fill="0070C0"/>
        <w:jc w:val="left"/>
        <w:rPr>
          <w:rFonts w:ascii="Arial" w:hAnsi="Arial" w:cs="Arial"/>
          <w:b/>
          <w:bCs/>
          <w:color w:val="FFFFFF" w:themeColor="background1"/>
        </w:rPr>
      </w:pPr>
      <w:r w:rsidRPr="00EB4495">
        <w:rPr>
          <w:rFonts w:ascii="Arial" w:hAnsi="Arial" w:cs="Arial"/>
          <w:b/>
          <w:bCs/>
          <w:color w:val="FFFFFF" w:themeColor="background1"/>
        </w:rPr>
        <w:lastRenderedPageBreak/>
        <w:t>Section 4: FY 202</w:t>
      </w:r>
      <w:r w:rsidR="008C77D2">
        <w:rPr>
          <w:rFonts w:ascii="Arial" w:hAnsi="Arial" w:cs="Arial"/>
          <w:b/>
          <w:bCs/>
          <w:color w:val="FFFFFF" w:themeColor="background1"/>
        </w:rPr>
        <w:t>3</w:t>
      </w:r>
      <w:r w:rsidRPr="00EB4495">
        <w:rPr>
          <w:rFonts w:ascii="Arial" w:hAnsi="Arial" w:cs="Arial"/>
          <w:b/>
          <w:bCs/>
          <w:color w:val="FFFFFF" w:themeColor="background1"/>
        </w:rPr>
        <w:t>/2</w:t>
      </w:r>
      <w:r w:rsidR="008C77D2">
        <w:rPr>
          <w:rFonts w:ascii="Arial" w:hAnsi="Arial" w:cs="Arial"/>
          <w:b/>
          <w:bCs/>
          <w:color w:val="FFFFFF" w:themeColor="background1"/>
        </w:rPr>
        <w:t>4</w:t>
      </w:r>
      <w:r w:rsidRPr="00EB4495">
        <w:rPr>
          <w:rFonts w:ascii="Arial" w:hAnsi="Arial" w:cs="Arial"/>
          <w:b/>
          <w:bCs/>
          <w:color w:val="FFFFFF" w:themeColor="background1"/>
        </w:rPr>
        <w:t xml:space="preserve"> Technical guidance</w:t>
      </w:r>
    </w:p>
    <w:p w14:paraId="32A9F925" w14:textId="194B3522" w:rsidR="008966E7" w:rsidRPr="00EB4495" w:rsidRDefault="008966E7" w:rsidP="008966E7">
      <w:pPr>
        <w:jc w:val="left"/>
        <w:rPr>
          <w:rFonts w:ascii="Arial" w:hAnsi="Arial" w:cs="Arial"/>
        </w:rPr>
      </w:pPr>
    </w:p>
    <w:p w14:paraId="3345AA01" w14:textId="77777777" w:rsidR="008966E7" w:rsidRDefault="008966E7" w:rsidP="008966E7">
      <w:pPr>
        <w:jc w:val="left"/>
        <w:rPr>
          <w:rFonts w:ascii="Arial" w:hAnsi="Arial" w:cs="Arial"/>
          <w:b/>
          <w:bCs/>
        </w:rPr>
      </w:pPr>
      <w:r>
        <w:rPr>
          <w:rFonts w:ascii="Arial" w:hAnsi="Arial" w:cs="Arial"/>
          <w:b/>
          <w:bCs/>
        </w:rPr>
        <w:t>Please refer to Section 7 for further details regarding forward-looking statements.</w:t>
      </w:r>
    </w:p>
    <w:p w14:paraId="1297B073" w14:textId="1F2FB99D" w:rsidR="008966E7" w:rsidRPr="00721C3E" w:rsidRDefault="008966E7" w:rsidP="008966E7">
      <w:pPr>
        <w:jc w:val="left"/>
        <w:rPr>
          <w:rFonts w:ascii="Arial" w:hAnsi="Arial" w:cs="Arial"/>
        </w:rPr>
      </w:pPr>
    </w:p>
    <w:p w14:paraId="6058D536" w14:textId="77777777" w:rsidR="008966E7" w:rsidRPr="00C42735" w:rsidRDefault="008966E7" w:rsidP="008966E7">
      <w:pPr>
        <w:jc w:val="left"/>
        <w:rPr>
          <w:rFonts w:ascii="Arial" w:hAnsi="Arial" w:cs="Arial"/>
          <w:b/>
          <w:bCs/>
          <w:u w:val="single"/>
        </w:rPr>
      </w:pPr>
      <w:r w:rsidRPr="00C42735">
        <w:rPr>
          <w:rFonts w:ascii="Arial" w:hAnsi="Arial" w:cs="Arial"/>
          <w:b/>
          <w:bCs/>
          <w:u w:val="single"/>
        </w:rPr>
        <w:t>Income statement</w:t>
      </w:r>
    </w:p>
    <w:p w14:paraId="175C063E" w14:textId="0579EDE6" w:rsidR="000F7D6F" w:rsidRDefault="000F7D6F" w:rsidP="008966E7">
      <w:pPr>
        <w:jc w:val="left"/>
        <w:rPr>
          <w:rFonts w:ascii="Arial" w:hAnsi="Arial" w:cs="Arial"/>
        </w:rPr>
      </w:pPr>
    </w:p>
    <w:p w14:paraId="39A4D233" w14:textId="77777777" w:rsidR="000F7D6F" w:rsidRPr="000F7D6F" w:rsidRDefault="000F7D6F" w:rsidP="000F7D6F">
      <w:pPr>
        <w:pStyle w:val="ListParagraph"/>
        <w:numPr>
          <w:ilvl w:val="0"/>
          <w:numId w:val="25"/>
        </w:numPr>
        <w:ind w:left="360"/>
        <w:jc w:val="left"/>
        <w:rPr>
          <w:rFonts w:ascii="Arial" w:hAnsi="Arial" w:cs="Arial"/>
          <w:bCs/>
        </w:rPr>
      </w:pPr>
      <w:r w:rsidRPr="000F7D6F">
        <w:rPr>
          <w:rFonts w:ascii="Arial" w:hAnsi="Arial" w:cs="Arial"/>
          <w:bCs/>
        </w:rPr>
        <w:t>Space</w:t>
      </w:r>
    </w:p>
    <w:p w14:paraId="0320CCCB" w14:textId="4CA02D8C" w:rsidR="000F7D6F" w:rsidRPr="000F7D6F" w:rsidRDefault="001159E0" w:rsidP="000F7D6F">
      <w:pPr>
        <w:pStyle w:val="ListParagraph"/>
        <w:numPr>
          <w:ilvl w:val="1"/>
          <w:numId w:val="2"/>
        </w:numPr>
        <w:ind w:left="709"/>
        <w:jc w:val="left"/>
        <w:rPr>
          <w:rFonts w:ascii="Arial" w:hAnsi="Arial" w:cs="Arial"/>
          <w:bCs/>
        </w:rPr>
      </w:pPr>
      <w:r>
        <w:rPr>
          <w:rFonts w:ascii="Arial" w:hAnsi="Arial" w:cs="Arial"/>
          <w:bCs/>
        </w:rPr>
        <w:t>S</w:t>
      </w:r>
      <w:r w:rsidR="000F7D6F" w:rsidRPr="000F7D6F">
        <w:rPr>
          <w:rFonts w:ascii="Arial" w:hAnsi="Arial" w:cs="Arial"/>
          <w:bCs/>
        </w:rPr>
        <w:t xml:space="preserve">ales </w:t>
      </w:r>
      <w:r w:rsidR="00DE3461">
        <w:rPr>
          <w:rFonts w:ascii="Arial" w:hAnsi="Arial" w:cs="Arial"/>
          <w:bCs/>
        </w:rPr>
        <w:t>impact of</w:t>
      </w:r>
      <w:r w:rsidR="00DE3461" w:rsidRPr="000F7D6F">
        <w:rPr>
          <w:rFonts w:ascii="Arial" w:hAnsi="Arial" w:cs="Arial"/>
          <w:bCs/>
        </w:rPr>
        <w:t xml:space="preserve"> </w:t>
      </w:r>
      <w:r w:rsidR="000F7D6F" w:rsidRPr="000F7D6F">
        <w:rPr>
          <w:rFonts w:ascii="Arial" w:hAnsi="Arial" w:cs="Arial"/>
          <w:bCs/>
        </w:rPr>
        <w:t>c</w:t>
      </w:r>
      <w:r w:rsidR="000F7D6F" w:rsidRPr="005D69C4">
        <w:rPr>
          <w:rFonts w:ascii="Arial" w:hAnsi="Arial" w:cs="Arial"/>
          <w:bCs/>
        </w:rPr>
        <w:t>.+</w:t>
      </w:r>
      <w:r w:rsidR="00060A1E" w:rsidRPr="00CD09A1">
        <w:rPr>
          <w:rFonts w:ascii="Arial" w:hAnsi="Arial"/>
        </w:rPr>
        <w:t>1</w:t>
      </w:r>
      <w:r w:rsidR="00917E54" w:rsidRPr="00CD09A1">
        <w:rPr>
          <w:rFonts w:ascii="Arial" w:hAnsi="Arial"/>
        </w:rPr>
        <w:t>.</w:t>
      </w:r>
      <w:r w:rsidR="00060A1E" w:rsidRPr="00CD09A1">
        <w:rPr>
          <w:rFonts w:ascii="Arial" w:hAnsi="Arial"/>
        </w:rPr>
        <w:t>5</w:t>
      </w:r>
      <w:r w:rsidR="000F7D6F" w:rsidRPr="005D69C4">
        <w:rPr>
          <w:rFonts w:ascii="Arial" w:hAnsi="Arial" w:cs="Arial"/>
          <w:bCs/>
        </w:rPr>
        <w:t>%</w:t>
      </w:r>
      <w:r>
        <w:rPr>
          <w:rFonts w:ascii="Arial" w:hAnsi="Arial" w:cs="Arial"/>
          <w:bCs/>
        </w:rPr>
        <w:t xml:space="preserve"> from n</w:t>
      </w:r>
      <w:r w:rsidRPr="000F7D6F">
        <w:rPr>
          <w:rFonts w:ascii="Arial" w:hAnsi="Arial" w:cs="Arial"/>
          <w:bCs/>
        </w:rPr>
        <w:t>et space growth</w:t>
      </w:r>
      <w:r w:rsidR="000F7D6F" w:rsidRPr="005D69C4">
        <w:rPr>
          <w:rFonts w:ascii="Arial" w:hAnsi="Arial" w:cs="Arial"/>
          <w:bCs/>
        </w:rPr>
        <w:t>, largely</w:t>
      </w:r>
      <w:r w:rsidR="000F7D6F" w:rsidRPr="000F7D6F">
        <w:rPr>
          <w:rFonts w:ascii="Arial" w:hAnsi="Arial" w:cs="Arial"/>
          <w:bCs/>
        </w:rPr>
        <w:t xml:space="preserve"> from Screwfix and </w:t>
      </w:r>
      <w:r w:rsidR="00847232">
        <w:rPr>
          <w:rFonts w:ascii="Arial" w:hAnsi="Arial" w:cs="Arial"/>
          <w:bCs/>
        </w:rPr>
        <w:t xml:space="preserve">Castorama </w:t>
      </w:r>
      <w:r w:rsidR="000F7D6F" w:rsidRPr="000F7D6F">
        <w:rPr>
          <w:rFonts w:ascii="Arial" w:hAnsi="Arial" w:cs="Arial"/>
          <w:bCs/>
        </w:rPr>
        <w:t>Poland</w:t>
      </w:r>
    </w:p>
    <w:p w14:paraId="526B2867" w14:textId="77777777" w:rsidR="000F7D6F" w:rsidRPr="000F7D6F" w:rsidRDefault="000F7D6F" w:rsidP="000F7D6F">
      <w:pPr>
        <w:pStyle w:val="ListParagraph"/>
        <w:numPr>
          <w:ilvl w:val="0"/>
          <w:numId w:val="25"/>
        </w:numPr>
        <w:ind w:left="360"/>
        <w:jc w:val="left"/>
        <w:rPr>
          <w:rFonts w:ascii="Arial" w:hAnsi="Arial" w:cs="Arial"/>
          <w:bCs/>
        </w:rPr>
      </w:pPr>
      <w:r w:rsidRPr="000F7D6F">
        <w:rPr>
          <w:rFonts w:ascii="Arial" w:hAnsi="Arial" w:cs="Arial"/>
          <w:bCs/>
        </w:rPr>
        <w:t>New businesses</w:t>
      </w:r>
    </w:p>
    <w:p w14:paraId="73F9D081" w14:textId="2A011230" w:rsidR="000F7D6F" w:rsidRPr="000F7D6F" w:rsidRDefault="000F7D6F" w:rsidP="000F7D6F">
      <w:pPr>
        <w:pStyle w:val="ListParagraph"/>
        <w:numPr>
          <w:ilvl w:val="1"/>
          <w:numId w:val="2"/>
        </w:numPr>
        <w:ind w:left="709"/>
        <w:jc w:val="left"/>
        <w:rPr>
          <w:rFonts w:ascii="Arial" w:hAnsi="Arial" w:cs="Arial"/>
          <w:bCs/>
        </w:rPr>
      </w:pPr>
      <w:r w:rsidRPr="000F7D6F">
        <w:rPr>
          <w:rFonts w:ascii="Arial" w:hAnsi="Arial" w:cs="Arial"/>
          <w:bCs/>
        </w:rPr>
        <w:t xml:space="preserve">‘Other’ retail losses </w:t>
      </w:r>
      <w:r w:rsidRPr="005D69C4">
        <w:rPr>
          <w:rFonts w:ascii="Arial" w:hAnsi="Arial" w:cs="Arial"/>
          <w:bCs/>
        </w:rPr>
        <w:t>of c.£</w:t>
      </w:r>
      <w:r w:rsidR="00460EF8" w:rsidRPr="00CD09A1">
        <w:rPr>
          <w:rFonts w:ascii="Arial" w:hAnsi="Arial"/>
        </w:rPr>
        <w:t>4</w:t>
      </w:r>
      <w:r w:rsidR="00684677" w:rsidRPr="00CD09A1">
        <w:rPr>
          <w:rFonts w:ascii="Arial" w:hAnsi="Arial"/>
        </w:rPr>
        <w:t>0</w:t>
      </w:r>
      <w:r w:rsidRPr="005D69C4">
        <w:rPr>
          <w:rFonts w:ascii="Arial" w:hAnsi="Arial" w:cs="Arial"/>
          <w:bCs/>
        </w:rPr>
        <w:t>m (FY</w:t>
      </w:r>
      <w:r w:rsidRPr="000F7D6F">
        <w:rPr>
          <w:rFonts w:ascii="Arial" w:hAnsi="Arial" w:cs="Arial"/>
          <w:bCs/>
        </w:rPr>
        <w:t xml:space="preserve"> 2</w:t>
      </w:r>
      <w:r w:rsidR="008F4141">
        <w:rPr>
          <w:rFonts w:ascii="Arial" w:hAnsi="Arial" w:cs="Arial"/>
          <w:bCs/>
        </w:rPr>
        <w:t>2</w:t>
      </w:r>
      <w:r w:rsidRPr="000F7D6F">
        <w:rPr>
          <w:rFonts w:ascii="Arial" w:hAnsi="Arial" w:cs="Arial"/>
          <w:bCs/>
        </w:rPr>
        <w:t>/2</w:t>
      </w:r>
      <w:r w:rsidR="008F4141">
        <w:rPr>
          <w:rFonts w:ascii="Arial" w:hAnsi="Arial" w:cs="Arial"/>
          <w:bCs/>
        </w:rPr>
        <w:t>3</w:t>
      </w:r>
      <w:r w:rsidRPr="005137B7">
        <w:rPr>
          <w:rFonts w:ascii="Arial" w:hAnsi="Arial" w:cs="Arial"/>
          <w:bCs/>
        </w:rPr>
        <w:t>: £</w:t>
      </w:r>
      <w:r w:rsidR="008F4141" w:rsidRPr="00CD09A1">
        <w:rPr>
          <w:rFonts w:ascii="Arial" w:hAnsi="Arial"/>
        </w:rPr>
        <w:t>3</w:t>
      </w:r>
      <w:r w:rsidR="00460EF8" w:rsidRPr="00CD09A1">
        <w:rPr>
          <w:rFonts w:ascii="Arial" w:hAnsi="Arial"/>
        </w:rPr>
        <w:t>0</w:t>
      </w:r>
      <w:r w:rsidRPr="005137B7">
        <w:rPr>
          <w:rFonts w:ascii="Arial" w:hAnsi="Arial" w:cs="Arial"/>
          <w:bCs/>
        </w:rPr>
        <w:t>m)</w:t>
      </w:r>
      <w:r w:rsidR="005836C2" w:rsidRPr="005137B7">
        <w:rPr>
          <w:rFonts w:ascii="Arial" w:hAnsi="Arial" w:cs="Arial"/>
          <w:bCs/>
        </w:rPr>
        <w:t xml:space="preserve">, </w:t>
      </w:r>
      <w:r w:rsidRPr="005137B7">
        <w:rPr>
          <w:rFonts w:ascii="Arial" w:hAnsi="Arial" w:cs="Arial"/>
          <w:bCs/>
        </w:rPr>
        <w:t>with</w:t>
      </w:r>
      <w:r w:rsidRPr="000F7D6F">
        <w:rPr>
          <w:rFonts w:ascii="Arial" w:hAnsi="Arial" w:cs="Arial"/>
          <w:bCs/>
        </w:rPr>
        <w:t xml:space="preserve"> increase driven by additional investment in Screwfix France. ‘Other’ consists of the consolidated results of Screwfix International, NeedHelp, and franchise agreements, recorded within the ‘Other International’ division </w:t>
      </w:r>
    </w:p>
    <w:p w14:paraId="6FF570C9" w14:textId="77777777" w:rsidR="000F7D6F" w:rsidRPr="00A13868" w:rsidRDefault="000F7D6F" w:rsidP="000F7D6F">
      <w:pPr>
        <w:pStyle w:val="ListParagraph"/>
        <w:numPr>
          <w:ilvl w:val="0"/>
          <w:numId w:val="25"/>
        </w:numPr>
        <w:ind w:left="360"/>
        <w:jc w:val="left"/>
        <w:rPr>
          <w:rFonts w:ascii="Arial" w:hAnsi="Arial" w:cs="Arial"/>
          <w:bCs/>
        </w:rPr>
      </w:pPr>
      <w:r w:rsidRPr="00A13868">
        <w:rPr>
          <w:rFonts w:ascii="Arial" w:hAnsi="Arial" w:cs="Arial"/>
          <w:bCs/>
        </w:rPr>
        <w:t>Central costs</w:t>
      </w:r>
    </w:p>
    <w:p w14:paraId="35F4BFDD" w14:textId="5A44B8CE" w:rsidR="000F7D6F" w:rsidRPr="00A13868" w:rsidRDefault="003A0E60" w:rsidP="000F7D6F">
      <w:pPr>
        <w:pStyle w:val="ListParagraph"/>
        <w:numPr>
          <w:ilvl w:val="1"/>
          <w:numId w:val="2"/>
        </w:numPr>
        <w:ind w:left="709"/>
        <w:jc w:val="left"/>
        <w:rPr>
          <w:rFonts w:ascii="Arial" w:hAnsi="Arial" w:cs="Arial"/>
          <w:bCs/>
        </w:rPr>
      </w:pPr>
      <w:r w:rsidRPr="009759B8">
        <w:rPr>
          <w:rFonts w:ascii="Arial" w:hAnsi="Arial" w:cs="Arial"/>
          <w:bCs/>
        </w:rPr>
        <w:t>Anticipate c.£60m</w:t>
      </w:r>
      <w:r w:rsidR="00C86BDF" w:rsidRPr="009759B8">
        <w:rPr>
          <w:rFonts w:ascii="Arial" w:hAnsi="Arial" w:cs="Arial"/>
          <w:bCs/>
        </w:rPr>
        <w:t>, in line with FY 21/22 levels</w:t>
      </w:r>
      <w:r w:rsidR="00851681" w:rsidRPr="00A13868">
        <w:rPr>
          <w:rFonts w:ascii="Arial" w:hAnsi="Arial" w:cs="Arial"/>
          <w:bCs/>
        </w:rPr>
        <w:t xml:space="preserve"> </w:t>
      </w:r>
      <w:r w:rsidR="000F7D6F" w:rsidRPr="00A13868">
        <w:rPr>
          <w:rFonts w:ascii="Arial" w:hAnsi="Arial" w:cs="Arial"/>
          <w:bCs/>
        </w:rPr>
        <w:t>(FY 2</w:t>
      </w:r>
      <w:r w:rsidR="006C71F5" w:rsidRPr="00A13868">
        <w:rPr>
          <w:rFonts w:ascii="Arial" w:hAnsi="Arial" w:cs="Arial"/>
          <w:bCs/>
        </w:rPr>
        <w:t>2</w:t>
      </w:r>
      <w:r w:rsidR="000F7D6F" w:rsidRPr="00A13868">
        <w:rPr>
          <w:rFonts w:ascii="Arial" w:hAnsi="Arial" w:cs="Arial"/>
          <w:bCs/>
        </w:rPr>
        <w:t>/2</w:t>
      </w:r>
      <w:r w:rsidR="006C71F5" w:rsidRPr="00A13868">
        <w:rPr>
          <w:rFonts w:ascii="Arial" w:hAnsi="Arial" w:cs="Arial"/>
          <w:bCs/>
        </w:rPr>
        <w:t>3</w:t>
      </w:r>
      <w:r w:rsidR="000F7D6F" w:rsidRPr="00A13868">
        <w:rPr>
          <w:rFonts w:ascii="Arial" w:hAnsi="Arial" w:cs="Arial"/>
          <w:bCs/>
        </w:rPr>
        <w:t>: £</w:t>
      </w:r>
      <w:r w:rsidR="00684677" w:rsidRPr="00A13868">
        <w:rPr>
          <w:rFonts w:ascii="Arial" w:hAnsi="Arial"/>
        </w:rPr>
        <w:t>49</w:t>
      </w:r>
      <w:r w:rsidR="000F7D6F" w:rsidRPr="00A13868">
        <w:rPr>
          <w:rFonts w:ascii="Arial" w:hAnsi="Arial" w:cs="Arial"/>
          <w:bCs/>
        </w:rPr>
        <w:t>m</w:t>
      </w:r>
      <w:r w:rsidR="008F1D9E" w:rsidRPr="00A13868">
        <w:rPr>
          <w:rFonts w:ascii="Arial" w:hAnsi="Arial" w:cs="Arial"/>
          <w:bCs/>
        </w:rPr>
        <w:t>; FY 21/22: £60m</w:t>
      </w:r>
      <w:r w:rsidR="000F7D6F" w:rsidRPr="00A13868">
        <w:rPr>
          <w:rFonts w:ascii="Arial" w:hAnsi="Arial" w:cs="Arial"/>
          <w:bCs/>
        </w:rPr>
        <w:t>)</w:t>
      </w:r>
    </w:p>
    <w:p w14:paraId="09714A0B" w14:textId="77777777" w:rsidR="000F7D6F" w:rsidRPr="006D3033" w:rsidRDefault="000F7D6F" w:rsidP="000F7D6F">
      <w:pPr>
        <w:pStyle w:val="ListParagraph"/>
        <w:numPr>
          <w:ilvl w:val="0"/>
          <w:numId w:val="25"/>
        </w:numPr>
        <w:ind w:left="360"/>
        <w:jc w:val="left"/>
        <w:rPr>
          <w:rFonts w:ascii="Arial" w:hAnsi="Arial" w:cs="Arial"/>
          <w:bCs/>
        </w:rPr>
      </w:pPr>
      <w:r w:rsidRPr="006D3033">
        <w:rPr>
          <w:rFonts w:ascii="Arial" w:hAnsi="Arial" w:cs="Arial"/>
          <w:bCs/>
        </w:rPr>
        <w:t>Net finance costs</w:t>
      </w:r>
    </w:p>
    <w:p w14:paraId="5A3249C8" w14:textId="2CEFB415" w:rsidR="000F7D6F" w:rsidRPr="006D3033" w:rsidRDefault="000F7D6F" w:rsidP="000F7D6F">
      <w:pPr>
        <w:pStyle w:val="ListParagraph"/>
        <w:numPr>
          <w:ilvl w:val="1"/>
          <w:numId w:val="2"/>
        </w:numPr>
        <w:ind w:left="709"/>
        <w:jc w:val="left"/>
        <w:rPr>
          <w:rFonts w:ascii="Arial" w:hAnsi="Arial" w:cs="Arial"/>
          <w:bCs/>
        </w:rPr>
      </w:pPr>
      <w:r w:rsidRPr="009759B8">
        <w:rPr>
          <w:rFonts w:ascii="Arial" w:hAnsi="Arial" w:cs="Arial"/>
          <w:bCs/>
        </w:rPr>
        <w:t>Decrease by c.£</w:t>
      </w:r>
      <w:r w:rsidR="00284F46" w:rsidRPr="009759B8">
        <w:rPr>
          <w:rFonts w:ascii="Arial" w:hAnsi="Arial" w:cs="Arial"/>
          <w:bCs/>
        </w:rPr>
        <w:t>5</w:t>
      </w:r>
      <w:r w:rsidRPr="009759B8">
        <w:rPr>
          <w:rFonts w:ascii="Arial" w:hAnsi="Arial" w:cs="Arial"/>
          <w:bCs/>
        </w:rPr>
        <w:t>m as a result of lower interest expense on lease liabilities</w:t>
      </w:r>
      <w:r w:rsidRPr="006D3033">
        <w:rPr>
          <w:rFonts w:ascii="Arial" w:hAnsi="Arial" w:cs="Arial"/>
          <w:bCs/>
        </w:rPr>
        <w:t xml:space="preserve"> (FY 2</w:t>
      </w:r>
      <w:r w:rsidR="00060A1E" w:rsidRPr="006D3033">
        <w:rPr>
          <w:rFonts w:ascii="Arial" w:hAnsi="Arial" w:cs="Arial"/>
          <w:bCs/>
        </w:rPr>
        <w:t>2</w:t>
      </w:r>
      <w:r w:rsidRPr="006D3033">
        <w:rPr>
          <w:rFonts w:ascii="Arial" w:hAnsi="Arial" w:cs="Arial"/>
          <w:bCs/>
        </w:rPr>
        <w:t>/2</w:t>
      </w:r>
      <w:r w:rsidR="00060A1E" w:rsidRPr="006D3033">
        <w:rPr>
          <w:rFonts w:ascii="Arial" w:hAnsi="Arial" w:cs="Arial"/>
          <w:bCs/>
        </w:rPr>
        <w:t>3</w:t>
      </w:r>
      <w:r w:rsidRPr="006D3033">
        <w:rPr>
          <w:rFonts w:ascii="Arial" w:hAnsi="Arial" w:cs="Arial"/>
          <w:bCs/>
        </w:rPr>
        <w:t>: £</w:t>
      </w:r>
      <w:r w:rsidRPr="006D3033">
        <w:rPr>
          <w:rFonts w:ascii="Arial" w:hAnsi="Arial"/>
        </w:rPr>
        <w:t>1</w:t>
      </w:r>
      <w:r w:rsidR="00060A1E" w:rsidRPr="006D3033">
        <w:rPr>
          <w:rFonts w:ascii="Arial" w:hAnsi="Arial"/>
        </w:rPr>
        <w:t>1</w:t>
      </w:r>
      <w:r w:rsidR="00D66C01" w:rsidRPr="006D3033">
        <w:rPr>
          <w:rFonts w:ascii="Arial" w:hAnsi="Arial"/>
        </w:rPr>
        <w:t>2</w:t>
      </w:r>
      <w:r w:rsidRPr="006D3033">
        <w:rPr>
          <w:rFonts w:ascii="Arial" w:hAnsi="Arial" w:cs="Arial"/>
          <w:bCs/>
        </w:rPr>
        <w:t>m)</w:t>
      </w:r>
    </w:p>
    <w:p w14:paraId="564569ED" w14:textId="77777777" w:rsidR="000F7D6F" w:rsidRPr="006D3033" w:rsidRDefault="000F7D6F" w:rsidP="000F7D6F">
      <w:pPr>
        <w:pStyle w:val="ListParagraph"/>
        <w:numPr>
          <w:ilvl w:val="0"/>
          <w:numId w:val="25"/>
        </w:numPr>
        <w:ind w:left="360"/>
        <w:jc w:val="left"/>
        <w:rPr>
          <w:rFonts w:ascii="Arial" w:hAnsi="Arial" w:cs="Arial"/>
          <w:bCs/>
        </w:rPr>
      </w:pPr>
      <w:r w:rsidRPr="006D3033">
        <w:rPr>
          <w:rFonts w:ascii="Arial" w:hAnsi="Arial" w:cs="Arial"/>
          <w:bCs/>
        </w:rPr>
        <w:t>Adjusted pre-tax profit</w:t>
      </w:r>
    </w:p>
    <w:p w14:paraId="0463A876" w14:textId="499AEA36" w:rsidR="002D21ED" w:rsidRPr="006D3033" w:rsidRDefault="009F4B99" w:rsidP="000F7D6F">
      <w:pPr>
        <w:pStyle w:val="ListParagraph"/>
        <w:numPr>
          <w:ilvl w:val="1"/>
          <w:numId w:val="2"/>
        </w:numPr>
        <w:ind w:left="709"/>
        <w:jc w:val="left"/>
        <w:rPr>
          <w:rFonts w:ascii="Arial" w:hAnsi="Arial" w:cs="Arial"/>
          <w:bCs/>
        </w:rPr>
      </w:pPr>
      <w:r w:rsidRPr="006D3033">
        <w:rPr>
          <w:rFonts w:ascii="Arial" w:hAnsi="Arial" w:cs="Arial"/>
          <w:bCs/>
        </w:rPr>
        <w:t>C</w:t>
      </w:r>
      <w:r w:rsidR="002D21ED" w:rsidRPr="006D3033">
        <w:rPr>
          <w:rFonts w:ascii="Arial" w:hAnsi="Arial" w:cs="Arial"/>
          <w:bCs/>
        </w:rPr>
        <w:t xml:space="preserve">omfortable with current consensus of sell-side analyst estimates for </w:t>
      </w:r>
      <w:r w:rsidR="00332FC0" w:rsidRPr="006D3033">
        <w:rPr>
          <w:rFonts w:ascii="Arial" w:hAnsi="Arial" w:cs="Arial"/>
          <w:bCs/>
        </w:rPr>
        <w:t xml:space="preserve">full year </w:t>
      </w:r>
      <w:r w:rsidR="002D21ED" w:rsidRPr="006D3033">
        <w:rPr>
          <w:rFonts w:ascii="Arial" w:hAnsi="Arial" w:cs="Arial"/>
          <w:bCs/>
        </w:rPr>
        <w:t>adjusted pre-tax profit</w:t>
      </w:r>
      <w:r w:rsidR="00332FC0" w:rsidRPr="006D3033">
        <w:rPr>
          <w:rFonts w:ascii="Arial" w:hAnsi="Arial" w:cs="Arial"/>
          <w:bCs/>
          <w:vertAlign w:val="superscript"/>
        </w:rPr>
        <w:t>(1)</w:t>
      </w:r>
    </w:p>
    <w:p w14:paraId="7E49C3B0" w14:textId="77777777" w:rsidR="000F7D6F" w:rsidRPr="006D3033" w:rsidRDefault="000F7D6F" w:rsidP="000F7D6F">
      <w:pPr>
        <w:pStyle w:val="ListParagraph"/>
        <w:numPr>
          <w:ilvl w:val="0"/>
          <w:numId w:val="25"/>
        </w:numPr>
        <w:ind w:left="360"/>
        <w:jc w:val="left"/>
        <w:rPr>
          <w:rFonts w:ascii="Arial" w:hAnsi="Arial" w:cs="Arial"/>
          <w:bCs/>
        </w:rPr>
      </w:pPr>
      <w:r w:rsidRPr="006D3033">
        <w:rPr>
          <w:rFonts w:ascii="Arial" w:hAnsi="Arial" w:cs="Arial"/>
          <w:bCs/>
        </w:rPr>
        <w:t>Tax rate</w:t>
      </w:r>
    </w:p>
    <w:p w14:paraId="6EE53AF5" w14:textId="048CE247" w:rsidR="000F7D6F" w:rsidRPr="000A7E15" w:rsidRDefault="000F7D6F" w:rsidP="000F7D6F">
      <w:pPr>
        <w:pStyle w:val="ListParagraph"/>
        <w:numPr>
          <w:ilvl w:val="1"/>
          <w:numId w:val="2"/>
        </w:numPr>
        <w:ind w:left="709"/>
        <w:jc w:val="left"/>
        <w:rPr>
          <w:rFonts w:ascii="Arial" w:hAnsi="Arial" w:cs="Arial"/>
          <w:bCs/>
        </w:rPr>
      </w:pPr>
      <w:r w:rsidRPr="006D3033">
        <w:rPr>
          <w:rFonts w:ascii="Arial" w:hAnsi="Arial" w:cs="Arial"/>
          <w:bCs/>
        </w:rPr>
        <w:t xml:space="preserve">Group adjusted effective </w:t>
      </w:r>
      <w:r w:rsidRPr="000A7E15">
        <w:rPr>
          <w:rFonts w:ascii="Arial" w:hAnsi="Arial" w:cs="Arial"/>
          <w:bCs/>
        </w:rPr>
        <w:t>tax rate</w:t>
      </w:r>
      <w:r w:rsidR="00372AF5" w:rsidRPr="000A7E15">
        <w:rPr>
          <w:rFonts w:ascii="Arial" w:hAnsi="Arial" w:cs="Arial"/>
          <w:bCs/>
        </w:rPr>
        <w:t>*</w:t>
      </w:r>
      <w:r w:rsidRPr="000A7E15">
        <w:rPr>
          <w:rFonts w:ascii="Arial" w:hAnsi="Arial" w:cs="Arial"/>
          <w:bCs/>
        </w:rPr>
        <w:t xml:space="preserve"> of c.</w:t>
      </w:r>
      <w:r w:rsidR="00324A6A" w:rsidRPr="004E283B">
        <w:rPr>
          <w:rFonts w:ascii="Arial" w:hAnsi="Arial" w:cs="Arial"/>
          <w:bCs/>
        </w:rPr>
        <w:t>2</w:t>
      </w:r>
      <w:r w:rsidR="000A7E15" w:rsidRPr="004E283B">
        <w:rPr>
          <w:rFonts w:ascii="Arial" w:hAnsi="Arial" w:cs="Arial"/>
          <w:bCs/>
        </w:rPr>
        <w:t>5</w:t>
      </w:r>
      <w:r w:rsidRPr="000A7E15">
        <w:rPr>
          <w:rFonts w:ascii="Arial" w:hAnsi="Arial" w:cs="Arial"/>
          <w:bCs/>
        </w:rPr>
        <w:t>%</w:t>
      </w:r>
      <w:r w:rsidRPr="000A7E15">
        <w:rPr>
          <w:rFonts w:ascii="Arial" w:hAnsi="Arial" w:cs="Arial"/>
          <w:bCs/>
          <w:vertAlign w:val="superscript"/>
        </w:rPr>
        <w:t>(</w:t>
      </w:r>
      <w:r w:rsidR="00FA0B48" w:rsidRPr="000A7E15">
        <w:rPr>
          <w:rFonts w:ascii="Arial" w:hAnsi="Arial" w:cs="Arial"/>
          <w:bCs/>
          <w:vertAlign w:val="superscript"/>
        </w:rPr>
        <w:t>2</w:t>
      </w:r>
      <w:r w:rsidRPr="000A7E15">
        <w:rPr>
          <w:rFonts w:ascii="Arial" w:hAnsi="Arial" w:cs="Arial"/>
          <w:bCs/>
          <w:vertAlign w:val="superscript"/>
        </w:rPr>
        <w:t>)</w:t>
      </w:r>
      <w:r w:rsidRPr="000A7E15">
        <w:rPr>
          <w:rFonts w:ascii="Arial" w:hAnsi="Arial" w:cs="Arial"/>
          <w:bCs/>
        </w:rPr>
        <w:t xml:space="preserve"> (FY 2</w:t>
      </w:r>
      <w:r w:rsidR="00FA0B48" w:rsidRPr="000A7E15">
        <w:rPr>
          <w:rFonts w:ascii="Arial" w:hAnsi="Arial" w:cs="Arial"/>
          <w:bCs/>
        </w:rPr>
        <w:t>2</w:t>
      </w:r>
      <w:r w:rsidRPr="000A7E15">
        <w:rPr>
          <w:rFonts w:ascii="Arial" w:hAnsi="Arial" w:cs="Arial"/>
          <w:bCs/>
        </w:rPr>
        <w:t>/2</w:t>
      </w:r>
      <w:r w:rsidR="00FA0B48" w:rsidRPr="000A7E15">
        <w:rPr>
          <w:rFonts w:ascii="Arial" w:hAnsi="Arial" w:cs="Arial"/>
          <w:bCs/>
        </w:rPr>
        <w:t>3</w:t>
      </w:r>
      <w:r w:rsidRPr="000A7E15">
        <w:rPr>
          <w:rFonts w:ascii="Arial" w:hAnsi="Arial" w:cs="Arial"/>
          <w:bCs/>
        </w:rPr>
        <w:t xml:space="preserve">: </w:t>
      </w:r>
      <w:r w:rsidRPr="000A7E15">
        <w:rPr>
          <w:rFonts w:ascii="Arial" w:hAnsi="Arial"/>
        </w:rPr>
        <w:t>22</w:t>
      </w:r>
      <w:r w:rsidRPr="000A7E15">
        <w:rPr>
          <w:rFonts w:ascii="Arial" w:hAnsi="Arial" w:cs="Arial"/>
          <w:bCs/>
        </w:rPr>
        <w:t>%)</w:t>
      </w:r>
    </w:p>
    <w:p w14:paraId="6B13CB4D" w14:textId="31878035" w:rsidR="000F7D6F" w:rsidRPr="006D3033" w:rsidRDefault="000F7D6F" w:rsidP="000F7D6F">
      <w:pPr>
        <w:jc w:val="left"/>
        <w:rPr>
          <w:rFonts w:ascii="Arial" w:hAnsi="Arial" w:cs="Arial"/>
        </w:rPr>
      </w:pPr>
    </w:p>
    <w:p w14:paraId="716B4460" w14:textId="72B14F62" w:rsidR="000F7D6F" w:rsidRPr="006D3033" w:rsidRDefault="00E80EAE" w:rsidP="000F7D6F">
      <w:pPr>
        <w:jc w:val="left"/>
        <w:rPr>
          <w:rFonts w:ascii="Arial" w:hAnsi="Arial" w:cs="Arial"/>
          <w:b/>
          <w:bCs/>
          <w:u w:val="single"/>
        </w:rPr>
      </w:pPr>
      <w:r>
        <w:rPr>
          <w:rFonts w:ascii="Arial" w:hAnsi="Arial" w:cs="Arial"/>
          <w:b/>
          <w:bCs/>
          <w:u w:val="single"/>
        </w:rPr>
        <w:t>C</w:t>
      </w:r>
      <w:r w:rsidR="000F7D6F" w:rsidRPr="006D3033">
        <w:rPr>
          <w:rFonts w:ascii="Arial" w:hAnsi="Arial" w:cs="Arial"/>
          <w:b/>
          <w:bCs/>
          <w:u w:val="single"/>
        </w:rPr>
        <w:t>ash flow</w:t>
      </w:r>
    </w:p>
    <w:p w14:paraId="46F604A0" w14:textId="2248E572" w:rsidR="004D7BD0" w:rsidRPr="006D3033" w:rsidRDefault="004D7BD0" w:rsidP="000F7D6F">
      <w:pPr>
        <w:jc w:val="left"/>
        <w:rPr>
          <w:rFonts w:ascii="Arial" w:hAnsi="Arial" w:cs="Arial"/>
        </w:rPr>
      </w:pPr>
    </w:p>
    <w:p w14:paraId="0012A127" w14:textId="54FB1BF1" w:rsidR="000F7D6F" w:rsidRPr="006D3033" w:rsidRDefault="000F7D6F" w:rsidP="000F7D6F">
      <w:pPr>
        <w:pStyle w:val="ListParagraph"/>
        <w:numPr>
          <w:ilvl w:val="0"/>
          <w:numId w:val="25"/>
        </w:numPr>
        <w:ind w:left="360"/>
        <w:jc w:val="left"/>
        <w:rPr>
          <w:rFonts w:ascii="Arial" w:hAnsi="Arial" w:cs="Arial"/>
          <w:bCs/>
        </w:rPr>
      </w:pPr>
      <w:bookmarkStart w:id="67" w:name="_Hlk65608083"/>
      <w:r w:rsidRPr="006D3033">
        <w:rPr>
          <w:rFonts w:ascii="Arial" w:hAnsi="Arial" w:cs="Arial"/>
          <w:bCs/>
        </w:rPr>
        <w:t xml:space="preserve">Capital expenditure – targeting gross capex </w:t>
      </w:r>
      <w:r w:rsidR="00926F41" w:rsidRPr="009759B8">
        <w:rPr>
          <w:rFonts w:ascii="Arial" w:hAnsi="Arial" w:cs="Arial"/>
          <w:bCs/>
        </w:rPr>
        <w:t xml:space="preserve">to be </w:t>
      </w:r>
      <w:r w:rsidR="004914A9" w:rsidRPr="009759B8">
        <w:rPr>
          <w:rFonts w:ascii="Arial" w:hAnsi="Arial" w:cs="Arial"/>
          <w:bCs/>
        </w:rPr>
        <w:t xml:space="preserve">broadly </w:t>
      </w:r>
      <w:r w:rsidR="00926F41" w:rsidRPr="009759B8">
        <w:rPr>
          <w:rFonts w:ascii="Arial" w:hAnsi="Arial" w:cs="Arial"/>
          <w:bCs/>
        </w:rPr>
        <w:t>flat</w:t>
      </w:r>
      <w:r w:rsidR="00926F41" w:rsidRPr="006D3033">
        <w:rPr>
          <w:rFonts w:ascii="Arial" w:hAnsi="Arial" w:cs="Arial"/>
          <w:bCs/>
        </w:rPr>
        <w:t xml:space="preserve"> </w:t>
      </w:r>
      <w:r w:rsidRPr="006D3033">
        <w:rPr>
          <w:rFonts w:ascii="Arial" w:hAnsi="Arial" w:cs="Arial"/>
          <w:bCs/>
        </w:rPr>
        <w:t>(FY 2</w:t>
      </w:r>
      <w:r w:rsidR="005309B6" w:rsidRPr="006D3033">
        <w:rPr>
          <w:rFonts w:ascii="Arial" w:hAnsi="Arial" w:cs="Arial"/>
          <w:bCs/>
        </w:rPr>
        <w:t>2</w:t>
      </w:r>
      <w:r w:rsidRPr="006D3033">
        <w:rPr>
          <w:rFonts w:ascii="Arial" w:hAnsi="Arial" w:cs="Arial"/>
          <w:bCs/>
        </w:rPr>
        <w:t>/2</w:t>
      </w:r>
      <w:r w:rsidR="005309B6" w:rsidRPr="006D3033">
        <w:rPr>
          <w:rFonts w:ascii="Arial" w:hAnsi="Arial" w:cs="Arial"/>
          <w:bCs/>
        </w:rPr>
        <w:t>3</w:t>
      </w:r>
      <w:r w:rsidRPr="006D3033">
        <w:rPr>
          <w:rFonts w:ascii="Arial" w:hAnsi="Arial" w:cs="Arial"/>
          <w:bCs/>
        </w:rPr>
        <w:t>: £</w:t>
      </w:r>
      <w:r w:rsidR="000D62F1" w:rsidRPr="006D3033">
        <w:rPr>
          <w:rFonts w:ascii="Arial" w:hAnsi="Arial"/>
        </w:rPr>
        <w:t>449</w:t>
      </w:r>
      <w:r w:rsidR="000D62F1" w:rsidRPr="006D3033">
        <w:rPr>
          <w:rFonts w:ascii="Arial" w:hAnsi="Arial" w:cs="Arial"/>
          <w:bCs/>
        </w:rPr>
        <w:t>m</w:t>
      </w:r>
      <w:r w:rsidRPr="006D3033">
        <w:rPr>
          <w:rFonts w:ascii="Arial" w:hAnsi="Arial" w:cs="Arial"/>
          <w:bCs/>
        </w:rPr>
        <w:t>; c.</w:t>
      </w:r>
      <w:r w:rsidR="000D62F1" w:rsidRPr="006D3033">
        <w:rPr>
          <w:rFonts w:ascii="Arial" w:hAnsi="Arial"/>
        </w:rPr>
        <w:t>3.4</w:t>
      </w:r>
      <w:r w:rsidRPr="006D3033">
        <w:rPr>
          <w:rFonts w:ascii="Arial" w:hAnsi="Arial" w:cs="Arial"/>
          <w:bCs/>
        </w:rPr>
        <w:t>% of total sales)</w:t>
      </w:r>
      <w:bookmarkEnd w:id="67"/>
    </w:p>
    <w:p w14:paraId="1B707AEC" w14:textId="1D9A00AD" w:rsidR="008C694F" w:rsidRPr="000F7D6F" w:rsidRDefault="008C694F" w:rsidP="000F7D6F">
      <w:pPr>
        <w:pStyle w:val="ListParagraph"/>
        <w:numPr>
          <w:ilvl w:val="0"/>
          <w:numId w:val="25"/>
        </w:numPr>
        <w:ind w:left="360"/>
        <w:jc w:val="left"/>
        <w:rPr>
          <w:rFonts w:ascii="Arial" w:hAnsi="Arial" w:cs="Arial"/>
          <w:bCs/>
        </w:rPr>
      </w:pPr>
      <w:r w:rsidRPr="006D3033">
        <w:rPr>
          <w:rFonts w:ascii="Arial" w:hAnsi="Arial" w:cs="Arial"/>
          <w:bCs/>
        </w:rPr>
        <w:t xml:space="preserve">Free cash flow – </w:t>
      </w:r>
      <w:r w:rsidR="005F52F9" w:rsidRPr="006D3033">
        <w:rPr>
          <w:rFonts w:ascii="Arial" w:hAnsi="Arial" w:cs="Arial"/>
          <w:bCs/>
        </w:rPr>
        <w:t>&gt;</w:t>
      </w:r>
      <w:r w:rsidRPr="006D3033">
        <w:rPr>
          <w:rFonts w:ascii="Arial" w:hAnsi="Arial" w:cs="Arial"/>
          <w:bCs/>
        </w:rPr>
        <w:t>£</w:t>
      </w:r>
      <w:r w:rsidR="005F52F9" w:rsidRPr="006D3033">
        <w:rPr>
          <w:rFonts w:ascii="Arial" w:hAnsi="Arial" w:cs="Arial"/>
          <w:bCs/>
        </w:rPr>
        <w:t>5</w:t>
      </w:r>
      <w:r w:rsidRPr="006D3033">
        <w:rPr>
          <w:rFonts w:ascii="Arial" w:hAnsi="Arial" w:cs="Arial"/>
          <w:bCs/>
        </w:rPr>
        <w:t xml:space="preserve">00m for the year, supported by </w:t>
      </w:r>
      <w:r w:rsidR="005F7668" w:rsidRPr="006D3033">
        <w:rPr>
          <w:rFonts w:ascii="Arial" w:hAnsi="Arial" w:cs="Arial"/>
          <w:bCs/>
        </w:rPr>
        <w:t>the unwind</w:t>
      </w:r>
      <w:r w:rsidR="005F7668">
        <w:rPr>
          <w:rFonts w:ascii="Arial" w:hAnsi="Arial" w:cs="Arial"/>
          <w:bCs/>
        </w:rPr>
        <w:t xml:space="preserve"> of </w:t>
      </w:r>
      <w:r w:rsidRPr="008C694F">
        <w:rPr>
          <w:rFonts w:ascii="Arial" w:hAnsi="Arial" w:cs="Arial"/>
          <w:bCs/>
        </w:rPr>
        <w:t xml:space="preserve">working capital </w:t>
      </w:r>
      <w:r w:rsidR="005F7668">
        <w:rPr>
          <w:rFonts w:ascii="Arial" w:hAnsi="Arial" w:cs="Arial"/>
          <w:bCs/>
        </w:rPr>
        <w:t>out</w:t>
      </w:r>
      <w:r w:rsidRPr="008C694F">
        <w:rPr>
          <w:rFonts w:ascii="Arial" w:hAnsi="Arial" w:cs="Arial"/>
          <w:bCs/>
        </w:rPr>
        <w:t xml:space="preserve">flows </w:t>
      </w:r>
      <w:r w:rsidR="005F7668">
        <w:rPr>
          <w:rFonts w:ascii="Arial" w:hAnsi="Arial" w:cs="Arial"/>
          <w:bCs/>
        </w:rPr>
        <w:t>in the prior year</w:t>
      </w:r>
    </w:p>
    <w:p w14:paraId="20D909EB" w14:textId="2AC99D1E" w:rsidR="000F7D6F" w:rsidRPr="000F7D6F" w:rsidRDefault="000F7D6F" w:rsidP="000F7D6F">
      <w:pPr>
        <w:pStyle w:val="ListParagraph"/>
        <w:numPr>
          <w:ilvl w:val="0"/>
          <w:numId w:val="25"/>
        </w:numPr>
        <w:ind w:left="360"/>
        <w:jc w:val="left"/>
        <w:rPr>
          <w:rFonts w:ascii="Arial" w:hAnsi="Arial" w:cs="Arial"/>
          <w:bCs/>
        </w:rPr>
      </w:pPr>
      <w:bookmarkStart w:id="68" w:name="_Hlk119491684"/>
      <w:r w:rsidRPr="000F7D6F">
        <w:rPr>
          <w:rFonts w:ascii="Arial" w:hAnsi="Arial" w:cs="Arial"/>
          <w:bCs/>
        </w:rPr>
        <w:t xml:space="preserve">Share buybacks </w:t>
      </w:r>
      <w:r w:rsidRPr="00382AFE">
        <w:rPr>
          <w:rFonts w:ascii="Arial" w:hAnsi="Arial" w:cs="Arial"/>
          <w:bCs/>
        </w:rPr>
        <w:t>– c.£</w:t>
      </w:r>
      <w:r w:rsidR="002A2BE6" w:rsidRPr="00CD09A1">
        <w:rPr>
          <w:rFonts w:ascii="Arial" w:hAnsi="Arial"/>
        </w:rPr>
        <w:t>1</w:t>
      </w:r>
      <w:r w:rsidR="0055115B" w:rsidRPr="00CD09A1">
        <w:rPr>
          <w:rFonts w:ascii="Arial" w:hAnsi="Arial"/>
        </w:rPr>
        <w:t>0</w:t>
      </w:r>
      <w:r w:rsidR="00581B13" w:rsidRPr="00CD09A1">
        <w:rPr>
          <w:rFonts w:ascii="Arial" w:hAnsi="Arial"/>
        </w:rPr>
        <w:t>5</w:t>
      </w:r>
      <w:r w:rsidRPr="00382AFE">
        <w:rPr>
          <w:rFonts w:ascii="Arial" w:hAnsi="Arial" w:cs="Arial"/>
          <w:bCs/>
        </w:rPr>
        <w:t xml:space="preserve">m </w:t>
      </w:r>
      <w:r w:rsidR="003B0E1D" w:rsidRPr="00382AFE">
        <w:rPr>
          <w:rFonts w:ascii="Arial" w:hAnsi="Arial" w:cs="Arial"/>
          <w:bCs/>
        </w:rPr>
        <w:t>outflow</w:t>
      </w:r>
      <w:r w:rsidR="003B0E1D" w:rsidRPr="002E6573">
        <w:rPr>
          <w:rFonts w:ascii="Arial" w:hAnsi="Arial" w:cs="Arial"/>
          <w:bCs/>
        </w:rPr>
        <w:t xml:space="preserve"> for completion of current £300m share buyback programme</w:t>
      </w:r>
    </w:p>
    <w:bookmarkEnd w:id="68"/>
    <w:p w14:paraId="78A3633E" w14:textId="4B4F1ADB" w:rsidR="000F7D6F" w:rsidRPr="000F7D6F" w:rsidRDefault="000F7D6F" w:rsidP="000F7D6F">
      <w:pPr>
        <w:pStyle w:val="ListParagraph"/>
        <w:numPr>
          <w:ilvl w:val="0"/>
          <w:numId w:val="25"/>
        </w:numPr>
        <w:ind w:left="360"/>
        <w:jc w:val="left"/>
        <w:rPr>
          <w:rFonts w:ascii="Arial" w:hAnsi="Arial" w:cs="Arial"/>
          <w:bCs/>
        </w:rPr>
      </w:pPr>
      <w:r w:rsidRPr="000F7D6F">
        <w:rPr>
          <w:rFonts w:ascii="Arial" w:hAnsi="Arial" w:cs="Arial"/>
          <w:bCs/>
        </w:rPr>
        <w:t xml:space="preserve">Dividends – </w:t>
      </w:r>
      <w:r w:rsidR="00A24CAB" w:rsidRPr="00A24CAB">
        <w:rPr>
          <w:rFonts w:ascii="Arial" w:hAnsi="Arial" w:cs="Arial"/>
          <w:bCs/>
        </w:rPr>
        <w:t>dividend policy target cover range of 2.25 to 2.75 times, based on adjusted basic earnings per share</w:t>
      </w:r>
    </w:p>
    <w:p w14:paraId="1E366414" w14:textId="4CC4DD75" w:rsidR="008966E7" w:rsidRPr="00E26FD0" w:rsidRDefault="008966E7" w:rsidP="008966E7">
      <w:pPr>
        <w:jc w:val="left"/>
        <w:rPr>
          <w:rFonts w:ascii="Arial" w:hAnsi="Arial" w:cs="Arial"/>
        </w:rPr>
      </w:pPr>
    </w:p>
    <w:p w14:paraId="27AA07DE" w14:textId="6B4BDC58" w:rsidR="008966E7" w:rsidRPr="00313D52" w:rsidRDefault="008966E7" w:rsidP="008966E7">
      <w:pPr>
        <w:jc w:val="left"/>
        <w:rPr>
          <w:sz w:val="18"/>
          <w:szCs w:val="18"/>
        </w:rPr>
      </w:pPr>
      <w:r w:rsidRPr="00313D52">
        <w:rPr>
          <w:rFonts w:ascii="Arial" w:hAnsi="Arial" w:cs="Arial"/>
          <w:bCs/>
          <w:sz w:val="18"/>
          <w:szCs w:val="18"/>
          <w:vertAlign w:val="superscript"/>
        </w:rPr>
        <w:t xml:space="preserve">(1) </w:t>
      </w:r>
      <w:r w:rsidRPr="00313D52">
        <w:rPr>
          <w:rFonts w:ascii="Arial" w:hAnsi="Arial" w:cs="Arial"/>
          <w:sz w:val="18"/>
          <w:szCs w:val="18"/>
        </w:rPr>
        <w:t>Guidance assumes current exchange rates</w:t>
      </w:r>
      <w:r w:rsidR="002E7ED9" w:rsidRPr="00313D52">
        <w:rPr>
          <w:rFonts w:ascii="Arial" w:hAnsi="Arial" w:cs="Arial"/>
          <w:sz w:val="18"/>
          <w:szCs w:val="18"/>
        </w:rPr>
        <w:t xml:space="preserve">. According to Company-compiled consensus estimates as of </w:t>
      </w:r>
      <w:r w:rsidR="00313D52" w:rsidRPr="005B1D34">
        <w:rPr>
          <w:rFonts w:ascii="Arial" w:hAnsi="Arial"/>
          <w:sz w:val="18"/>
        </w:rPr>
        <w:t>14</w:t>
      </w:r>
      <w:r w:rsidR="002E7ED9" w:rsidRPr="00313D52">
        <w:rPr>
          <w:rFonts w:ascii="Arial" w:hAnsi="Arial" w:cs="Arial"/>
          <w:sz w:val="18"/>
          <w:szCs w:val="18"/>
        </w:rPr>
        <w:t xml:space="preserve"> March 2023, the current consensus of sell-side analyst expectations for FY 23/24 adjusted pre-tax profit is £</w:t>
      </w:r>
      <w:r w:rsidR="00332FC0" w:rsidRPr="005B1D34">
        <w:rPr>
          <w:rFonts w:ascii="Arial" w:hAnsi="Arial"/>
          <w:sz w:val="18"/>
        </w:rPr>
        <w:t>63</w:t>
      </w:r>
      <w:r w:rsidR="00313D52" w:rsidRPr="005B1D34">
        <w:rPr>
          <w:rFonts w:ascii="Arial" w:hAnsi="Arial"/>
          <w:sz w:val="18"/>
        </w:rPr>
        <w:t>3</w:t>
      </w:r>
      <w:r w:rsidR="002E7ED9" w:rsidRPr="00313D52">
        <w:rPr>
          <w:rFonts w:ascii="Arial" w:hAnsi="Arial" w:cs="Arial"/>
          <w:sz w:val="18"/>
          <w:szCs w:val="18"/>
        </w:rPr>
        <w:t>m.</w:t>
      </w:r>
    </w:p>
    <w:p w14:paraId="40FC96C1" w14:textId="6904E495" w:rsidR="008966E7" w:rsidRPr="00F6748E" w:rsidRDefault="008966E7" w:rsidP="008966E7">
      <w:pPr>
        <w:jc w:val="left"/>
        <w:rPr>
          <w:rFonts w:ascii="Arial" w:hAnsi="Arial" w:cs="Arial"/>
          <w:sz w:val="18"/>
          <w:szCs w:val="18"/>
        </w:rPr>
      </w:pPr>
      <w:r w:rsidRPr="00313D52">
        <w:rPr>
          <w:rFonts w:ascii="Arial" w:hAnsi="Arial" w:cs="Arial"/>
          <w:bCs/>
          <w:sz w:val="18"/>
          <w:szCs w:val="18"/>
          <w:vertAlign w:val="superscript"/>
        </w:rPr>
        <w:t xml:space="preserve">(2) </w:t>
      </w:r>
      <w:r w:rsidRPr="00313D52">
        <w:rPr>
          <w:rFonts w:ascii="Arial" w:hAnsi="Arial" w:cs="Arial"/>
          <w:sz w:val="18"/>
          <w:szCs w:val="18"/>
        </w:rPr>
        <w:t>Subject to the blend of profit within the Group’s various jurisdictions</w:t>
      </w:r>
      <w:r w:rsidR="00A435EA" w:rsidRPr="00313D52">
        <w:rPr>
          <w:rFonts w:ascii="Arial" w:hAnsi="Arial" w:cs="Arial"/>
          <w:sz w:val="18"/>
          <w:szCs w:val="18"/>
        </w:rPr>
        <w:t>.</w:t>
      </w:r>
    </w:p>
    <w:p w14:paraId="3530526A" w14:textId="77777777" w:rsidR="008966E7" w:rsidRPr="00AB34F3" w:rsidRDefault="008966E7" w:rsidP="008966E7">
      <w:pPr>
        <w:jc w:val="left"/>
        <w:rPr>
          <w:rFonts w:ascii="Arial" w:hAnsi="Arial" w:cs="Arial"/>
          <w:b/>
          <w:bCs/>
        </w:rPr>
      </w:pPr>
    </w:p>
    <w:p w14:paraId="19D6805B" w14:textId="77777777" w:rsidR="008966E7" w:rsidRPr="00AB34F3" w:rsidRDefault="008966E7" w:rsidP="008966E7">
      <w:pPr>
        <w:jc w:val="left"/>
        <w:rPr>
          <w:rFonts w:ascii="Arial" w:hAnsi="Arial" w:cs="Arial"/>
          <w:b/>
          <w:bCs/>
        </w:rPr>
      </w:pPr>
    </w:p>
    <w:p w14:paraId="1B67F7B7" w14:textId="54D55CFA" w:rsidR="008966E7" w:rsidRDefault="008966E7" w:rsidP="008966E7">
      <w:pPr>
        <w:jc w:val="left"/>
        <w:rPr>
          <w:rFonts w:ascii="Arial" w:hAnsi="Arial" w:cs="Arial"/>
        </w:rPr>
      </w:pPr>
      <w:r>
        <w:rPr>
          <w:rFonts w:ascii="Arial" w:hAnsi="Arial" w:cs="Arial"/>
        </w:rPr>
        <w:br w:type="page"/>
      </w:r>
    </w:p>
    <w:p w14:paraId="3AB9153F" w14:textId="1BA71D5E" w:rsidR="00CC3104" w:rsidRPr="00EB4495" w:rsidRDefault="00CC3104" w:rsidP="00CC3104">
      <w:pPr>
        <w:pBdr>
          <w:top w:val="single" w:sz="4" w:space="1" w:color="auto"/>
          <w:left w:val="single" w:sz="4" w:space="4" w:color="auto"/>
          <w:bottom w:val="single" w:sz="4" w:space="1" w:color="auto"/>
          <w:right w:val="single" w:sz="4" w:space="4" w:color="auto"/>
        </w:pBdr>
        <w:shd w:val="clear" w:color="auto" w:fill="0070C0"/>
        <w:jc w:val="left"/>
        <w:rPr>
          <w:rFonts w:ascii="Arial" w:hAnsi="Arial" w:cs="Arial"/>
          <w:color w:val="FFFFFF" w:themeColor="background1"/>
        </w:rPr>
      </w:pPr>
      <w:r w:rsidRPr="00EB4495">
        <w:rPr>
          <w:rFonts w:ascii="Arial" w:hAnsi="Arial" w:cs="Arial"/>
          <w:b/>
          <w:bCs/>
          <w:color w:val="FFFFFF" w:themeColor="background1"/>
        </w:rPr>
        <w:lastRenderedPageBreak/>
        <w:t xml:space="preserve">Section 5: </w:t>
      </w:r>
      <w:r w:rsidR="004760E0">
        <w:rPr>
          <w:rFonts w:ascii="Arial" w:hAnsi="Arial" w:cs="Arial"/>
          <w:b/>
          <w:bCs/>
          <w:color w:val="FFFFFF" w:themeColor="background1"/>
        </w:rPr>
        <w:t>FY</w:t>
      </w:r>
      <w:r w:rsidR="004760E0" w:rsidRPr="00EB4495">
        <w:rPr>
          <w:rFonts w:ascii="Arial" w:hAnsi="Arial" w:cs="Arial"/>
          <w:b/>
          <w:bCs/>
          <w:color w:val="FFFFFF" w:themeColor="background1"/>
        </w:rPr>
        <w:t xml:space="preserve"> </w:t>
      </w:r>
      <w:r w:rsidRPr="00EB4495">
        <w:rPr>
          <w:rFonts w:ascii="Arial" w:hAnsi="Arial" w:cs="Arial"/>
          <w:b/>
          <w:bCs/>
          <w:color w:val="FFFFFF" w:themeColor="background1"/>
        </w:rPr>
        <w:t>202</w:t>
      </w:r>
      <w:r>
        <w:rPr>
          <w:rFonts w:ascii="Arial" w:hAnsi="Arial" w:cs="Arial"/>
          <w:b/>
          <w:bCs/>
          <w:color w:val="FFFFFF" w:themeColor="background1"/>
        </w:rPr>
        <w:t>2</w:t>
      </w:r>
      <w:r w:rsidRPr="00EB4495">
        <w:rPr>
          <w:rFonts w:ascii="Arial" w:hAnsi="Arial" w:cs="Arial"/>
          <w:b/>
          <w:bCs/>
          <w:color w:val="FFFFFF" w:themeColor="background1"/>
        </w:rPr>
        <w:t>/2</w:t>
      </w:r>
      <w:r>
        <w:rPr>
          <w:rFonts w:ascii="Arial" w:hAnsi="Arial" w:cs="Arial"/>
          <w:b/>
          <w:bCs/>
          <w:color w:val="FFFFFF" w:themeColor="background1"/>
        </w:rPr>
        <w:t>3</w:t>
      </w:r>
      <w:r w:rsidRPr="00EB4495">
        <w:rPr>
          <w:rFonts w:ascii="Arial" w:hAnsi="Arial" w:cs="Arial"/>
          <w:b/>
          <w:bCs/>
          <w:color w:val="FFFFFF" w:themeColor="background1"/>
        </w:rPr>
        <w:t xml:space="preserve"> Financial revie</w:t>
      </w:r>
      <w:r>
        <w:rPr>
          <w:rFonts w:ascii="Arial" w:hAnsi="Arial" w:cs="Arial"/>
          <w:b/>
          <w:bCs/>
          <w:color w:val="FFFFFF" w:themeColor="background1"/>
        </w:rPr>
        <w:t>w</w:t>
      </w:r>
    </w:p>
    <w:p w14:paraId="6970F397" w14:textId="77777777" w:rsidR="00CC3104" w:rsidRPr="00EB4495" w:rsidRDefault="00CC3104" w:rsidP="00CC3104">
      <w:pPr>
        <w:jc w:val="left"/>
        <w:rPr>
          <w:rFonts w:ascii="Arial" w:hAnsi="Arial" w:cs="Arial"/>
        </w:rPr>
      </w:pPr>
    </w:p>
    <w:p w14:paraId="2D3DE2AA" w14:textId="32B913B6" w:rsidR="00CC3104" w:rsidRDefault="00CC3104" w:rsidP="00CC3104">
      <w:pPr>
        <w:jc w:val="left"/>
        <w:rPr>
          <w:rFonts w:ascii="Arial" w:hAnsi="Arial" w:cs="Arial"/>
          <w:szCs w:val="24"/>
        </w:rPr>
      </w:pPr>
      <w:r w:rsidRPr="00A845B7">
        <w:rPr>
          <w:rFonts w:ascii="Arial" w:hAnsi="Arial" w:cs="Arial"/>
        </w:rPr>
        <w:t xml:space="preserve">A summary of the reported financial results for the </w:t>
      </w:r>
      <w:r w:rsidR="00B83153">
        <w:rPr>
          <w:rFonts w:ascii="Arial" w:hAnsi="Arial" w:cs="Arial"/>
        </w:rPr>
        <w:t xml:space="preserve">12 </w:t>
      </w:r>
      <w:r>
        <w:rPr>
          <w:rFonts w:ascii="Arial" w:hAnsi="Arial" w:cs="Arial"/>
        </w:rPr>
        <w:t xml:space="preserve">months ended 31 </w:t>
      </w:r>
      <w:r w:rsidR="00BE1B80">
        <w:rPr>
          <w:rFonts w:ascii="Arial" w:hAnsi="Arial" w:cs="Arial"/>
        </w:rPr>
        <w:t xml:space="preserve">January </w:t>
      </w:r>
      <w:r w:rsidRPr="00A845B7">
        <w:rPr>
          <w:rFonts w:ascii="Arial" w:hAnsi="Arial" w:cs="Arial"/>
        </w:rPr>
        <w:t>20</w:t>
      </w:r>
      <w:r>
        <w:rPr>
          <w:rFonts w:ascii="Arial" w:hAnsi="Arial" w:cs="Arial"/>
        </w:rPr>
        <w:t>2</w:t>
      </w:r>
      <w:r w:rsidR="00BE1B80">
        <w:rPr>
          <w:rFonts w:ascii="Arial" w:hAnsi="Arial" w:cs="Arial"/>
        </w:rPr>
        <w:t>3</w:t>
      </w:r>
      <w:r w:rsidRPr="00A845B7">
        <w:rPr>
          <w:rFonts w:ascii="Arial" w:hAnsi="Arial" w:cs="Arial"/>
        </w:rPr>
        <w:t xml:space="preserve"> is set out below</w:t>
      </w:r>
      <w:r>
        <w:rPr>
          <w:rFonts w:ascii="Arial" w:hAnsi="Arial" w:cs="Arial"/>
        </w:rPr>
        <w:t>.</w:t>
      </w:r>
    </w:p>
    <w:p w14:paraId="1BD8A3EE" w14:textId="77777777" w:rsidR="00C46B98" w:rsidRDefault="00C46B98" w:rsidP="00CC3104">
      <w:pPr>
        <w:jc w:val="left"/>
        <w:rPr>
          <w:rFonts w:ascii="Arial" w:hAnsi="Arial" w:cs="Arial"/>
          <w:szCs w:val="24"/>
        </w:rPr>
      </w:pPr>
    </w:p>
    <w:tbl>
      <w:tblPr>
        <w:tblStyle w:val="TableGrid"/>
        <w:tblW w:w="10086" w:type="dxa"/>
        <w:tblLayout w:type="fixed"/>
        <w:tblLook w:val="04A0" w:firstRow="1" w:lastRow="0" w:firstColumn="1" w:lastColumn="0" w:noHBand="0" w:noVBand="1"/>
      </w:tblPr>
      <w:tblGrid>
        <w:gridCol w:w="10086"/>
      </w:tblGrid>
      <w:tr w:rsidR="00437535" w:rsidRPr="00EB4495" w14:paraId="7754F32B" w14:textId="77777777" w:rsidTr="00D7726B">
        <w:tc>
          <w:tcPr>
            <w:tcW w:w="10086" w:type="dxa"/>
          </w:tcPr>
          <w:tbl>
            <w:tblPr>
              <w:tblStyle w:val="TableGrid"/>
              <w:tblW w:w="10006" w:type="dxa"/>
              <w:tblLayout w:type="fixed"/>
              <w:tblLook w:val="04A0" w:firstRow="1" w:lastRow="0" w:firstColumn="1" w:lastColumn="0" w:noHBand="0" w:noVBand="1"/>
            </w:tblPr>
            <w:tblGrid>
              <w:gridCol w:w="3458"/>
              <w:gridCol w:w="1327"/>
              <w:gridCol w:w="1327"/>
              <w:gridCol w:w="1298"/>
              <w:gridCol w:w="1298"/>
              <w:gridCol w:w="1298"/>
            </w:tblGrid>
            <w:tr w:rsidR="00437535" w:rsidRPr="00EB4495" w14:paraId="6C8D4D74" w14:textId="77777777" w:rsidTr="00D7726B">
              <w:trPr>
                <w:trHeight w:val="539"/>
              </w:trPr>
              <w:tc>
                <w:tcPr>
                  <w:tcW w:w="3458" w:type="dxa"/>
                  <w:tcBorders>
                    <w:top w:val="nil"/>
                    <w:left w:val="nil"/>
                    <w:bottom w:val="nil"/>
                    <w:right w:val="nil"/>
                  </w:tcBorders>
                  <w:vAlign w:val="center"/>
                </w:tcPr>
                <w:p w14:paraId="31429F5C" w14:textId="77777777" w:rsidR="00437535" w:rsidRPr="00EB4495" w:rsidRDefault="00437535" w:rsidP="00D7726B">
                  <w:pPr>
                    <w:jc w:val="left"/>
                    <w:rPr>
                      <w:rFonts w:ascii="Arial" w:hAnsi="Arial" w:cs="Arial"/>
                      <w:sz w:val="22"/>
                      <w:szCs w:val="22"/>
                    </w:rPr>
                  </w:pPr>
                  <w:r w:rsidRPr="00EB4495">
                    <w:rPr>
                      <w:rFonts w:ascii="Arial" w:hAnsi="Arial" w:cs="Arial"/>
                      <w:b/>
                      <w:bCs/>
                      <w:sz w:val="22"/>
                      <w:szCs w:val="22"/>
                    </w:rPr>
                    <w:t>Financial summary</w:t>
                  </w:r>
                </w:p>
              </w:tc>
              <w:tc>
                <w:tcPr>
                  <w:tcW w:w="1327" w:type="dxa"/>
                  <w:tcBorders>
                    <w:top w:val="nil"/>
                    <w:left w:val="nil"/>
                    <w:bottom w:val="nil"/>
                    <w:right w:val="nil"/>
                  </w:tcBorders>
                  <w:vAlign w:val="center"/>
                </w:tcPr>
                <w:p w14:paraId="63E84A03" w14:textId="77777777" w:rsidR="00437535" w:rsidRPr="00EB4495" w:rsidRDefault="00437535" w:rsidP="00D7726B">
                  <w:pPr>
                    <w:jc w:val="right"/>
                    <w:rPr>
                      <w:rFonts w:ascii="Arial" w:hAnsi="Arial" w:cs="Arial"/>
                      <w:sz w:val="22"/>
                      <w:szCs w:val="22"/>
                    </w:rPr>
                  </w:pPr>
                </w:p>
              </w:tc>
              <w:tc>
                <w:tcPr>
                  <w:tcW w:w="1327" w:type="dxa"/>
                  <w:tcBorders>
                    <w:top w:val="nil"/>
                    <w:left w:val="nil"/>
                    <w:bottom w:val="nil"/>
                    <w:right w:val="nil"/>
                  </w:tcBorders>
                  <w:vAlign w:val="center"/>
                </w:tcPr>
                <w:p w14:paraId="616C3AC4" w14:textId="77777777" w:rsidR="00437535" w:rsidRPr="00EB4495" w:rsidRDefault="00437535" w:rsidP="00D7726B">
                  <w:pPr>
                    <w:jc w:val="right"/>
                    <w:rPr>
                      <w:rFonts w:ascii="Arial" w:hAnsi="Arial" w:cs="Arial"/>
                      <w:sz w:val="22"/>
                      <w:szCs w:val="22"/>
                    </w:rPr>
                  </w:pPr>
                </w:p>
              </w:tc>
              <w:tc>
                <w:tcPr>
                  <w:tcW w:w="1298" w:type="dxa"/>
                  <w:tcBorders>
                    <w:top w:val="nil"/>
                    <w:left w:val="nil"/>
                    <w:bottom w:val="single" w:sz="4" w:space="0" w:color="auto"/>
                    <w:right w:val="nil"/>
                  </w:tcBorders>
                  <w:vAlign w:val="center"/>
                </w:tcPr>
                <w:p w14:paraId="10175DB4" w14:textId="77777777" w:rsidR="00437535" w:rsidRPr="00EB4495" w:rsidRDefault="00437535" w:rsidP="00D7726B">
                  <w:pPr>
                    <w:jc w:val="right"/>
                    <w:rPr>
                      <w:rFonts w:ascii="Arial" w:hAnsi="Arial" w:cs="Arial"/>
                      <w:sz w:val="22"/>
                      <w:szCs w:val="22"/>
                    </w:rPr>
                  </w:pPr>
                  <w:r w:rsidRPr="00EB4495">
                    <w:rPr>
                      <w:rFonts w:ascii="Arial" w:hAnsi="Arial" w:cs="Arial"/>
                      <w:b/>
                      <w:bCs/>
                      <w:sz w:val="22"/>
                      <w:szCs w:val="22"/>
                    </w:rPr>
                    <w:t>% Total Change</w:t>
                  </w:r>
                </w:p>
              </w:tc>
              <w:tc>
                <w:tcPr>
                  <w:tcW w:w="1298" w:type="dxa"/>
                  <w:tcBorders>
                    <w:top w:val="nil"/>
                    <w:left w:val="nil"/>
                    <w:bottom w:val="single" w:sz="4" w:space="0" w:color="auto"/>
                    <w:right w:val="nil"/>
                  </w:tcBorders>
                  <w:vAlign w:val="center"/>
                </w:tcPr>
                <w:p w14:paraId="6B727677" w14:textId="77777777" w:rsidR="00437535" w:rsidRPr="00EB4495" w:rsidRDefault="00437535" w:rsidP="00D7726B">
                  <w:pPr>
                    <w:jc w:val="right"/>
                    <w:rPr>
                      <w:rFonts w:ascii="Arial" w:hAnsi="Arial" w:cs="Arial"/>
                      <w:sz w:val="22"/>
                      <w:szCs w:val="22"/>
                    </w:rPr>
                  </w:pPr>
                  <w:r w:rsidRPr="00EB4495">
                    <w:rPr>
                      <w:rFonts w:ascii="Arial" w:hAnsi="Arial" w:cs="Arial"/>
                      <w:b/>
                      <w:bCs/>
                      <w:sz w:val="22"/>
                      <w:szCs w:val="22"/>
                    </w:rPr>
                    <w:t>% Total Change</w:t>
                  </w:r>
                </w:p>
              </w:tc>
              <w:tc>
                <w:tcPr>
                  <w:tcW w:w="1298" w:type="dxa"/>
                  <w:tcBorders>
                    <w:top w:val="nil"/>
                    <w:left w:val="nil"/>
                    <w:bottom w:val="single" w:sz="4" w:space="0" w:color="auto"/>
                    <w:right w:val="nil"/>
                  </w:tcBorders>
                  <w:vAlign w:val="center"/>
                </w:tcPr>
                <w:p w14:paraId="2137964A" w14:textId="4ECACE2C" w:rsidR="00437535" w:rsidRPr="00EB4495" w:rsidRDefault="00437535" w:rsidP="00D7726B">
                  <w:pPr>
                    <w:jc w:val="right"/>
                    <w:rPr>
                      <w:rFonts w:ascii="Arial" w:hAnsi="Arial" w:cs="Arial"/>
                      <w:sz w:val="22"/>
                      <w:szCs w:val="22"/>
                    </w:rPr>
                  </w:pPr>
                  <w:r w:rsidRPr="00EB4495">
                    <w:rPr>
                      <w:rFonts w:ascii="Arial" w:hAnsi="Arial" w:cs="Arial"/>
                      <w:b/>
                      <w:bCs/>
                      <w:sz w:val="22"/>
                      <w:szCs w:val="22"/>
                    </w:rPr>
                    <w:t>% LFL Change</w:t>
                  </w:r>
                </w:p>
              </w:tc>
            </w:tr>
            <w:tr w:rsidR="00437535" w:rsidRPr="00EB4495" w14:paraId="4C6A95F1" w14:textId="77777777" w:rsidTr="00D7726B">
              <w:trPr>
                <w:trHeight w:val="539"/>
              </w:trPr>
              <w:tc>
                <w:tcPr>
                  <w:tcW w:w="3458" w:type="dxa"/>
                  <w:tcBorders>
                    <w:top w:val="nil"/>
                    <w:left w:val="nil"/>
                    <w:bottom w:val="single" w:sz="4" w:space="0" w:color="auto"/>
                    <w:right w:val="nil"/>
                  </w:tcBorders>
                  <w:vAlign w:val="center"/>
                </w:tcPr>
                <w:p w14:paraId="03E13A4E" w14:textId="77777777" w:rsidR="00437535" w:rsidRPr="00EB4495" w:rsidRDefault="00437535" w:rsidP="00D7726B">
                  <w:pPr>
                    <w:jc w:val="left"/>
                    <w:rPr>
                      <w:rFonts w:ascii="Arial" w:hAnsi="Arial" w:cs="Arial"/>
                      <w:sz w:val="22"/>
                      <w:szCs w:val="22"/>
                    </w:rPr>
                  </w:pPr>
                </w:p>
              </w:tc>
              <w:tc>
                <w:tcPr>
                  <w:tcW w:w="1327" w:type="dxa"/>
                  <w:tcBorders>
                    <w:top w:val="nil"/>
                    <w:left w:val="nil"/>
                    <w:bottom w:val="single" w:sz="4" w:space="0" w:color="auto"/>
                    <w:right w:val="nil"/>
                  </w:tcBorders>
                  <w:vAlign w:val="center"/>
                </w:tcPr>
                <w:p w14:paraId="728669D2" w14:textId="77777777" w:rsidR="00437535" w:rsidRPr="00EB4495" w:rsidRDefault="00437535" w:rsidP="00D7726B">
                  <w:pPr>
                    <w:jc w:val="right"/>
                    <w:rPr>
                      <w:rFonts w:ascii="Arial" w:hAnsi="Arial" w:cs="Arial"/>
                      <w:b/>
                      <w:bCs/>
                      <w:sz w:val="22"/>
                      <w:szCs w:val="22"/>
                    </w:rPr>
                  </w:pPr>
                  <w:r w:rsidRPr="00EB4495">
                    <w:rPr>
                      <w:rFonts w:ascii="Arial" w:hAnsi="Arial" w:cs="Arial"/>
                      <w:b/>
                      <w:bCs/>
                      <w:sz w:val="22"/>
                      <w:szCs w:val="22"/>
                    </w:rPr>
                    <w:t>202</w:t>
                  </w:r>
                  <w:r>
                    <w:rPr>
                      <w:rFonts w:ascii="Arial" w:hAnsi="Arial" w:cs="Arial"/>
                      <w:b/>
                      <w:bCs/>
                      <w:sz w:val="22"/>
                      <w:szCs w:val="22"/>
                    </w:rPr>
                    <w:t>2</w:t>
                  </w:r>
                  <w:r w:rsidRPr="00EB4495">
                    <w:rPr>
                      <w:rFonts w:ascii="Arial" w:hAnsi="Arial" w:cs="Arial"/>
                      <w:b/>
                      <w:bCs/>
                      <w:sz w:val="22"/>
                      <w:szCs w:val="22"/>
                    </w:rPr>
                    <w:t>/2</w:t>
                  </w:r>
                  <w:r>
                    <w:rPr>
                      <w:rFonts w:ascii="Arial" w:hAnsi="Arial" w:cs="Arial"/>
                      <w:b/>
                      <w:bCs/>
                      <w:sz w:val="22"/>
                      <w:szCs w:val="22"/>
                    </w:rPr>
                    <w:t>3</w:t>
                  </w:r>
                </w:p>
              </w:tc>
              <w:tc>
                <w:tcPr>
                  <w:tcW w:w="1327" w:type="dxa"/>
                  <w:tcBorders>
                    <w:top w:val="nil"/>
                    <w:left w:val="nil"/>
                    <w:bottom w:val="single" w:sz="4" w:space="0" w:color="auto"/>
                    <w:right w:val="nil"/>
                  </w:tcBorders>
                  <w:vAlign w:val="center"/>
                </w:tcPr>
                <w:p w14:paraId="299692EE" w14:textId="77777777" w:rsidR="00437535" w:rsidRPr="00EB4495" w:rsidRDefault="00437535" w:rsidP="00D7726B">
                  <w:pPr>
                    <w:jc w:val="right"/>
                    <w:rPr>
                      <w:rFonts w:ascii="Arial" w:hAnsi="Arial" w:cs="Arial"/>
                      <w:b/>
                      <w:bCs/>
                      <w:sz w:val="22"/>
                      <w:szCs w:val="22"/>
                    </w:rPr>
                  </w:pPr>
                  <w:r w:rsidRPr="00EB4495">
                    <w:rPr>
                      <w:rFonts w:ascii="Arial" w:hAnsi="Arial" w:cs="Arial"/>
                      <w:b/>
                      <w:bCs/>
                      <w:sz w:val="22"/>
                      <w:szCs w:val="22"/>
                    </w:rPr>
                    <w:t>202</w:t>
                  </w:r>
                  <w:r>
                    <w:rPr>
                      <w:rFonts w:ascii="Arial" w:hAnsi="Arial" w:cs="Arial"/>
                      <w:b/>
                      <w:bCs/>
                      <w:sz w:val="22"/>
                      <w:szCs w:val="22"/>
                    </w:rPr>
                    <w:t>1</w:t>
                  </w:r>
                  <w:r w:rsidRPr="00EB4495">
                    <w:rPr>
                      <w:rFonts w:ascii="Arial" w:hAnsi="Arial" w:cs="Arial"/>
                      <w:b/>
                      <w:bCs/>
                      <w:sz w:val="22"/>
                      <w:szCs w:val="22"/>
                    </w:rPr>
                    <w:t>/2</w:t>
                  </w:r>
                  <w:r>
                    <w:rPr>
                      <w:rFonts w:ascii="Arial" w:hAnsi="Arial" w:cs="Arial"/>
                      <w:b/>
                      <w:bCs/>
                      <w:sz w:val="22"/>
                      <w:szCs w:val="22"/>
                    </w:rPr>
                    <w:t>2</w:t>
                  </w:r>
                </w:p>
              </w:tc>
              <w:tc>
                <w:tcPr>
                  <w:tcW w:w="1298" w:type="dxa"/>
                  <w:tcBorders>
                    <w:top w:val="single" w:sz="4" w:space="0" w:color="auto"/>
                    <w:left w:val="nil"/>
                    <w:bottom w:val="single" w:sz="4" w:space="0" w:color="auto"/>
                    <w:right w:val="nil"/>
                  </w:tcBorders>
                  <w:vAlign w:val="center"/>
                </w:tcPr>
                <w:p w14:paraId="108F6ED5" w14:textId="77777777" w:rsidR="00437535" w:rsidRPr="00EB4495" w:rsidRDefault="00437535" w:rsidP="00D7726B">
                  <w:pPr>
                    <w:jc w:val="right"/>
                    <w:rPr>
                      <w:rFonts w:ascii="Arial" w:hAnsi="Arial" w:cs="Arial"/>
                      <w:b/>
                      <w:bCs/>
                      <w:sz w:val="22"/>
                      <w:szCs w:val="22"/>
                    </w:rPr>
                  </w:pPr>
                  <w:r w:rsidRPr="00EB4495">
                    <w:rPr>
                      <w:rFonts w:ascii="Arial" w:hAnsi="Arial" w:cs="Arial"/>
                      <w:b/>
                      <w:bCs/>
                      <w:sz w:val="22"/>
                      <w:szCs w:val="22"/>
                    </w:rPr>
                    <w:t>Reported</w:t>
                  </w:r>
                </w:p>
              </w:tc>
              <w:tc>
                <w:tcPr>
                  <w:tcW w:w="1298" w:type="dxa"/>
                  <w:tcBorders>
                    <w:top w:val="single" w:sz="4" w:space="0" w:color="auto"/>
                    <w:left w:val="nil"/>
                    <w:bottom w:val="single" w:sz="4" w:space="0" w:color="auto"/>
                    <w:right w:val="nil"/>
                  </w:tcBorders>
                  <w:vAlign w:val="center"/>
                </w:tcPr>
                <w:p w14:paraId="699BA7F6" w14:textId="6A7772AC" w:rsidR="00437535" w:rsidRPr="00EB4495" w:rsidRDefault="00437535" w:rsidP="00D7726B">
                  <w:pPr>
                    <w:jc w:val="right"/>
                    <w:rPr>
                      <w:rFonts w:ascii="Arial" w:hAnsi="Arial" w:cs="Arial"/>
                      <w:b/>
                      <w:bCs/>
                      <w:sz w:val="22"/>
                      <w:szCs w:val="22"/>
                    </w:rPr>
                  </w:pPr>
                  <w:r w:rsidRPr="00EB4495">
                    <w:rPr>
                      <w:rFonts w:ascii="Arial" w:hAnsi="Arial" w:cs="Arial"/>
                      <w:b/>
                      <w:bCs/>
                      <w:sz w:val="22"/>
                      <w:szCs w:val="22"/>
                    </w:rPr>
                    <w:t>Constant currency</w:t>
                  </w:r>
                </w:p>
              </w:tc>
              <w:tc>
                <w:tcPr>
                  <w:tcW w:w="1298" w:type="dxa"/>
                  <w:tcBorders>
                    <w:top w:val="single" w:sz="4" w:space="0" w:color="auto"/>
                    <w:left w:val="nil"/>
                    <w:bottom w:val="single" w:sz="4" w:space="0" w:color="auto"/>
                    <w:right w:val="nil"/>
                  </w:tcBorders>
                  <w:vAlign w:val="center"/>
                </w:tcPr>
                <w:p w14:paraId="13876641" w14:textId="77777777" w:rsidR="00437535" w:rsidRPr="00EB4495" w:rsidRDefault="00437535" w:rsidP="00D7726B">
                  <w:pPr>
                    <w:jc w:val="right"/>
                    <w:rPr>
                      <w:rFonts w:ascii="Arial" w:hAnsi="Arial" w:cs="Arial"/>
                      <w:b/>
                      <w:bCs/>
                      <w:sz w:val="22"/>
                      <w:szCs w:val="22"/>
                    </w:rPr>
                  </w:pPr>
                  <w:r w:rsidRPr="00EB4495">
                    <w:rPr>
                      <w:rFonts w:ascii="Arial" w:hAnsi="Arial" w:cs="Arial"/>
                      <w:b/>
                      <w:bCs/>
                      <w:sz w:val="22"/>
                      <w:szCs w:val="22"/>
                    </w:rPr>
                    <w:t>Constant currency</w:t>
                  </w:r>
                </w:p>
              </w:tc>
            </w:tr>
            <w:tr w:rsidR="00F924DC" w:rsidRPr="00EB4495" w14:paraId="2411B8D7" w14:textId="77777777" w:rsidTr="00D7726B">
              <w:trPr>
                <w:trHeight w:val="269"/>
              </w:trPr>
              <w:tc>
                <w:tcPr>
                  <w:tcW w:w="3458" w:type="dxa"/>
                  <w:tcBorders>
                    <w:top w:val="single" w:sz="4" w:space="0" w:color="auto"/>
                    <w:left w:val="nil"/>
                    <w:bottom w:val="nil"/>
                    <w:right w:val="nil"/>
                  </w:tcBorders>
                  <w:vAlign w:val="center"/>
                </w:tcPr>
                <w:p w14:paraId="30071F96" w14:textId="77777777" w:rsidR="00F924DC" w:rsidRPr="00F21976" w:rsidRDefault="00F924DC" w:rsidP="00F924DC">
                  <w:pPr>
                    <w:jc w:val="left"/>
                    <w:rPr>
                      <w:rFonts w:ascii="Arial" w:hAnsi="Arial" w:cs="Arial"/>
                      <w:sz w:val="22"/>
                      <w:szCs w:val="22"/>
                    </w:rPr>
                  </w:pPr>
                  <w:r w:rsidRPr="00F21976">
                    <w:rPr>
                      <w:rFonts w:ascii="Arial" w:hAnsi="Arial" w:cs="Arial"/>
                      <w:sz w:val="22"/>
                      <w:szCs w:val="22"/>
                    </w:rPr>
                    <w:t>Sales</w:t>
                  </w:r>
                </w:p>
              </w:tc>
              <w:tc>
                <w:tcPr>
                  <w:tcW w:w="1327" w:type="dxa"/>
                  <w:tcBorders>
                    <w:top w:val="single" w:sz="4" w:space="0" w:color="auto"/>
                    <w:left w:val="nil"/>
                    <w:bottom w:val="nil"/>
                    <w:right w:val="nil"/>
                  </w:tcBorders>
                  <w:vAlign w:val="center"/>
                </w:tcPr>
                <w:p w14:paraId="1C537996" w14:textId="5C0581E0" w:rsidR="00F924DC" w:rsidRPr="009878ED" w:rsidRDefault="00F924DC" w:rsidP="00F924DC">
                  <w:pPr>
                    <w:jc w:val="right"/>
                    <w:rPr>
                      <w:rFonts w:ascii="Arial" w:hAnsi="Arial" w:cs="Arial"/>
                      <w:sz w:val="22"/>
                      <w:szCs w:val="22"/>
                    </w:rPr>
                  </w:pPr>
                  <w:r w:rsidRPr="00EB4495">
                    <w:rPr>
                      <w:rFonts w:ascii="Arial" w:hAnsi="Arial" w:cs="Arial"/>
                      <w:sz w:val="22"/>
                      <w:szCs w:val="22"/>
                    </w:rPr>
                    <w:t>£</w:t>
                  </w:r>
                  <w:r>
                    <w:rPr>
                      <w:rFonts w:ascii="Arial" w:hAnsi="Arial" w:cs="Arial"/>
                      <w:sz w:val="22"/>
                      <w:szCs w:val="22"/>
                    </w:rPr>
                    <w:t>13,059</w:t>
                  </w:r>
                  <w:r w:rsidRPr="00EB4495">
                    <w:rPr>
                      <w:rFonts w:ascii="Arial" w:hAnsi="Arial" w:cs="Arial"/>
                      <w:sz w:val="22"/>
                      <w:szCs w:val="22"/>
                    </w:rPr>
                    <w:t>m</w:t>
                  </w:r>
                </w:p>
              </w:tc>
              <w:tc>
                <w:tcPr>
                  <w:tcW w:w="1327" w:type="dxa"/>
                  <w:tcBorders>
                    <w:top w:val="single" w:sz="4" w:space="0" w:color="auto"/>
                    <w:left w:val="nil"/>
                    <w:bottom w:val="nil"/>
                    <w:right w:val="nil"/>
                  </w:tcBorders>
                  <w:shd w:val="clear" w:color="auto" w:fill="auto"/>
                  <w:vAlign w:val="center"/>
                </w:tcPr>
                <w:p w14:paraId="496C3CE5" w14:textId="71099921" w:rsidR="00F924DC" w:rsidRPr="009878ED" w:rsidRDefault="00F924DC" w:rsidP="00F924DC">
                  <w:pPr>
                    <w:jc w:val="right"/>
                    <w:rPr>
                      <w:rFonts w:ascii="Arial" w:hAnsi="Arial" w:cs="Arial"/>
                      <w:sz w:val="22"/>
                      <w:szCs w:val="22"/>
                    </w:rPr>
                  </w:pPr>
                  <w:r w:rsidRPr="00EB4495">
                    <w:rPr>
                      <w:rFonts w:ascii="Arial" w:hAnsi="Arial" w:cs="Arial"/>
                      <w:sz w:val="22"/>
                      <w:szCs w:val="22"/>
                    </w:rPr>
                    <w:t>£13,183m</w:t>
                  </w:r>
                </w:p>
              </w:tc>
              <w:tc>
                <w:tcPr>
                  <w:tcW w:w="1298" w:type="dxa"/>
                  <w:tcBorders>
                    <w:top w:val="single" w:sz="4" w:space="0" w:color="auto"/>
                    <w:left w:val="nil"/>
                    <w:bottom w:val="nil"/>
                    <w:right w:val="nil"/>
                  </w:tcBorders>
                  <w:vAlign w:val="center"/>
                </w:tcPr>
                <w:p w14:paraId="5868E905" w14:textId="15EC8C9B" w:rsidR="00F924DC" w:rsidRPr="009878ED" w:rsidRDefault="00F924DC" w:rsidP="00F924DC">
                  <w:pPr>
                    <w:jc w:val="right"/>
                    <w:rPr>
                      <w:rFonts w:ascii="Arial" w:hAnsi="Arial" w:cs="Arial"/>
                      <w:sz w:val="22"/>
                      <w:szCs w:val="22"/>
                    </w:rPr>
                  </w:pPr>
                  <w:r w:rsidRPr="009878ED">
                    <w:rPr>
                      <w:rFonts w:ascii="Arial" w:hAnsi="Arial" w:cs="Arial"/>
                      <w:sz w:val="22"/>
                      <w:szCs w:val="22"/>
                    </w:rPr>
                    <w:t>(</w:t>
                  </w:r>
                  <w:r>
                    <w:rPr>
                      <w:rFonts w:ascii="Arial" w:hAnsi="Arial" w:cs="Arial"/>
                      <w:sz w:val="22"/>
                      <w:szCs w:val="22"/>
                    </w:rPr>
                    <w:t>0.9</w:t>
                  </w:r>
                  <w:r w:rsidRPr="009878ED">
                    <w:rPr>
                      <w:rFonts w:ascii="Arial" w:hAnsi="Arial" w:cs="Arial"/>
                      <w:sz w:val="22"/>
                      <w:szCs w:val="22"/>
                    </w:rPr>
                    <w:t>)%</w:t>
                  </w:r>
                </w:p>
              </w:tc>
              <w:tc>
                <w:tcPr>
                  <w:tcW w:w="1298" w:type="dxa"/>
                  <w:tcBorders>
                    <w:top w:val="single" w:sz="4" w:space="0" w:color="auto"/>
                    <w:left w:val="nil"/>
                    <w:bottom w:val="nil"/>
                    <w:right w:val="nil"/>
                  </w:tcBorders>
                  <w:vAlign w:val="center"/>
                </w:tcPr>
                <w:p w14:paraId="4BC037C3" w14:textId="1B594BBC" w:rsidR="00F924DC" w:rsidRPr="009878ED" w:rsidRDefault="00F924DC" w:rsidP="00F924DC">
                  <w:pPr>
                    <w:jc w:val="right"/>
                    <w:rPr>
                      <w:rFonts w:ascii="Arial" w:hAnsi="Arial" w:cs="Arial"/>
                      <w:sz w:val="22"/>
                      <w:szCs w:val="22"/>
                    </w:rPr>
                  </w:pPr>
                  <w:r w:rsidRPr="009878ED">
                    <w:rPr>
                      <w:rFonts w:ascii="Arial" w:hAnsi="Arial" w:cs="Arial"/>
                      <w:sz w:val="22"/>
                      <w:szCs w:val="22"/>
                    </w:rPr>
                    <w:t>(</w:t>
                  </w:r>
                  <w:r>
                    <w:rPr>
                      <w:rFonts w:ascii="Arial" w:hAnsi="Arial" w:cs="Arial"/>
                      <w:sz w:val="22"/>
                      <w:szCs w:val="22"/>
                    </w:rPr>
                    <w:t>0.7</w:t>
                  </w:r>
                  <w:r w:rsidRPr="009878ED">
                    <w:rPr>
                      <w:rFonts w:ascii="Arial" w:hAnsi="Arial" w:cs="Arial"/>
                      <w:sz w:val="22"/>
                      <w:szCs w:val="22"/>
                    </w:rPr>
                    <w:t>)%</w:t>
                  </w:r>
                </w:p>
              </w:tc>
              <w:tc>
                <w:tcPr>
                  <w:tcW w:w="1298" w:type="dxa"/>
                  <w:tcBorders>
                    <w:top w:val="single" w:sz="4" w:space="0" w:color="auto"/>
                    <w:left w:val="nil"/>
                    <w:bottom w:val="nil"/>
                    <w:right w:val="nil"/>
                  </w:tcBorders>
                  <w:vAlign w:val="center"/>
                </w:tcPr>
                <w:p w14:paraId="2828109A" w14:textId="68B75423" w:rsidR="00F924DC" w:rsidRPr="009878ED" w:rsidRDefault="00F924DC" w:rsidP="00F924DC">
                  <w:pPr>
                    <w:jc w:val="right"/>
                    <w:rPr>
                      <w:rFonts w:ascii="Arial" w:hAnsi="Arial" w:cs="Arial"/>
                      <w:sz w:val="22"/>
                      <w:szCs w:val="22"/>
                    </w:rPr>
                  </w:pPr>
                  <w:r w:rsidRPr="009878ED">
                    <w:rPr>
                      <w:rFonts w:ascii="Arial" w:hAnsi="Arial" w:cs="Arial"/>
                      <w:sz w:val="22"/>
                      <w:szCs w:val="22"/>
                    </w:rPr>
                    <w:t>(</w:t>
                  </w:r>
                  <w:r>
                    <w:rPr>
                      <w:rFonts w:ascii="Arial" w:hAnsi="Arial" w:cs="Arial"/>
                      <w:sz w:val="22"/>
                      <w:szCs w:val="22"/>
                    </w:rPr>
                    <w:t>2.1</w:t>
                  </w:r>
                  <w:r w:rsidRPr="009878ED">
                    <w:rPr>
                      <w:rFonts w:ascii="Arial" w:hAnsi="Arial" w:cs="Arial"/>
                      <w:sz w:val="22"/>
                      <w:szCs w:val="22"/>
                    </w:rPr>
                    <w:t>)%</w:t>
                  </w:r>
                </w:p>
              </w:tc>
            </w:tr>
            <w:tr w:rsidR="00F924DC" w:rsidRPr="00EB4495" w14:paraId="046B30F9" w14:textId="77777777" w:rsidTr="00D7726B">
              <w:trPr>
                <w:trHeight w:val="269"/>
              </w:trPr>
              <w:tc>
                <w:tcPr>
                  <w:tcW w:w="3458" w:type="dxa"/>
                  <w:tcBorders>
                    <w:top w:val="nil"/>
                    <w:left w:val="nil"/>
                    <w:bottom w:val="nil"/>
                    <w:right w:val="nil"/>
                  </w:tcBorders>
                  <w:vAlign w:val="center"/>
                </w:tcPr>
                <w:p w14:paraId="56ECE23A" w14:textId="77777777" w:rsidR="00F924DC" w:rsidRPr="00F21976" w:rsidRDefault="00F924DC" w:rsidP="00F924DC">
                  <w:pPr>
                    <w:jc w:val="left"/>
                    <w:rPr>
                      <w:rFonts w:ascii="Arial" w:hAnsi="Arial" w:cs="Arial"/>
                      <w:sz w:val="22"/>
                      <w:szCs w:val="22"/>
                    </w:rPr>
                  </w:pPr>
                  <w:r w:rsidRPr="00F21976">
                    <w:rPr>
                      <w:rFonts w:ascii="Arial" w:hAnsi="Arial" w:cs="Arial"/>
                      <w:sz w:val="22"/>
                      <w:szCs w:val="22"/>
                    </w:rPr>
                    <w:t>Gross profit</w:t>
                  </w:r>
                </w:p>
              </w:tc>
              <w:tc>
                <w:tcPr>
                  <w:tcW w:w="1327" w:type="dxa"/>
                  <w:tcBorders>
                    <w:top w:val="nil"/>
                    <w:left w:val="nil"/>
                    <w:bottom w:val="nil"/>
                    <w:right w:val="nil"/>
                  </w:tcBorders>
                  <w:vAlign w:val="center"/>
                </w:tcPr>
                <w:p w14:paraId="58AFA7E8" w14:textId="60787FE2" w:rsidR="00F924DC" w:rsidRPr="009878ED" w:rsidRDefault="00F924DC" w:rsidP="00F924DC">
                  <w:pPr>
                    <w:jc w:val="right"/>
                    <w:rPr>
                      <w:rFonts w:ascii="Arial" w:hAnsi="Arial" w:cs="Arial"/>
                      <w:sz w:val="22"/>
                      <w:szCs w:val="22"/>
                    </w:rPr>
                  </w:pPr>
                  <w:r w:rsidRPr="00EB4495">
                    <w:rPr>
                      <w:rFonts w:ascii="Arial" w:hAnsi="Arial" w:cs="Arial"/>
                      <w:sz w:val="22"/>
                      <w:szCs w:val="22"/>
                    </w:rPr>
                    <w:t>£</w:t>
                  </w:r>
                  <w:r>
                    <w:rPr>
                      <w:rFonts w:ascii="Arial" w:hAnsi="Arial" w:cs="Arial"/>
                      <w:sz w:val="22"/>
                      <w:szCs w:val="22"/>
                    </w:rPr>
                    <w:t>4,795</w:t>
                  </w:r>
                  <w:r w:rsidRPr="00EB4495">
                    <w:rPr>
                      <w:rFonts w:ascii="Arial" w:hAnsi="Arial" w:cs="Arial"/>
                      <w:sz w:val="22"/>
                      <w:szCs w:val="22"/>
                    </w:rPr>
                    <w:t>m</w:t>
                  </w:r>
                </w:p>
              </w:tc>
              <w:tc>
                <w:tcPr>
                  <w:tcW w:w="1327" w:type="dxa"/>
                  <w:tcBorders>
                    <w:top w:val="nil"/>
                    <w:left w:val="nil"/>
                    <w:bottom w:val="nil"/>
                    <w:right w:val="nil"/>
                  </w:tcBorders>
                  <w:shd w:val="clear" w:color="auto" w:fill="auto"/>
                  <w:vAlign w:val="center"/>
                </w:tcPr>
                <w:p w14:paraId="65C94B24" w14:textId="5F5EC4F9" w:rsidR="00F924DC" w:rsidRPr="009878ED" w:rsidRDefault="00F924DC" w:rsidP="00F924DC">
                  <w:pPr>
                    <w:jc w:val="right"/>
                    <w:rPr>
                      <w:rFonts w:ascii="Arial" w:hAnsi="Arial" w:cs="Arial"/>
                      <w:sz w:val="22"/>
                      <w:szCs w:val="22"/>
                    </w:rPr>
                  </w:pPr>
                  <w:r w:rsidRPr="00EB4495">
                    <w:rPr>
                      <w:rFonts w:ascii="Arial" w:hAnsi="Arial" w:cs="Arial"/>
                      <w:sz w:val="22"/>
                      <w:szCs w:val="22"/>
                    </w:rPr>
                    <w:t>£4,935m</w:t>
                  </w:r>
                </w:p>
              </w:tc>
              <w:tc>
                <w:tcPr>
                  <w:tcW w:w="1298" w:type="dxa"/>
                  <w:tcBorders>
                    <w:top w:val="nil"/>
                    <w:left w:val="nil"/>
                    <w:bottom w:val="nil"/>
                    <w:right w:val="nil"/>
                  </w:tcBorders>
                  <w:vAlign w:val="center"/>
                </w:tcPr>
                <w:p w14:paraId="76549870" w14:textId="0341B46E" w:rsidR="00F924DC" w:rsidRPr="009878ED" w:rsidRDefault="00F924DC" w:rsidP="00F924DC">
                  <w:pPr>
                    <w:jc w:val="right"/>
                    <w:rPr>
                      <w:rFonts w:ascii="Arial" w:hAnsi="Arial" w:cs="Arial"/>
                      <w:sz w:val="22"/>
                      <w:szCs w:val="22"/>
                    </w:rPr>
                  </w:pPr>
                  <w:r w:rsidRPr="009878ED">
                    <w:rPr>
                      <w:rFonts w:ascii="Arial" w:hAnsi="Arial" w:cs="Arial"/>
                      <w:sz w:val="22"/>
                      <w:szCs w:val="22"/>
                    </w:rPr>
                    <w:t>(</w:t>
                  </w:r>
                  <w:r>
                    <w:rPr>
                      <w:rFonts w:ascii="Arial" w:hAnsi="Arial" w:cs="Arial"/>
                      <w:sz w:val="22"/>
                      <w:szCs w:val="22"/>
                    </w:rPr>
                    <w:t>2.8</w:t>
                  </w:r>
                  <w:r w:rsidRPr="009878ED">
                    <w:rPr>
                      <w:rFonts w:ascii="Arial" w:hAnsi="Arial" w:cs="Arial"/>
                      <w:sz w:val="22"/>
                      <w:szCs w:val="22"/>
                    </w:rPr>
                    <w:t>)%</w:t>
                  </w:r>
                </w:p>
              </w:tc>
              <w:tc>
                <w:tcPr>
                  <w:tcW w:w="1298" w:type="dxa"/>
                  <w:tcBorders>
                    <w:top w:val="nil"/>
                    <w:left w:val="nil"/>
                    <w:bottom w:val="nil"/>
                    <w:right w:val="nil"/>
                  </w:tcBorders>
                  <w:vAlign w:val="center"/>
                </w:tcPr>
                <w:p w14:paraId="26690443" w14:textId="27DE0DD6" w:rsidR="00F924DC" w:rsidRPr="009878ED" w:rsidRDefault="00F924DC" w:rsidP="00F924DC">
                  <w:pPr>
                    <w:jc w:val="right"/>
                    <w:rPr>
                      <w:rFonts w:ascii="Arial" w:hAnsi="Arial" w:cs="Arial"/>
                      <w:sz w:val="22"/>
                      <w:szCs w:val="22"/>
                    </w:rPr>
                  </w:pPr>
                  <w:r w:rsidRPr="009878ED">
                    <w:rPr>
                      <w:rFonts w:ascii="Arial" w:hAnsi="Arial" w:cs="Arial"/>
                      <w:sz w:val="22"/>
                      <w:szCs w:val="22"/>
                    </w:rPr>
                    <w:t>(</w:t>
                  </w:r>
                  <w:r>
                    <w:rPr>
                      <w:rFonts w:ascii="Arial" w:hAnsi="Arial" w:cs="Arial"/>
                      <w:sz w:val="22"/>
                      <w:szCs w:val="22"/>
                    </w:rPr>
                    <w:t>2.6</w:t>
                  </w:r>
                  <w:r w:rsidRPr="009878ED">
                    <w:rPr>
                      <w:rFonts w:ascii="Arial" w:hAnsi="Arial" w:cs="Arial"/>
                      <w:sz w:val="22"/>
                      <w:szCs w:val="22"/>
                    </w:rPr>
                    <w:t>)%</w:t>
                  </w:r>
                </w:p>
              </w:tc>
              <w:tc>
                <w:tcPr>
                  <w:tcW w:w="1298" w:type="dxa"/>
                  <w:tcBorders>
                    <w:top w:val="nil"/>
                    <w:left w:val="nil"/>
                    <w:bottom w:val="nil"/>
                    <w:right w:val="nil"/>
                  </w:tcBorders>
                  <w:vAlign w:val="center"/>
                </w:tcPr>
                <w:p w14:paraId="25D556AF" w14:textId="77777777" w:rsidR="00F924DC" w:rsidRPr="009878ED" w:rsidRDefault="00F924DC" w:rsidP="00F924DC">
                  <w:pPr>
                    <w:jc w:val="right"/>
                    <w:rPr>
                      <w:rFonts w:ascii="Arial" w:hAnsi="Arial" w:cs="Arial"/>
                      <w:sz w:val="22"/>
                      <w:szCs w:val="22"/>
                    </w:rPr>
                  </w:pPr>
                </w:p>
              </w:tc>
            </w:tr>
            <w:tr w:rsidR="00F924DC" w:rsidRPr="00EB4495" w14:paraId="0E5A1567" w14:textId="77777777" w:rsidTr="00D7726B">
              <w:trPr>
                <w:trHeight w:val="269"/>
              </w:trPr>
              <w:tc>
                <w:tcPr>
                  <w:tcW w:w="3458" w:type="dxa"/>
                  <w:tcBorders>
                    <w:top w:val="nil"/>
                    <w:left w:val="nil"/>
                    <w:bottom w:val="nil"/>
                    <w:right w:val="nil"/>
                  </w:tcBorders>
                  <w:vAlign w:val="center"/>
                </w:tcPr>
                <w:p w14:paraId="1F42792E" w14:textId="5500950F" w:rsidR="00F924DC" w:rsidRPr="00F21976" w:rsidRDefault="00F924DC" w:rsidP="00F924DC">
                  <w:pPr>
                    <w:jc w:val="left"/>
                    <w:rPr>
                      <w:rFonts w:ascii="Arial" w:hAnsi="Arial" w:cs="Arial"/>
                      <w:sz w:val="22"/>
                      <w:szCs w:val="22"/>
                    </w:rPr>
                  </w:pPr>
                  <w:r w:rsidRPr="00F21976">
                    <w:rPr>
                      <w:rFonts w:ascii="Arial" w:hAnsi="Arial" w:cs="Arial"/>
                      <w:sz w:val="22"/>
                      <w:szCs w:val="22"/>
                    </w:rPr>
                    <w:t>Gross margin %</w:t>
                  </w:r>
                </w:p>
              </w:tc>
              <w:tc>
                <w:tcPr>
                  <w:tcW w:w="1327" w:type="dxa"/>
                  <w:tcBorders>
                    <w:top w:val="nil"/>
                    <w:left w:val="nil"/>
                    <w:bottom w:val="nil"/>
                    <w:right w:val="nil"/>
                  </w:tcBorders>
                  <w:vAlign w:val="center"/>
                </w:tcPr>
                <w:p w14:paraId="542FA071" w14:textId="11A407BB" w:rsidR="00F924DC" w:rsidRPr="009878ED" w:rsidRDefault="00F924DC" w:rsidP="00F924DC">
                  <w:pPr>
                    <w:jc w:val="right"/>
                    <w:rPr>
                      <w:rFonts w:ascii="Arial" w:hAnsi="Arial" w:cs="Arial"/>
                      <w:sz w:val="22"/>
                      <w:szCs w:val="22"/>
                    </w:rPr>
                  </w:pPr>
                  <w:r>
                    <w:rPr>
                      <w:rFonts w:ascii="Arial" w:hAnsi="Arial" w:cs="Arial"/>
                      <w:sz w:val="22"/>
                      <w:szCs w:val="22"/>
                    </w:rPr>
                    <w:t>36.7</w:t>
                  </w:r>
                  <w:r w:rsidRPr="00EB4495">
                    <w:rPr>
                      <w:rFonts w:ascii="Arial" w:hAnsi="Arial" w:cs="Arial"/>
                      <w:sz w:val="22"/>
                      <w:szCs w:val="22"/>
                    </w:rPr>
                    <w:t>%</w:t>
                  </w:r>
                </w:p>
              </w:tc>
              <w:tc>
                <w:tcPr>
                  <w:tcW w:w="1327" w:type="dxa"/>
                  <w:tcBorders>
                    <w:top w:val="nil"/>
                    <w:left w:val="nil"/>
                    <w:bottom w:val="nil"/>
                    <w:right w:val="nil"/>
                  </w:tcBorders>
                  <w:shd w:val="clear" w:color="auto" w:fill="auto"/>
                  <w:vAlign w:val="center"/>
                </w:tcPr>
                <w:p w14:paraId="422AFADF" w14:textId="32369C07" w:rsidR="00F924DC" w:rsidRPr="009878ED" w:rsidRDefault="00F924DC" w:rsidP="00F924DC">
                  <w:pPr>
                    <w:jc w:val="right"/>
                    <w:rPr>
                      <w:rFonts w:ascii="Arial" w:hAnsi="Arial" w:cs="Arial"/>
                      <w:sz w:val="22"/>
                      <w:szCs w:val="22"/>
                    </w:rPr>
                  </w:pPr>
                  <w:r w:rsidRPr="00EB4495">
                    <w:rPr>
                      <w:rFonts w:ascii="Arial" w:hAnsi="Arial" w:cs="Arial"/>
                      <w:sz w:val="22"/>
                      <w:szCs w:val="22"/>
                    </w:rPr>
                    <w:t>37.4%</w:t>
                  </w:r>
                </w:p>
              </w:tc>
              <w:tc>
                <w:tcPr>
                  <w:tcW w:w="1298" w:type="dxa"/>
                  <w:tcBorders>
                    <w:top w:val="nil"/>
                    <w:left w:val="nil"/>
                    <w:bottom w:val="nil"/>
                    <w:right w:val="nil"/>
                  </w:tcBorders>
                  <w:vAlign w:val="center"/>
                </w:tcPr>
                <w:p w14:paraId="05E72577" w14:textId="1DD4D3C1" w:rsidR="00F924DC" w:rsidRPr="009878ED" w:rsidRDefault="00F924DC" w:rsidP="00F924DC">
                  <w:pPr>
                    <w:jc w:val="right"/>
                    <w:rPr>
                      <w:rFonts w:ascii="Arial" w:hAnsi="Arial" w:cs="Arial"/>
                      <w:sz w:val="22"/>
                      <w:szCs w:val="22"/>
                    </w:rPr>
                  </w:pPr>
                  <w:r w:rsidRPr="009878ED">
                    <w:rPr>
                      <w:rFonts w:ascii="Arial" w:hAnsi="Arial" w:cs="Arial"/>
                      <w:sz w:val="22"/>
                      <w:szCs w:val="22"/>
                    </w:rPr>
                    <w:t>(</w:t>
                  </w:r>
                  <w:r>
                    <w:rPr>
                      <w:rFonts w:ascii="Arial" w:hAnsi="Arial" w:cs="Arial"/>
                      <w:sz w:val="22"/>
                      <w:szCs w:val="22"/>
                    </w:rPr>
                    <w:t>70</w:t>
                  </w:r>
                  <w:r w:rsidRPr="009878ED">
                    <w:rPr>
                      <w:rFonts w:ascii="Arial" w:hAnsi="Arial" w:cs="Arial"/>
                      <w:sz w:val="22"/>
                      <w:szCs w:val="22"/>
                    </w:rPr>
                    <w:t>)bps</w:t>
                  </w:r>
                </w:p>
              </w:tc>
              <w:tc>
                <w:tcPr>
                  <w:tcW w:w="1298" w:type="dxa"/>
                  <w:tcBorders>
                    <w:top w:val="nil"/>
                    <w:left w:val="nil"/>
                    <w:bottom w:val="nil"/>
                    <w:right w:val="nil"/>
                  </w:tcBorders>
                  <w:vAlign w:val="center"/>
                </w:tcPr>
                <w:p w14:paraId="0F9501A7" w14:textId="234377EC" w:rsidR="00F924DC" w:rsidRPr="009878ED" w:rsidRDefault="00F924DC" w:rsidP="00F924DC">
                  <w:pPr>
                    <w:jc w:val="right"/>
                    <w:rPr>
                      <w:rFonts w:ascii="Arial" w:hAnsi="Arial" w:cs="Arial"/>
                      <w:sz w:val="22"/>
                      <w:szCs w:val="22"/>
                    </w:rPr>
                  </w:pPr>
                  <w:r w:rsidRPr="009878ED">
                    <w:rPr>
                      <w:rFonts w:ascii="Arial" w:hAnsi="Arial" w:cs="Arial"/>
                      <w:sz w:val="22"/>
                      <w:szCs w:val="22"/>
                    </w:rPr>
                    <w:t>(</w:t>
                  </w:r>
                  <w:r>
                    <w:rPr>
                      <w:rFonts w:ascii="Arial" w:hAnsi="Arial" w:cs="Arial"/>
                      <w:sz w:val="22"/>
                      <w:szCs w:val="22"/>
                    </w:rPr>
                    <w:t>70</w:t>
                  </w:r>
                  <w:r w:rsidRPr="009878ED">
                    <w:rPr>
                      <w:rFonts w:ascii="Arial" w:hAnsi="Arial" w:cs="Arial"/>
                      <w:sz w:val="22"/>
                      <w:szCs w:val="22"/>
                    </w:rPr>
                    <w:t>)bps</w:t>
                  </w:r>
                </w:p>
              </w:tc>
              <w:tc>
                <w:tcPr>
                  <w:tcW w:w="1298" w:type="dxa"/>
                  <w:tcBorders>
                    <w:top w:val="nil"/>
                    <w:left w:val="nil"/>
                    <w:bottom w:val="nil"/>
                    <w:right w:val="nil"/>
                  </w:tcBorders>
                  <w:vAlign w:val="center"/>
                </w:tcPr>
                <w:p w14:paraId="626D18B7" w14:textId="77777777" w:rsidR="00F924DC" w:rsidRPr="009878ED" w:rsidRDefault="00F924DC" w:rsidP="00F924DC">
                  <w:pPr>
                    <w:jc w:val="right"/>
                    <w:rPr>
                      <w:rFonts w:ascii="Arial" w:hAnsi="Arial" w:cs="Arial"/>
                      <w:sz w:val="22"/>
                      <w:szCs w:val="22"/>
                    </w:rPr>
                  </w:pPr>
                </w:p>
              </w:tc>
            </w:tr>
            <w:tr w:rsidR="00F924DC" w:rsidRPr="00EB4495" w14:paraId="66A96472" w14:textId="77777777" w:rsidTr="00D7726B">
              <w:trPr>
                <w:trHeight w:val="269"/>
              </w:trPr>
              <w:tc>
                <w:tcPr>
                  <w:tcW w:w="3458" w:type="dxa"/>
                  <w:tcBorders>
                    <w:top w:val="nil"/>
                    <w:left w:val="nil"/>
                    <w:bottom w:val="nil"/>
                    <w:right w:val="nil"/>
                  </w:tcBorders>
                  <w:vAlign w:val="center"/>
                </w:tcPr>
                <w:p w14:paraId="30F3B9A1" w14:textId="77777777" w:rsidR="00F924DC" w:rsidRPr="00F21976" w:rsidRDefault="00F924DC" w:rsidP="00F924DC">
                  <w:pPr>
                    <w:jc w:val="left"/>
                    <w:rPr>
                      <w:rFonts w:ascii="Arial" w:hAnsi="Arial" w:cs="Arial"/>
                      <w:sz w:val="22"/>
                      <w:szCs w:val="22"/>
                    </w:rPr>
                  </w:pPr>
                  <w:r w:rsidRPr="00F21976">
                    <w:rPr>
                      <w:rFonts w:ascii="Arial" w:hAnsi="Arial" w:cs="Arial"/>
                      <w:sz w:val="22"/>
                      <w:szCs w:val="22"/>
                    </w:rPr>
                    <w:t>Operating profit</w:t>
                  </w:r>
                </w:p>
              </w:tc>
              <w:tc>
                <w:tcPr>
                  <w:tcW w:w="1327" w:type="dxa"/>
                  <w:tcBorders>
                    <w:top w:val="nil"/>
                    <w:left w:val="nil"/>
                    <w:bottom w:val="nil"/>
                    <w:right w:val="nil"/>
                  </w:tcBorders>
                  <w:vAlign w:val="center"/>
                </w:tcPr>
                <w:p w14:paraId="11252B96" w14:textId="4DE55DA0" w:rsidR="00F924DC" w:rsidRPr="009878ED" w:rsidRDefault="00F924DC" w:rsidP="00F924DC">
                  <w:pPr>
                    <w:jc w:val="right"/>
                    <w:rPr>
                      <w:rFonts w:ascii="Arial" w:hAnsi="Arial" w:cs="Arial"/>
                      <w:sz w:val="22"/>
                      <w:szCs w:val="22"/>
                    </w:rPr>
                  </w:pPr>
                  <w:r w:rsidRPr="00EB4495">
                    <w:rPr>
                      <w:rFonts w:ascii="Arial" w:hAnsi="Arial" w:cs="Arial"/>
                      <w:sz w:val="22"/>
                      <w:szCs w:val="22"/>
                    </w:rPr>
                    <w:t>£</w:t>
                  </w:r>
                  <w:r w:rsidR="00244B1D">
                    <w:rPr>
                      <w:rFonts w:ascii="Arial" w:hAnsi="Arial" w:cs="Arial"/>
                      <w:sz w:val="22"/>
                      <w:szCs w:val="22"/>
                    </w:rPr>
                    <w:t>723</w:t>
                  </w:r>
                  <w:r w:rsidR="00244B1D" w:rsidRPr="00EB4495">
                    <w:rPr>
                      <w:rFonts w:ascii="Arial" w:hAnsi="Arial" w:cs="Arial"/>
                      <w:sz w:val="22"/>
                      <w:szCs w:val="22"/>
                    </w:rPr>
                    <w:t>m</w:t>
                  </w:r>
                </w:p>
              </w:tc>
              <w:tc>
                <w:tcPr>
                  <w:tcW w:w="1327" w:type="dxa"/>
                  <w:tcBorders>
                    <w:top w:val="nil"/>
                    <w:left w:val="nil"/>
                    <w:bottom w:val="nil"/>
                    <w:right w:val="nil"/>
                  </w:tcBorders>
                  <w:shd w:val="clear" w:color="auto" w:fill="auto"/>
                  <w:vAlign w:val="center"/>
                </w:tcPr>
                <w:p w14:paraId="5A05C1A7" w14:textId="2566032A" w:rsidR="00F924DC" w:rsidRPr="009878ED" w:rsidRDefault="00F924DC" w:rsidP="00F924DC">
                  <w:pPr>
                    <w:jc w:val="right"/>
                    <w:rPr>
                      <w:rFonts w:ascii="Arial" w:hAnsi="Arial" w:cs="Arial"/>
                      <w:sz w:val="22"/>
                      <w:szCs w:val="22"/>
                    </w:rPr>
                  </w:pPr>
                  <w:r w:rsidRPr="00EB4495">
                    <w:rPr>
                      <w:rFonts w:ascii="Arial" w:hAnsi="Arial" w:cs="Arial"/>
                      <w:sz w:val="22"/>
                      <w:szCs w:val="22"/>
                    </w:rPr>
                    <w:t>£1,144m</w:t>
                  </w:r>
                </w:p>
              </w:tc>
              <w:tc>
                <w:tcPr>
                  <w:tcW w:w="1298" w:type="dxa"/>
                  <w:tcBorders>
                    <w:top w:val="nil"/>
                    <w:left w:val="nil"/>
                    <w:bottom w:val="nil"/>
                    <w:right w:val="nil"/>
                  </w:tcBorders>
                  <w:vAlign w:val="center"/>
                </w:tcPr>
                <w:p w14:paraId="29E30B4C" w14:textId="734592B2" w:rsidR="00F924DC" w:rsidRPr="009878ED" w:rsidRDefault="00F924DC" w:rsidP="00F924DC">
                  <w:pPr>
                    <w:jc w:val="right"/>
                    <w:rPr>
                      <w:rFonts w:ascii="Arial" w:hAnsi="Arial" w:cs="Arial"/>
                      <w:sz w:val="22"/>
                      <w:szCs w:val="22"/>
                    </w:rPr>
                  </w:pPr>
                  <w:r w:rsidRPr="009878ED">
                    <w:rPr>
                      <w:rFonts w:ascii="Arial" w:hAnsi="Arial" w:cs="Arial"/>
                      <w:sz w:val="22"/>
                      <w:szCs w:val="22"/>
                    </w:rPr>
                    <w:t>(</w:t>
                  </w:r>
                  <w:r>
                    <w:rPr>
                      <w:rFonts w:ascii="Arial" w:hAnsi="Arial" w:cs="Arial"/>
                      <w:sz w:val="22"/>
                      <w:szCs w:val="22"/>
                    </w:rPr>
                    <w:t>3</w:t>
                  </w:r>
                  <w:r w:rsidR="00244B1D">
                    <w:rPr>
                      <w:rFonts w:ascii="Arial" w:hAnsi="Arial" w:cs="Arial"/>
                      <w:sz w:val="22"/>
                      <w:szCs w:val="22"/>
                    </w:rPr>
                    <w:t>6.7</w:t>
                  </w:r>
                  <w:r w:rsidRPr="009878ED">
                    <w:rPr>
                      <w:rFonts w:ascii="Arial" w:hAnsi="Arial" w:cs="Arial"/>
                      <w:sz w:val="22"/>
                      <w:szCs w:val="22"/>
                    </w:rPr>
                    <w:t>)%</w:t>
                  </w:r>
                </w:p>
              </w:tc>
              <w:tc>
                <w:tcPr>
                  <w:tcW w:w="1298" w:type="dxa"/>
                  <w:tcBorders>
                    <w:top w:val="nil"/>
                    <w:left w:val="nil"/>
                    <w:bottom w:val="nil"/>
                    <w:right w:val="nil"/>
                  </w:tcBorders>
                  <w:vAlign w:val="center"/>
                </w:tcPr>
                <w:p w14:paraId="06351E1B" w14:textId="77777777" w:rsidR="00F924DC" w:rsidRPr="009878ED" w:rsidRDefault="00F924DC" w:rsidP="00F924DC">
                  <w:pPr>
                    <w:jc w:val="right"/>
                    <w:rPr>
                      <w:rFonts w:ascii="Arial" w:hAnsi="Arial" w:cs="Arial"/>
                      <w:sz w:val="22"/>
                      <w:szCs w:val="22"/>
                    </w:rPr>
                  </w:pPr>
                </w:p>
              </w:tc>
              <w:tc>
                <w:tcPr>
                  <w:tcW w:w="1298" w:type="dxa"/>
                  <w:tcBorders>
                    <w:top w:val="nil"/>
                    <w:left w:val="nil"/>
                    <w:bottom w:val="nil"/>
                    <w:right w:val="nil"/>
                  </w:tcBorders>
                  <w:vAlign w:val="center"/>
                </w:tcPr>
                <w:p w14:paraId="3ED0ADD4" w14:textId="77777777" w:rsidR="00F924DC" w:rsidRPr="009878ED" w:rsidRDefault="00F924DC" w:rsidP="00F924DC">
                  <w:pPr>
                    <w:jc w:val="right"/>
                    <w:rPr>
                      <w:rFonts w:ascii="Arial" w:hAnsi="Arial" w:cs="Arial"/>
                      <w:sz w:val="22"/>
                      <w:szCs w:val="22"/>
                    </w:rPr>
                  </w:pPr>
                </w:p>
              </w:tc>
            </w:tr>
            <w:tr w:rsidR="00F924DC" w:rsidRPr="00EB4495" w14:paraId="2177A44A" w14:textId="77777777" w:rsidTr="00D7726B">
              <w:trPr>
                <w:trHeight w:val="269"/>
              </w:trPr>
              <w:tc>
                <w:tcPr>
                  <w:tcW w:w="3458" w:type="dxa"/>
                  <w:tcBorders>
                    <w:top w:val="nil"/>
                    <w:left w:val="nil"/>
                    <w:bottom w:val="nil"/>
                    <w:right w:val="nil"/>
                  </w:tcBorders>
                  <w:vAlign w:val="center"/>
                </w:tcPr>
                <w:p w14:paraId="0B7F5FBB" w14:textId="77777777" w:rsidR="00F924DC" w:rsidRPr="00F21976" w:rsidRDefault="00F924DC" w:rsidP="00F924DC">
                  <w:pPr>
                    <w:jc w:val="left"/>
                    <w:rPr>
                      <w:rFonts w:ascii="Arial" w:hAnsi="Arial" w:cs="Arial"/>
                      <w:sz w:val="22"/>
                      <w:szCs w:val="22"/>
                    </w:rPr>
                  </w:pPr>
                  <w:r w:rsidRPr="00F21976">
                    <w:rPr>
                      <w:rFonts w:ascii="Arial" w:hAnsi="Arial" w:cs="Arial"/>
                      <w:sz w:val="22"/>
                      <w:szCs w:val="22"/>
                    </w:rPr>
                    <w:t>Statutory pre-tax profit</w:t>
                  </w:r>
                </w:p>
              </w:tc>
              <w:tc>
                <w:tcPr>
                  <w:tcW w:w="1327" w:type="dxa"/>
                  <w:tcBorders>
                    <w:top w:val="nil"/>
                    <w:left w:val="nil"/>
                    <w:bottom w:val="nil"/>
                    <w:right w:val="nil"/>
                  </w:tcBorders>
                  <w:vAlign w:val="center"/>
                </w:tcPr>
                <w:p w14:paraId="30883524" w14:textId="757F0D6D" w:rsidR="00F924DC" w:rsidRPr="009878ED" w:rsidRDefault="00F924DC" w:rsidP="00F924DC">
                  <w:pPr>
                    <w:jc w:val="right"/>
                    <w:rPr>
                      <w:rFonts w:ascii="Arial" w:hAnsi="Arial" w:cs="Arial"/>
                      <w:sz w:val="22"/>
                      <w:szCs w:val="22"/>
                    </w:rPr>
                  </w:pPr>
                  <w:r w:rsidRPr="0056048C">
                    <w:rPr>
                      <w:rFonts w:ascii="Arial" w:hAnsi="Arial" w:cs="Arial"/>
                      <w:sz w:val="22"/>
                      <w:szCs w:val="22"/>
                    </w:rPr>
                    <w:t>£</w:t>
                  </w:r>
                  <w:r w:rsidR="00197A68">
                    <w:rPr>
                      <w:rFonts w:ascii="Arial" w:hAnsi="Arial" w:cs="Arial"/>
                      <w:sz w:val="22"/>
                      <w:szCs w:val="22"/>
                    </w:rPr>
                    <w:t>611</w:t>
                  </w:r>
                  <w:r w:rsidR="00197A68" w:rsidRPr="0056048C">
                    <w:rPr>
                      <w:rFonts w:ascii="Arial" w:hAnsi="Arial" w:cs="Arial"/>
                      <w:sz w:val="22"/>
                      <w:szCs w:val="22"/>
                    </w:rPr>
                    <w:t>m</w:t>
                  </w:r>
                </w:p>
              </w:tc>
              <w:tc>
                <w:tcPr>
                  <w:tcW w:w="1327" w:type="dxa"/>
                  <w:tcBorders>
                    <w:top w:val="nil"/>
                    <w:left w:val="nil"/>
                    <w:bottom w:val="nil"/>
                    <w:right w:val="nil"/>
                  </w:tcBorders>
                  <w:shd w:val="clear" w:color="auto" w:fill="auto"/>
                  <w:vAlign w:val="center"/>
                </w:tcPr>
                <w:p w14:paraId="746B865C" w14:textId="66B663A4" w:rsidR="00F924DC" w:rsidRPr="009878ED" w:rsidRDefault="00F924DC" w:rsidP="00F924DC">
                  <w:pPr>
                    <w:jc w:val="right"/>
                    <w:rPr>
                      <w:rFonts w:ascii="Arial" w:hAnsi="Arial" w:cs="Arial"/>
                      <w:sz w:val="22"/>
                      <w:szCs w:val="22"/>
                    </w:rPr>
                  </w:pPr>
                  <w:r w:rsidRPr="0056048C">
                    <w:rPr>
                      <w:rFonts w:ascii="Arial" w:hAnsi="Arial" w:cs="Arial"/>
                      <w:sz w:val="22"/>
                      <w:szCs w:val="22"/>
                    </w:rPr>
                    <w:t>£1,007m</w:t>
                  </w:r>
                </w:p>
              </w:tc>
              <w:tc>
                <w:tcPr>
                  <w:tcW w:w="1298" w:type="dxa"/>
                  <w:tcBorders>
                    <w:top w:val="nil"/>
                    <w:left w:val="nil"/>
                    <w:bottom w:val="nil"/>
                    <w:right w:val="nil"/>
                  </w:tcBorders>
                  <w:vAlign w:val="center"/>
                </w:tcPr>
                <w:p w14:paraId="5C0E60EB" w14:textId="2632FCE5" w:rsidR="00F924DC" w:rsidRPr="009878ED" w:rsidRDefault="00F924DC" w:rsidP="00F924DC">
                  <w:pPr>
                    <w:jc w:val="right"/>
                    <w:rPr>
                      <w:rFonts w:ascii="Arial" w:hAnsi="Arial" w:cs="Arial"/>
                      <w:sz w:val="22"/>
                      <w:szCs w:val="22"/>
                    </w:rPr>
                  </w:pPr>
                  <w:r w:rsidRPr="009878ED">
                    <w:rPr>
                      <w:rFonts w:ascii="Arial" w:hAnsi="Arial" w:cs="Arial"/>
                      <w:sz w:val="22"/>
                      <w:szCs w:val="22"/>
                    </w:rPr>
                    <w:t>(</w:t>
                  </w:r>
                  <w:r w:rsidR="00371740">
                    <w:rPr>
                      <w:rFonts w:ascii="Arial" w:hAnsi="Arial" w:cs="Arial"/>
                      <w:sz w:val="22"/>
                      <w:szCs w:val="22"/>
                    </w:rPr>
                    <w:t>39.3</w:t>
                  </w:r>
                  <w:r w:rsidRPr="009878ED">
                    <w:rPr>
                      <w:rFonts w:ascii="Arial" w:hAnsi="Arial" w:cs="Arial"/>
                      <w:sz w:val="22"/>
                      <w:szCs w:val="22"/>
                    </w:rPr>
                    <w:t>)%</w:t>
                  </w:r>
                </w:p>
              </w:tc>
              <w:tc>
                <w:tcPr>
                  <w:tcW w:w="1298" w:type="dxa"/>
                  <w:tcBorders>
                    <w:top w:val="nil"/>
                    <w:left w:val="nil"/>
                    <w:bottom w:val="nil"/>
                    <w:right w:val="nil"/>
                  </w:tcBorders>
                  <w:vAlign w:val="center"/>
                </w:tcPr>
                <w:p w14:paraId="2EA90DFC" w14:textId="77777777" w:rsidR="00F924DC" w:rsidRPr="009878ED" w:rsidRDefault="00F924DC" w:rsidP="00F924DC">
                  <w:pPr>
                    <w:jc w:val="right"/>
                    <w:rPr>
                      <w:rFonts w:ascii="Arial" w:hAnsi="Arial" w:cs="Arial"/>
                      <w:sz w:val="22"/>
                      <w:szCs w:val="22"/>
                    </w:rPr>
                  </w:pPr>
                </w:p>
              </w:tc>
              <w:tc>
                <w:tcPr>
                  <w:tcW w:w="1298" w:type="dxa"/>
                  <w:tcBorders>
                    <w:top w:val="nil"/>
                    <w:left w:val="nil"/>
                    <w:bottom w:val="nil"/>
                    <w:right w:val="nil"/>
                  </w:tcBorders>
                  <w:vAlign w:val="center"/>
                </w:tcPr>
                <w:p w14:paraId="268A44A1" w14:textId="77777777" w:rsidR="00F924DC" w:rsidRPr="009878ED" w:rsidRDefault="00F924DC" w:rsidP="00F924DC">
                  <w:pPr>
                    <w:jc w:val="right"/>
                    <w:rPr>
                      <w:rFonts w:ascii="Arial" w:hAnsi="Arial" w:cs="Arial"/>
                      <w:sz w:val="22"/>
                      <w:szCs w:val="22"/>
                    </w:rPr>
                  </w:pPr>
                </w:p>
              </w:tc>
            </w:tr>
            <w:tr w:rsidR="00F924DC" w:rsidRPr="00EB4495" w14:paraId="61F742BF" w14:textId="77777777" w:rsidTr="00D7726B">
              <w:trPr>
                <w:trHeight w:val="269"/>
              </w:trPr>
              <w:tc>
                <w:tcPr>
                  <w:tcW w:w="3458" w:type="dxa"/>
                  <w:tcBorders>
                    <w:top w:val="nil"/>
                    <w:left w:val="nil"/>
                    <w:bottom w:val="nil"/>
                    <w:right w:val="nil"/>
                  </w:tcBorders>
                  <w:shd w:val="clear" w:color="auto" w:fill="auto"/>
                  <w:vAlign w:val="center"/>
                </w:tcPr>
                <w:p w14:paraId="05E66F85" w14:textId="77777777" w:rsidR="00F924DC" w:rsidRPr="00F21976" w:rsidRDefault="00F924DC" w:rsidP="00F924DC">
                  <w:pPr>
                    <w:jc w:val="left"/>
                    <w:rPr>
                      <w:rFonts w:ascii="Arial" w:hAnsi="Arial" w:cs="Arial"/>
                      <w:sz w:val="22"/>
                      <w:szCs w:val="22"/>
                    </w:rPr>
                  </w:pPr>
                  <w:r w:rsidRPr="00F21976">
                    <w:rPr>
                      <w:rFonts w:ascii="Arial" w:hAnsi="Arial" w:cs="Arial"/>
                      <w:sz w:val="22"/>
                      <w:szCs w:val="22"/>
                    </w:rPr>
                    <w:t>Statutory post-tax profit</w:t>
                  </w:r>
                </w:p>
              </w:tc>
              <w:tc>
                <w:tcPr>
                  <w:tcW w:w="1327" w:type="dxa"/>
                  <w:tcBorders>
                    <w:top w:val="nil"/>
                    <w:left w:val="nil"/>
                    <w:bottom w:val="nil"/>
                    <w:right w:val="nil"/>
                  </w:tcBorders>
                  <w:vAlign w:val="center"/>
                </w:tcPr>
                <w:p w14:paraId="7451037A" w14:textId="1E0EA8F7" w:rsidR="00F924DC" w:rsidRPr="009878ED" w:rsidRDefault="00F924DC" w:rsidP="00F924DC">
                  <w:pPr>
                    <w:jc w:val="right"/>
                    <w:rPr>
                      <w:rFonts w:ascii="Arial" w:hAnsi="Arial" w:cs="Arial"/>
                      <w:sz w:val="22"/>
                      <w:szCs w:val="22"/>
                    </w:rPr>
                  </w:pPr>
                  <w:r w:rsidRPr="00804101">
                    <w:rPr>
                      <w:rFonts w:ascii="Arial" w:hAnsi="Arial" w:cs="Arial"/>
                      <w:sz w:val="22"/>
                      <w:szCs w:val="22"/>
                    </w:rPr>
                    <w:t>£</w:t>
                  </w:r>
                  <w:r w:rsidR="00CE1C11">
                    <w:rPr>
                      <w:rFonts w:ascii="Arial" w:hAnsi="Arial" w:cs="Arial"/>
                      <w:sz w:val="22"/>
                      <w:szCs w:val="22"/>
                    </w:rPr>
                    <w:t>471</w:t>
                  </w:r>
                  <w:r w:rsidR="00CE1C11" w:rsidRPr="00804101">
                    <w:rPr>
                      <w:rFonts w:ascii="Arial" w:hAnsi="Arial" w:cs="Arial"/>
                      <w:sz w:val="22"/>
                      <w:szCs w:val="22"/>
                    </w:rPr>
                    <w:t>m</w:t>
                  </w:r>
                </w:p>
              </w:tc>
              <w:tc>
                <w:tcPr>
                  <w:tcW w:w="1327" w:type="dxa"/>
                  <w:tcBorders>
                    <w:top w:val="nil"/>
                    <w:left w:val="nil"/>
                    <w:bottom w:val="nil"/>
                    <w:right w:val="nil"/>
                  </w:tcBorders>
                  <w:shd w:val="clear" w:color="auto" w:fill="auto"/>
                  <w:vAlign w:val="center"/>
                </w:tcPr>
                <w:p w14:paraId="62FF4811" w14:textId="02BD36CB" w:rsidR="00F924DC" w:rsidRPr="009878ED" w:rsidRDefault="00F924DC" w:rsidP="00F924DC">
                  <w:pPr>
                    <w:jc w:val="right"/>
                    <w:rPr>
                      <w:rFonts w:ascii="Arial" w:hAnsi="Arial" w:cs="Arial"/>
                      <w:sz w:val="22"/>
                      <w:szCs w:val="22"/>
                    </w:rPr>
                  </w:pPr>
                  <w:r w:rsidRPr="00804101">
                    <w:rPr>
                      <w:rFonts w:ascii="Arial" w:hAnsi="Arial" w:cs="Arial"/>
                      <w:sz w:val="22"/>
                      <w:szCs w:val="22"/>
                    </w:rPr>
                    <w:t>£843m</w:t>
                  </w:r>
                </w:p>
              </w:tc>
              <w:tc>
                <w:tcPr>
                  <w:tcW w:w="1298" w:type="dxa"/>
                  <w:tcBorders>
                    <w:top w:val="nil"/>
                    <w:left w:val="nil"/>
                    <w:bottom w:val="nil"/>
                    <w:right w:val="nil"/>
                  </w:tcBorders>
                  <w:vAlign w:val="center"/>
                </w:tcPr>
                <w:p w14:paraId="767CB1FA" w14:textId="3374CD25" w:rsidR="00F924DC" w:rsidRPr="009878ED" w:rsidRDefault="00F924DC" w:rsidP="00F924DC">
                  <w:pPr>
                    <w:jc w:val="right"/>
                    <w:rPr>
                      <w:rFonts w:ascii="Arial" w:hAnsi="Arial" w:cs="Arial"/>
                      <w:sz w:val="22"/>
                      <w:szCs w:val="22"/>
                    </w:rPr>
                  </w:pPr>
                  <w:r w:rsidRPr="009878ED">
                    <w:rPr>
                      <w:rFonts w:ascii="Arial" w:hAnsi="Arial" w:cs="Arial"/>
                      <w:sz w:val="22"/>
                      <w:szCs w:val="22"/>
                    </w:rPr>
                    <w:t>(</w:t>
                  </w:r>
                  <w:r w:rsidR="00E74028">
                    <w:rPr>
                      <w:rFonts w:ascii="Arial" w:hAnsi="Arial" w:cs="Arial"/>
                      <w:sz w:val="22"/>
                      <w:szCs w:val="22"/>
                    </w:rPr>
                    <w:t>44.1</w:t>
                  </w:r>
                  <w:r w:rsidRPr="009878ED">
                    <w:rPr>
                      <w:rFonts w:ascii="Arial" w:hAnsi="Arial" w:cs="Arial"/>
                      <w:sz w:val="22"/>
                      <w:szCs w:val="22"/>
                    </w:rPr>
                    <w:t>)%</w:t>
                  </w:r>
                </w:p>
              </w:tc>
              <w:tc>
                <w:tcPr>
                  <w:tcW w:w="1298" w:type="dxa"/>
                  <w:tcBorders>
                    <w:top w:val="nil"/>
                    <w:left w:val="nil"/>
                    <w:bottom w:val="nil"/>
                    <w:right w:val="nil"/>
                  </w:tcBorders>
                  <w:vAlign w:val="center"/>
                </w:tcPr>
                <w:p w14:paraId="28C4C30D" w14:textId="77777777" w:rsidR="00F924DC" w:rsidRPr="009878ED" w:rsidRDefault="00F924DC" w:rsidP="00F924DC">
                  <w:pPr>
                    <w:jc w:val="right"/>
                    <w:rPr>
                      <w:rFonts w:ascii="Arial" w:hAnsi="Arial" w:cs="Arial"/>
                      <w:sz w:val="22"/>
                      <w:szCs w:val="22"/>
                    </w:rPr>
                  </w:pPr>
                </w:p>
              </w:tc>
              <w:tc>
                <w:tcPr>
                  <w:tcW w:w="1298" w:type="dxa"/>
                  <w:tcBorders>
                    <w:top w:val="nil"/>
                    <w:left w:val="nil"/>
                    <w:bottom w:val="nil"/>
                    <w:right w:val="nil"/>
                  </w:tcBorders>
                  <w:vAlign w:val="center"/>
                </w:tcPr>
                <w:p w14:paraId="1F7B8DAF" w14:textId="77777777" w:rsidR="00F924DC" w:rsidRPr="009878ED" w:rsidRDefault="00F924DC" w:rsidP="00F924DC">
                  <w:pPr>
                    <w:jc w:val="right"/>
                    <w:rPr>
                      <w:rFonts w:ascii="Arial" w:hAnsi="Arial" w:cs="Arial"/>
                      <w:sz w:val="22"/>
                      <w:szCs w:val="22"/>
                    </w:rPr>
                  </w:pPr>
                </w:p>
              </w:tc>
            </w:tr>
            <w:tr w:rsidR="00F924DC" w:rsidRPr="00EB4495" w14:paraId="0FEAE4E5" w14:textId="77777777" w:rsidTr="00D7726B">
              <w:trPr>
                <w:trHeight w:val="269"/>
              </w:trPr>
              <w:tc>
                <w:tcPr>
                  <w:tcW w:w="3458" w:type="dxa"/>
                  <w:tcBorders>
                    <w:top w:val="nil"/>
                    <w:left w:val="nil"/>
                    <w:bottom w:val="nil"/>
                    <w:right w:val="nil"/>
                  </w:tcBorders>
                  <w:shd w:val="clear" w:color="auto" w:fill="auto"/>
                  <w:vAlign w:val="center"/>
                </w:tcPr>
                <w:p w14:paraId="65C880DC" w14:textId="77777777" w:rsidR="00F924DC" w:rsidRPr="009A4250" w:rsidRDefault="00F924DC" w:rsidP="00F924DC">
                  <w:pPr>
                    <w:jc w:val="left"/>
                    <w:rPr>
                      <w:rFonts w:ascii="Arial" w:hAnsi="Arial" w:cs="Arial"/>
                      <w:sz w:val="22"/>
                      <w:szCs w:val="22"/>
                    </w:rPr>
                  </w:pPr>
                  <w:r w:rsidRPr="009A4250">
                    <w:rPr>
                      <w:rFonts w:ascii="Arial" w:hAnsi="Arial" w:cs="Arial"/>
                      <w:sz w:val="22"/>
                      <w:szCs w:val="22"/>
                    </w:rPr>
                    <w:t>Statutory basic EPS</w:t>
                  </w:r>
                </w:p>
              </w:tc>
              <w:tc>
                <w:tcPr>
                  <w:tcW w:w="1327" w:type="dxa"/>
                  <w:tcBorders>
                    <w:top w:val="nil"/>
                    <w:left w:val="nil"/>
                    <w:bottom w:val="nil"/>
                    <w:right w:val="nil"/>
                  </w:tcBorders>
                  <w:vAlign w:val="center"/>
                </w:tcPr>
                <w:p w14:paraId="58047234" w14:textId="22EECDE0" w:rsidR="00F924DC" w:rsidRPr="009878ED" w:rsidRDefault="00DF51A1" w:rsidP="00F924DC">
                  <w:pPr>
                    <w:jc w:val="right"/>
                    <w:rPr>
                      <w:rFonts w:ascii="Arial" w:hAnsi="Arial" w:cs="Arial"/>
                      <w:sz w:val="22"/>
                      <w:szCs w:val="22"/>
                    </w:rPr>
                  </w:pPr>
                  <w:r>
                    <w:rPr>
                      <w:rFonts w:ascii="Arial" w:hAnsi="Arial" w:cs="Arial"/>
                      <w:sz w:val="22"/>
                      <w:szCs w:val="22"/>
                    </w:rPr>
                    <w:t>23.8</w:t>
                  </w:r>
                  <w:r w:rsidR="00F924DC" w:rsidRPr="009A4250">
                    <w:rPr>
                      <w:rFonts w:ascii="Arial" w:hAnsi="Arial" w:cs="Arial"/>
                      <w:sz w:val="22"/>
                      <w:szCs w:val="22"/>
                    </w:rPr>
                    <w:t>p</w:t>
                  </w:r>
                </w:p>
              </w:tc>
              <w:tc>
                <w:tcPr>
                  <w:tcW w:w="1327" w:type="dxa"/>
                  <w:tcBorders>
                    <w:top w:val="nil"/>
                    <w:left w:val="nil"/>
                    <w:bottom w:val="nil"/>
                    <w:right w:val="nil"/>
                  </w:tcBorders>
                  <w:shd w:val="clear" w:color="auto" w:fill="auto"/>
                  <w:vAlign w:val="center"/>
                </w:tcPr>
                <w:p w14:paraId="3D9E1F84" w14:textId="4D89B93B" w:rsidR="00F924DC" w:rsidRPr="009878ED" w:rsidRDefault="00F924DC" w:rsidP="00F924DC">
                  <w:pPr>
                    <w:jc w:val="right"/>
                    <w:rPr>
                      <w:rFonts w:ascii="Arial" w:hAnsi="Arial" w:cs="Arial"/>
                      <w:sz w:val="22"/>
                      <w:szCs w:val="22"/>
                    </w:rPr>
                  </w:pPr>
                  <w:r w:rsidRPr="009A4250">
                    <w:rPr>
                      <w:rFonts w:ascii="Arial" w:hAnsi="Arial" w:cs="Arial"/>
                      <w:sz w:val="22"/>
                      <w:szCs w:val="22"/>
                    </w:rPr>
                    <w:t>40.3p</w:t>
                  </w:r>
                </w:p>
              </w:tc>
              <w:tc>
                <w:tcPr>
                  <w:tcW w:w="1298" w:type="dxa"/>
                  <w:tcBorders>
                    <w:top w:val="nil"/>
                    <w:left w:val="nil"/>
                    <w:bottom w:val="nil"/>
                    <w:right w:val="nil"/>
                  </w:tcBorders>
                  <w:vAlign w:val="center"/>
                </w:tcPr>
                <w:p w14:paraId="762BD0A2" w14:textId="3E5CBE27" w:rsidR="00F924DC" w:rsidRPr="009878ED" w:rsidRDefault="00F924DC" w:rsidP="00F924DC">
                  <w:pPr>
                    <w:jc w:val="right"/>
                    <w:rPr>
                      <w:rFonts w:ascii="Arial" w:hAnsi="Arial" w:cs="Arial"/>
                      <w:sz w:val="22"/>
                      <w:szCs w:val="22"/>
                    </w:rPr>
                  </w:pPr>
                  <w:r w:rsidRPr="009878ED">
                    <w:rPr>
                      <w:rFonts w:ascii="Arial" w:hAnsi="Arial" w:cs="Arial"/>
                      <w:sz w:val="22"/>
                      <w:szCs w:val="22"/>
                    </w:rPr>
                    <w:t>(</w:t>
                  </w:r>
                  <w:r w:rsidR="002B72D8">
                    <w:rPr>
                      <w:rFonts w:ascii="Arial" w:hAnsi="Arial" w:cs="Arial"/>
                      <w:sz w:val="22"/>
                      <w:szCs w:val="22"/>
                    </w:rPr>
                    <w:t>40.9</w:t>
                  </w:r>
                  <w:r w:rsidRPr="009878ED">
                    <w:rPr>
                      <w:rFonts w:ascii="Arial" w:hAnsi="Arial" w:cs="Arial"/>
                      <w:sz w:val="22"/>
                      <w:szCs w:val="22"/>
                    </w:rPr>
                    <w:t>)%</w:t>
                  </w:r>
                </w:p>
              </w:tc>
              <w:tc>
                <w:tcPr>
                  <w:tcW w:w="1298" w:type="dxa"/>
                  <w:tcBorders>
                    <w:top w:val="nil"/>
                    <w:left w:val="nil"/>
                    <w:bottom w:val="nil"/>
                    <w:right w:val="nil"/>
                  </w:tcBorders>
                  <w:vAlign w:val="center"/>
                </w:tcPr>
                <w:p w14:paraId="09EFD436" w14:textId="77777777" w:rsidR="00F924DC" w:rsidRPr="009878ED" w:rsidRDefault="00F924DC" w:rsidP="00F924DC">
                  <w:pPr>
                    <w:jc w:val="right"/>
                    <w:rPr>
                      <w:rFonts w:ascii="Arial" w:hAnsi="Arial" w:cs="Arial"/>
                      <w:sz w:val="22"/>
                      <w:szCs w:val="22"/>
                    </w:rPr>
                  </w:pPr>
                </w:p>
              </w:tc>
              <w:tc>
                <w:tcPr>
                  <w:tcW w:w="1298" w:type="dxa"/>
                  <w:tcBorders>
                    <w:top w:val="nil"/>
                    <w:left w:val="nil"/>
                    <w:bottom w:val="nil"/>
                    <w:right w:val="nil"/>
                  </w:tcBorders>
                  <w:vAlign w:val="center"/>
                </w:tcPr>
                <w:p w14:paraId="50ACCABF" w14:textId="77777777" w:rsidR="00F924DC" w:rsidRPr="009878ED" w:rsidRDefault="00F924DC" w:rsidP="00F924DC">
                  <w:pPr>
                    <w:jc w:val="right"/>
                    <w:rPr>
                      <w:rFonts w:ascii="Arial" w:hAnsi="Arial" w:cs="Arial"/>
                      <w:sz w:val="22"/>
                      <w:szCs w:val="22"/>
                    </w:rPr>
                  </w:pPr>
                </w:p>
              </w:tc>
            </w:tr>
            <w:tr w:rsidR="00F924DC" w:rsidRPr="00EB4495" w14:paraId="5F0D8272" w14:textId="77777777" w:rsidTr="00D7726B">
              <w:trPr>
                <w:trHeight w:val="269"/>
              </w:trPr>
              <w:tc>
                <w:tcPr>
                  <w:tcW w:w="3458" w:type="dxa"/>
                  <w:tcBorders>
                    <w:top w:val="nil"/>
                    <w:left w:val="nil"/>
                    <w:bottom w:val="nil"/>
                    <w:right w:val="nil"/>
                  </w:tcBorders>
                  <w:shd w:val="clear" w:color="auto" w:fill="auto"/>
                  <w:tcMar>
                    <w:right w:w="57" w:type="dxa"/>
                  </w:tcMar>
                  <w:vAlign w:val="center"/>
                </w:tcPr>
                <w:p w14:paraId="415BE10F" w14:textId="6FC7B87C" w:rsidR="00F924DC" w:rsidRPr="009A4250" w:rsidRDefault="00F924DC" w:rsidP="00F924DC">
                  <w:pPr>
                    <w:jc w:val="left"/>
                    <w:rPr>
                      <w:rFonts w:ascii="Arial" w:hAnsi="Arial" w:cs="Arial"/>
                      <w:sz w:val="22"/>
                      <w:szCs w:val="22"/>
                    </w:rPr>
                  </w:pPr>
                  <w:r w:rsidRPr="009A4250">
                    <w:rPr>
                      <w:rFonts w:ascii="Arial" w:hAnsi="Arial" w:cs="Arial"/>
                      <w:sz w:val="22"/>
                      <w:szCs w:val="22"/>
                    </w:rPr>
                    <w:t>Net decrease in cash</w:t>
                  </w:r>
                  <w:r w:rsidRPr="009A4250">
                    <w:rPr>
                      <w:rFonts w:ascii="Arial" w:hAnsi="Arial" w:cs="Arial"/>
                      <w:sz w:val="22"/>
                      <w:szCs w:val="22"/>
                      <w:vertAlign w:val="superscript"/>
                    </w:rPr>
                    <w:t>(1)</w:t>
                  </w:r>
                </w:p>
              </w:tc>
              <w:tc>
                <w:tcPr>
                  <w:tcW w:w="1327" w:type="dxa"/>
                  <w:tcBorders>
                    <w:top w:val="nil"/>
                    <w:left w:val="nil"/>
                    <w:bottom w:val="nil"/>
                    <w:right w:val="nil"/>
                  </w:tcBorders>
                  <w:vAlign w:val="center"/>
                </w:tcPr>
                <w:p w14:paraId="7CD5DB4E" w14:textId="0C1E6A37" w:rsidR="00F924DC" w:rsidRPr="009878ED" w:rsidRDefault="00F924DC" w:rsidP="00F924DC">
                  <w:pPr>
                    <w:jc w:val="right"/>
                    <w:rPr>
                      <w:rFonts w:ascii="Arial" w:hAnsi="Arial" w:cs="Arial"/>
                      <w:sz w:val="22"/>
                      <w:szCs w:val="22"/>
                    </w:rPr>
                  </w:pPr>
                  <w:r w:rsidRPr="00337BFB">
                    <w:rPr>
                      <w:rFonts w:ascii="Arial" w:hAnsi="Arial" w:cs="Arial"/>
                      <w:sz w:val="22"/>
                      <w:szCs w:val="22"/>
                    </w:rPr>
                    <w:t>£(</w:t>
                  </w:r>
                  <w:r>
                    <w:rPr>
                      <w:rFonts w:ascii="Arial" w:hAnsi="Arial" w:cs="Arial"/>
                      <w:sz w:val="22"/>
                      <w:szCs w:val="22"/>
                    </w:rPr>
                    <w:t>555</w:t>
                  </w:r>
                  <w:r w:rsidRPr="00337BFB">
                    <w:rPr>
                      <w:rFonts w:ascii="Arial" w:hAnsi="Arial" w:cs="Arial"/>
                      <w:sz w:val="22"/>
                      <w:szCs w:val="22"/>
                    </w:rPr>
                    <w:t>)m</w:t>
                  </w:r>
                </w:p>
              </w:tc>
              <w:tc>
                <w:tcPr>
                  <w:tcW w:w="1327" w:type="dxa"/>
                  <w:tcBorders>
                    <w:top w:val="nil"/>
                    <w:left w:val="nil"/>
                    <w:bottom w:val="nil"/>
                    <w:right w:val="nil"/>
                  </w:tcBorders>
                  <w:shd w:val="clear" w:color="auto" w:fill="auto"/>
                  <w:vAlign w:val="center"/>
                </w:tcPr>
                <w:p w14:paraId="334B3DE4" w14:textId="1D0A7103" w:rsidR="00F924DC" w:rsidRPr="009878ED" w:rsidRDefault="00F924DC" w:rsidP="00F924DC">
                  <w:pPr>
                    <w:jc w:val="right"/>
                    <w:rPr>
                      <w:rFonts w:ascii="Arial" w:hAnsi="Arial" w:cs="Arial"/>
                      <w:sz w:val="22"/>
                      <w:szCs w:val="22"/>
                    </w:rPr>
                  </w:pPr>
                  <w:r w:rsidRPr="00337BFB">
                    <w:rPr>
                      <w:rFonts w:ascii="Arial" w:hAnsi="Arial" w:cs="Arial"/>
                      <w:sz w:val="22"/>
                      <w:szCs w:val="22"/>
                    </w:rPr>
                    <w:t>£(23</w:t>
                  </w:r>
                  <w:r>
                    <w:rPr>
                      <w:rFonts w:ascii="Arial" w:hAnsi="Arial" w:cs="Arial"/>
                      <w:sz w:val="22"/>
                      <w:szCs w:val="22"/>
                    </w:rPr>
                    <w:t>7</w:t>
                  </w:r>
                  <w:r w:rsidRPr="00337BFB">
                    <w:rPr>
                      <w:rFonts w:ascii="Arial" w:hAnsi="Arial" w:cs="Arial"/>
                      <w:sz w:val="22"/>
                      <w:szCs w:val="22"/>
                    </w:rPr>
                    <w:t>)m</w:t>
                  </w:r>
                </w:p>
              </w:tc>
              <w:tc>
                <w:tcPr>
                  <w:tcW w:w="1298" w:type="dxa"/>
                  <w:tcBorders>
                    <w:top w:val="nil"/>
                    <w:left w:val="nil"/>
                    <w:bottom w:val="nil"/>
                    <w:right w:val="nil"/>
                  </w:tcBorders>
                  <w:vAlign w:val="center"/>
                </w:tcPr>
                <w:p w14:paraId="689225B9" w14:textId="37660E3B" w:rsidR="00F924DC" w:rsidRPr="009878ED" w:rsidRDefault="00F924DC" w:rsidP="00F924DC">
                  <w:pPr>
                    <w:jc w:val="right"/>
                    <w:rPr>
                      <w:rFonts w:ascii="Arial" w:hAnsi="Arial" w:cs="Arial"/>
                      <w:sz w:val="22"/>
                      <w:szCs w:val="22"/>
                    </w:rPr>
                  </w:pPr>
                  <w:r w:rsidRPr="009878ED">
                    <w:rPr>
                      <w:rFonts w:ascii="Arial" w:hAnsi="Arial" w:cs="Arial"/>
                      <w:sz w:val="22"/>
                      <w:szCs w:val="22"/>
                    </w:rPr>
                    <w:t>n/a</w:t>
                  </w:r>
                </w:p>
              </w:tc>
              <w:tc>
                <w:tcPr>
                  <w:tcW w:w="1298" w:type="dxa"/>
                  <w:tcBorders>
                    <w:top w:val="nil"/>
                    <w:left w:val="nil"/>
                    <w:bottom w:val="nil"/>
                    <w:right w:val="nil"/>
                  </w:tcBorders>
                  <w:vAlign w:val="center"/>
                </w:tcPr>
                <w:p w14:paraId="49BE1880" w14:textId="77777777" w:rsidR="00F924DC" w:rsidRPr="009878ED" w:rsidRDefault="00F924DC" w:rsidP="00F924DC">
                  <w:pPr>
                    <w:jc w:val="right"/>
                    <w:rPr>
                      <w:rFonts w:ascii="Arial" w:hAnsi="Arial" w:cs="Arial"/>
                      <w:sz w:val="22"/>
                      <w:szCs w:val="22"/>
                    </w:rPr>
                  </w:pPr>
                </w:p>
              </w:tc>
              <w:tc>
                <w:tcPr>
                  <w:tcW w:w="1298" w:type="dxa"/>
                  <w:tcBorders>
                    <w:top w:val="nil"/>
                    <w:left w:val="nil"/>
                    <w:bottom w:val="nil"/>
                    <w:right w:val="nil"/>
                  </w:tcBorders>
                  <w:vAlign w:val="center"/>
                </w:tcPr>
                <w:p w14:paraId="1CBECEBA" w14:textId="77777777" w:rsidR="00F924DC" w:rsidRPr="009878ED" w:rsidRDefault="00F924DC" w:rsidP="00F924DC">
                  <w:pPr>
                    <w:jc w:val="right"/>
                    <w:rPr>
                      <w:rFonts w:ascii="Arial" w:hAnsi="Arial" w:cs="Arial"/>
                      <w:sz w:val="22"/>
                      <w:szCs w:val="22"/>
                    </w:rPr>
                  </w:pPr>
                </w:p>
              </w:tc>
            </w:tr>
            <w:tr w:rsidR="00F924DC" w:rsidRPr="00EB4495" w14:paraId="406EFA8A" w14:textId="77777777" w:rsidTr="00D7726B">
              <w:trPr>
                <w:trHeight w:val="269"/>
              </w:trPr>
              <w:tc>
                <w:tcPr>
                  <w:tcW w:w="3458" w:type="dxa"/>
                  <w:tcBorders>
                    <w:top w:val="nil"/>
                    <w:left w:val="nil"/>
                    <w:bottom w:val="nil"/>
                    <w:right w:val="nil"/>
                  </w:tcBorders>
                  <w:shd w:val="clear" w:color="auto" w:fill="auto"/>
                  <w:vAlign w:val="center"/>
                </w:tcPr>
                <w:p w14:paraId="24523731" w14:textId="280290F2" w:rsidR="00F924DC" w:rsidRPr="009A4250" w:rsidRDefault="00F924DC" w:rsidP="00F924DC">
                  <w:pPr>
                    <w:jc w:val="left"/>
                    <w:rPr>
                      <w:rFonts w:ascii="Arial" w:hAnsi="Arial" w:cs="Arial"/>
                      <w:sz w:val="22"/>
                      <w:szCs w:val="22"/>
                    </w:rPr>
                  </w:pPr>
                  <w:r>
                    <w:rPr>
                      <w:rFonts w:ascii="Arial" w:hAnsi="Arial" w:cs="Arial"/>
                      <w:sz w:val="22"/>
                      <w:szCs w:val="22"/>
                    </w:rPr>
                    <w:t>Total</w:t>
                  </w:r>
                  <w:r w:rsidRPr="009A4250">
                    <w:rPr>
                      <w:rFonts w:ascii="Arial" w:hAnsi="Arial" w:cs="Arial"/>
                      <w:sz w:val="22"/>
                      <w:szCs w:val="22"/>
                    </w:rPr>
                    <w:t xml:space="preserve"> dividen</w:t>
                  </w:r>
                  <w:r>
                    <w:rPr>
                      <w:rFonts w:ascii="Arial" w:hAnsi="Arial" w:cs="Arial"/>
                      <w:sz w:val="22"/>
                      <w:szCs w:val="22"/>
                    </w:rPr>
                    <w:t>d</w:t>
                  </w:r>
                  <w:r w:rsidRPr="009A4250">
                    <w:rPr>
                      <w:rFonts w:ascii="Arial" w:hAnsi="Arial" w:cs="Arial"/>
                      <w:sz w:val="22"/>
                      <w:szCs w:val="22"/>
                      <w:vertAlign w:val="superscript"/>
                    </w:rPr>
                    <w:t>(</w:t>
                  </w:r>
                  <w:r>
                    <w:rPr>
                      <w:rFonts w:ascii="Arial" w:hAnsi="Arial" w:cs="Arial"/>
                      <w:sz w:val="22"/>
                      <w:szCs w:val="22"/>
                      <w:vertAlign w:val="superscript"/>
                    </w:rPr>
                    <w:t>2</w:t>
                  </w:r>
                  <w:r w:rsidRPr="009A4250">
                    <w:rPr>
                      <w:rFonts w:ascii="Arial" w:hAnsi="Arial" w:cs="Arial"/>
                      <w:sz w:val="22"/>
                      <w:szCs w:val="22"/>
                      <w:vertAlign w:val="superscript"/>
                    </w:rPr>
                    <w:t>)</w:t>
                  </w:r>
                </w:p>
              </w:tc>
              <w:tc>
                <w:tcPr>
                  <w:tcW w:w="1327" w:type="dxa"/>
                  <w:tcBorders>
                    <w:top w:val="nil"/>
                    <w:left w:val="nil"/>
                    <w:bottom w:val="nil"/>
                    <w:right w:val="nil"/>
                  </w:tcBorders>
                  <w:vAlign w:val="center"/>
                </w:tcPr>
                <w:p w14:paraId="011C1C3C" w14:textId="749E6FA0" w:rsidR="00F924DC" w:rsidRPr="009878ED" w:rsidRDefault="00F924DC" w:rsidP="00F924DC">
                  <w:pPr>
                    <w:jc w:val="right"/>
                    <w:rPr>
                      <w:rFonts w:ascii="Arial" w:hAnsi="Arial" w:cs="Arial"/>
                      <w:sz w:val="22"/>
                      <w:szCs w:val="22"/>
                    </w:rPr>
                  </w:pPr>
                  <w:r w:rsidRPr="009A4250">
                    <w:rPr>
                      <w:rFonts w:ascii="Arial" w:hAnsi="Arial" w:cs="Arial"/>
                      <w:sz w:val="22"/>
                      <w:szCs w:val="22"/>
                    </w:rPr>
                    <w:t>12.40p</w:t>
                  </w:r>
                </w:p>
              </w:tc>
              <w:tc>
                <w:tcPr>
                  <w:tcW w:w="1327" w:type="dxa"/>
                  <w:tcBorders>
                    <w:top w:val="nil"/>
                    <w:left w:val="nil"/>
                    <w:bottom w:val="nil"/>
                    <w:right w:val="nil"/>
                  </w:tcBorders>
                  <w:shd w:val="clear" w:color="auto" w:fill="auto"/>
                  <w:vAlign w:val="center"/>
                </w:tcPr>
                <w:p w14:paraId="2E73DD93" w14:textId="49E3308A" w:rsidR="00F924DC" w:rsidRPr="009878ED" w:rsidRDefault="00F924DC" w:rsidP="00F924DC">
                  <w:pPr>
                    <w:jc w:val="right"/>
                    <w:rPr>
                      <w:rFonts w:ascii="Arial" w:hAnsi="Arial" w:cs="Arial"/>
                      <w:sz w:val="22"/>
                      <w:szCs w:val="22"/>
                    </w:rPr>
                  </w:pPr>
                  <w:r w:rsidRPr="009A4250">
                    <w:rPr>
                      <w:rFonts w:ascii="Arial" w:hAnsi="Arial" w:cs="Arial"/>
                      <w:sz w:val="22"/>
                      <w:szCs w:val="22"/>
                    </w:rPr>
                    <w:t>12.40p</w:t>
                  </w:r>
                </w:p>
              </w:tc>
              <w:tc>
                <w:tcPr>
                  <w:tcW w:w="1298" w:type="dxa"/>
                  <w:tcBorders>
                    <w:top w:val="nil"/>
                    <w:left w:val="nil"/>
                    <w:bottom w:val="nil"/>
                    <w:right w:val="nil"/>
                  </w:tcBorders>
                  <w:vAlign w:val="center"/>
                </w:tcPr>
                <w:p w14:paraId="2E081796" w14:textId="0176B7E3" w:rsidR="00F924DC" w:rsidRPr="009878ED" w:rsidRDefault="00F924DC" w:rsidP="00F924DC">
                  <w:pPr>
                    <w:jc w:val="right"/>
                    <w:rPr>
                      <w:rFonts w:ascii="Arial" w:hAnsi="Arial" w:cs="Arial"/>
                      <w:sz w:val="22"/>
                      <w:szCs w:val="22"/>
                    </w:rPr>
                  </w:pPr>
                  <w:r w:rsidRPr="009878ED">
                    <w:rPr>
                      <w:rFonts w:ascii="Arial" w:hAnsi="Arial" w:cs="Arial"/>
                      <w:sz w:val="22"/>
                      <w:szCs w:val="22"/>
                    </w:rPr>
                    <w:t>-</w:t>
                  </w:r>
                </w:p>
              </w:tc>
              <w:tc>
                <w:tcPr>
                  <w:tcW w:w="1298" w:type="dxa"/>
                  <w:tcBorders>
                    <w:top w:val="nil"/>
                    <w:left w:val="nil"/>
                    <w:bottom w:val="nil"/>
                    <w:right w:val="nil"/>
                  </w:tcBorders>
                  <w:vAlign w:val="center"/>
                </w:tcPr>
                <w:p w14:paraId="077DA9E7" w14:textId="77777777" w:rsidR="00F924DC" w:rsidRPr="009878ED" w:rsidRDefault="00F924DC" w:rsidP="00F924DC">
                  <w:pPr>
                    <w:jc w:val="right"/>
                    <w:rPr>
                      <w:rFonts w:ascii="Arial" w:hAnsi="Arial" w:cs="Arial"/>
                      <w:sz w:val="22"/>
                      <w:szCs w:val="22"/>
                    </w:rPr>
                  </w:pPr>
                </w:p>
              </w:tc>
              <w:tc>
                <w:tcPr>
                  <w:tcW w:w="1298" w:type="dxa"/>
                  <w:tcBorders>
                    <w:top w:val="nil"/>
                    <w:left w:val="nil"/>
                    <w:bottom w:val="nil"/>
                    <w:right w:val="nil"/>
                  </w:tcBorders>
                  <w:vAlign w:val="center"/>
                </w:tcPr>
                <w:p w14:paraId="7AEBBAEC" w14:textId="77777777" w:rsidR="00F924DC" w:rsidRPr="009878ED" w:rsidRDefault="00F924DC" w:rsidP="00F924DC">
                  <w:pPr>
                    <w:jc w:val="right"/>
                    <w:rPr>
                      <w:rFonts w:ascii="Arial" w:hAnsi="Arial" w:cs="Arial"/>
                      <w:sz w:val="22"/>
                      <w:szCs w:val="22"/>
                    </w:rPr>
                  </w:pPr>
                </w:p>
              </w:tc>
            </w:tr>
            <w:tr w:rsidR="00F924DC" w:rsidRPr="00EB4495" w14:paraId="3BB289ED" w14:textId="77777777" w:rsidTr="00D7726B">
              <w:trPr>
                <w:trHeight w:val="269"/>
              </w:trPr>
              <w:tc>
                <w:tcPr>
                  <w:tcW w:w="3458" w:type="dxa"/>
                  <w:tcBorders>
                    <w:top w:val="nil"/>
                    <w:left w:val="nil"/>
                    <w:bottom w:val="nil"/>
                    <w:right w:val="nil"/>
                  </w:tcBorders>
                  <w:shd w:val="clear" w:color="auto" w:fill="auto"/>
                  <w:vAlign w:val="center"/>
                </w:tcPr>
                <w:p w14:paraId="7C8E59AB" w14:textId="77777777" w:rsidR="00F924DC" w:rsidRPr="00EB4495" w:rsidRDefault="00F924DC" w:rsidP="00F924DC">
                  <w:pPr>
                    <w:jc w:val="left"/>
                    <w:rPr>
                      <w:rFonts w:ascii="Arial" w:hAnsi="Arial" w:cs="Arial"/>
                      <w:sz w:val="22"/>
                      <w:szCs w:val="22"/>
                    </w:rPr>
                  </w:pPr>
                </w:p>
              </w:tc>
              <w:tc>
                <w:tcPr>
                  <w:tcW w:w="1327" w:type="dxa"/>
                  <w:tcBorders>
                    <w:top w:val="nil"/>
                    <w:left w:val="nil"/>
                    <w:bottom w:val="nil"/>
                    <w:right w:val="nil"/>
                  </w:tcBorders>
                  <w:vAlign w:val="center"/>
                </w:tcPr>
                <w:p w14:paraId="7C12F7A5" w14:textId="77777777" w:rsidR="00F924DC" w:rsidRPr="009878ED" w:rsidRDefault="00F924DC" w:rsidP="00F924DC">
                  <w:pPr>
                    <w:jc w:val="right"/>
                    <w:rPr>
                      <w:rFonts w:ascii="Arial" w:hAnsi="Arial" w:cs="Arial"/>
                      <w:sz w:val="22"/>
                      <w:szCs w:val="22"/>
                    </w:rPr>
                  </w:pPr>
                </w:p>
              </w:tc>
              <w:tc>
                <w:tcPr>
                  <w:tcW w:w="1327" w:type="dxa"/>
                  <w:tcBorders>
                    <w:top w:val="nil"/>
                    <w:left w:val="nil"/>
                    <w:bottom w:val="nil"/>
                    <w:right w:val="nil"/>
                  </w:tcBorders>
                  <w:vAlign w:val="center"/>
                </w:tcPr>
                <w:p w14:paraId="7EB35EF6" w14:textId="77777777" w:rsidR="00F924DC" w:rsidRPr="009878ED" w:rsidRDefault="00F924DC" w:rsidP="00F924DC">
                  <w:pPr>
                    <w:jc w:val="right"/>
                    <w:rPr>
                      <w:rFonts w:ascii="Arial" w:hAnsi="Arial" w:cs="Arial"/>
                      <w:sz w:val="22"/>
                      <w:szCs w:val="22"/>
                    </w:rPr>
                  </w:pPr>
                </w:p>
              </w:tc>
              <w:tc>
                <w:tcPr>
                  <w:tcW w:w="1298" w:type="dxa"/>
                  <w:tcBorders>
                    <w:top w:val="nil"/>
                    <w:left w:val="nil"/>
                    <w:bottom w:val="nil"/>
                    <w:right w:val="nil"/>
                  </w:tcBorders>
                  <w:vAlign w:val="center"/>
                </w:tcPr>
                <w:p w14:paraId="424F0478" w14:textId="77777777" w:rsidR="00F924DC" w:rsidRPr="009878ED" w:rsidRDefault="00F924DC" w:rsidP="00F924DC">
                  <w:pPr>
                    <w:jc w:val="right"/>
                    <w:rPr>
                      <w:rFonts w:ascii="Arial" w:hAnsi="Arial" w:cs="Arial"/>
                      <w:sz w:val="22"/>
                      <w:szCs w:val="22"/>
                    </w:rPr>
                  </w:pPr>
                </w:p>
              </w:tc>
              <w:tc>
                <w:tcPr>
                  <w:tcW w:w="1298" w:type="dxa"/>
                  <w:tcBorders>
                    <w:top w:val="nil"/>
                    <w:left w:val="nil"/>
                    <w:bottom w:val="nil"/>
                    <w:right w:val="nil"/>
                  </w:tcBorders>
                  <w:vAlign w:val="center"/>
                </w:tcPr>
                <w:p w14:paraId="6C6B483B" w14:textId="77777777" w:rsidR="00F924DC" w:rsidRPr="009878ED" w:rsidRDefault="00F924DC" w:rsidP="00F924DC">
                  <w:pPr>
                    <w:jc w:val="right"/>
                    <w:rPr>
                      <w:rFonts w:ascii="Arial" w:hAnsi="Arial" w:cs="Arial"/>
                      <w:sz w:val="22"/>
                      <w:szCs w:val="22"/>
                    </w:rPr>
                  </w:pPr>
                </w:p>
              </w:tc>
              <w:tc>
                <w:tcPr>
                  <w:tcW w:w="1298" w:type="dxa"/>
                  <w:tcBorders>
                    <w:top w:val="nil"/>
                    <w:left w:val="nil"/>
                    <w:bottom w:val="nil"/>
                    <w:right w:val="nil"/>
                  </w:tcBorders>
                  <w:vAlign w:val="center"/>
                </w:tcPr>
                <w:p w14:paraId="6ABEFB10" w14:textId="77777777" w:rsidR="00F924DC" w:rsidRPr="009878ED" w:rsidRDefault="00F924DC" w:rsidP="00F924DC">
                  <w:pPr>
                    <w:jc w:val="right"/>
                    <w:rPr>
                      <w:rFonts w:ascii="Arial" w:hAnsi="Arial" w:cs="Arial"/>
                      <w:sz w:val="22"/>
                      <w:szCs w:val="22"/>
                    </w:rPr>
                  </w:pPr>
                </w:p>
              </w:tc>
            </w:tr>
            <w:tr w:rsidR="00F924DC" w:rsidRPr="00EB4495" w14:paraId="1C82AA1E" w14:textId="77777777" w:rsidTr="00D7726B">
              <w:trPr>
                <w:trHeight w:val="269"/>
              </w:trPr>
              <w:tc>
                <w:tcPr>
                  <w:tcW w:w="3458" w:type="dxa"/>
                  <w:tcBorders>
                    <w:top w:val="nil"/>
                    <w:left w:val="nil"/>
                    <w:bottom w:val="nil"/>
                    <w:right w:val="nil"/>
                  </w:tcBorders>
                  <w:shd w:val="clear" w:color="auto" w:fill="auto"/>
                  <w:vAlign w:val="center"/>
                </w:tcPr>
                <w:p w14:paraId="4B621F44" w14:textId="77777777" w:rsidR="00F924DC" w:rsidRPr="00EB4495" w:rsidRDefault="00F924DC" w:rsidP="00F924DC">
                  <w:pPr>
                    <w:jc w:val="left"/>
                    <w:rPr>
                      <w:rFonts w:ascii="Arial" w:hAnsi="Arial" w:cs="Arial"/>
                      <w:sz w:val="22"/>
                      <w:szCs w:val="22"/>
                    </w:rPr>
                  </w:pPr>
                  <w:r w:rsidRPr="00EB4495">
                    <w:rPr>
                      <w:rFonts w:ascii="Arial" w:hAnsi="Arial" w:cs="Arial"/>
                      <w:b/>
                      <w:bCs/>
                      <w:sz w:val="22"/>
                      <w:szCs w:val="22"/>
                      <w:u w:val="single"/>
                    </w:rPr>
                    <w:t>Adjusted metrics</w:t>
                  </w:r>
                </w:p>
              </w:tc>
              <w:tc>
                <w:tcPr>
                  <w:tcW w:w="1327" w:type="dxa"/>
                  <w:tcBorders>
                    <w:top w:val="nil"/>
                    <w:left w:val="nil"/>
                    <w:bottom w:val="nil"/>
                    <w:right w:val="nil"/>
                  </w:tcBorders>
                  <w:vAlign w:val="center"/>
                </w:tcPr>
                <w:p w14:paraId="0E564933" w14:textId="77777777" w:rsidR="00F924DC" w:rsidRPr="009878ED" w:rsidRDefault="00F924DC" w:rsidP="00F924DC">
                  <w:pPr>
                    <w:jc w:val="right"/>
                    <w:rPr>
                      <w:rFonts w:ascii="Arial" w:hAnsi="Arial" w:cs="Arial"/>
                      <w:sz w:val="22"/>
                      <w:szCs w:val="22"/>
                    </w:rPr>
                  </w:pPr>
                </w:p>
              </w:tc>
              <w:tc>
                <w:tcPr>
                  <w:tcW w:w="1327" w:type="dxa"/>
                  <w:tcBorders>
                    <w:top w:val="nil"/>
                    <w:left w:val="nil"/>
                    <w:bottom w:val="nil"/>
                    <w:right w:val="nil"/>
                  </w:tcBorders>
                  <w:vAlign w:val="center"/>
                </w:tcPr>
                <w:p w14:paraId="1F42E6AC" w14:textId="77777777" w:rsidR="00F924DC" w:rsidRPr="009878ED" w:rsidRDefault="00F924DC" w:rsidP="00F924DC">
                  <w:pPr>
                    <w:jc w:val="right"/>
                    <w:rPr>
                      <w:rFonts w:ascii="Arial" w:hAnsi="Arial" w:cs="Arial"/>
                      <w:sz w:val="22"/>
                      <w:szCs w:val="22"/>
                    </w:rPr>
                  </w:pPr>
                </w:p>
              </w:tc>
              <w:tc>
                <w:tcPr>
                  <w:tcW w:w="1298" w:type="dxa"/>
                  <w:tcBorders>
                    <w:top w:val="nil"/>
                    <w:left w:val="nil"/>
                    <w:bottom w:val="nil"/>
                    <w:right w:val="nil"/>
                  </w:tcBorders>
                  <w:vAlign w:val="center"/>
                </w:tcPr>
                <w:p w14:paraId="6498105A" w14:textId="77777777" w:rsidR="00F924DC" w:rsidRPr="009878ED" w:rsidRDefault="00F924DC" w:rsidP="00F924DC">
                  <w:pPr>
                    <w:jc w:val="right"/>
                    <w:rPr>
                      <w:rFonts w:ascii="Arial" w:hAnsi="Arial" w:cs="Arial"/>
                      <w:sz w:val="22"/>
                      <w:szCs w:val="22"/>
                    </w:rPr>
                  </w:pPr>
                </w:p>
              </w:tc>
              <w:tc>
                <w:tcPr>
                  <w:tcW w:w="1298" w:type="dxa"/>
                  <w:tcBorders>
                    <w:top w:val="nil"/>
                    <w:left w:val="nil"/>
                    <w:bottom w:val="nil"/>
                    <w:right w:val="nil"/>
                  </w:tcBorders>
                  <w:vAlign w:val="center"/>
                </w:tcPr>
                <w:p w14:paraId="38B82B8E" w14:textId="77777777" w:rsidR="00F924DC" w:rsidRPr="009878ED" w:rsidRDefault="00F924DC" w:rsidP="00F924DC">
                  <w:pPr>
                    <w:jc w:val="right"/>
                    <w:rPr>
                      <w:rFonts w:ascii="Arial" w:hAnsi="Arial" w:cs="Arial"/>
                      <w:sz w:val="22"/>
                      <w:szCs w:val="22"/>
                    </w:rPr>
                  </w:pPr>
                </w:p>
              </w:tc>
              <w:tc>
                <w:tcPr>
                  <w:tcW w:w="1298" w:type="dxa"/>
                  <w:tcBorders>
                    <w:top w:val="nil"/>
                    <w:left w:val="nil"/>
                    <w:bottom w:val="nil"/>
                    <w:right w:val="nil"/>
                  </w:tcBorders>
                  <w:vAlign w:val="center"/>
                </w:tcPr>
                <w:p w14:paraId="0C6BBEC8" w14:textId="77777777" w:rsidR="00F924DC" w:rsidRPr="009878ED" w:rsidRDefault="00F924DC" w:rsidP="00F924DC">
                  <w:pPr>
                    <w:jc w:val="right"/>
                    <w:rPr>
                      <w:rFonts w:ascii="Arial" w:hAnsi="Arial" w:cs="Arial"/>
                      <w:sz w:val="22"/>
                      <w:szCs w:val="22"/>
                    </w:rPr>
                  </w:pPr>
                </w:p>
              </w:tc>
            </w:tr>
            <w:tr w:rsidR="00F924DC" w:rsidRPr="00EB4495" w14:paraId="2914016D" w14:textId="77777777" w:rsidTr="00D7726B">
              <w:trPr>
                <w:trHeight w:val="269"/>
              </w:trPr>
              <w:tc>
                <w:tcPr>
                  <w:tcW w:w="3458" w:type="dxa"/>
                  <w:tcBorders>
                    <w:top w:val="nil"/>
                    <w:left w:val="nil"/>
                    <w:bottom w:val="nil"/>
                    <w:right w:val="nil"/>
                  </w:tcBorders>
                  <w:shd w:val="clear" w:color="auto" w:fill="auto"/>
                  <w:vAlign w:val="center"/>
                </w:tcPr>
                <w:p w14:paraId="5BC501DC" w14:textId="41DA79AE" w:rsidR="00F924DC" w:rsidRPr="00F21976" w:rsidRDefault="00F924DC" w:rsidP="00F924DC">
                  <w:pPr>
                    <w:jc w:val="left"/>
                    <w:rPr>
                      <w:rFonts w:ascii="Arial" w:hAnsi="Arial" w:cs="Arial"/>
                      <w:sz w:val="22"/>
                      <w:szCs w:val="22"/>
                    </w:rPr>
                  </w:pPr>
                  <w:r w:rsidRPr="00F21976">
                    <w:rPr>
                      <w:rFonts w:ascii="Arial" w:hAnsi="Arial" w:cs="Arial"/>
                      <w:sz w:val="22"/>
                      <w:szCs w:val="22"/>
                    </w:rPr>
                    <w:t>Retail profit</w:t>
                  </w:r>
                </w:p>
              </w:tc>
              <w:tc>
                <w:tcPr>
                  <w:tcW w:w="1327" w:type="dxa"/>
                  <w:tcBorders>
                    <w:top w:val="nil"/>
                    <w:left w:val="nil"/>
                    <w:bottom w:val="nil"/>
                    <w:right w:val="nil"/>
                  </w:tcBorders>
                  <w:vAlign w:val="center"/>
                </w:tcPr>
                <w:p w14:paraId="2FE54145" w14:textId="3EEED5DD" w:rsidR="00F924DC" w:rsidRPr="009878ED" w:rsidRDefault="00F924DC" w:rsidP="00F924DC">
                  <w:pPr>
                    <w:jc w:val="right"/>
                    <w:rPr>
                      <w:rFonts w:ascii="Arial" w:hAnsi="Arial" w:cs="Arial"/>
                      <w:sz w:val="22"/>
                      <w:szCs w:val="22"/>
                    </w:rPr>
                  </w:pPr>
                  <w:r w:rsidRPr="00EB4495">
                    <w:rPr>
                      <w:rFonts w:ascii="Arial" w:hAnsi="Arial" w:cs="Arial"/>
                      <w:sz w:val="22"/>
                      <w:szCs w:val="22"/>
                    </w:rPr>
                    <w:t>£</w:t>
                  </w:r>
                  <w:r>
                    <w:rPr>
                      <w:rFonts w:ascii="Arial" w:hAnsi="Arial" w:cs="Arial"/>
                      <w:sz w:val="22"/>
                      <w:szCs w:val="22"/>
                    </w:rPr>
                    <w:t>923</w:t>
                  </w:r>
                  <w:r w:rsidRPr="00EB4495">
                    <w:rPr>
                      <w:rFonts w:ascii="Arial" w:hAnsi="Arial" w:cs="Arial"/>
                      <w:sz w:val="22"/>
                      <w:szCs w:val="22"/>
                    </w:rPr>
                    <w:t>m</w:t>
                  </w:r>
                </w:p>
              </w:tc>
              <w:tc>
                <w:tcPr>
                  <w:tcW w:w="1327" w:type="dxa"/>
                  <w:tcBorders>
                    <w:top w:val="nil"/>
                    <w:left w:val="nil"/>
                    <w:bottom w:val="nil"/>
                    <w:right w:val="nil"/>
                  </w:tcBorders>
                  <w:vAlign w:val="center"/>
                </w:tcPr>
                <w:p w14:paraId="0905C092" w14:textId="727273CA" w:rsidR="00F924DC" w:rsidRPr="009878ED" w:rsidRDefault="00F924DC" w:rsidP="00F924DC">
                  <w:pPr>
                    <w:jc w:val="right"/>
                    <w:rPr>
                      <w:rFonts w:ascii="Arial" w:hAnsi="Arial" w:cs="Arial"/>
                      <w:sz w:val="22"/>
                      <w:szCs w:val="22"/>
                    </w:rPr>
                  </w:pPr>
                  <w:r w:rsidRPr="00EB4495">
                    <w:rPr>
                      <w:rFonts w:ascii="Arial" w:hAnsi="Arial" w:cs="Arial"/>
                      <w:sz w:val="22"/>
                      <w:szCs w:val="22"/>
                    </w:rPr>
                    <w:t>£1,148m</w:t>
                  </w:r>
                </w:p>
              </w:tc>
              <w:tc>
                <w:tcPr>
                  <w:tcW w:w="1298" w:type="dxa"/>
                  <w:tcBorders>
                    <w:top w:val="nil"/>
                    <w:left w:val="nil"/>
                    <w:bottom w:val="nil"/>
                    <w:right w:val="nil"/>
                  </w:tcBorders>
                  <w:vAlign w:val="center"/>
                </w:tcPr>
                <w:p w14:paraId="3CB965F9" w14:textId="06F7A55B" w:rsidR="00F924DC" w:rsidRPr="009878ED" w:rsidRDefault="00F924DC" w:rsidP="00F924DC">
                  <w:pPr>
                    <w:jc w:val="right"/>
                    <w:rPr>
                      <w:rFonts w:ascii="Arial" w:hAnsi="Arial" w:cs="Arial"/>
                      <w:sz w:val="22"/>
                      <w:szCs w:val="22"/>
                    </w:rPr>
                  </w:pPr>
                  <w:r w:rsidRPr="009878ED">
                    <w:rPr>
                      <w:rFonts w:ascii="Arial" w:hAnsi="Arial" w:cs="Arial"/>
                      <w:sz w:val="22"/>
                      <w:szCs w:val="22"/>
                    </w:rPr>
                    <w:t>(</w:t>
                  </w:r>
                  <w:r>
                    <w:rPr>
                      <w:rFonts w:ascii="Arial" w:hAnsi="Arial" w:cs="Arial"/>
                      <w:sz w:val="22"/>
                      <w:szCs w:val="22"/>
                    </w:rPr>
                    <w:t>19.</w:t>
                  </w:r>
                  <w:r w:rsidR="00C448C0">
                    <w:rPr>
                      <w:rFonts w:ascii="Arial" w:hAnsi="Arial" w:cs="Arial"/>
                      <w:sz w:val="22"/>
                      <w:szCs w:val="22"/>
                    </w:rPr>
                    <w:t>7</w:t>
                  </w:r>
                  <w:r w:rsidRPr="009878ED">
                    <w:rPr>
                      <w:rFonts w:ascii="Arial" w:hAnsi="Arial" w:cs="Arial"/>
                      <w:sz w:val="22"/>
                      <w:szCs w:val="22"/>
                    </w:rPr>
                    <w:t>)%</w:t>
                  </w:r>
                </w:p>
              </w:tc>
              <w:tc>
                <w:tcPr>
                  <w:tcW w:w="1298" w:type="dxa"/>
                  <w:tcBorders>
                    <w:top w:val="nil"/>
                    <w:left w:val="nil"/>
                    <w:bottom w:val="nil"/>
                    <w:right w:val="nil"/>
                  </w:tcBorders>
                  <w:vAlign w:val="center"/>
                </w:tcPr>
                <w:p w14:paraId="2F89DF7E" w14:textId="1C6200F5" w:rsidR="00F924DC" w:rsidRPr="009878ED" w:rsidRDefault="00F924DC" w:rsidP="00F924DC">
                  <w:pPr>
                    <w:jc w:val="right"/>
                    <w:rPr>
                      <w:rFonts w:ascii="Arial" w:hAnsi="Arial" w:cs="Arial"/>
                      <w:sz w:val="22"/>
                      <w:szCs w:val="22"/>
                    </w:rPr>
                  </w:pPr>
                  <w:r w:rsidRPr="009878ED">
                    <w:rPr>
                      <w:rFonts w:ascii="Arial" w:hAnsi="Arial" w:cs="Arial"/>
                      <w:sz w:val="22"/>
                      <w:szCs w:val="22"/>
                    </w:rPr>
                    <w:t>(</w:t>
                  </w:r>
                  <w:r>
                    <w:rPr>
                      <w:rFonts w:ascii="Arial" w:hAnsi="Arial" w:cs="Arial"/>
                      <w:sz w:val="22"/>
                      <w:szCs w:val="22"/>
                    </w:rPr>
                    <w:t>19.2</w:t>
                  </w:r>
                  <w:r w:rsidRPr="009878ED">
                    <w:rPr>
                      <w:rFonts w:ascii="Arial" w:hAnsi="Arial" w:cs="Arial"/>
                      <w:sz w:val="22"/>
                      <w:szCs w:val="22"/>
                    </w:rPr>
                    <w:t>)%</w:t>
                  </w:r>
                </w:p>
              </w:tc>
              <w:tc>
                <w:tcPr>
                  <w:tcW w:w="1298" w:type="dxa"/>
                  <w:tcBorders>
                    <w:top w:val="nil"/>
                    <w:left w:val="nil"/>
                    <w:bottom w:val="nil"/>
                    <w:right w:val="nil"/>
                  </w:tcBorders>
                  <w:vAlign w:val="center"/>
                </w:tcPr>
                <w:p w14:paraId="574FBD0A" w14:textId="77777777" w:rsidR="00F924DC" w:rsidRPr="009878ED" w:rsidRDefault="00F924DC" w:rsidP="00F924DC">
                  <w:pPr>
                    <w:jc w:val="right"/>
                    <w:rPr>
                      <w:rFonts w:ascii="Arial" w:hAnsi="Arial" w:cs="Arial"/>
                      <w:sz w:val="22"/>
                      <w:szCs w:val="22"/>
                    </w:rPr>
                  </w:pPr>
                </w:p>
              </w:tc>
            </w:tr>
            <w:tr w:rsidR="00F924DC" w:rsidRPr="00EB4495" w14:paraId="6E9D1AC6" w14:textId="77777777" w:rsidTr="00D7726B">
              <w:trPr>
                <w:trHeight w:val="269"/>
              </w:trPr>
              <w:tc>
                <w:tcPr>
                  <w:tcW w:w="3458" w:type="dxa"/>
                  <w:tcBorders>
                    <w:top w:val="nil"/>
                    <w:left w:val="nil"/>
                    <w:bottom w:val="nil"/>
                    <w:right w:val="nil"/>
                  </w:tcBorders>
                  <w:shd w:val="clear" w:color="auto" w:fill="auto"/>
                  <w:vAlign w:val="center"/>
                </w:tcPr>
                <w:p w14:paraId="7F876F70" w14:textId="470CDC29" w:rsidR="00F924DC" w:rsidRPr="00F21976" w:rsidRDefault="00F924DC" w:rsidP="00F924DC">
                  <w:pPr>
                    <w:jc w:val="left"/>
                    <w:rPr>
                      <w:rFonts w:ascii="Arial" w:hAnsi="Arial" w:cs="Arial"/>
                      <w:sz w:val="22"/>
                      <w:szCs w:val="22"/>
                    </w:rPr>
                  </w:pPr>
                  <w:r w:rsidRPr="00F21976">
                    <w:rPr>
                      <w:rFonts w:ascii="Arial" w:hAnsi="Arial" w:cs="Arial"/>
                      <w:sz w:val="22"/>
                      <w:szCs w:val="22"/>
                    </w:rPr>
                    <w:t>Retail profit margin %</w:t>
                  </w:r>
                </w:p>
              </w:tc>
              <w:tc>
                <w:tcPr>
                  <w:tcW w:w="1327" w:type="dxa"/>
                  <w:tcBorders>
                    <w:top w:val="nil"/>
                    <w:left w:val="nil"/>
                    <w:bottom w:val="nil"/>
                    <w:right w:val="nil"/>
                  </w:tcBorders>
                  <w:vAlign w:val="center"/>
                </w:tcPr>
                <w:p w14:paraId="09CB0869" w14:textId="775E8438" w:rsidR="00F924DC" w:rsidRPr="009878ED" w:rsidRDefault="00F924DC" w:rsidP="00F924DC">
                  <w:pPr>
                    <w:jc w:val="right"/>
                    <w:rPr>
                      <w:rFonts w:ascii="Arial" w:hAnsi="Arial" w:cs="Arial"/>
                      <w:sz w:val="22"/>
                      <w:szCs w:val="22"/>
                    </w:rPr>
                  </w:pPr>
                  <w:r>
                    <w:rPr>
                      <w:rFonts w:ascii="Arial" w:hAnsi="Arial" w:cs="Arial"/>
                      <w:sz w:val="22"/>
                      <w:szCs w:val="22"/>
                    </w:rPr>
                    <w:t>7.1</w:t>
                  </w:r>
                  <w:r w:rsidRPr="00EB4495">
                    <w:rPr>
                      <w:rFonts w:ascii="Arial" w:hAnsi="Arial" w:cs="Arial"/>
                      <w:sz w:val="22"/>
                      <w:szCs w:val="22"/>
                    </w:rPr>
                    <w:t>%</w:t>
                  </w:r>
                </w:p>
              </w:tc>
              <w:tc>
                <w:tcPr>
                  <w:tcW w:w="1327" w:type="dxa"/>
                  <w:tcBorders>
                    <w:top w:val="nil"/>
                    <w:left w:val="nil"/>
                    <w:bottom w:val="nil"/>
                    <w:right w:val="nil"/>
                  </w:tcBorders>
                  <w:shd w:val="clear" w:color="auto" w:fill="auto"/>
                  <w:vAlign w:val="center"/>
                </w:tcPr>
                <w:p w14:paraId="4D0E6D33" w14:textId="1B2F4732" w:rsidR="00F924DC" w:rsidRPr="009878ED" w:rsidRDefault="00F924DC" w:rsidP="00F924DC">
                  <w:pPr>
                    <w:jc w:val="right"/>
                    <w:rPr>
                      <w:rFonts w:ascii="Arial" w:hAnsi="Arial" w:cs="Arial"/>
                      <w:sz w:val="22"/>
                      <w:szCs w:val="22"/>
                    </w:rPr>
                  </w:pPr>
                  <w:r w:rsidRPr="00EB4495">
                    <w:rPr>
                      <w:rFonts w:ascii="Arial" w:hAnsi="Arial" w:cs="Arial"/>
                      <w:sz w:val="22"/>
                      <w:szCs w:val="22"/>
                    </w:rPr>
                    <w:t>8.7%</w:t>
                  </w:r>
                </w:p>
              </w:tc>
              <w:tc>
                <w:tcPr>
                  <w:tcW w:w="1298" w:type="dxa"/>
                  <w:tcBorders>
                    <w:top w:val="nil"/>
                    <w:left w:val="nil"/>
                    <w:bottom w:val="nil"/>
                    <w:right w:val="nil"/>
                  </w:tcBorders>
                  <w:vAlign w:val="center"/>
                </w:tcPr>
                <w:p w14:paraId="3D801B30" w14:textId="2B1F89FF" w:rsidR="00F924DC" w:rsidRPr="009878ED" w:rsidRDefault="00F924DC" w:rsidP="00F924DC">
                  <w:pPr>
                    <w:jc w:val="right"/>
                    <w:rPr>
                      <w:rFonts w:ascii="Arial" w:hAnsi="Arial" w:cs="Arial"/>
                      <w:sz w:val="22"/>
                      <w:szCs w:val="22"/>
                    </w:rPr>
                  </w:pPr>
                  <w:r w:rsidRPr="009878ED">
                    <w:rPr>
                      <w:rFonts w:ascii="Arial" w:hAnsi="Arial" w:cs="Arial"/>
                      <w:sz w:val="22"/>
                      <w:szCs w:val="22"/>
                    </w:rPr>
                    <w:t>(</w:t>
                  </w:r>
                  <w:r>
                    <w:rPr>
                      <w:rFonts w:ascii="Arial" w:hAnsi="Arial" w:cs="Arial"/>
                      <w:sz w:val="22"/>
                      <w:szCs w:val="22"/>
                    </w:rPr>
                    <w:t>160</w:t>
                  </w:r>
                  <w:r w:rsidRPr="009878ED">
                    <w:rPr>
                      <w:rFonts w:ascii="Arial" w:hAnsi="Arial" w:cs="Arial"/>
                      <w:sz w:val="22"/>
                      <w:szCs w:val="22"/>
                    </w:rPr>
                    <w:t>)bps</w:t>
                  </w:r>
                </w:p>
              </w:tc>
              <w:tc>
                <w:tcPr>
                  <w:tcW w:w="1298" w:type="dxa"/>
                  <w:tcBorders>
                    <w:top w:val="nil"/>
                    <w:left w:val="nil"/>
                    <w:bottom w:val="nil"/>
                    <w:right w:val="nil"/>
                  </w:tcBorders>
                  <w:vAlign w:val="center"/>
                </w:tcPr>
                <w:p w14:paraId="769FDC39" w14:textId="69081C9D" w:rsidR="00F924DC" w:rsidRPr="009878ED" w:rsidRDefault="00F924DC" w:rsidP="00F924DC">
                  <w:pPr>
                    <w:jc w:val="right"/>
                    <w:rPr>
                      <w:rFonts w:ascii="Arial" w:hAnsi="Arial" w:cs="Arial"/>
                      <w:sz w:val="22"/>
                      <w:szCs w:val="22"/>
                    </w:rPr>
                  </w:pPr>
                  <w:r w:rsidRPr="009878ED">
                    <w:rPr>
                      <w:rFonts w:ascii="Arial" w:hAnsi="Arial" w:cs="Arial"/>
                      <w:sz w:val="22"/>
                      <w:szCs w:val="22"/>
                    </w:rPr>
                    <w:t>(</w:t>
                  </w:r>
                  <w:r>
                    <w:rPr>
                      <w:rFonts w:ascii="Arial" w:hAnsi="Arial" w:cs="Arial"/>
                      <w:sz w:val="22"/>
                      <w:szCs w:val="22"/>
                    </w:rPr>
                    <w:t>160</w:t>
                  </w:r>
                  <w:r w:rsidRPr="009878ED">
                    <w:rPr>
                      <w:rFonts w:ascii="Arial" w:hAnsi="Arial" w:cs="Arial"/>
                      <w:sz w:val="22"/>
                      <w:szCs w:val="22"/>
                    </w:rPr>
                    <w:t>)bps</w:t>
                  </w:r>
                </w:p>
              </w:tc>
              <w:tc>
                <w:tcPr>
                  <w:tcW w:w="1298" w:type="dxa"/>
                  <w:tcBorders>
                    <w:top w:val="nil"/>
                    <w:left w:val="nil"/>
                    <w:bottom w:val="nil"/>
                    <w:right w:val="nil"/>
                  </w:tcBorders>
                  <w:vAlign w:val="center"/>
                </w:tcPr>
                <w:p w14:paraId="6DD0641A" w14:textId="77777777" w:rsidR="00F924DC" w:rsidRPr="009878ED" w:rsidRDefault="00F924DC" w:rsidP="00F924DC">
                  <w:pPr>
                    <w:jc w:val="right"/>
                    <w:rPr>
                      <w:rFonts w:ascii="Arial" w:hAnsi="Arial" w:cs="Arial"/>
                      <w:sz w:val="22"/>
                      <w:szCs w:val="22"/>
                    </w:rPr>
                  </w:pPr>
                </w:p>
              </w:tc>
            </w:tr>
            <w:tr w:rsidR="00F924DC" w:rsidRPr="00EB4495" w14:paraId="50E0D8C4" w14:textId="77777777" w:rsidTr="00D7726B">
              <w:trPr>
                <w:trHeight w:val="269"/>
              </w:trPr>
              <w:tc>
                <w:tcPr>
                  <w:tcW w:w="3458" w:type="dxa"/>
                  <w:tcBorders>
                    <w:top w:val="nil"/>
                    <w:left w:val="nil"/>
                    <w:bottom w:val="nil"/>
                    <w:right w:val="nil"/>
                  </w:tcBorders>
                  <w:shd w:val="clear" w:color="auto" w:fill="auto"/>
                  <w:vAlign w:val="center"/>
                </w:tcPr>
                <w:p w14:paraId="1C191C56" w14:textId="4215AD72" w:rsidR="00F924DC" w:rsidRPr="00F21976" w:rsidRDefault="00F924DC" w:rsidP="00F924DC">
                  <w:pPr>
                    <w:jc w:val="left"/>
                    <w:rPr>
                      <w:rFonts w:ascii="Arial" w:hAnsi="Arial" w:cs="Arial"/>
                      <w:sz w:val="22"/>
                      <w:szCs w:val="22"/>
                    </w:rPr>
                  </w:pPr>
                  <w:r w:rsidRPr="00F21976">
                    <w:rPr>
                      <w:rFonts w:ascii="Arial" w:hAnsi="Arial" w:cs="Arial"/>
                      <w:sz w:val="22"/>
                      <w:szCs w:val="22"/>
                    </w:rPr>
                    <w:t>Adjusted pre-tax profit</w:t>
                  </w:r>
                </w:p>
              </w:tc>
              <w:tc>
                <w:tcPr>
                  <w:tcW w:w="1327" w:type="dxa"/>
                  <w:tcBorders>
                    <w:top w:val="nil"/>
                    <w:left w:val="nil"/>
                    <w:bottom w:val="nil"/>
                    <w:right w:val="nil"/>
                  </w:tcBorders>
                  <w:vAlign w:val="center"/>
                </w:tcPr>
                <w:p w14:paraId="0A60D335" w14:textId="3AFC0201" w:rsidR="00F924DC" w:rsidRPr="009878ED" w:rsidRDefault="00F924DC" w:rsidP="00F924DC">
                  <w:pPr>
                    <w:jc w:val="right"/>
                    <w:rPr>
                      <w:rFonts w:ascii="Arial" w:hAnsi="Arial" w:cs="Arial"/>
                      <w:sz w:val="22"/>
                      <w:szCs w:val="22"/>
                    </w:rPr>
                  </w:pPr>
                  <w:r w:rsidRPr="0056048C">
                    <w:rPr>
                      <w:rFonts w:ascii="Arial" w:hAnsi="Arial" w:cs="Arial"/>
                      <w:sz w:val="22"/>
                      <w:szCs w:val="22"/>
                    </w:rPr>
                    <w:t>£</w:t>
                  </w:r>
                  <w:r>
                    <w:rPr>
                      <w:rFonts w:ascii="Arial" w:hAnsi="Arial" w:cs="Arial"/>
                      <w:sz w:val="22"/>
                      <w:szCs w:val="22"/>
                    </w:rPr>
                    <w:t>758</w:t>
                  </w:r>
                  <w:r w:rsidRPr="0056048C">
                    <w:rPr>
                      <w:rFonts w:ascii="Arial" w:hAnsi="Arial" w:cs="Arial"/>
                      <w:sz w:val="22"/>
                      <w:szCs w:val="22"/>
                    </w:rPr>
                    <w:t>m</w:t>
                  </w:r>
                </w:p>
              </w:tc>
              <w:tc>
                <w:tcPr>
                  <w:tcW w:w="1327" w:type="dxa"/>
                  <w:tcBorders>
                    <w:top w:val="nil"/>
                    <w:left w:val="nil"/>
                    <w:bottom w:val="nil"/>
                    <w:right w:val="nil"/>
                  </w:tcBorders>
                  <w:shd w:val="clear" w:color="auto" w:fill="auto"/>
                  <w:vAlign w:val="center"/>
                </w:tcPr>
                <w:p w14:paraId="3F934210" w14:textId="39CE9B6C" w:rsidR="00F924DC" w:rsidRPr="009878ED" w:rsidRDefault="00F924DC" w:rsidP="00F924DC">
                  <w:pPr>
                    <w:jc w:val="right"/>
                    <w:rPr>
                      <w:rFonts w:ascii="Arial" w:hAnsi="Arial" w:cs="Arial"/>
                      <w:sz w:val="22"/>
                      <w:szCs w:val="22"/>
                    </w:rPr>
                  </w:pPr>
                  <w:r w:rsidRPr="0056048C">
                    <w:rPr>
                      <w:rFonts w:ascii="Arial" w:hAnsi="Arial" w:cs="Arial"/>
                      <w:sz w:val="22"/>
                      <w:szCs w:val="22"/>
                    </w:rPr>
                    <w:t>£949m</w:t>
                  </w:r>
                </w:p>
              </w:tc>
              <w:tc>
                <w:tcPr>
                  <w:tcW w:w="1298" w:type="dxa"/>
                  <w:tcBorders>
                    <w:top w:val="nil"/>
                    <w:left w:val="nil"/>
                    <w:bottom w:val="nil"/>
                    <w:right w:val="nil"/>
                  </w:tcBorders>
                  <w:vAlign w:val="center"/>
                </w:tcPr>
                <w:p w14:paraId="0F5A474B" w14:textId="72CC57E9" w:rsidR="00F924DC" w:rsidRPr="009878ED" w:rsidRDefault="00F924DC" w:rsidP="00F924DC">
                  <w:pPr>
                    <w:jc w:val="right"/>
                    <w:rPr>
                      <w:rFonts w:ascii="Arial" w:hAnsi="Arial" w:cs="Arial"/>
                      <w:sz w:val="22"/>
                      <w:szCs w:val="22"/>
                    </w:rPr>
                  </w:pPr>
                  <w:r w:rsidRPr="009878ED">
                    <w:rPr>
                      <w:rFonts w:ascii="Arial" w:hAnsi="Arial" w:cs="Arial"/>
                      <w:sz w:val="22"/>
                      <w:szCs w:val="22"/>
                    </w:rPr>
                    <w:t>(</w:t>
                  </w:r>
                  <w:r>
                    <w:rPr>
                      <w:rFonts w:ascii="Arial" w:hAnsi="Arial" w:cs="Arial"/>
                      <w:sz w:val="22"/>
                      <w:szCs w:val="22"/>
                    </w:rPr>
                    <w:t>20.</w:t>
                  </w:r>
                  <w:r w:rsidR="004D3347">
                    <w:rPr>
                      <w:rFonts w:ascii="Arial" w:hAnsi="Arial" w:cs="Arial"/>
                      <w:sz w:val="22"/>
                      <w:szCs w:val="22"/>
                    </w:rPr>
                    <w:t>2</w:t>
                  </w:r>
                  <w:r w:rsidRPr="009878ED">
                    <w:rPr>
                      <w:rFonts w:ascii="Arial" w:hAnsi="Arial" w:cs="Arial"/>
                      <w:sz w:val="22"/>
                      <w:szCs w:val="22"/>
                    </w:rPr>
                    <w:t>)%</w:t>
                  </w:r>
                </w:p>
              </w:tc>
              <w:tc>
                <w:tcPr>
                  <w:tcW w:w="1298" w:type="dxa"/>
                  <w:tcBorders>
                    <w:top w:val="nil"/>
                    <w:left w:val="nil"/>
                    <w:bottom w:val="nil"/>
                    <w:right w:val="nil"/>
                  </w:tcBorders>
                  <w:vAlign w:val="center"/>
                </w:tcPr>
                <w:p w14:paraId="156DB5CE" w14:textId="77777777" w:rsidR="00F924DC" w:rsidRPr="009878ED" w:rsidRDefault="00F924DC" w:rsidP="00F924DC">
                  <w:pPr>
                    <w:jc w:val="right"/>
                    <w:rPr>
                      <w:rFonts w:ascii="Arial" w:hAnsi="Arial" w:cs="Arial"/>
                      <w:sz w:val="22"/>
                      <w:szCs w:val="22"/>
                    </w:rPr>
                  </w:pPr>
                </w:p>
              </w:tc>
              <w:tc>
                <w:tcPr>
                  <w:tcW w:w="1298" w:type="dxa"/>
                  <w:tcBorders>
                    <w:top w:val="nil"/>
                    <w:left w:val="nil"/>
                    <w:bottom w:val="nil"/>
                    <w:right w:val="nil"/>
                  </w:tcBorders>
                  <w:vAlign w:val="center"/>
                </w:tcPr>
                <w:p w14:paraId="2CE46419" w14:textId="77777777" w:rsidR="00F924DC" w:rsidRPr="009878ED" w:rsidRDefault="00F924DC" w:rsidP="00F924DC">
                  <w:pPr>
                    <w:jc w:val="right"/>
                    <w:rPr>
                      <w:rFonts w:ascii="Arial" w:hAnsi="Arial" w:cs="Arial"/>
                      <w:sz w:val="22"/>
                      <w:szCs w:val="22"/>
                    </w:rPr>
                  </w:pPr>
                </w:p>
              </w:tc>
            </w:tr>
            <w:tr w:rsidR="00A30415" w:rsidRPr="00EB4495" w14:paraId="14C64B83" w14:textId="77777777" w:rsidTr="00D7726B">
              <w:trPr>
                <w:trHeight w:val="269"/>
              </w:trPr>
              <w:tc>
                <w:tcPr>
                  <w:tcW w:w="3458" w:type="dxa"/>
                  <w:tcBorders>
                    <w:top w:val="nil"/>
                    <w:left w:val="nil"/>
                    <w:bottom w:val="nil"/>
                    <w:right w:val="nil"/>
                  </w:tcBorders>
                  <w:shd w:val="clear" w:color="auto" w:fill="auto"/>
                  <w:vAlign w:val="center"/>
                </w:tcPr>
                <w:p w14:paraId="469377EF" w14:textId="3818A412" w:rsidR="00A30415" w:rsidRPr="00F21976" w:rsidRDefault="00A30415" w:rsidP="00A30415">
                  <w:pPr>
                    <w:jc w:val="left"/>
                    <w:rPr>
                      <w:rFonts w:ascii="Arial" w:hAnsi="Arial" w:cs="Arial"/>
                    </w:rPr>
                  </w:pPr>
                  <w:r>
                    <w:rPr>
                      <w:rFonts w:ascii="Arial" w:hAnsi="Arial" w:cs="Arial"/>
                      <w:sz w:val="22"/>
                      <w:szCs w:val="22"/>
                    </w:rPr>
                    <w:t>Adjusted pre-tax</w:t>
                  </w:r>
                  <w:r w:rsidRPr="00F21976">
                    <w:rPr>
                      <w:rFonts w:ascii="Arial" w:hAnsi="Arial" w:cs="Arial"/>
                      <w:sz w:val="22"/>
                      <w:szCs w:val="22"/>
                    </w:rPr>
                    <w:t xml:space="preserve"> profit margin %</w:t>
                  </w:r>
                  <w:r w:rsidR="00D95A1B">
                    <w:rPr>
                      <w:rFonts w:ascii="Arial" w:hAnsi="Arial" w:cs="Arial"/>
                      <w:sz w:val="22"/>
                      <w:szCs w:val="22"/>
                    </w:rPr>
                    <w:t>*</w:t>
                  </w:r>
                </w:p>
              </w:tc>
              <w:tc>
                <w:tcPr>
                  <w:tcW w:w="1327" w:type="dxa"/>
                  <w:tcBorders>
                    <w:top w:val="nil"/>
                    <w:left w:val="nil"/>
                    <w:bottom w:val="nil"/>
                    <w:right w:val="nil"/>
                  </w:tcBorders>
                  <w:vAlign w:val="center"/>
                </w:tcPr>
                <w:p w14:paraId="226CE67D" w14:textId="43F55C2B" w:rsidR="00A30415" w:rsidRPr="00804101" w:rsidRDefault="00A30415" w:rsidP="00A30415">
                  <w:pPr>
                    <w:jc w:val="right"/>
                    <w:rPr>
                      <w:rFonts w:ascii="Arial" w:hAnsi="Arial" w:cs="Arial"/>
                    </w:rPr>
                  </w:pPr>
                  <w:r>
                    <w:rPr>
                      <w:rFonts w:ascii="Arial" w:hAnsi="Arial" w:cs="Arial"/>
                      <w:sz w:val="22"/>
                      <w:szCs w:val="22"/>
                    </w:rPr>
                    <w:t>5.8</w:t>
                  </w:r>
                  <w:r w:rsidRPr="00EB4495">
                    <w:rPr>
                      <w:rFonts w:ascii="Arial" w:hAnsi="Arial" w:cs="Arial"/>
                      <w:sz w:val="22"/>
                      <w:szCs w:val="22"/>
                    </w:rPr>
                    <w:t>%</w:t>
                  </w:r>
                </w:p>
              </w:tc>
              <w:tc>
                <w:tcPr>
                  <w:tcW w:w="1327" w:type="dxa"/>
                  <w:tcBorders>
                    <w:top w:val="nil"/>
                    <w:left w:val="nil"/>
                    <w:bottom w:val="nil"/>
                    <w:right w:val="nil"/>
                  </w:tcBorders>
                  <w:shd w:val="clear" w:color="auto" w:fill="auto"/>
                  <w:vAlign w:val="center"/>
                </w:tcPr>
                <w:p w14:paraId="46D31B02" w14:textId="52DF9B19" w:rsidR="00A30415" w:rsidRPr="00804101" w:rsidRDefault="00A30415" w:rsidP="00A30415">
                  <w:pPr>
                    <w:jc w:val="right"/>
                    <w:rPr>
                      <w:rFonts w:ascii="Arial" w:hAnsi="Arial" w:cs="Arial"/>
                    </w:rPr>
                  </w:pPr>
                  <w:r>
                    <w:rPr>
                      <w:rFonts w:ascii="Arial" w:hAnsi="Arial" w:cs="Arial"/>
                      <w:sz w:val="22"/>
                      <w:szCs w:val="22"/>
                    </w:rPr>
                    <w:t>7</w:t>
                  </w:r>
                  <w:r w:rsidRPr="00EB4495">
                    <w:rPr>
                      <w:rFonts w:ascii="Arial" w:hAnsi="Arial" w:cs="Arial"/>
                      <w:sz w:val="22"/>
                      <w:szCs w:val="22"/>
                    </w:rPr>
                    <w:t>.</w:t>
                  </w:r>
                  <w:r>
                    <w:rPr>
                      <w:rFonts w:ascii="Arial" w:hAnsi="Arial" w:cs="Arial"/>
                      <w:sz w:val="22"/>
                      <w:szCs w:val="22"/>
                    </w:rPr>
                    <w:t>2</w:t>
                  </w:r>
                  <w:r w:rsidRPr="00EB4495">
                    <w:rPr>
                      <w:rFonts w:ascii="Arial" w:hAnsi="Arial" w:cs="Arial"/>
                      <w:sz w:val="22"/>
                      <w:szCs w:val="22"/>
                    </w:rPr>
                    <w:t>%</w:t>
                  </w:r>
                </w:p>
              </w:tc>
              <w:tc>
                <w:tcPr>
                  <w:tcW w:w="1298" w:type="dxa"/>
                  <w:tcBorders>
                    <w:top w:val="nil"/>
                    <w:left w:val="nil"/>
                    <w:bottom w:val="nil"/>
                    <w:right w:val="nil"/>
                  </w:tcBorders>
                  <w:vAlign w:val="center"/>
                </w:tcPr>
                <w:p w14:paraId="2BBFEE26" w14:textId="13822AF6" w:rsidR="00A30415" w:rsidRPr="009878ED" w:rsidRDefault="00A30415" w:rsidP="00A30415">
                  <w:pPr>
                    <w:jc w:val="right"/>
                    <w:rPr>
                      <w:rFonts w:ascii="Arial" w:hAnsi="Arial" w:cs="Arial"/>
                    </w:rPr>
                  </w:pPr>
                  <w:r w:rsidRPr="009878ED">
                    <w:rPr>
                      <w:rFonts w:ascii="Arial" w:hAnsi="Arial" w:cs="Arial"/>
                      <w:sz w:val="22"/>
                      <w:szCs w:val="22"/>
                    </w:rPr>
                    <w:t>(</w:t>
                  </w:r>
                  <w:r>
                    <w:rPr>
                      <w:rFonts w:ascii="Arial" w:hAnsi="Arial" w:cs="Arial"/>
                      <w:sz w:val="22"/>
                      <w:szCs w:val="22"/>
                    </w:rPr>
                    <w:t>140</w:t>
                  </w:r>
                  <w:r w:rsidRPr="009878ED">
                    <w:rPr>
                      <w:rFonts w:ascii="Arial" w:hAnsi="Arial" w:cs="Arial"/>
                      <w:sz w:val="22"/>
                      <w:szCs w:val="22"/>
                    </w:rPr>
                    <w:t>)bps</w:t>
                  </w:r>
                </w:p>
              </w:tc>
              <w:tc>
                <w:tcPr>
                  <w:tcW w:w="1298" w:type="dxa"/>
                  <w:tcBorders>
                    <w:top w:val="nil"/>
                    <w:left w:val="nil"/>
                    <w:bottom w:val="nil"/>
                    <w:right w:val="nil"/>
                  </w:tcBorders>
                  <w:vAlign w:val="center"/>
                </w:tcPr>
                <w:p w14:paraId="7D1FFA26" w14:textId="6F1F4A4A" w:rsidR="00A30415" w:rsidRPr="009878ED" w:rsidRDefault="00A30415" w:rsidP="00A30415">
                  <w:pPr>
                    <w:jc w:val="right"/>
                    <w:rPr>
                      <w:rFonts w:ascii="Arial" w:hAnsi="Arial" w:cs="Arial"/>
                    </w:rPr>
                  </w:pPr>
                </w:p>
              </w:tc>
              <w:tc>
                <w:tcPr>
                  <w:tcW w:w="1298" w:type="dxa"/>
                  <w:tcBorders>
                    <w:top w:val="nil"/>
                    <w:left w:val="nil"/>
                    <w:bottom w:val="nil"/>
                    <w:right w:val="nil"/>
                  </w:tcBorders>
                  <w:vAlign w:val="center"/>
                </w:tcPr>
                <w:p w14:paraId="4ECC758C" w14:textId="77777777" w:rsidR="00A30415" w:rsidRPr="009878ED" w:rsidRDefault="00A30415" w:rsidP="00A30415">
                  <w:pPr>
                    <w:jc w:val="right"/>
                    <w:rPr>
                      <w:rFonts w:ascii="Arial" w:hAnsi="Arial" w:cs="Arial"/>
                    </w:rPr>
                  </w:pPr>
                </w:p>
              </w:tc>
            </w:tr>
            <w:tr w:rsidR="00B80B8D" w:rsidRPr="00EB4495" w14:paraId="4B7A34BF" w14:textId="77777777" w:rsidTr="00D7726B">
              <w:trPr>
                <w:trHeight w:val="269"/>
              </w:trPr>
              <w:tc>
                <w:tcPr>
                  <w:tcW w:w="3458" w:type="dxa"/>
                  <w:tcBorders>
                    <w:top w:val="nil"/>
                    <w:left w:val="nil"/>
                    <w:bottom w:val="nil"/>
                    <w:right w:val="nil"/>
                  </w:tcBorders>
                  <w:shd w:val="clear" w:color="auto" w:fill="auto"/>
                  <w:vAlign w:val="center"/>
                </w:tcPr>
                <w:p w14:paraId="5CE8AE32" w14:textId="3D6EF6FB" w:rsidR="00B80B8D" w:rsidRPr="00F21976" w:rsidRDefault="00B80B8D" w:rsidP="00B80B8D">
                  <w:pPr>
                    <w:jc w:val="left"/>
                    <w:rPr>
                      <w:rFonts w:ascii="Arial" w:hAnsi="Arial" w:cs="Arial"/>
                      <w:sz w:val="22"/>
                      <w:szCs w:val="22"/>
                    </w:rPr>
                  </w:pPr>
                  <w:r w:rsidRPr="00F21976">
                    <w:rPr>
                      <w:rFonts w:ascii="Arial" w:hAnsi="Arial" w:cs="Arial"/>
                      <w:sz w:val="22"/>
                      <w:szCs w:val="22"/>
                    </w:rPr>
                    <w:t>Adjusted post-tax profit</w:t>
                  </w:r>
                </w:p>
              </w:tc>
              <w:tc>
                <w:tcPr>
                  <w:tcW w:w="1327" w:type="dxa"/>
                  <w:tcBorders>
                    <w:top w:val="nil"/>
                    <w:left w:val="nil"/>
                    <w:bottom w:val="nil"/>
                    <w:right w:val="nil"/>
                  </w:tcBorders>
                  <w:vAlign w:val="center"/>
                </w:tcPr>
                <w:p w14:paraId="656F8995" w14:textId="6745522A" w:rsidR="00B80B8D" w:rsidRPr="009878ED" w:rsidRDefault="00B80B8D" w:rsidP="00B80B8D">
                  <w:pPr>
                    <w:jc w:val="right"/>
                    <w:rPr>
                      <w:rFonts w:ascii="Arial" w:hAnsi="Arial" w:cs="Arial"/>
                      <w:sz w:val="22"/>
                      <w:szCs w:val="22"/>
                    </w:rPr>
                  </w:pPr>
                  <w:r w:rsidRPr="00804101">
                    <w:rPr>
                      <w:rFonts w:ascii="Arial" w:hAnsi="Arial" w:cs="Arial"/>
                      <w:sz w:val="22"/>
                      <w:szCs w:val="22"/>
                    </w:rPr>
                    <w:t>£</w:t>
                  </w:r>
                  <w:r>
                    <w:rPr>
                      <w:rFonts w:ascii="Arial" w:hAnsi="Arial" w:cs="Arial"/>
                      <w:sz w:val="22"/>
                      <w:szCs w:val="22"/>
                    </w:rPr>
                    <w:t>589</w:t>
                  </w:r>
                  <w:r w:rsidRPr="00804101">
                    <w:rPr>
                      <w:rFonts w:ascii="Arial" w:hAnsi="Arial" w:cs="Arial"/>
                      <w:sz w:val="22"/>
                      <w:szCs w:val="22"/>
                    </w:rPr>
                    <w:t>m</w:t>
                  </w:r>
                </w:p>
              </w:tc>
              <w:tc>
                <w:tcPr>
                  <w:tcW w:w="1327" w:type="dxa"/>
                  <w:tcBorders>
                    <w:top w:val="nil"/>
                    <w:left w:val="nil"/>
                    <w:bottom w:val="nil"/>
                    <w:right w:val="nil"/>
                  </w:tcBorders>
                  <w:shd w:val="clear" w:color="auto" w:fill="auto"/>
                  <w:vAlign w:val="center"/>
                </w:tcPr>
                <w:p w14:paraId="02FDF5AB" w14:textId="28E28AEC" w:rsidR="00B80B8D" w:rsidRPr="009878ED" w:rsidRDefault="00B80B8D" w:rsidP="00B80B8D">
                  <w:pPr>
                    <w:jc w:val="right"/>
                    <w:rPr>
                      <w:rFonts w:ascii="Arial" w:hAnsi="Arial" w:cs="Arial"/>
                      <w:sz w:val="22"/>
                      <w:szCs w:val="22"/>
                    </w:rPr>
                  </w:pPr>
                  <w:r w:rsidRPr="00804101">
                    <w:rPr>
                      <w:rFonts w:ascii="Arial" w:hAnsi="Arial" w:cs="Arial"/>
                      <w:sz w:val="22"/>
                      <w:szCs w:val="22"/>
                    </w:rPr>
                    <w:t>£737m</w:t>
                  </w:r>
                </w:p>
              </w:tc>
              <w:tc>
                <w:tcPr>
                  <w:tcW w:w="1298" w:type="dxa"/>
                  <w:tcBorders>
                    <w:top w:val="nil"/>
                    <w:left w:val="nil"/>
                    <w:bottom w:val="nil"/>
                    <w:right w:val="nil"/>
                  </w:tcBorders>
                  <w:vAlign w:val="center"/>
                </w:tcPr>
                <w:p w14:paraId="63C6611C" w14:textId="1F211D4F" w:rsidR="00B80B8D" w:rsidRPr="009878ED" w:rsidRDefault="00B80B8D" w:rsidP="00B80B8D">
                  <w:pPr>
                    <w:jc w:val="right"/>
                    <w:rPr>
                      <w:rFonts w:ascii="Arial" w:hAnsi="Arial" w:cs="Arial"/>
                      <w:sz w:val="22"/>
                      <w:szCs w:val="22"/>
                    </w:rPr>
                  </w:pPr>
                  <w:r w:rsidRPr="009878ED">
                    <w:rPr>
                      <w:rFonts w:ascii="Arial" w:hAnsi="Arial" w:cs="Arial"/>
                      <w:sz w:val="22"/>
                      <w:szCs w:val="22"/>
                    </w:rPr>
                    <w:t>(</w:t>
                  </w:r>
                  <w:r>
                    <w:rPr>
                      <w:rFonts w:ascii="Arial" w:hAnsi="Arial" w:cs="Arial"/>
                      <w:sz w:val="22"/>
                      <w:szCs w:val="22"/>
                    </w:rPr>
                    <w:t>20.2</w:t>
                  </w:r>
                  <w:r w:rsidRPr="009878ED">
                    <w:rPr>
                      <w:rFonts w:ascii="Arial" w:hAnsi="Arial" w:cs="Arial"/>
                      <w:sz w:val="22"/>
                      <w:szCs w:val="22"/>
                    </w:rPr>
                    <w:t>)%</w:t>
                  </w:r>
                </w:p>
              </w:tc>
              <w:tc>
                <w:tcPr>
                  <w:tcW w:w="1298" w:type="dxa"/>
                  <w:tcBorders>
                    <w:top w:val="nil"/>
                    <w:left w:val="nil"/>
                    <w:bottom w:val="nil"/>
                    <w:right w:val="nil"/>
                  </w:tcBorders>
                  <w:vAlign w:val="center"/>
                </w:tcPr>
                <w:p w14:paraId="4C884DA9" w14:textId="77777777" w:rsidR="00B80B8D" w:rsidRPr="009878ED" w:rsidRDefault="00B80B8D" w:rsidP="00B80B8D">
                  <w:pPr>
                    <w:jc w:val="right"/>
                    <w:rPr>
                      <w:rFonts w:ascii="Arial" w:hAnsi="Arial" w:cs="Arial"/>
                      <w:sz w:val="22"/>
                      <w:szCs w:val="22"/>
                    </w:rPr>
                  </w:pPr>
                </w:p>
              </w:tc>
              <w:tc>
                <w:tcPr>
                  <w:tcW w:w="1298" w:type="dxa"/>
                  <w:tcBorders>
                    <w:top w:val="nil"/>
                    <w:left w:val="nil"/>
                    <w:bottom w:val="nil"/>
                    <w:right w:val="nil"/>
                  </w:tcBorders>
                  <w:vAlign w:val="center"/>
                </w:tcPr>
                <w:p w14:paraId="241818C0" w14:textId="77777777" w:rsidR="00B80B8D" w:rsidRPr="009878ED" w:rsidRDefault="00B80B8D" w:rsidP="00B80B8D">
                  <w:pPr>
                    <w:jc w:val="right"/>
                    <w:rPr>
                      <w:rFonts w:ascii="Arial" w:hAnsi="Arial" w:cs="Arial"/>
                      <w:sz w:val="22"/>
                      <w:szCs w:val="22"/>
                    </w:rPr>
                  </w:pPr>
                </w:p>
              </w:tc>
            </w:tr>
            <w:tr w:rsidR="00B80B8D" w:rsidRPr="00EB4495" w14:paraId="6F07DC8C" w14:textId="77777777" w:rsidTr="00D7726B">
              <w:trPr>
                <w:trHeight w:val="269"/>
              </w:trPr>
              <w:tc>
                <w:tcPr>
                  <w:tcW w:w="3458" w:type="dxa"/>
                  <w:tcBorders>
                    <w:top w:val="nil"/>
                    <w:left w:val="nil"/>
                    <w:bottom w:val="nil"/>
                    <w:right w:val="nil"/>
                  </w:tcBorders>
                  <w:shd w:val="clear" w:color="auto" w:fill="auto"/>
                  <w:vAlign w:val="center"/>
                </w:tcPr>
                <w:p w14:paraId="2A4669AA" w14:textId="0C528082" w:rsidR="00B80B8D" w:rsidRPr="00EB4495" w:rsidRDefault="00B80B8D" w:rsidP="00B80B8D">
                  <w:pPr>
                    <w:jc w:val="left"/>
                    <w:rPr>
                      <w:rFonts w:ascii="Arial" w:hAnsi="Arial" w:cs="Arial"/>
                      <w:sz w:val="22"/>
                      <w:szCs w:val="22"/>
                    </w:rPr>
                  </w:pPr>
                  <w:r w:rsidRPr="00EB4495">
                    <w:rPr>
                      <w:rFonts w:ascii="Arial" w:hAnsi="Arial" w:cs="Arial"/>
                      <w:sz w:val="22"/>
                      <w:szCs w:val="22"/>
                    </w:rPr>
                    <w:t>Adjusted basic EPS</w:t>
                  </w:r>
                  <w:r w:rsidRPr="00EB4495" w:rsidDel="00431AC5">
                    <w:rPr>
                      <w:rFonts w:ascii="Arial" w:hAnsi="Arial" w:cs="Arial"/>
                      <w:sz w:val="22"/>
                      <w:szCs w:val="22"/>
                      <w:vertAlign w:val="superscript"/>
                    </w:rPr>
                    <w:t xml:space="preserve"> </w:t>
                  </w:r>
                </w:p>
              </w:tc>
              <w:tc>
                <w:tcPr>
                  <w:tcW w:w="1327" w:type="dxa"/>
                  <w:tcBorders>
                    <w:top w:val="nil"/>
                    <w:left w:val="nil"/>
                    <w:bottom w:val="nil"/>
                    <w:right w:val="nil"/>
                  </w:tcBorders>
                  <w:vAlign w:val="center"/>
                </w:tcPr>
                <w:p w14:paraId="6A507646" w14:textId="7C92EC5B" w:rsidR="00B80B8D" w:rsidRPr="009878ED" w:rsidRDefault="00B80B8D" w:rsidP="00B80B8D">
                  <w:pPr>
                    <w:jc w:val="right"/>
                    <w:rPr>
                      <w:rFonts w:ascii="Arial" w:hAnsi="Arial" w:cs="Arial"/>
                      <w:sz w:val="22"/>
                      <w:szCs w:val="22"/>
                    </w:rPr>
                  </w:pPr>
                  <w:r>
                    <w:rPr>
                      <w:rFonts w:ascii="Arial" w:hAnsi="Arial" w:cs="Arial"/>
                      <w:sz w:val="22"/>
                      <w:szCs w:val="22"/>
                    </w:rPr>
                    <w:t>29.7</w:t>
                  </w:r>
                  <w:r w:rsidRPr="00804101">
                    <w:rPr>
                      <w:rFonts w:ascii="Arial" w:hAnsi="Arial" w:cs="Arial"/>
                      <w:sz w:val="22"/>
                      <w:szCs w:val="22"/>
                    </w:rPr>
                    <w:t>p</w:t>
                  </w:r>
                </w:p>
              </w:tc>
              <w:tc>
                <w:tcPr>
                  <w:tcW w:w="1327" w:type="dxa"/>
                  <w:tcBorders>
                    <w:top w:val="nil"/>
                    <w:left w:val="nil"/>
                    <w:bottom w:val="nil"/>
                    <w:right w:val="nil"/>
                  </w:tcBorders>
                  <w:vAlign w:val="center"/>
                </w:tcPr>
                <w:p w14:paraId="2BD63B44" w14:textId="03C176FB" w:rsidR="00B80B8D" w:rsidRPr="009878ED" w:rsidRDefault="00B80B8D" w:rsidP="00B80B8D">
                  <w:pPr>
                    <w:jc w:val="right"/>
                    <w:rPr>
                      <w:rFonts w:ascii="Arial" w:hAnsi="Arial" w:cs="Arial"/>
                      <w:sz w:val="22"/>
                      <w:szCs w:val="22"/>
                    </w:rPr>
                  </w:pPr>
                  <w:r w:rsidRPr="00804101">
                    <w:rPr>
                      <w:rFonts w:ascii="Arial" w:hAnsi="Arial" w:cs="Arial"/>
                      <w:sz w:val="22"/>
                      <w:szCs w:val="22"/>
                    </w:rPr>
                    <w:t>35.2p</w:t>
                  </w:r>
                </w:p>
              </w:tc>
              <w:tc>
                <w:tcPr>
                  <w:tcW w:w="1298" w:type="dxa"/>
                  <w:tcBorders>
                    <w:top w:val="nil"/>
                    <w:left w:val="nil"/>
                    <w:bottom w:val="nil"/>
                    <w:right w:val="nil"/>
                  </w:tcBorders>
                  <w:vAlign w:val="center"/>
                </w:tcPr>
                <w:p w14:paraId="54AC5F64" w14:textId="2455682D" w:rsidR="00B80B8D" w:rsidRPr="009878ED" w:rsidRDefault="00B80B8D" w:rsidP="00B80B8D">
                  <w:pPr>
                    <w:jc w:val="right"/>
                    <w:rPr>
                      <w:rFonts w:ascii="Arial" w:hAnsi="Arial" w:cs="Arial"/>
                      <w:sz w:val="22"/>
                      <w:szCs w:val="22"/>
                    </w:rPr>
                  </w:pPr>
                  <w:r w:rsidRPr="009878ED">
                    <w:rPr>
                      <w:rFonts w:ascii="Arial" w:hAnsi="Arial" w:cs="Arial"/>
                      <w:sz w:val="22"/>
                      <w:szCs w:val="22"/>
                    </w:rPr>
                    <w:t>(</w:t>
                  </w:r>
                  <w:r>
                    <w:rPr>
                      <w:rFonts w:ascii="Arial" w:hAnsi="Arial" w:cs="Arial"/>
                      <w:sz w:val="22"/>
                      <w:szCs w:val="22"/>
                    </w:rPr>
                    <w:t>15.</w:t>
                  </w:r>
                  <w:r w:rsidR="00B77798">
                    <w:rPr>
                      <w:rFonts w:ascii="Arial" w:hAnsi="Arial" w:cs="Arial"/>
                      <w:sz w:val="22"/>
                      <w:szCs w:val="22"/>
                    </w:rPr>
                    <w:t>6</w:t>
                  </w:r>
                  <w:r w:rsidRPr="009878ED">
                    <w:rPr>
                      <w:rFonts w:ascii="Arial" w:hAnsi="Arial" w:cs="Arial"/>
                      <w:sz w:val="22"/>
                      <w:szCs w:val="22"/>
                    </w:rPr>
                    <w:t>)%</w:t>
                  </w:r>
                </w:p>
              </w:tc>
              <w:tc>
                <w:tcPr>
                  <w:tcW w:w="1298" w:type="dxa"/>
                  <w:tcBorders>
                    <w:top w:val="nil"/>
                    <w:left w:val="nil"/>
                    <w:bottom w:val="nil"/>
                    <w:right w:val="nil"/>
                  </w:tcBorders>
                  <w:vAlign w:val="center"/>
                </w:tcPr>
                <w:p w14:paraId="73D4684D" w14:textId="77777777" w:rsidR="00B80B8D" w:rsidRPr="00786FEC" w:rsidRDefault="00B80B8D" w:rsidP="00B80B8D">
                  <w:pPr>
                    <w:jc w:val="right"/>
                    <w:rPr>
                      <w:rFonts w:ascii="Arial" w:hAnsi="Arial" w:cs="Arial"/>
                      <w:sz w:val="22"/>
                      <w:szCs w:val="22"/>
                    </w:rPr>
                  </w:pPr>
                </w:p>
              </w:tc>
              <w:tc>
                <w:tcPr>
                  <w:tcW w:w="1298" w:type="dxa"/>
                  <w:tcBorders>
                    <w:top w:val="nil"/>
                    <w:left w:val="nil"/>
                    <w:bottom w:val="nil"/>
                    <w:right w:val="nil"/>
                  </w:tcBorders>
                  <w:vAlign w:val="center"/>
                </w:tcPr>
                <w:p w14:paraId="36B23E2C" w14:textId="77777777" w:rsidR="00B80B8D" w:rsidRPr="009878ED" w:rsidRDefault="00B80B8D" w:rsidP="00B80B8D">
                  <w:pPr>
                    <w:jc w:val="right"/>
                    <w:rPr>
                      <w:rFonts w:ascii="Arial" w:hAnsi="Arial" w:cs="Arial"/>
                      <w:sz w:val="22"/>
                      <w:szCs w:val="22"/>
                    </w:rPr>
                  </w:pPr>
                </w:p>
              </w:tc>
            </w:tr>
            <w:tr w:rsidR="00B80B8D" w:rsidRPr="00EB4495" w14:paraId="76144484" w14:textId="77777777" w:rsidTr="00D7726B">
              <w:trPr>
                <w:trHeight w:val="269"/>
              </w:trPr>
              <w:tc>
                <w:tcPr>
                  <w:tcW w:w="3458" w:type="dxa"/>
                  <w:tcBorders>
                    <w:top w:val="nil"/>
                    <w:left w:val="nil"/>
                    <w:bottom w:val="nil"/>
                    <w:right w:val="nil"/>
                  </w:tcBorders>
                  <w:vAlign w:val="center"/>
                </w:tcPr>
                <w:p w14:paraId="1BA4DA67" w14:textId="64861786" w:rsidR="00B80B8D" w:rsidRPr="00F21976" w:rsidRDefault="00B80B8D" w:rsidP="00B80B8D">
                  <w:pPr>
                    <w:jc w:val="left"/>
                    <w:rPr>
                      <w:rFonts w:ascii="Arial" w:hAnsi="Arial" w:cs="Arial"/>
                      <w:sz w:val="22"/>
                      <w:szCs w:val="22"/>
                    </w:rPr>
                  </w:pPr>
                  <w:r w:rsidRPr="00F21976">
                    <w:rPr>
                      <w:rFonts w:ascii="Arial" w:hAnsi="Arial" w:cs="Arial"/>
                      <w:sz w:val="22"/>
                      <w:szCs w:val="22"/>
                    </w:rPr>
                    <w:t>Free cash flow</w:t>
                  </w:r>
                </w:p>
              </w:tc>
              <w:tc>
                <w:tcPr>
                  <w:tcW w:w="1327" w:type="dxa"/>
                  <w:tcBorders>
                    <w:top w:val="nil"/>
                    <w:left w:val="nil"/>
                    <w:bottom w:val="nil"/>
                    <w:right w:val="nil"/>
                  </w:tcBorders>
                  <w:vAlign w:val="center"/>
                </w:tcPr>
                <w:p w14:paraId="1E5B587E" w14:textId="7B8A5ACA" w:rsidR="00B80B8D" w:rsidRPr="009878ED" w:rsidRDefault="00B80B8D" w:rsidP="00B80B8D">
                  <w:pPr>
                    <w:jc w:val="right"/>
                    <w:rPr>
                      <w:rFonts w:ascii="Arial" w:hAnsi="Arial" w:cs="Arial"/>
                      <w:sz w:val="22"/>
                      <w:szCs w:val="22"/>
                    </w:rPr>
                  </w:pPr>
                  <w:r w:rsidRPr="00EB4495">
                    <w:rPr>
                      <w:rFonts w:ascii="Arial" w:hAnsi="Arial" w:cs="Arial"/>
                      <w:sz w:val="22"/>
                      <w:szCs w:val="22"/>
                    </w:rPr>
                    <w:t>£</w:t>
                  </w:r>
                  <w:r>
                    <w:rPr>
                      <w:rFonts w:ascii="Arial" w:hAnsi="Arial" w:cs="Arial"/>
                      <w:sz w:val="22"/>
                      <w:szCs w:val="22"/>
                    </w:rPr>
                    <w:t>(4</w:t>
                  </w:r>
                  <w:r w:rsidR="00ED29C6">
                    <w:rPr>
                      <w:rFonts w:ascii="Arial" w:hAnsi="Arial" w:cs="Arial"/>
                      <w:sz w:val="22"/>
                      <w:szCs w:val="22"/>
                    </w:rPr>
                    <w:t>0</w:t>
                  </w:r>
                  <w:r>
                    <w:rPr>
                      <w:rFonts w:ascii="Arial" w:hAnsi="Arial" w:cs="Arial"/>
                      <w:sz w:val="22"/>
                      <w:szCs w:val="22"/>
                    </w:rPr>
                    <w:t>)</w:t>
                  </w:r>
                  <w:r w:rsidRPr="00EB4495">
                    <w:rPr>
                      <w:rFonts w:ascii="Arial" w:hAnsi="Arial" w:cs="Arial"/>
                      <w:sz w:val="22"/>
                      <w:szCs w:val="22"/>
                    </w:rPr>
                    <w:t>m</w:t>
                  </w:r>
                </w:p>
              </w:tc>
              <w:tc>
                <w:tcPr>
                  <w:tcW w:w="1327" w:type="dxa"/>
                  <w:tcBorders>
                    <w:top w:val="nil"/>
                    <w:left w:val="nil"/>
                    <w:bottom w:val="nil"/>
                    <w:right w:val="nil"/>
                  </w:tcBorders>
                  <w:vAlign w:val="center"/>
                </w:tcPr>
                <w:p w14:paraId="315EA0A8" w14:textId="2B83E4FA" w:rsidR="00B80B8D" w:rsidRPr="009878ED" w:rsidRDefault="00B80B8D" w:rsidP="00B80B8D">
                  <w:pPr>
                    <w:jc w:val="right"/>
                    <w:rPr>
                      <w:rFonts w:ascii="Arial" w:hAnsi="Arial" w:cs="Arial"/>
                      <w:sz w:val="22"/>
                      <w:szCs w:val="22"/>
                    </w:rPr>
                  </w:pPr>
                  <w:r w:rsidRPr="00EB4495">
                    <w:rPr>
                      <w:rFonts w:ascii="Arial" w:hAnsi="Arial" w:cs="Arial"/>
                      <w:sz w:val="22"/>
                      <w:szCs w:val="22"/>
                    </w:rPr>
                    <w:t>£385m</w:t>
                  </w:r>
                </w:p>
              </w:tc>
              <w:tc>
                <w:tcPr>
                  <w:tcW w:w="1298" w:type="dxa"/>
                  <w:tcBorders>
                    <w:top w:val="nil"/>
                    <w:left w:val="nil"/>
                    <w:bottom w:val="nil"/>
                    <w:right w:val="nil"/>
                  </w:tcBorders>
                  <w:vAlign w:val="center"/>
                </w:tcPr>
                <w:p w14:paraId="1646206E" w14:textId="239F6521" w:rsidR="00B80B8D" w:rsidRPr="009878ED" w:rsidRDefault="00B80B8D" w:rsidP="00B80B8D">
                  <w:pPr>
                    <w:jc w:val="right"/>
                    <w:rPr>
                      <w:rFonts w:ascii="Arial" w:hAnsi="Arial" w:cs="Arial"/>
                      <w:sz w:val="22"/>
                      <w:szCs w:val="22"/>
                    </w:rPr>
                  </w:pPr>
                  <w:r w:rsidRPr="009878ED">
                    <w:rPr>
                      <w:rFonts w:ascii="Arial" w:hAnsi="Arial" w:cs="Arial"/>
                      <w:sz w:val="22"/>
                      <w:szCs w:val="22"/>
                    </w:rPr>
                    <w:t>n/a</w:t>
                  </w:r>
                </w:p>
              </w:tc>
              <w:tc>
                <w:tcPr>
                  <w:tcW w:w="1298" w:type="dxa"/>
                  <w:tcBorders>
                    <w:top w:val="nil"/>
                    <w:left w:val="nil"/>
                    <w:bottom w:val="nil"/>
                    <w:right w:val="nil"/>
                  </w:tcBorders>
                  <w:vAlign w:val="center"/>
                </w:tcPr>
                <w:p w14:paraId="1B56D5CF" w14:textId="77777777" w:rsidR="00B80B8D" w:rsidRPr="009878ED" w:rsidRDefault="00B80B8D" w:rsidP="00B80B8D">
                  <w:pPr>
                    <w:jc w:val="right"/>
                    <w:rPr>
                      <w:rFonts w:ascii="Arial" w:hAnsi="Arial" w:cs="Arial"/>
                      <w:sz w:val="22"/>
                      <w:szCs w:val="22"/>
                    </w:rPr>
                  </w:pPr>
                </w:p>
              </w:tc>
              <w:tc>
                <w:tcPr>
                  <w:tcW w:w="1298" w:type="dxa"/>
                  <w:tcBorders>
                    <w:top w:val="nil"/>
                    <w:left w:val="nil"/>
                    <w:bottom w:val="nil"/>
                    <w:right w:val="nil"/>
                  </w:tcBorders>
                  <w:vAlign w:val="center"/>
                </w:tcPr>
                <w:p w14:paraId="6D55225D" w14:textId="77777777" w:rsidR="00B80B8D" w:rsidRPr="009878ED" w:rsidRDefault="00B80B8D" w:rsidP="00B80B8D">
                  <w:pPr>
                    <w:jc w:val="right"/>
                    <w:rPr>
                      <w:rFonts w:ascii="Arial" w:hAnsi="Arial" w:cs="Arial"/>
                      <w:sz w:val="22"/>
                      <w:szCs w:val="22"/>
                    </w:rPr>
                  </w:pPr>
                </w:p>
              </w:tc>
            </w:tr>
            <w:tr w:rsidR="00B80B8D" w:rsidRPr="00EB4495" w14:paraId="1B8AF43E" w14:textId="77777777" w:rsidTr="00D7726B">
              <w:trPr>
                <w:trHeight w:val="269"/>
              </w:trPr>
              <w:tc>
                <w:tcPr>
                  <w:tcW w:w="3458" w:type="dxa"/>
                  <w:tcBorders>
                    <w:top w:val="nil"/>
                    <w:left w:val="nil"/>
                    <w:bottom w:val="nil"/>
                    <w:right w:val="nil"/>
                  </w:tcBorders>
                  <w:vAlign w:val="center"/>
                </w:tcPr>
                <w:p w14:paraId="02956A2D" w14:textId="6F43C91F" w:rsidR="00B80B8D" w:rsidRPr="00F21976" w:rsidRDefault="00B80B8D" w:rsidP="00B80B8D">
                  <w:pPr>
                    <w:jc w:val="left"/>
                    <w:rPr>
                      <w:rFonts w:ascii="Arial" w:hAnsi="Arial" w:cs="Arial"/>
                      <w:sz w:val="22"/>
                      <w:szCs w:val="22"/>
                    </w:rPr>
                  </w:pPr>
                  <w:r w:rsidRPr="00F21976">
                    <w:rPr>
                      <w:rFonts w:ascii="Arial" w:hAnsi="Arial" w:cs="Arial"/>
                      <w:sz w:val="22"/>
                      <w:szCs w:val="22"/>
                    </w:rPr>
                    <w:t>Net debt</w:t>
                  </w:r>
                  <w:r w:rsidRPr="00F21976">
                    <w:rPr>
                      <w:rFonts w:ascii="Arial" w:hAnsi="Arial" w:cs="Arial"/>
                      <w:sz w:val="22"/>
                      <w:szCs w:val="22"/>
                      <w:vertAlign w:val="superscript"/>
                    </w:rPr>
                    <w:t>(</w:t>
                  </w:r>
                  <w:r>
                    <w:rPr>
                      <w:rFonts w:ascii="Arial" w:hAnsi="Arial" w:cs="Arial"/>
                      <w:sz w:val="22"/>
                      <w:szCs w:val="22"/>
                      <w:vertAlign w:val="superscript"/>
                    </w:rPr>
                    <w:t>3</w:t>
                  </w:r>
                  <w:r w:rsidRPr="00F21976">
                    <w:rPr>
                      <w:rFonts w:ascii="Arial" w:hAnsi="Arial" w:cs="Arial"/>
                      <w:sz w:val="22"/>
                      <w:szCs w:val="22"/>
                      <w:vertAlign w:val="superscript"/>
                    </w:rPr>
                    <w:t>)</w:t>
                  </w:r>
                </w:p>
              </w:tc>
              <w:tc>
                <w:tcPr>
                  <w:tcW w:w="1327" w:type="dxa"/>
                  <w:tcBorders>
                    <w:top w:val="nil"/>
                    <w:left w:val="nil"/>
                    <w:bottom w:val="nil"/>
                    <w:right w:val="nil"/>
                  </w:tcBorders>
                  <w:vAlign w:val="center"/>
                </w:tcPr>
                <w:p w14:paraId="3916FB51" w14:textId="05C9EC6D" w:rsidR="00B80B8D" w:rsidRPr="009878ED" w:rsidRDefault="00B80B8D" w:rsidP="00B80B8D">
                  <w:pPr>
                    <w:jc w:val="right"/>
                    <w:rPr>
                      <w:rFonts w:ascii="Arial" w:hAnsi="Arial" w:cs="Arial"/>
                      <w:sz w:val="22"/>
                      <w:szCs w:val="22"/>
                    </w:rPr>
                  </w:pPr>
                  <w:r w:rsidRPr="00EB4495">
                    <w:rPr>
                      <w:rFonts w:ascii="Arial" w:hAnsi="Arial" w:cs="Arial"/>
                      <w:sz w:val="22"/>
                      <w:szCs w:val="22"/>
                    </w:rPr>
                    <w:t>£(</w:t>
                  </w:r>
                  <w:r>
                    <w:rPr>
                      <w:rFonts w:ascii="Arial" w:hAnsi="Arial" w:cs="Arial"/>
                      <w:sz w:val="22"/>
                      <w:szCs w:val="22"/>
                    </w:rPr>
                    <w:t>2,27</w:t>
                  </w:r>
                  <w:r w:rsidR="00C73BB4">
                    <w:rPr>
                      <w:rFonts w:ascii="Arial" w:hAnsi="Arial" w:cs="Arial"/>
                      <w:sz w:val="22"/>
                      <w:szCs w:val="22"/>
                    </w:rPr>
                    <w:t>4</w:t>
                  </w:r>
                  <w:r w:rsidRPr="00EB4495">
                    <w:rPr>
                      <w:rFonts w:ascii="Arial" w:hAnsi="Arial" w:cs="Arial"/>
                      <w:sz w:val="22"/>
                      <w:szCs w:val="22"/>
                    </w:rPr>
                    <w:t>)m</w:t>
                  </w:r>
                </w:p>
              </w:tc>
              <w:tc>
                <w:tcPr>
                  <w:tcW w:w="1327" w:type="dxa"/>
                  <w:tcBorders>
                    <w:top w:val="nil"/>
                    <w:left w:val="nil"/>
                    <w:bottom w:val="nil"/>
                    <w:right w:val="nil"/>
                  </w:tcBorders>
                  <w:vAlign w:val="center"/>
                </w:tcPr>
                <w:p w14:paraId="41B42A65" w14:textId="7939FFC6" w:rsidR="00B80B8D" w:rsidRPr="009878ED" w:rsidRDefault="00B80B8D" w:rsidP="00B80B8D">
                  <w:pPr>
                    <w:jc w:val="right"/>
                    <w:rPr>
                      <w:rFonts w:ascii="Arial" w:hAnsi="Arial" w:cs="Arial"/>
                      <w:sz w:val="22"/>
                      <w:szCs w:val="22"/>
                    </w:rPr>
                  </w:pPr>
                  <w:r w:rsidRPr="00EB4495">
                    <w:rPr>
                      <w:rFonts w:ascii="Arial" w:hAnsi="Arial" w:cs="Arial"/>
                      <w:sz w:val="22"/>
                      <w:szCs w:val="22"/>
                    </w:rPr>
                    <w:t>£(1,5</w:t>
                  </w:r>
                  <w:r>
                    <w:rPr>
                      <w:rFonts w:ascii="Arial" w:hAnsi="Arial" w:cs="Arial"/>
                      <w:sz w:val="22"/>
                      <w:szCs w:val="22"/>
                    </w:rPr>
                    <w:t>72</w:t>
                  </w:r>
                  <w:r w:rsidRPr="00EB4495">
                    <w:rPr>
                      <w:rFonts w:ascii="Arial" w:hAnsi="Arial" w:cs="Arial"/>
                      <w:sz w:val="22"/>
                      <w:szCs w:val="22"/>
                    </w:rPr>
                    <w:t>)m</w:t>
                  </w:r>
                </w:p>
              </w:tc>
              <w:tc>
                <w:tcPr>
                  <w:tcW w:w="1298" w:type="dxa"/>
                  <w:tcBorders>
                    <w:top w:val="nil"/>
                    <w:left w:val="nil"/>
                    <w:bottom w:val="nil"/>
                    <w:right w:val="nil"/>
                  </w:tcBorders>
                  <w:vAlign w:val="center"/>
                </w:tcPr>
                <w:p w14:paraId="37CB389D" w14:textId="315CDCA5" w:rsidR="00B80B8D" w:rsidRPr="009878ED" w:rsidRDefault="00B80B8D" w:rsidP="00B80B8D">
                  <w:pPr>
                    <w:jc w:val="right"/>
                    <w:rPr>
                      <w:rFonts w:ascii="Arial" w:hAnsi="Arial" w:cs="Arial"/>
                      <w:sz w:val="22"/>
                      <w:szCs w:val="22"/>
                    </w:rPr>
                  </w:pPr>
                  <w:r w:rsidRPr="009878ED">
                    <w:rPr>
                      <w:rFonts w:ascii="Arial" w:hAnsi="Arial" w:cs="Arial"/>
                      <w:sz w:val="22"/>
                      <w:szCs w:val="22"/>
                    </w:rPr>
                    <w:t>n/a</w:t>
                  </w:r>
                </w:p>
              </w:tc>
              <w:tc>
                <w:tcPr>
                  <w:tcW w:w="1298" w:type="dxa"/>
                  <w:tcBorders>
                    <w:top w:val="nil"/>
                    <w:left w:val="nil"/>
                    <w:bottom w:val="nil"/>
                    <w:right w:val="nil"/>
                  </w:tcBorders>
                  <w:vAlign w:val="center"/>
                </w:tcPr>
                <w:p w14:paraId="0A47A34C" w14:textId="77777777" w:rsidR="00B80B8D" w:rsidRPr="009878ED" w:rsidRDefault="00B80B8D" w:rsidP="00B80B8D">
                  <w:pPr>
                    <w:jc w:val="right"/>
                    <w:rPr>
                      <w:rFonts w:ascii="Arial" w:hAnsi="Arial" w:cs="Arial"/>
                      <w:sz w:val="22"/>
                      <w:szCs w:val="22"/>
                    </w:rPr>
                  </w:pPr>
                </w:p>
              </w:tc>
              <w:tc>
                <w:tcPr>
                  <w:tcW w:w="1298" w:type="dxa"/>
                  <w:tcBorders>
                    <w:top w:val="nil"/>
                    <w:left w:val="nil"/>
                    <w:bottom w:val="nil"/>
                    <w:right w:val="nil"/>
                  </w:tcBorders>
                  <w:vAlign w:val="center"/>
                </w:tcPr>
                <w:p w14:paraId="7950604A" w14:textId="77777777" w:rsidR="00B80B8D" w:rsidRPr="009878ED" w:rsidRDefault="00B80B8D" w:rsidP="00B80B8D">
                  <w:pPr>
                    <w:jc w:val="right"/>
                    <w:rPr>
                      <w:rFonts w:ascii="Arial" w:hAnsi="Arial" w:cs="Arial"/>
                      <w:sz w:val="22"/>
                      <w:szCs w:val="22"/>
                    </w:rPr>
                  </w:pPr>
                </w:p>
              </w:tc>
            </w:tr>
          </w:tbl>
          <w:p w14:paraId="3CC89DA7" w14:textId="77777777" w:rsidR="00437535" w:rsidRPr="00EB4495" w:rsidRDefault="00437535" w:rsidP="00D7726B">
            <w:pPr>
              <w:jc w:val="left"/>
              <w:rPr>
                <w:rFonts w:ascii="Arial" w:hAnsi="Arial" w:cs="Arial"/>
                <w:b/>
                <w:bCs/>
                <w:sz w:val="24"/>
                <w:szCs w:val="24"/>
                <w:u w:val="single"/>
              </w:rPr>
            </w:pPr>
          </w:p>
        </w:tc>
      </w:tr>
    </w:tbl>
    <w:p w14:paraId="4687598F" w14:textId="13593115" w:rsidR="00437535" w:rsidRDefault="00437535" w:rsidP="00CC3104">
      <w:pPr>
        <w:jc w:val="left"/>
        <w:rPr>
          <w:rFonts w:ascii="Arial" w:hAnsi="Arial" w:cs="Arial"/>
          <w:szCs w:val="24"/>
        </w:rPr>
      </w:pPr>
    </w:p>
    <w:p w14:paraId="0198052B" w14:textId="7AADCCB8" w:rsidR="00CC3104" w:rsidRDefault="00CC3104" w:rsidP="00CC3104">
      <w:pPr>
        <w:jc w:val="left"/>
        <w:rPr>
          <w:rFonts w:ascii="Arial" w:hAnsi="Arial" w:cs="Arial"/>
          <w:sz w:val="18"/>
        </w:rPr>
      </w:pPr>
      <w:r w:rsidRPr="001D78BF">
        <w:rPr>
          <w:rFonts w:ascii="Arial" w:hAnsi="Arial" w:cs="Arial"/>
          <w:sz w:val="18"/>
          <w:vertAlign w:val="superscript"/>
        </w:rPr>
        <w:t>(1)</w:t>
      </w:r>
      <w:r w:rsidRPr="001D78BF">
        <w:rPr>
          <w:rFonts w:ascii="Arial" w:hAnsi="Arial" w:cs="Arial"/>
          <w:sz w:val="18"/>
        </w:rPr>
        <w:t xml:space="preserve"> Net decrease in cash and cash equivalents and bank overdrafts</w:t>
      </w:r>
      <w:r w:rsidR="00C80C6B">
        <w:rPr>
          <w:rFonts w:ascii="Arial" w:hAnsi="Arial" w:cs="Arial"/>
          <w:sz w:val="18"/>
        </w:rPr>
        <w:t>.</w:t>
      </w:r>
    </w:p>
    <w:p w14:paraId="42D31106" w14:textId="036ED0B9" w:rsidR="00C80C6B" w:rsidRDefault="00C80C6B" w:rsidP="00C80C6B">
      <w:pPr>
        <w:jc w:val="left"/>
        <w:rPr>
          <w:rFonts w:ascii="Arial" w:hAnsi="Arial" w:cs="Arial"/>
          <w:sz w:val="18"/>
        </w:rPr>
      </w:pPr>
      <w:r w:rsidRPr="001D78BF">
        <w:rPr>
          <w:rFonts w:ascii="Arial" w:hAnsi="Arial" w:cs="Arial"/>
          <w:sz w:val="18"/>
          <w:vertAlign w:val="superscript"/>
        </w:rPr>
        <w:t>(</w:t>
      </w:r>
      <w:r>
        <w:rPr>
          <w:rFonts w:ascii="Arial" w:hAnsi="Arial" w:cs="Arial"/>
          <w:sz w:val="18"/>
          <w:vertAlign w:val="superscript"/>
        </w:rPr>
        <w:t>2</w:t>
      </w:r>
      <w:r w:rsidRPr="001D78BF">
        <w:rPr>
          <w:rFonts w:ascii="Arial" w:hAnsi="Arial" w:cs="Arial"/>
          <w:sz w:val="18"/>
          <w:vertAlign w:val="superscript"/>
        </w:rPr>
        <w:t>)</w:t>
      </w:r>
      <w:r w:rsidRPr="001D78BF">
        <w:rPr>
          <w:rFonts w:ascii="Arial" w:hAnsi="Arial" w:cs="Arial"/>
          <w:sz w:val="18"/>
        </w:rPr>
        <w:t xml:space="preserve"> </w:t>
      </w:r>
      <w:r w:rsidRPr="00C80C6B">
        <w:rPr>
          <w:rFonts w:ascii="Arial" w:hAnsi="Arial" w:cs="Arial"/>
          <w:sz w:val="18"/>
        </w:rPr>
        <w:t>The Board has proposed a final dividend per share of 8.60p (FY 21/22 final dividend: 8.60p), resulting in a proposed total dividend per share of 12.40p in respect of FY 22/23 (FY 21/22: 12.40p). The final dividend is subject to the approval of shareholders at the Annual General Meeting on 27 June 2023.</w:t>
      </w:r>
    </w:p>
    <w:p w14:paraId="400B0588" w14:textId="159010A9" w:rsidR="00CC3104" w:rsidRPr="00DE0F31" w:rsidRDefault="00CC3104" w:rsidP="00CC3104">
      <w:pPr>
        <w:jc w:val="left"/>
        <w:rPr>
          <w:rFonts w:ascii="Arial" w:hAnsi="Arial" w:cs="Arial"/>
          <w:sz w:val="18"/>
          <w:szCs w:val="18"/>
        </w:rPr>
      </w:pPr>
      <w:r w:rsidRPr="001D78BF">
        <w:rPr>
          <w:rFonts w:ascii="Arial" w:hAnsi="Arial" w:cs="Arial"/>
          <w:sz w:val="18"/>
          <w:szCs w:val="18"/>
          <w:vertAlign w:val="superscript"/>
        </w:rPr>
        <w:t>(</w:t>
      </w:r>
      <w:r w:rsidR="00C80C6B">
        <w:rPr>
          <w:rFonts w:ascii="Arial" w:hAnsi="Arial" w:cs="Arial"/>
          <w:sz w:val="18"/>
          <w:szCs w:val="18"/>
          <w:vertAlign w:val="superscript"/>
        </w:rPr>
        <w:t>3</w:t>
      </w:r>
      <w:r w:rsidRPr="001D78BF">
        <w:rPr>
          <w:rFonts w:ascii="Arial" w:hAnsi="Arial" w:cs="Arial"/>
          <w:sz w:val="18"/>
          <w:szCs w:val="18"/>
          <w:vertAlign w:val="superscript"/>
        </w:rPr>
        <w:t>)</w:t>
      </w:r>
      <w:r w:rsidRPr="001D78BF">
        <w:rPr>
          <w:rFonts w:ascii="Arial" w:hAnsi="Arial" w:cs="Arial"/>
          <w:sz w:val="18"/>
          <w:szCs w:val="18"/>
        </w:rPr>
        <w:t xml:space="preserve"> </w:t>
      </w:r>
      <w:r w:rsidR="00C80C6B" w:rsidRPr="00C80C6B">
        <w:rPr>
          <w:rFonts w:ascii="Arial" w:hAnsi="Arial" w:cs="Arial"/>
          <w:sz w:val="18"/>
          <w:szCs w:val="18"/>
        </w:rPr>
        <w:t xml:space="preserve">Net debt includes </w:t>
      </w:r>
      <w:r w:rsidR="00C80C6B" w:rsidRPr="00BC7BF9">
        <w:rPr>
          <w:rFonts w:ascii="Arial" w:hAnsi="Arial" w:cs="Arial"/>
          <w:sz w:val="18"/>
          <w:szCs w:val="18"/>
        </w:rPr>
        <w:t>£2</w:t>
      </w:r>
      <w:r w:rsidR="00123A92">
        <w:rPr>
          <w:rFonts w:ascii="Arial" w:hAnsi="Arial" w:cs="Arial"/>
          <w:sz w:val="18"/>
          <w:szCs w:val="18"/>
        </w:rPr>
        <w:t>,444m</w:t>
      </w:r>
      <w:r w:rsidR="00C80C6B" w:rsidRPr="00C80C6B">
        <w:rPr>
          <w:rFonts w:ascii="Arial" w:hAnsi="Arial" w:cs="Arial"/>
          <w:sz w:val="18"/>
          <w:szCs w:val="18"/>
        </w:rPr>
        <w:t xml:space="preserve"> lease liabilities under IFRS 16 in FY 22/23 (FY 21/22: £2</w:t>
      </w:r>
      <w:r w:rsidR="00123A92">
        <w:rPr>
          <w:rFonts w:ascii="Arial" w:hAnsi="Arial" w:cs="Arial"/>
          <w:sz w:val="18"/>
          <w:szCs w:val="18"/>
        </w:rPr>
        <w:t>,376m</w:t>
      </w:r>
      <w:r w:rsidR="00C80C6B" w:rsidRPr="00C80C6B">
        <w:rPr>
          <w:rFonts w:ascii="Arial" w:hAnsi="Arial" w:cs="Arial"/>
          <w:sz w:val="18"/>
          <w:szCs w:val="18"/>
        </w:rPr>
        <w:t>).</w:t>
      </w:r>
    </w:p>
    <w:p w14:paraId="01E0141E" w14:textId="04B756B8" w:rsidR="00CC3104" w:rsidRDefault="00CC3104" w:rsidP="00CC3104">
      <w:pPr>
        <w:jc w:val="left"/>
        <w:rPr>
          <w:rFonts w:ascii="Arial" w:hAnsi="Arial" w:cs="Arial"/>
        </w:rPr>
      </w:pPr>
    </w:p>
    <w:p w14:paraId="71B718CB" w14:textId="77777777" w:rsidR="007854A9" w:rsidRDefault="007854A9" w:rsidP="007854A9">
      <w:pPr>
        <w:jc w:val="left"/>
        <w:rPr>
          <w:rFonts w:ascii="Arial" w:hAnsi="Arial" w:cs="Arial"/>
        </w:rPr>
      </w:pPr>
      <w:r w:rsidRPr="007005F4">
        <w:rPr>
          <w:rFonts w:ascii="Arial" w:hAnsi="Arial" w:cs="Arial"/>
        </w:rPr>
        <w:t xml:space="preserve">Total </w:t>
      </w:r>
      <w:r w:rsidRPr="007005F4">
        <w:rPr>
          <w:rFonts w:ascii="Arial" w:hAnsi="Arial" w:cs="Arial"/>
          <w:b/>
        </w:rPr>
        <w:t>sales</w:t>
      </w:r>
      <w:r w:rsidRPr="007005F4">
        <w:rPr>
          <w:rFonts w:ascii="Arial" w:hAnsi="Arial" w:cs="Arial"/>
        </w:rPr>
        <w:t xml:space="preserve"> decreased by 0.7% on a constant currency basis, to £13,059m, reflecting resilient sales </w:t>
      </w:r>
      <w:r>
        <w:rPr>
          <w:rFonts w:ascii="Arial" w:hAnsi="Arial" w:cs="Arial"/>
        </w:rPr>
        <w:t xml:space="preserve">across both retail and trade channels </w:t>
      </w:r>
      <w:r w:rsidRPr="002B5CC6">
        <w:rPr>
          <w:rFonts w:ascii="Arial" w:hAnsi="Arial" w:cs="Arial"/>
        </w:rPr>
        <w:t xml:space="preserve">despite strong </w:t>
      </w:r>
      <w:r>
        <w:rPr>
          <w:rFonts w:ascii="Arial" w:hAnsi="Arial" w:cs="Arial"/>
        </w:rPr>
        <w:t xml:space="preserve">prior year </w:t>
      </w:r>
      <w:r w:rsidRPr="002B5CC6">
        <w:rPr>
          <w:rFonts w:ascii="Arial" w:hAnsi="Arial" w:cs="Arial"/>
        </w:rPr>
        <w:t>comparatives</w:t>
      </w:r>
      <w:r w:rsidRPr="007005F4">
        <w:rPr>
          <w:rFonts w:ascii="Arial" w:hAnsi="Arial" w:cs="Arial"/>
        </w:rPr>
        <w:t>.</w:t>
      </w:r>
      <w:r>
        <w:rPr>
          <w:rFonts w:ascii="Arial" w:hAnsi="Arial" w:cs="Arial"/>
        </w:rPr>
        <w:t xml:space="preserve"> Sales were lower</w:t>
      </w:r>
      <w:r w:rsidRPr="002B5CC6">
        <w:rPr>
          <w:rFonts w:ascii="Arial" w:hAnsi="Arial" w:cs="Arial"/>
        </w:rPr>
        <w:t xml:space="preserve"> in the </w:t>
      </w:r>
      <w:r>
        <w:rPr>
          <w:rFonts w:ascii="Arial" w:hAnsi="Arial" w:cs="Arial"/>
        </w:rPr>
        <w:t xml:space="preserve">UK &amp; Ireland and France, substantially offset by sales growth in Poland, Iberia and Romania. </w:t>
      </w:r>
      <w:r w:rsidRPr="002B5CC6">
        <w:rPr>
          <w:rFonts w:ascii="Arial" w:hAnsi="Arial" w:cs="Arial"/>
        </w:rPr>
        <w:t xml:space="preserve">On a reported basis, which includes the impact of exchange rates, total sales decreased </w:t>
      </w:r>
      <w:r w:rsidRPr="002C4DB3">
        <w:rPr>
          <w:rFonts w:ascii="Arial" w:hAnsi="Arial" w:cs="Arial"/>
        </w:rPr>
        <w:t xml:space="preserve">by </w:t>
      </w:r>
      <w:r w:rsidRPr="00BD3974">
        <w:rPr>
          <w:rFonts w:ascii="Arial" w:hAnsi="Arial" w:cs="Arial"/>
        </w:rPr>
        <w:t>0.9</w:t>
      </w:r>
      <w:r w:rsidRPr="002C4DB3">
        <w:rPr>
          <w:rFonts w:ascii="Arial" w:hAnsi="Arial" w:cs="Arial"/>
        </w:rPr>
        <w:t>%.</w:t>
      </w:r>
      <w:r w:rsidRPr="00302695">
        <w:rPr>
          <w:rFonts w:ascii="Arial" w:hAnsi="Arial" w:cs="Arial"/>
        </w:rPr>
        <w:t xml:space="preserve"> </w:t>
      </w:r>
    </w:p>
    <w:p w14:paraId="183F1258" w14:textId="77777777" w:rsidR="007854A9" w:rsidRDefault="007854A9" w:rsidP="007854A9">
      <w:pPr>
        <w:jc w:val="left"/>
        <w:rPr>
          <w:rFonts w:ascii="Arial" w:hAnsi="Arial" w:cs="Arial"/>
        </w:rPr>
      </w:pPr>
    </w:p>
    <w:p w14:paraId="46AF7157" w14:textId="060BBCDA" w:rsidR="007854A9" w:rsidRDefault="007854A9" w:rsidP="007854A9">
      <w:pPr>
        <w:jc w:val="left"/>
        <w:rPr>
          <w:rFonts w:ascii="Arial" w:hAnsi="Arial" w:cs="Arial"/>
        </w:rPr>
      </w:pPr>
      <w:r w:rsidRPr="00AC05F3">
        <w:rPr>
          <w:rFonts w:ascii="Arial" w:hAnsi="Arial" w:cs="Arial"/>
          <w:b/>
          <w:bCs/>
        </w:rPr>
        <w:t>LFL sales</w:t>
      </w:r>
      <w:r w:rsidRPr="00302695">
        <w:rPr>
          <w:rFonts w:ascii="Arial" w:hAnsi="Arial" w:cs="Arial"/>
        </w:rPr>
        <w:t xml:space="preserve"> </w:t>
      </w:r>
      <w:r w:rsidRPr="002B5CC6">
        <w:rPr>
          <w:rFonts w:ascii="Arial" w:hAnsi="Arial" w:cs="Arial"/>
        </w:rPr>
        <w:t xml:space="preserve">decreased </w:t>
      </w:r>
      <w:r w:rsidRPr="000C1106">
        <w:rPr>
          <w:rFonts w:ascii="Arial" w:hAnsi="Arial" w:cs="Arial"/>
        </w:rPr>
        <w:t xml:space="preserve">by </w:t>
      </w:r>
      <w:r w:rsidRPr="00BD3974">
        <w:rPr>
          <w:rFonts w:ascii="Arial" w:hAnsi="Arial" w:cs="Arial"/>
        </w:rPr>
        <w:t>2.1</w:t>
      </w:r>
      <w:r w:rsidRPr="000C1106">
        <w:rPr>
          <w:rFonts w:ascii="Arial" w:hAnsi="Arial" w:cs="Arial"/>
        </w:rPr>
        <w:t>%,</w:t>
      </w:r>
      <w:r w:rsidRPr="002B5CC6">
        <w:rPr>
          <w:rFonts w:ascii="Arial" w:hAnsi="Arial" w:cs="Arial"/>
        </w:rPr>
        <w:t xml:space="preserve"> which</w:t>
      </w:r>
      <w:r w:rsidRPr="00302695">
        <w:rPr>
          <w:rFonts w:ascii="Arial" w:hAnsi="Arial" w:cs="Arial"/>
        </w:rPr>
        <w:t xml:space="preserve"> excludes the sales impact from </w:t>
      </w:r>
      <w:r>
        <w:rPr>
          <w:rFonts w:ascii="Arial" w:hAnsi="Arial" w:cs="Arial"/>
        </w:rPr>
        <w:t xml:space="preserve">a net increase in </w:t>
      </w:r>
      <w:r w:rsidRPr="00302695">
        <w:rPr>
          <w:rFonts w:ascii="Arial" w:hAnsi="Arial" w:cs="Arial"/>
        </w:rPr>
        <w:t>space</w:t>
      </w:r>
      <w:r>
        <w:rPr>
          <w:rFonts w:ascii="Arial" w:hAnsi="Arial" w:cs="Arial"/>
        </w:rPr>
        <w:t xml:space="preserve"> </w:t>
      </w:r>
      <w:r w:rsidRPr="00302695">
        <w:rPr>
          <w:rFonts w:ascii="Arial" w:hAnsi="Arial" w:cs="Arial"/>
        </w:rPr>
        <w:t xml:space="preserve">of </w:t>
      </w:r>
      <w:r w:rsidRPr="002C4DB3">
        <w:rPr>
          <w:rFonts w:ascii="Arial" w:hAnsi="Arial" w:cs="Arial"/>
        </w:rPr>
        <w:t>+</w:t>
      </w:r>
      <w:r w:rsidRPr="00BD3974">
        <w:rPr>
          <w:rFonts w:ascii="Arial" w:hAnsi="Arial" w:cs="Arial"/>
        </w:rPr>
        <w:t>1.4</w:t>
      </w:r>
      <w:r w:rsidRPr="00302695">
        <w:rPr>
          <w:rFonts w:ascii="Arial" w:hAnsi="Arial" w:cs="Arial"/>
        </w:rPr>
        <w:t>%,</w:t>
      </w:r>
      <w:r w:rsidRPr="003A1B1F">
        <w:rPr>
          <w:rFonts w:ascii="Arial" w:hAnsi="Arial" w:cs="Arial"/>
        </w:rPr>
        <w:t xml:space="preserve"> </w:t>
      </w:r>
      <w:r>
        <w:rPr>
          <w:rFonts w:ascii="Arial" w:hAnsi="Arial" w:cs="Arial"/>
        </w:rPr>
        <w:t xml:space="preserve">driven by store openings by Screwfix in the UK &amp; Ireland, and Castorama in Poland. </w:t>
      </w:r>
      <w:r w:rsidRPr="0006231B">
        <w:rPr>
          <w:rFonts w:ascii="Arial" w:hAnsi="Arial" w:cs="Arial"/>
        </w:rPr>
        <w:t xml:space="preserve">During </w:t>
      </w:r>
      <w:r>
        <w:rPr>
          <w:rFonts w:ascii="Arial" w:hAnsi="Arial" w:cs="Arial"/>
        </w:rPr>
        <w:t>the year</w:t>
      </w:r>
      <w:r w:rsidRPr="0006231B">
        <w:rPr>
          <w:rFonts w:ascii="Arial" w:hAnsi="Arial" w:cs="Arial"/>
        </w:rPr>
        <w:t xml:space="preserve">, we </w:t>
      </w:r>
      <w:r w:rsidRPr="002C4DB3">
        <w:rPr>
          <w:rFonts w:ascii="Arial" w:hAnsi="Arial" w:cs="Arial"/>
        </w:rPr>
        <w:t xml:space="preserve">opened </w:t>
      </w:r>
      <w:r>
        <w:rPr>
          <w:rFonts w:ascii="Arial" w:hAnsi="Arial" w:cs="Arial"/>
        </w:rPr>
        <w:t>101</w:t>
      </w:r>
      <w:r w:rsidRPr="002C4DB3">
        <w:rPr>
          <w:rFonts w:ascii="Arial" w:hAnsi="Arial" w:cs="Arial"/>
        </w:rPr>
        <w:t xml:space="preserve"> new</w:t>
      </w:r>
      <w:r w:rsidRPr="0006231B">
        <w:rPr>
          <w:rFonts w:ascii="Arial" w:hAnsi="Arial" w:cs="Arial"/>
        </w:rPr>
        <w:t xml:space="preserve"> stores </w:t>
      </w:r>
      <w:r w:rsidRPr="00C42EBF">
        <w:rPr>
          <w:rFonts w:ascii="Arial" w:hAnsi="Arial" w:cs="Arial"/>
        </w:rPr>
        <w:t>(</w:t>
      </w:r>
      <w:r w:rsidRPr="00757FB1">
        <w:rPr>
          <w:rFonts w:ascii="Arial" w:hAnsi="Arial" w:cs="Arial"/>
        </w:rPr>
        <w:t xml:space="preserve">including </w:t>
      </w:r>
      <w:r w:rsidRPr="00BD3974">
        <w:rPr>
          <w:rFonts w:ascii="Arial" w:hAnsi="Arial" w:cs="Arial"/>
        </w:rPr>
        <w:t>7</w:t>
      </w:r>
      <w:r w:rsidR="001C6D7F">
        <w:rPr>
          <w:rFonts w:ascii="Arial" w:hAnsi="Arial" w:cs="Arial"/>
        </w:rPr>
        <w:t>7</w:t>
      </w:r>
      <w:r w:rsidRPr="00757FB1">
        <w:rPr>
          <w:rFonts w:ascii="Arial" w:hAnsi="Arial" w:cs="Arial"/>
        </w:rPr>
        <w:t xml:space="preserve"> stores in the UK, </w:t>
      </w:r>
      <w:r w:rsidR="001C6D7F">
        <w:rPr>
          <w:rFonts w:ascii="Arial" w:hAnsi="Arial" w:cs="Arial"/>
        </w:rPr>
        <w:t xml:space="preserve">10 </w:t>
      </w:r>
      <w:r w:rsidRPr="00757FB1">
        <w:rPr>
          <w:rFonts w:ascii="Arial" w:hAnsi="Arial" w:cs="Arial"/>
        </w:rPr>
        <w:t>in Ireland</w:t>
      </w:r>
      <w:r w:rsidRPr="00C42EBF">
        <w:rPr>
          <w:rFonts w:ascii="Arial" w:hAnsi="Arial" w:cs="Arial"/>
        </w:rPr>
        <w:t xml:space="preserve">, </w:t>
      </w:r>
      <w:r>
        <w:rPr>
          <w:rFonts w:ascii="Arial" w:hAnsi="Arial" w:cs="Arial"/>
        </w:rPr>
        <w:t>seven</w:t>
      </w:r>
      <w:r w:rsidRPr="00C42EBF">
        <w:rPr>
          <w:rFonts w:ascii="Arial" w:hAnsi="Arial" w:cs="Arial"/>
        </w:rPr>
        <w:t xml:space="preserve"> in France</w:t>
      </w:r>
      <w:r w:rsidRPr="00975ED1">
        <w:rPr>
          <w:rFonts w:ascii="Arial" w:hAnsi="Arial" w:cs="Arial"/>
        </w:rPr>
        <w:t xml:space="preserve"> </w:t>
      </w:r>
      <w:r w:rsidR="00352AB7">
        <w:rPr>
          <w:rFonts w:ascii="Arial" w:hAnsi="Arial" w:cs="Arial"/>
        </w:rPr>
        <w:t xml:space="preserve">including </w:t>
      </w:r>
      <w:r w:rsidR="00985DFC">
        <w:rPr>
          <w:rFonts w:ascii="Arial" w:hAnsi="Arial" w:cs="Arial"/>
        </w:rPr>
        <w:t xml:space="preserve">five </w:t>
      </w:r>
      <w:r w:rsidR="00352AB7">
        <w:rPr>
          <w:rFonts w:ascii="Arial" w:hAnsi="Arial" w:cs="Arial"/>
        </w:rPr>
        <w:t>Screw</w:t>
      </w:r>
      <w:r w:rsidR="00FD5E6E">
        <w:rPr>
          <w:rFonts w:ascii="Arial" w:hAnsi="Arial" w:cs="Arial"/>
        </w:rPr>
        <w:t xml:space="preserve">fix stores, </w:t>
      </w:r>
      <w:r w:rsidRPr="00975ED1">
        <w:rPr>
          <w:rFonts w:ascii="Arial" w:hAnsi="Arial" w:cs="Arial"/>
        </w:rPr>
        <w:t xml:space="preserve">and </w:t>
      </w:r>
      <w:r w:rsidRPr="00BD3974">
        <w:rPr>
          <w:rFonts w:ascii="Arial" w:hAnsi="Arial" w:cs="Arial"/>
        </w:rPr>
        <w:t>seven</w:t>
      </w:r>
      <w:r w:rsidRPr="00C42EBF">
        <w:rPr>
          <w:rFonts w:ascii="Arial" w:hAnsi="Arial" w:cs="Arial"/>
        </w:rPr>
        <w:t xml:space="preserve"> in Poland)</w:t>
      </w:r>
      <w:r>
        <w:rPr>
          <w:rFonts w:ascii="Arial" w:hAnsi="Arial" w:cs="Arial"/>
        </w:rPr>
        <w:t xml:space="preserve"> and closed one store in the UK and two in Romania.</w:t>
      </w:r>
    </w:p>
    <w:p w14:paraId="539BF95C" w14:textId="77777777" w:rsidR="007854A9" w:rsidRDefault="007854A9" w:rsidP="007854A9">
      <w:pPr>
        <w:jc w:val="left"/>
        <w:rPr>
          <w:rFonts w:ascii="Arial" w:hAnsi="Arial" w:cs="Arial"/>
        </w:rPr>
      </w:pPr>
    </w:p>
    <w:p w14:paraId="21BA27B3" w14:textId="59E16626" w:rsidR="007854A9" w:rsidRDefault="007854A9" w:rsidP="007854A9">
      <w:pPr>
        <w:jc w:val="left"/>
        <w:rPr>
          <w:rFonts w:ascii="Arial" w:hAnsi="Arial" w:cs="Arial"/>
        </w:rPr>
      </w:pPr>
      <w:bookmarkStart w:id="69" w:name="_Hlk97197754"/>
      <w:r w:rsidRPr="00B31068">
        <w:rPr>
          <w:rFonts w:ascii="Arial" w:hAnsi="Arial" w:cs="Arial"/>
          <w:b/>
        </w:rPr>
        <w:t>Gross margin</w:t>
      </w:r>
      <w:r w:rsidRPr="00B31068">
        <w:rPr>
          <w:rFonts w:ascii="Arial" w:hAnsi="Arial" w:cs="Arial"/>
        </w:rPr>
        <w:t xml:space="preserve"> </w:t>
      </w:r>
      <w:r w:rsidRPr="00B31068">
        <w:rPr>
          <w:rFonts w:ascii="Arial" w:hAnsi="Arial" w:cs="Arial"/>
          <w:b/>
          <w:bCs/>
        </w:rPr>
        <w:t>%</w:t>
      </w:r>
      <w:r w:rsidRPr="00B31068">
        <w:rPr>
          <w:rFonts w:ascii="Arial" w:hAnsi="Arial" w:cs="Arial"/>
        </w:rPr>
        <w:t xml:space="preserve"> </w:t>
      </w:r>
      <w:r>
        <w:rPr>
          <w:rFonts w:ascii="Arial" w:hAnsi="Arial" w:cs="Arial"/>
        </w:rPr>
        <w:t>de</w:t>
      </w:r>
      <w:r w:rsidRPr="00B31068">
        <w:rPr>
          <w:rFonts w:ascii="Arial" w:hAnsi="Arial" w:cs="Arial"/>
        </w:rPr>
        <w:t xml:space="preserve">creased </w:t>
      </w:r>
      <w:r w:rsidRPr="002B5CC6">
        <w:rPr>
          <w:rFonts w:ascii="Arial" w:hAnsi="Arial" w:cs="Arial"/>
        </w:rPr>
        <w:t xml:space="preserve">by </w:t>
      </w:r>
      <w:r w:rsidRPr="00BD3974">
        <w:rPr>
          <w:rFonts w:ascii="Arial" w:hAnsi="Arial" w:cs="Arial"/>
        </w:rPr>
        <w:t>70</w:t>
      </w:r>
      <w:r w:rsidRPr="005A73D7">
        <w:rPr>
          <w:rFonts w:ascii="Arial" w:hAnsi="Arial" w:cs="Arial"/>
        </w:rPr>
        <w:t xml:space="preserve"> b</w:t>
      </w:r>
      <w:r w:rsidRPr="002B5CC6">
        <w:rPr>
          <w:rFonts w:ascii="Arial" w:hAnsi="Arial" w:cs="Arial"/>
        </w:rPr>
        <w:t>asis</w:t>
      </w:r>
      <w:r w:rsidRPr="00B31068">
        <w:rPr>
          <w:rFonts w:ascii="Arial" w:hAnsi="Arial" w:cs="Arial"/>
        </w:rPr>
        <w:t xml:space="preserve"> points on a constant currency basis</w:t>
      </w:r>
      <w:r>
        <w:rPr>
          <w:rFonts w:ascii="Arial" w:hAnsi="Arial" w:cs="Arial"/>
        </w:rPr>
        <w:t xml:space="preserve">, </w:t>
      </w:r>
      <w:r w:rsidRPr="007E3ADD">
        <w:rPr>
          <w:rFonts w:ascii="Arial" w:hAnsi="Arial" w:cs="Arial"/>
        </w:rPr>
        <w:t>reflect</w:t>
      </w:r>
      <w:r>
        <w:rPr>
          <w:rFonts w:ascii="Arial" w:hAnsi="Arial" w:cs="Arial"/>
        </w:rPr>
        <w:t xml:space="preserve">ing </w:t>
      </w:r>
      <w:r w:rsidR="009A5C0A">
        <w:rPr>
          <w:rFonts w:ascii="Arial" w:hAnsi="Arial"/>
        </w:rPr>
        <w:t>mix impacts</w:t>
      </w:r>
      <w:r w:rsidR="009A5C0A">
        <w:rPr>
          <w:rFonts w:ascii="Arial" w:hAnsi="Arial" w:cs="Arial"/>
        </w:rPr>
        <w:t xml:space="preserve">, ‘normalised’ promotional activity </w:t>
      </w:r>
      <w:r w:rsidR="001008ED">
        <w:rPr>
          <w:rFonts w:ascii="Arial" w:hAnsi="Arial" w:cs="Arial"/>
        </w:rPr>
        <w:t xml:space="preserve">in H1, </w:t>
      </w:r>
      <w:r w:rsidR="009A5C0A">
        <w:rPr>
          <w:rFonts w:ascii="Arial" w:hAnsi="Arial" w:cs="Arial"/>
        </w:rPr>
        <w:t xml:space="preserve">and </w:t>
      </w:r>
      <w:r>
        <w:rPr>
          <w:rFonts w:ascii="Arial" w:hAnsi="Arial" w:cs="Arial"/>
        </w:rPr>
        <w:t xml:space="preserve">one-off logistics spend </w:t>
      </w:r>
      <w:r w:rsidR="001008ED">
        <w:rPr>
          <w:rFonts w:ascii="Arial" w:hAnsi="Arial" w:cs="Arial"/>
        </w:rPr>
        <w:t xml:space="preserve">in H1 </w:t>
      </w:r>
      <w:r>
        <w:rPr>
          <w:rFonts w:ascii="Arial" w:hAnsi="Arial" w:cs="Arial"/>
        </w:rPr>
        <w:t>to</w:t>
      </w:r>
      <w:r w:rsidRPr="00A573C9">
        <w:rPr>
          <w:rFonts w:ascii="Arial" w:hAnsi="Arial" w:cs="Arial"/>
        </w:rPr>
        <w:t xml:space="preserve"> secure/manage seasonal and ‘buffer’ stock</w:t>
      </w:r>
      <w:r w:rsidRPr="001F1EE9">
        <w:rPr>
          <w:rFonts w:ascii="Arial" w:hAnsi="Arial" w:cs="Arial"/>
        </w:rPr>
        <w:t xml:space="preserve">. </w:t>
      </w:r>
      <w:r w:rsidRPr="002C4DB3">
        <w:rPr>
          <w:rFonts w:ascii="Arial" w:hAnsi="Arial" w:cs="Arial"/>
        </w:rPr>
        <w:t xml:space="preserve">Mix impacts are the result of a lower YoY share (versus other banners) of B&amp;Q's higher gross margin % revenues given very strong prior year sales, and unfavourable category mix between lower margin </w:t>
      </w:r>
      <w:r w:rsidRPr="002C4DB3">
        <w:rPr>
          <w:rFonts w:ascii="Arial" w:hAnsi="Arial" w:cs="Arial"/>
          <w:bCs/>
        </w:rPr>
        <w:t xml:space="preserve">building &amp; joinery and </w:t>
      </w:r>
      <w:r w:rsidRPr="002C4DB3">
        <w:rPr>
          <w:rFonts w:ascii="Arial" w:hAnsi="Arial" w:cs="Arial"/>
        </w:rPr>
        <w:t xml:space="preserve">EPHC </w:t>
      </w:r>
      <w:r w:rsidRPr="002C4DB3">
        <w:rPr>
          <w:rFonts w:ascii="Arial" w:hAnsi="Arial" w:cs="Arial"/>
          <w:bCs/>
        </w:rPr>
        <w:t xml:space="preserve">(electricals, plumbing, heating &amp; cooling) and </w:t>
      </w:r>
      <w:r w:rsidRPr="002C4DB3">
        <w:rPr>
          <w:rFonts w:ascii="Arial" w:hAnsi="Arial" w:cs="Arial"/>
        </w:rPr>
        <w:t>higher margin surface</w:t>
      </w:r>
      <w:r w:rsidR="0083191B">
        <w:rPr>
          <w:rFonts w:ascii="Arial" w:hAnsi="Arial" w:cs="Arial"/>
        </w:rPr>
        <w:t>s</w:t>
      </w:r>
      <w:r w:rsidRPr="002C4DB3">
        <w:rPr>
          <w:rFonts w:ascii="Arial" w:hAnsi="Arial" w:cs="Arial"/>
        </w:rPr>
        <w:t xml:space="preserve"> &amp; décor categories. On</w:t>
      </w:r>
      <w:r w:rsidRPr="00121683">
        <w:rPr>
          <w:rFonts w:ascii="Arial" w:hAnsi="Arial" w:cs="Arial"/>
        </w:rPr>
        <w:t xml:space="preserve"> a reported basis, gross margin % also decreased by </w:t>
      </w:r>
      <w:r w:rsidRPr="00BD3974">
        <w:rPr>
          <w:rFonts w:ascii="Arial" w:hAnsi="Arial" w:cs="Arial"/>
        </w:rPr>
        <w:t>70</w:t>
      </w:r>
      <w:r w:rsidRPr="005A73D7">
        <w:rPr>
          <w:rFonts w:ascii="Arial" w:hAnsi="Arial" w:cs="Arial"/>
        </w:rPr>
        <w:t xml:space="preserve"> b</w:t>
      </w:r>
      <w:r w:rsidRPr="00121683">
        <w:rPr>
          <w:rFonts w:ascii="Arial" w:hAnsi="Arial" w:cs="Arial"/>
        </w:rPr>
        <w:t>asis points</w:t>
      </w:r>
      <w:r w:rsidRPr="00B31068">
        <w:rPr>
          <w:rFonts w:ascii="Arial" w:hAnsi="Arial" w:cs="Arial"/>
        </w:rPr>
        <w:t>.</w:t>
      </w:r>
      <w:r>
        <w:rPr>
          <w:rFonts w:ascii="Arial" w:hAnsi="Arial" w:cs="Arial"/>
        </w:rPr>
        <w:t xml:space="preserve"> </w:t>
      </w:r>
      <w:r w:rsidRPr="00A4049D">
        <w:rPr>
          <w:rFonts w:ascii="Arial" w:hAnsi="Arial" w:cs="Arial"/>
        </w:rPr>
        <w:t xml:space="preserve">Group </w:t>
      </w:r>
      <w:r w:rsidRPr="00975ED1">
        <w:rPr>
          <w:rFonts w:ascii="Arial" w:hAnsi="Arial" w:cs="Arial"/>
          <w:b/>
          <w:bCs/>
        </w:rPr>
        <w:t>gross profit</w:t>
      </w:r>
      <w:r>
        <w:rPr>
          <w:rFonts w:ascii="Arial" w:hAnsi="Arial" w:cs="Arial"/>
        </w:rPr>
        <w:t xml:space="preserve"> de</w:t>
      </w:r>
      <w:r w:rsidRPr="00A4049D">
        <w:rPr>
          <w:rFonts w:ascii="Arial" w:hAnsi="Arial" w:cs="Arial"/>
        </w:rPr>
        <w:t>crease</w:t>
      </w:r>
      <w:r>
        <w:rPr>
          <w:rFonts w:ascii="Arial" w:hAnsi="Arial" w:cs="Arial"/>
        </w:rPr>
        <w:t>d</w:t>
      </w:r>
      <w:r w:rsidRPr="00A4049D">
        <w:rPr>
          <w:rFonts w:ascii="Arial" w:hAnsi="Arial" w:cs="Arial"/>
        </w:rPr>
        <w:t xml:space="preserve"> </w:t>
      </w:r>
      <w:r>
        <w:rPr>
          <w:rFonts w:ascii="Arial" w:hAnsi="Arial" w:cs="Arial"/>
        </w:rPr>
        <w:t>by 2.6</w:t>
      </w:r>
      <w:r w:rsidRPr="00A4049D">
        <w:rPr>
          <w:rFonts w:ascii="Arial" w:hAnsi="Arial" w:cs="Arial"/>
        </w:rPr>
        <w:t>% in constant currency</w:t>
      </w:r>
      <w:r>
        <w:rPr>
          <w:rFonts w:ascii="Arial" w:hAnsi="Arial" w:cs="Arial"/>
        </w:rPr>
        <w:t>.</w:t>
      </w:r>
    </w:p>
    <w:p w14:paraId="7D91B95E" w14:textId="77777777" w:rsidR="007854A9" w:rsidRPr="0030552A" w:rsidRDefault="007854A9" w:rsidP="007854A9">
      <w:pPr>
        <w:jc w:val="left"/>
        <w:rPr>
          <w:rFonts w:ascii="Arial" w:hAnsi="Arial" w:cs="Arial"/>
        </w:rPr>
      </w:pPr>
    </w:p>
    <w:bookmarkEnd w:id="69"/>
    <w:p w14:paraId="5A8145F4" w14:textId="28EB3885" w:rsidR="007854A9" w:rsidRDefault="007854A9" w:rsidP="007854A9">
      <w:pPr>
        <w:ind w:right="-368"/>
        <w:jc w:val="left"/>
        <w:rPr>
          <w:rFonts w:ascii="Arial" w:hAnsi="Arial" w:cs="Arial"/>
        </w:rPr>
      </w:pPr>
      <w:r w:rsidRPr="00395CFA">
        <w:rPr>
          <w:rFonts w:ascii="Arial" w:hAnsi="Arial" w:cs="Arial"/>
          <w:szCs w:val="24"/>
        </w:rPr>
        <w:t xml:space="preserve">In constant currency, </w:t>
      </w:r>
      <w:r w:rsidRPr="00BD3974">
        <w:rPr>
          <w:rFonts w:ascii="Arial" w:hAnsi="Arial" w:cs="Arial"/>
          <w:b/>
          <w:bCs/>
          <w:szCs w:val="24"/>
        </w:rPr>
        <w:t>retail profit</w:t>
      </w:r>
      <w:r w:rsidRPr="00395CFA">
        <w:rPr>
          <w:rFonts w:ascii="Arial" w:hAnsi="Arial" w:cs="Arial"/>
          <w:szCs w:val="24"/>
        </w:rPr>
        <w:t xml:space="preserve"> decreased by </w:t>
      </w:r>
      <w:r w:rsidRPr="00395CFA">
        <w:rPr>
          <w:rFonts w:ascii="Arial" w:hAnsi="Arial" w:cs="Arial"/>
        </w:rPr>
        <w:t>19.2</w:t>
      </w:r>
      <w:r w:rsidRPr="00395CFA">
        <w:rPr>
          <w:rFonts w:ascii="Arial" w:hAnsi="Arial" w:cs="Arial"/>
          <w:szCs w:val="24"/>
        </w:rPr>
        <w:t xml:space="preserve">%, </w:t>
      </w:r>
      <w:r w:rsidRPr="00395CFA">
        <w:rPr>
          <w:rFonts w:ascii="Arial" w:hAnsi="Arial" w:cs="Arial"/>
          <w:bCs/>
        </w:rPr>
        <w:t xml:space="preserve">largely reflecting strong prior year comparatives in the UK &amp; Ireland </w:t>
      </w:r>
      <w:r w:rsidRPr="00BD3974">
        <w:rPr>
          <w:rFonts w:ascii="Arial" w:hAnsi="Arial" w:cs="Arial"/>
          <w:bCs/>
        </w:rPr>
        <w:t xml:space="preserve">and France, and losses incurred in ‘Other’ operations. This </w:t>
      </w:r>
      <w:r w:rsidRPr="00395CFA">
        <w:rPr>
          <w:rFonts w:ascii="Arial" w:hAnsi="Arial" w:cs="Arial"/>
          <w:bCs/>
        </w:rPr>
        <w:t>was</w:t>
      </w:r>
      <w:r w:rsidRPr="00395CFA">
        <w:rPr>
          <w:rFonts w:ascii="Arial" w:hAnsi="Arial" w:cs="Arial"/>
        </w:rPr>
        <w:t xml:space="preserve"> partially offset by retail profit growth in Poland.</w:t>
      </w:r>
      <w:r>
        <w:rPr>
          <w:rFonts w:ascii="Arial" w:hAnsi="Arial" w:cs="Arial"/>
        </w:rPr>
        <w:t xml:space="preserve"> On a reported basis, retail profit decreased by 19.</w:t>
      </w:r>
      <w:r w:rsidR="00C448C0">
        <w:rPr>
          <w:rFonts w:ascii="Arial" w:hAnsi="Arial" w:cs="Arial"/>
        </w:rPr>
        <w:t>7</w:t>
      </w:r>
      <w:r>
        <w:rPr>
          <w:rFonts w:ascii="Arial" w:hAnsi="Arial" w:cs="Arial"/>
        </w:rPr>
        <w:t>%.</w:t>
      </w:r>
      <w:r w:rsidRPr="00A4049D">
        <w:rPr>
          <w:rFonts w:ascii="Arial" w:hAnsi="Arial" w:cs="Arial"/>
        </w:rPr>
        <w:t xml:space="preserve"> </w:t>
      </w:r>
      <w:r w:rsidRPr="00ED1CFF">
        <w:rPr>
          <w:rFonts w:ascii="Arial" w:hAnsi="Arial" w:cs="Arial"/>
          <w:b/>
          <w:bCs/>
        </w:rPr>
        <w:t>Operating costs</w:t>
      </w:r>
      <w:r w:rsidRPr="00ED1CFF">
        <w:rPr>
          <w:rFonts w:ascii="Arial" w:hAnsi="Arial" w:cs="Arial"/>
        </w:rPr>
        <w:t xml:space="preserve"> increased </w:t>
      </w:r>
      <w:r w:rsidRPr="006B6DA0">
        <w:rPr>
          <w:rFonts w:ascii="Arial" w:hAnsi="Arial" w:cs="Arial"/>
        </w:rPr>
        <w:t xml:space="preserve">by </w:t>
      </w:r>
      <w:r w:rsidRPr="00BD3974">
        <w:rPr>
          <w:rFonts w:ascii="Arial" w:hAnsi="Arial" w:cs="Arial"/>
        </w:rPr>
        <w:t>2.4</w:t>
      </w:r>
      <w:r w:rsidRPr="006B6DA0">
        <w:rPr>
          <w:rFonts w:ascii="Arial" w:hAnsi="Arial" w:cs="Arial"/>
        </w:rPr>
        <w:t>%</w:t>
      </w:r>
      <w:r w:rsidRPr="00ED1CFF">
        <w:rPr>
          <w:rFonts w:ascii="Arial" w:hAnsi="Arial" w:cs="Arial"/>
        </w:rPr>
        <w:t xml:space="preserve"> on a constant currency basis, largely reflecting </w:t>
      </w:r>
      <w:r w:rsidRPr="001D6923">
        <w:rPr>
          <w:rFonts w:ascii="Arial" w:hAnsi="Arial" w:cs="Arial"/>
        </w:rPr>
        <w:t xml:space="preserve">higher costs associated with </w:t>
      </w:r>
      <w:r>
        <w:rPr>
          <w:rFonts w:ascii="Arial" w:hAnsi="Arial" w:cs="Arial"/>
        </w:rPr>
        <w:t xml:space="preserve">space growth and </w:t>
      </w:r>
      <w:r w:rsidRPr="001D6923">
        <w:rPr>
          <w:rFonts w:ascii="Arial" w:hAnsi="Arial" w:cs="Arial"/>
        </w:rPr>
        <w:t>new store openings</w:t>
      </w:r>
      <w:r w:rsidR="009A5C0A">
        <w:rPr>
          <w:rFonts w:ascii="Arial" w:hAnsi="Arial" w:cs="Arial"/>
        </w:rPr>
        <w:t>, higher technology spend,</w:t>
      </w:r>
      <w:r>
        <w:rPr>
          <w:rFonts w:ascii="Arial" w:hAnsi="Arial" w:cs="Arial"/>
        </w:rPr>
        <w:t xml:space="preserve"> and</w:t>
      </w:r>
      <w:r w:rsidRPr="001D6923">
        <w:rPr>
          <w:rFonts w:ascii="Arial" w:hAnsi="Arial" w:cs="Arial"/>
        </w:rPr>
        <w:t xml:space="preserve"> </w:t>
      </w:r>
      <w:r w:rsidRPr="00EC4039">
        <w:rPr>
          <w:rFonts w:ascii="Arial" w:hAnsi="Arial" w:cs="Arial"/>
        </w:rPr>
        <w:t>operating cost inflation</w:t>
      </w:r>
      <w:r w:rsidRPr="00EC4039">
        <w:rPr>
          <w:rFonts w:ascii="Arial" w:hAnsi="Arial" w:cs="Arial"/>
          <w:bCs/>
        </w:rPr>
        <w:t xml:space="preserve"> including </w:t>
      </w:r>
      <w:r w:rsidR="004757A1" w:rsidRPr="004757A1">
        <w:rPr>
          <w:rFonts w:ascii="Arial" w:hAnsi="Arial" w:cs="Arial"/>
          <w:bCs/>
        </w:rPr>
        <w:t>increases in pay rates and</w:t>
      </w:r>
      <w:r w:rsidR="004757A1">
        <w:rPr>
          <w:rFonts w:ascii="Arial" w:hAnsi="Arial" w:cs="Arial"/>
          <w:bCs/>
        </w:rPr>
        <w:t xml:space="preserve"> </w:t>
      </w:r>
      <w:r w:rsidRPr="00EC4039">
        <w:rPr>
          <w:rFonts w:ascii="Arial" w:hAnsi="Arial" w:cs="Arial"/>
          <w:bCs/>
        </w:rPr>
        <w:t xml:space="preserve">significantly </w:t>
      </w:r>
      <w:r w:rsidRPr="00BC5FA6">
        <w:rPr>
          <w:rFonts w:ascii="Arial" w:hAnsi="Arial" w:cs="Arial"/>
        </w:rPr>
        <w:t>higher energy costs</w:t>
      </w:r>
      <w:r>
        <w:rPr>
          <w:rFonts w:ascii="Arial" w:hAnsi="Arial" w:cs="Arial"/>
        </w:rPr>
        <w:t xml:space="preserve">. </w:t>
      </w:r>
      <w:r w:rsidR="009A5C0A">
        <w:rPr>
          <w:rFonts w:ascii="Arial" w:hAnsi="Arial" w:cs="Arial"/>
        </w:rPr>
        <w:t xml:space="preserve">Part of the </w:t>
      </w:r>
      <w:r w:rsidR="00DF2428">
        <w:rPr>
          <w:rFonts w:ascii="Arial" w:hAnsi="Arial" w:cs="Arial"/>
        </w:rPr>
        <w:t xml:space="preserve">YoY </w:t>
      </w:r>
      <w:r w:rsidR="009A5C0A">
        <w:rPr>
          <w:rFonts w:ascii="Arial" w:hAnsi="Arial" w:cs="Arial"/>
        </w:rPr>
        <w:t xml:space="preserve">cost increase was also the result of the </w:t>
      </w:r>
      <w:r w:rsidR="009A5C0A" w:rsidRPr="009021DE">
        <w:rPr>
          <w:rFonts w:ascii="Arial" w:hAnsi="Arial" w:cs="Arial"/>
        </w:rPr>
        <w:t xml:space="preserve">reversal of one-off </w:t>
      </w:r>
      <w:r w:rsidR="009A5C0A" w:rsidRPr="009021DE">
        <w:rPr>
          <w:rFonts w:ascii="Arial" w:hAnsi="Arial" w:cs="Arial"/>
        </w:rPr>
        <w:lastRenderedPageBreak/>
        <w:t xml:space="preserve">cost savings that were achieved in </w:t>
      </w:r>
      <w:r w:rsidR="00A75380">
        <w:rPr>
          <w:rFonts w:ascii="Arial" w:hAnsi="Arial" w:cs="Arial"/>
        </w:rPr>
        <w:t>the first half of the prior year</w:t>
      </w:r>
      <w:r w:rsidR="009A5C0A" w:rsidRPr="009021DE">
        <w:rPr>
          <w:rFonts w:ascii="Arial" w:hAnsi="Arial" w:cs="Arial"/>
        </w:rPr>
        <w:t xml:space="preserve"> due to COVID-related restrictions in our markets (e.g., advertising</w:t>
      </w:r>
      <w:r w:rsidR="00A75380">
        <w:rPr>
          <w:rFonts w:ascii="Arial" w:hAnsi="Arial" w:cs="Arial"/>
        </w:rPr>
        <w:t xml:space="preserve">, </w:t>
      </w:r>
      <w:r w:rsidR="009A5C0A" w:rsidRPr="009021DE">
        <w:rPr>
          <w:rFonts w:ascii="Arial" w:hAnsi="Arial" w:cs="Arial"/>
        </w:rPr>
        <w:t xml:space="preserve">marketing and travel costs). </w:t>
      </w:r>
      <w:r w:rsidRPr="00B63AEE">
        <w:rPr>
          <w:rFonts w:ascii="Arial" w:hAnsi="Arial" w:cs="Arial"/>
          <w:bCs/>
        </w:rPr>
        <w:t xml:space="preserve">The increase in operating costs was </w:t>
      </w:r>
      <w:r w:rsidRPr="00B63AEE">
        <w:rPr>
          <w:rFonts w:ascii="Arial" w:hAnsi="Arial" w:cs="Arial"/>
        </w:rPr>
        <w:t xml:space="preserve">partially offset </w:t>
      </w:r>
      <w:r w:rsidR="008949D7">
        <w:rPr>
          <w:rFonts w:ascii="Arial" w:hAnsi="Arial" w:cs="Arial"/>
        </w:rPr>
        <w:t xml:space="preserve">through flexing </w:t>
      </w:r>
      <w:r w:rsidR="00957952">
        <w:rPr>
          <w:rFonts w:ascii="Arial" w:hAnsi="Arial" w:cs="Arial"/>
        </w:rPr>
        <w:t xml:space="preserve">our </w:t>
      </w:r>
      <w:r>
        <w:rPr>
          <w:rFonts w:ascii="Arial" w:hAnsi="Arial" w:cs="Arial"/>
        </w:rPr>
        <w:t xml:space="preserve">staff costs and </w:t>
      </w:r>
      <w:r w:rsidRPr="00B63AEE">
        <w:rPr>
          <w:rFonts w:ascii="Arial" w:hAnsi="Arial" w:cs="Arial"/>
        </w:rPr>
        <w:t xml:space="preserve">cost reductions achieved </w:t>
      </w:r>
      <w:r w:rsidR="008949D7">
        <w:rPr>
          <w:rFonts w:ascii="Arial" w:hAnsi="Arial" w:cs="Arial"/>
        </w:rPr>
        <w:t xml:space="preserve">by </w:t>
      </w:r>
      <w:r w:rsidRPr="00B63AEE">
        <w:rPr>
          <w:rFonts w:ascii="Arial" w:hAnsi="Arial" w:cs="Arial"/>
        </w:rPr>
        <w:t>our strategic cost reduction programme.</w:t>
      </w:r>
      <w:r>
        <w:rPr>
          <w:rFonts w:ascii="Arial" w:hAnsi="Arial" w:cs="Arial"/>
        </w:rPr>
        <w:t xml:space="preserve"> The Group’s </w:t>
      </w:r>
      <w:r w:rsidRPr="0007608C">
        <w:rPr>
          <w:rFonts w:ascii="Arial" w:hAnsi="Arial" w:cs="Arial"/>
          <w:b/>
          <w:bCs/>
        </w:rPr>
        <w:t>retail profit margin %</w:t>
      </w:r>
      <w:r>
        <w:rPr>
          <w:rFonts w:ascii="Arial" w:hAnsi="Arial" w:cs="Arial"/>
        </w:rPr>
        <w:t xml:space="preserve"> decreased by </w:t>
      </w:r>
      <w:r w:rsidRPr="00BD3974">
        <w:rPr>
          <w:rFonts w:ascii="Arial" w:hAnsi="Arial" w:cs="Arial"/>
        </w:rPr>
        <w:t>160</w:t>
      </w:r>
      <w:r>
        <w:rPr>
          <w:rFonts w:ascii="Arial" w:hAnsi="Arial" w:cs="Arial"/>
        </w:rPr>
        <w:t xml:space="preserve"> basis points to 7.1% (</w:t>
      </w:r>
      <w:r>
        <w:rPr>
          <w:rFonts w:ascii="Arial" w:hAnsi="Arial" w:cs="Arial"/>
          <w:szCs w:val="24"/>
        </w:rPr>
        <w:t>FY</w:t>
      </w:r>
      <w:r w:rsidRPr="00040189">
        <w:rPr>
          <w:rFonts w:ascii="Arial" w:hAnsi="Arial" w:cs="Arial"/>
          <w:szCs w:val="24"/>
        </w:rPr>
        <w:t xml:space="preserve"> </w:t>
      </w:r>
      <w:r>
        <w:rPr>
          <w:rFonts w:ascii="Arial" w:hAnsi="Arial" w:cs="Arial"/>
          <w:szCs w:val="24"/>
        </w:rPr>
        <w:t>21</w:t>
      </w:r>
      <w:r w:rsidRPr="00040189">
        <w:rPr>
          <w:rFonts w:ascii="Arial" w:hAnsi="Arial" w:cs="Arial"/>
          <w:szCs w:val="24"/>
        </w:rPr>
        <w:t>/2</w:t>
      </w:r>
      <w:r>
        <w:rPr>
          <w:rFonts w:ascii="Arial" w:hAnsi="Arial" w:cs="Arial"/>
          <w:szCs w:val="24"/>
        </w:rPr>
        <w:t>2</w:t>
      </w:r>
      <w:r w:rsidRPr="00040189">
        <w:rPr>
          <w:rFonts w:ascii="Arial" w:hAnsi="Arial" w:cs="Arial"/>
          <w:szCs w:val="24"/>
        </w:rPr>
        <w:t xml:space="preserve">: </w:t>
      </w:r>
      <w:r>
        <w:rPr>
          <w:rFonts w:ascii="Arial" w:hAnsi="Arial" w:cs="Arial"/>
          <w:szCs w:val="24"/>
        </w:rPr>
        <w:t>8.7%</w:t>
      </w:r>
      <w:r>
        <w:rPr>
          <w:rFonts w:ascii="Arial" w:hAnsi="Arial" w:cs="Arial"/>
        </w:rPr>
        <w:t xml:space="preserve">; FY 19/20: </w:t>
      </w:r>
      <w:r w:rsidRPr="00BD3974">
        <w:rPr>
          <w:rFonts w:ascii="Arial" w:hAnsi="Arial" w:cs="Arial"/>
        </w:rPr>
        <w:t>6.8</w:t>
      </w:r>
      <w:r w:rsidRPr="009F278C">
        <w:rPr>
          <w:rFonts w:ascii="Arial" w:hAnsi="Arial" w:cs="Arial"/>
        </w:rPr>
        <w:t>%).</w:t>
      </w:r>
    </w:p>
    <w:p w14:paraId="2C6596C1" w14:textId="77777777" w:rsidR="007854A9" w:rsidRPr="00040189" w:rsidRDefault="007854A9" w:rsidP="007854A9">
      <w:pPr>
        <w:ind w:right="-368"/>
        <w:jc w:val="left"/>
        <w:rPr>
          <w:rFonts w:ascii="Arial" w:hAnsi="Arial" w:cs="Arial"/>
          <w:szCs w:val="24"/>
        </w:rPr>
      </w:pPr>
    </w:p>
    <w:p w14:paraId="50554048" w14:textId="422E81AB" w:rsidR="007854A9" w:rsidRPr="00040189" w:rsidRDefault="007854A9" w:rsidP="007835E5">
      <w:pPr>
        <w:ind w:right="-368"/>
        <w:jc w:val="left"/>
        <w:rPr>
          <w:rFonts w:ascii="Arial" w:hAnsi="Arial" w:cs="Arial"/>
          <w:szCs w:val="24"/>
        </w:rPr>
      </w:pPr>
      <w:r w:rsidRPr="00040189">
        <w:rPr>
          <w:rFonts w:ascii="Arial" w:hAnsi="Arial" w:cs="Arial"/>
          <w:b/>
          <w:bCs/>
          <w:szCs w:val="24"/>
        </w:rPr>
        <w:t>Adjusted pre-tax profit</w:t>
      </w:r>
      <w:r w:rsidRPr="00040189">
        <w:rPr>
          <w:rFonts w:ascii="Arial" w:hAnsi="Arial" w:cs="Arial"/>
          <w:szCs w:val="24"/>
        </w:rPr>
        <w:t xml:space="preserve"> </w:t>
      </w:r>
      <w:r>
        <w:rPr>
          <w:rFonts w:ascii="Arial" w:hAnsi="Arial" w:cs="Arial"/>
          <w:szCs w:val="24"/>
        </w:rPr>
        <w:t xml:space="preserve">decreased by </w:t>
      </w:r>
      <w:r w:rsidRPr="00BD3974">
        <w:rPr>
          <w:rFonts w:ascii="Arial" w:hAnsi="Arial" w:cs="Arial"/>
          <w:szCs w:val="24"/>
        </w:rPr>
        <w:t>20.</w:t>
      </w:r>
      <w:r w:rsidR="001F6814">
        <w:rPr>
          <w:rFonts w:ascii="Arial" w:hAnsi="Arial" w:cs="Arial"/>
          <w:szCs w:val="24"/>
        </w:rPr>
        <w:t>2</w:t>
      </w:r>
      <w:r w:rsidRPr="00A95FFF">
        <w:rPr>
          <w:rFonts w:ascii="Arial" w:hAnsi="Arial" w:cs="Arial"/>
          <w:szCs w:val="24"/>
        </w:rPr>
        <w:t>% to £</w:t>
      </w:r>
      <w:r w:rsidRPr="00BD3974">
        <w:rPr>
          <w:rFonts w:ascii="Arial" w:hAnsi="Arial" w:cs="Arial"/>
          <w:szCs w:val="24"/>
        </w:rPr>
        <w:t>758</w:t>
      </w:r>
      <w:r w:rsidRPr="00040189">
        <w:rPr>
          <w:rFonts w:ascii="Arial" w:hAnsi="Arial" w:cs="Arial"/>
          <w:szCs w:val="24"/>
        </w:rPr>
        <w:t>m (</w:t>
      </w:r>
      <w:r>
        <w:rPr>
          <w:rFonts w:ascii="Arial" w:hAnsi="Arial" w:cs="Arial"/>
          <w:szCs w:val="24"/>
        </w:rPr>
        <w:t>FY</w:t>
      </w:r>
      <w:r w:rsidRPr="00040189">
        <w:rPr>
          <w:rFonts w:ascii="Arial" w:hAnsi="Arial" w:cs="Arial"/>
          <w:szCs w:val="24"/>
        </w:rPr>
        <w:t xml:space="preserve"> </w:t>
      </w:r>
      <w:r>
        <w:rPr>
          <w:rFonts w:ascii="Arial" w:hAnsi="Arial" w:cs="Arial"/>
          <w:szCs w:val="24"/>
        </w:rPr>
        <w:t>21</w:t>
      </w:r>
      <w:r w:rsidRPr="00040189">
        <w:rPr>
          <w:rFonts w:ascii="Arial" w:hAnsi="Arial" w:cs="Arial"/>
          <w:szCs w:val="24"/>
        </w:rPr>
        <w:t>/2</w:t>
      </w:r>
      <w:r>
        <w:rPr>
          <w:rFonts w:ascii="Arial" w:hAnsi="Arial" w:cs="Arial"/>
          <w:szCs w:val="24"/>
        </w:rPr>
        <w:t>2</w:t>
      </w:r>
      <w:r w:rsidRPr="00040189">
        <w:rPr>
          <w:rFonts w:ascii="Arial" w:hAnsi="Arial" w:cs="Arial"/>
          <w:szCs w:val="24"/>
        </w:rPr>
        <w:t>: £</w:t>
      </w:r>
      <w:r>
        <w:rPr>
          <w:rFonts w:ascii="Arial" w:hAnsi="Arial" w:cs="Arial"/>
          <w:szCs w:val="24"/>
        </w:rPr>
        <w:t>949</w:t>
      </w:r>
      <w:r w:rsidRPr="00040189">
        <w:rPr>
          <w:rFonts w:ascii="Arial" w:hAnsi="Arial" w:cs="Arial"/>
          <w:szCs w:val="24"/>
        </w:rPr>
        <w:t>m</w:t>
      </w:r>
      <w:r>
        <w:rPr>
          <w:rFonts w:ascii="Arial" w:hAnsi="Arial" w:cs="Arial"/>
          <w:szCs w:val="24"/>
        </w:rPr>
        <w:t>; FY</w:t>
      </w:r>
      <w:r w:rsidRPr="00040189">
        <w:rPr>
          <w:rFonts w:ascii="Arial" w:hAnsi="Arial" w:cs="Arial"/>
          <w:szCs w:val="24"/>
        </w:rPr>
        <w:t xml:space="preserve"> 19/</w:t>
      </w:r>
      <w:r w:rsidRPr="009F278C">
        <w:rPr>
          <w:rFonts w:ascii="Arial" w:hAnsi="Arial" w:cs="Arial"/>
          <w:szCs w:val="24"/>
        </w:rPr>
        <w:t>20: £</w:t>
      </w:r>
      <w:r w:rsidRPr="00BD3974">
        <w:rPr>
          <w:rFonts w:ascii="Arial" w:hAnsi="Arial" w:cs="Arial"/>
          <w:szCs w:val="24"/>
        </w:rPr>
        <w:t>544</w:t>
      </w:r>
      <w:r w:rsidRPr="009F278C">
        <w:rPr>
          <w:rFonts w:ascii="Arial" w:hAnsi="Arial" w:cs="Arial"/>
          <w:szCs w:val="24"/>
        </w:rPr>
        <w:t>m</w:t>
      </w:r>
      <w:r w:rsidRPr="00040189">
        <w:rPr>
          <w:rFonts w:ascii="Arial" w:hAnsi="Arial" w:cs="Arial"/>
          <w:szCs w:val="24"/>
        </w:rPr>
        <w:t xml:space="preserve">), reflecting lower retail </w:t>
      </w:r>
      <w:r w:rsidRPr="006C368E">
        <w:rPr>
          <w:rFonts w:ascii="Arial" w:hAnsi="Arial" w:cs="Arial"/>
          <w:szCs w:val="24"/>
        </w:rPr>
        <w:t xml:space="preserve">profit, partially offset by lower net finance </w:t>
      </w:r>
      <w:r w:rsidRPr="006F4BDD">
        <w:rPr>
          <w:rFonts w:ascii="Arial" w:hAnsi="Arial" w:cs="Arial"/>
          <w:szCs w:val="24"/>
        </w:rPr>
        <w:t>costs.</w:t>
      </w:r>
      <w:r w:rsidRPr="00040189">
        <w:rPr>
          <w:rFonts w:ascii="Arial" w:hAnsi="Arial" w:cs="Arial"/>
          <w:szCs w:val="24"/>
        </w:rPr>
        <w:t xml:space="preserve"> </w:t>
      </w:r>
      <w:r w:rsidRPr="0007608C">
        <w:rPr>
          <w:rFonts w:ascii="Arial" w:hAnsi="Arial" w:cs="Arial"/>
          <w:b/>
          <w:bCs/>
          <w:szCs w:val="24"/>
        </w:rPr>
        <w:t>Adjusted pre-tax profit margin %</w:t>
      </w:r>
      <w:r>
        <w:rPr>
          <w:rFonts w:ascii="Arial" w:hAnsi="Arial" w:cs="Arial"/>
          <w:szCs w:val="24"/>
        </w:rPr>
        <w:t xml:space="preserve"> </w:t>
      </w:r>
      <w:r w:rsidRPr="00040189">
        <w:rPr>
          <w:rFonts w:ascii="Arial" w:hAnsi="Arial" w:cs="Arial"/>
          <w:szCs w:val="24"/>
        </w:rPr>
        <w:t xml:space="preserve">decreased by </w:t>
      </w:r>
      <w:r>
        <w:rPr>
          <w:rFonts w:ascii="Arial" w:hAnsi="Arial" w:cs="Arial"/>
          <w:szCs w:val="24"/>
        </w:rPr>
        <w:t>140</w:t>
      </w:r>
      <w:r w:rsidRPr="00040189">
        <w:rPr>
          <w:rFonts w:ascii="Arial" w:hAnsi="Arial" w:cs="Arial"/>
          <w:szCs w:val="24"/>
        </w:rPr>
        <w:t xml:space="preserve"> basis points to </w:t>
      </w:r>
      <w:r>
        <w:rPr>
          <w:rFonts w:ascii="Arial" w:hAnsi="Arial" w:cs="Arial"/>
          <w:szCs w:val="24"/>
        </w:rPr>
        <w:t>5.8</w:t>
      </w:r>
      <w:r w:rsidRPr="00040189">
        <w:rPr>
          <w:rFonts w:ascii="Arial" w:hAnsi="Arial" w:cs="Arial"/>
          <w:szCs w:val="24"/>
        </w:rPr>
        <w:t>% (</w:t>
      </w:r>
      <w:r>
        <w:rPr>
          <w:rFonts w:ascii="Arial" w:hAnsi="Arial" w:cs="Arial"/>
          <w:szCs w:val="24"/>
        </w:rPr>
        <w:t>FY</w:t>
      </w:r>
      <w:r w:rsidRPr="00040189">
        <w:rPr>
          <w:rFonts w:ascii="Arial" w:hAnsi="Arial" w:cs="Arial"/>
          <w:szCs w:val="24"/>
        </w:rPr>
        <w:t xml:space="preserve"> </w:t>
      </w:r>
      <w:r>
        <w:rPr>
          <w:rFonts w:ascii="Arial" w:hAnsi="Arial" w:cs="Arial"/>
          <w:szCs w:val="24"/>
        </w:rPr>
        <w:t>21</w:t>
      </w:r>
      <w:r w:rsidRPr="00040189">
        <w:rPr>
          <w:rFonts w:ascii="Arial" w:hAnsi="Arial" w:cs="Arial"/>
          <w:szCs w:val="24"/>
        </w:rPr>
        <w:t>/2</w:t>
      </w:r>
      <w:r>
        <w:rPr>
          <w:rFonts w:ascii="Arial" w:hAnsi="Arial" w:cs="Arial"/>
          <w:szCs w:val="24"/>
        </w:rPr>
        <w:t>2</w:t>
      </w:r>
      <w:r w:rsidRPr="00040189">
        <w:rPr>
          <w:rFonts w:ascii="Arial" w:hAnsi="Arial" w:cs="Arial"/>
          <w:szCs w:val="24"/>
        </w:rPr>
        <w:t xml:space="preserve">: </w:t>
      </w:r>
      <w:r>
        <w:rPr>
          <w:rFonts w:ascii="Arial" w:hAnsi="Arial" w:cs="Arial"/>
          <w:szCs w:val="24"/>
        </w:rPr>
        <w:t>7.2%; FY</w:t>
      </w:r>
      <w:r w:rsidRPr="00040189">
        <w:rPr>
          <w:rFonts w:ascii="Arial" w:hAnsi="Arial" w:cs="Arial"/>
          <w:szCs w:val="24"/>
        </w:rPr>
        <w:t xml:space="preserve"> 19</w:t>
      </w:r>
      <w:r w:rsidRPr="002258D4">
        <w:rPr>
          <w:rFonts w:ascii="Arial" w:hAnsi="Arial" w:cs="Arial"/>
          <w:szCs w:val="24"/>
        </w:rPr>
        <w:t xml:space="preserve">/20: </w:t>
      </w:r>
      <w:r w:rsidRPr="00BD3974">
        <w:rPr>
          <w:rFonts w:ascii="Arial" w:hAnsi="Arial" w:cs="Arial"/>
          <w:szCs w:val="24"/>
        </w:rPr>
        <w:t>4.7</w:t>
      </w:r>
      <w:r w:rsidRPr="002258D4">
        <w:rPr>
          <w:rFonts w:ascii="Arial" w:hAnsi="Arial" w:cs="Arial"/>
          <w:szCs w:val="24"/>
        </w:rPr>
        <w:t>%).</w:t>
      </w:r>
    </w:p>
    <w:p w14:paraId="718FDFA6" w14:textId="77777777" w:rsidR="007854A9" w:rsidRPr="00040189" w:rsidRDefault="007854A9" w:rsidP="007854A9">
      <w:pPr>
        <w:ind w:right="-368"/>
        <w:jc w:val="left"/>
        <w:rPr>
          <w:rFonts w:ascii="Arial" w:hAnsi="Arial" w:cs="Arial"/>
          <w:szCs w:val="24"/>
        </w:rPr>
      </w:pPr>
    </w:p>
    <w:p w14:paraId="3783C6CF" w14:textId="63B7B327" w:rsidR="007854A9" w:rsidRPr="003A1B1F" w:rsidRDefault="007854A9" w:rsidP="007854A9">
      <w:pPr>
        <w:jc w:val="left"/>
        <w:rPr>
          <w:rFonts w:ascii="Arial" w:hAnsi="Arial" w:cs="Arial"/>
        </w:rPr>
      </w:pPr>
      <w:r w:rsidRPr="00625520">
        <w:rPr>
          <w:rFonts w:ascii="Arial" w:hAnsi="Arial" w:cs="Arial"/>
          <w:b/>
        </w:rPr>
        <w:t xml:space="preserve">Statutory pre-tax </w:t>
      </w:r>
      <w:r w:rsidRPr="00A73C3F">
        <w:rPr>
          <w:rFonts w:ascii="Arial" w:hAnsi="Arial" w:cs="Arial"/>
          <w:b/>
        </w:rPr>
        <w:t>profit</w:t>
      </w:r>
      <w:r w:rsidRPr="00A73C3F">
        <w:rPr>
          <w:rFonts w:ascii="Arial" w:hAnsi="Arial" w:cs="Arial"/>
        </w:rPr>
        <w:t xml:space="preserve">, which includes adjusting items, decreased by </w:t>
      </w:r>
      <w:r w:rsidR="00047671">
        <w:rPr>
          <w:rFonts w:ascii="Arial" w:hAnsi="Arial" w:cs="Arial"/>
        </w:rPr>
        <w:t>39.3</w:t>
      </w:r>
      <w:r w:rsidRPr="00A73C3F">
        <w:rPr>
          <w:rFonts w:ascii="Arial" w:hAnsi="Arial" w:cs="Arial"/>
        </w:rPr>
        <w:t>% to £</w:t>
      </w:r>
      <w:r w:rsidR="002B3D63">
        <w:rPr>
          <w:rFonts w:ascii="Arial" w:hAnsi="Arial" w:cs="Arial"/>
        </w:rPr>
        <w:t>611</w:t>
      </w:r>
      <w:r w:rsidR="002B3D63" w:rsidRPr="00A73C3F">
        <w:rPr>
          <w:rFonts w:ascii="Arial" w:hAnsi="Arial" w:cs="Arial"/>
        </w:rPr>
        <w:t>m</w:t>
      </w:r>
      <w:r w:rsidRPr="00A73C3F">
        <w:rPr>
          <w:rFonts w:ascii="Arial" w:hAnsi="Arial" w:cs="Arial"/>
        </w:rPr>
        <w:t xml:space="preserve">. This reflects lower operating profit, </w:t>
      </w:r>
      <w:r>
        <w:rPr>
          <w:rFonts w:ascii="Arial" w:hAnsi="Arial" w:cs="Arial"/>
        </w:rPr>
        <w:t>including the impact of impairments (see below).</w:t>
      </w:r>
    </w:p>
    <w:p w14:paraId="556ED56E" w14:textId="77777777" w:rsidR="007854A9" w:rsidRDefault="007854A9" w:rsidP="007854A9">
      <w:pPr>
        <w:jc w:val="left"/>
        <w:rPr>
          <w:rFonts w:ascii="Arial" w:hAnsi="Arial" w:cs="Arial"/>
        </w:rPr>
      </w:pPr>
    </w:p>
    <w:p w14:paraId="17FEBBD3" w14:textId="77777777" w:rsidR="007854A9" w:rsidRPr="00A845B7" w:rsidRDefault="007854A9" w:rsidP="007854A9">
      <w:pPr>
        <w:jc w:val="left"/>
        <w:rPr>
          <w:rFonts w:ascii="Arial" w:hAnsi="Arial" w:cs="Arial"/>
        </w:rPr>
      </w:pPr>
      <w:r w:rsidRPr="00A845B7">
        <w:rPr>
          <w:rFonts w:ascii="Arial" w:hAnsi="Arial" w:cs="Arial"/>
        </w:rPr>
        <w:t xml:space="preserve">A reconciliation from the </w:t>
      </w:r>
      <w:r>
        <w:rPr>
          <w:rFonts w:ascii="Arial" w:hAnsi="Arial" w:cs="Arial"/>
        </w:rPr>
        <w:t>adjusted</w:t>
      </w:r>
      <w:r w:rsidRPr="00A845B7">
        <w:rPr>
          <w:rFonts w:ascii="Arial" w:hAnsi="Arial" w:cs="Arial"/>
        </w:rPr>
        <w:t xml:space="preserve"> basis to the statutory basis for pre-tax profit is set out below:</w:t>
      </w:r>
    </w:p>
    <w:p w14:paraId="22783F7B" w14:textId="77777777" w:rsidR="007854A9" w:rsidRPr="00686C6E" w:rsidRDefault="007854A9" w:rsidP="007854A9">
      <w:pPr>
        <w:jc w:val="left"/>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21"/>
        <w:gridCol w:w="1310"/>
        <w:gridCol w:w="1292"/>
        <w:gridCol w:w="1595"/>
      </w:tblGrid>
      <w:tr w:rsidR="007854A9" w:rsidRPr="000A6599" w14:paraId="39FAFF74" w14:textId="77777777" w:rsidTr="003D4ACC">
        <w:tc>
          <w:tcPr>
            <w:tcW w:w="2966" w:type="pct"/>
            <w:tcBorders>
              <w:bottom w:val="single" w:sz="4" w:space="0" w:color="auto"/>
            </w:tcBorders>
          </w:tcPr>
          <w:p w14:paraId="7A282381" w14:textId="77777777" w:rsidR="007854A9" w:rsidRPr="00A9490E" w:rsidRDefault="007854A9" w:rsidP="003D4ACC">
            <w:pPr>
              <w:jc w:val="left"/>
              <w:rPr>
                <w:rFonts w:ascii="Arial" w:hAnsi="Arial" w:cs="Arial"/>
                <w:sz w:val="22"/>
                <w:szCs w:val="22"/>
              </w:rPr>
            </w:pPr>
          </w:p>
        </w:tc>
        <w:tc>
          <w:tcPr>
            <w:tcW w:w="635" w:type="pct"/>
            <w:tcBorders>
              <w:bottom w:val="single" w:sz="4" w:space="0" w:color="auto"/>
            </w:tcBorders>
            <w:vAlign w:val="center"/>
          </w:tcPr>
          <w:p w14:paraId="70E6F330" w14:textId="77777777" w:rsidR="007854A9" w:rsidRPr="00A9490E" w:rsidRDefault="007854A9" w:rsidP="003D4ACC">
            <w:pPr>
              <w:jc w:val="right"/>
              <w:rPr>
                <w:rFonts w:ascii="Arial" w:hAnsi="Arial" w:cs="Arial"/>
                <w:b/>
                <w:sz w:val="22"/>
                <w:szCs w:val="22"/>
              </w:rPr>
            </w:pPr>
            <w:r w:rsidRPr="00A9490E">
              <w:rPr>
                <w:rFonts w:ascii="Arial" w:hAnsi="Arial" w:cs="Arial"/>
                <w:b/>
                <w:sz w:val="22"/>
                <w:szCs w:val="22"/>
              </w:rPr>
              <w:t>202</w:t>
            </w:r>
            <w:r>
              <w:rPr>
                <w:rFonts w:ascii="Arial" w:hAnsi="Arial" w:cs="Arial"/>
                <w:b/>
                <w:sz w:val="22"/>
                <w:szCs w:val="22"/>
              </w:rPr>
              <w:t>2</w:t>
            </w:r>
            <w:r w:rsidRPr="00A9490E">
              <w:rPr>
                <w:rFonts w:ascii="Arial" w:hAnsi="Arial" w:cs="Arial"/>
                <w:b/>
                <w:sz w:val="22"/>
                <w:szCs w:val="22"/>
              </w:rPr>
              <w:t>/2</w:t>
            </w:r>
            <w:r>
              <w:rPr>
                <w:rFonts w:ascii="Arial" w:hAnsi="Arial" w:cs="Arial"/>
                <w:b/>
                <w:sz w:val="22"/>
                <w:szCs w:val="22"/>
              </w:rPr>
              <w:t>3</w:t>
            </w:r>
          </w:p>
          <w:p w14:paraId="670C64DB" w14:textId="77777777" w:rsidR="007854A9" w:rsidRPr="00A9490E" w:rsidRDefault="007854A9" w:rsidP="003D4ACC">
            <w:pPr>
              <w:jc w:val="right"/>
              <w:rPr>
                <w:rFonts w:ascii="Arial" w:hAnsi="Arial" w:cs="Arial"/>
                <w:b/>
                <w:sz w:val="22"/>
                <w:szCs w:val="22"/>
              </w:rPr>
            </w:pPr>
            <w:r w:rsidRPr="00A9490E">
              <w:rPr>
                <w:rFonts w:ascii="Arial" w:hAnsi="Arial" w:cs="Arial"/>
                <w:b/>
                <w:sz w:val="22"/>
                <w:szCs w:val="22"/>
              </w:rPr>
              <w:t>£m</w:t>
            </w:r>
          </w:p>
        </w:tc>
        <w:tc>
          <w:tcPr>
            <w:tcW w:w="626" w:type="pct"/>
            <w:tcBorders>
              <w:bottom w:val="single" w:sz="4" w:space="0" w:color="auto"/>
            </w:tcBorders>
            <w:vAlign w:val="center"/>
          </w:tcPr>
          <w:p w14:paraId="61861F77" w14:textId="77777777" w:rsidR="007854A9" w:rsidRPr="00A9490E" w:rsidRDefault="007854A9" w:rsidP="003D4ACC">
            <w:pPr>
              <w:jc w:val="right"/>
              <w:rPr>
                <w:rFonts w:ascii="Arial" w:hAnsi="Arial" w:cs="Arial"/>
                <w:sz w:val="22"/>
                <w:szCs w:val="22"/>
              </w:rPr>
            </w:pPr>
            <w:r w:rsidRPr="00A9490E">
              <w:rPr>
                <w:rFonts w:ascii="Arial" w:hAnsi="Arial" w:cs="Arial"/>
                <w:sz w:val="22"/>
                <w:szCs w:val="22"/>
              </w:rPr>
              <w:t>202</w:t>
            </w:r>
            <w:r>
              <w:rPr>
                <w:rFonts w:ascii="Arial" w:hAnsi="Arial" w:cs="Arial"/>
                <w:sz w:val="22"/>
                <w:szCs w:val="22"/>
              </w:rPr>
              <w:t>1</w:t>
            </w:r>
            <w:r w:rsidRPr="00A9490E">
              <w:rPr>
                <w:rFonts w:ascii="Arial" w:hAnsi="Arial" w:cs="Arial"/>
                <w:sz w:val="22"/>
                <w:szCs w:val="22"/>
              </w:rPr>
              <w:t>/2</w:t>
            </w:r>
            <w:r>
              <w:rPr>
                <w:rFonts w:ascii="Arial" w:hAnsi="Arial" w:cs="Arial"/>
                <w:sz w:val="22"/>
                <w:szCs w:val="22"/>
              </w:rPr>
              <w:t>2</w:t>
            </w:r>
          </w:p>
          <w:p w14:paraId="7172065F" w14:textId="77777777" w:rsidR="007854A9" w:rsidRPr="00A9490E" w:rsidRDefault="007854A9" w:rsidP="003D4ACC">
            <w:pPr>
              <w:jc w:val="right"/>
              <w:rPr>
                <w:rFonts w:ascii="Arial" w:hAnsi="Arial" w:cs="Arial"/>
                <w:sz w:val="22"/>
                <w:szCs w:val="22"/>
              </w:rPr>
            </w:pPr>
            <w:r w:rsidRPr="00A9490E">
              <w:rPr>
                <w:rFonts w:ascii="Arial" w:hAnsi="Arial" w:cs="Arial"/>
                <w:sz w:val="22"/>
                <w:szCs w:val="22"/>
              </w:rPr>
              <w:t>£m</w:t>
            </w:r>
          </w:p>
        </w:tc>
        <w:tc>
          <w:tcPr>
            <w:tcW w:w="773" w:type="pct"/>
            <w:tcBorders>
              <w:bottom w:val="single" w:sz="4" w:space="0" w:color="auto"/>
            </w:tcBorders>
            <w:vAlign w:val="center"/>
          </w:tcPr>
          <w:p w14:paraId="3E6B6B2A" w14:textId="77777777" w:rsidR="007854A9" w:rsidRPr="00A9490E" w:rsidRDefault="007854A9" w:rsidP="003D4ACC">
            <w:pPr>
              <w:jc w:val="right"/>
              <w:rPr>
                <w:rFonts w:ascii="Arial" w:hAnsi="Arial" w:cs="Arial"/>
                <w:sz w:val="22"/>
                <w:szCs w:val="22"/>
              </w:rPr>
            </w:pPr>
            <w:r w:rsidRPr="00A9490E">
              <w:rPr>
                <w:rFonts w:ascii="Arial" w:hAnsi="Arial" w:cs="Arial"/>
                <w:sz w:val="22"/>
                <w:szCs w:val="22"/>
              </w:rPr>
              <w:t xml:space="preserve">Increase/ (decrease) </w:t>
            </w:r>
          </w:p>
        </w:tc>
      </w:tr>
      <w:tr w:rsidR="007854A9" w:rsidRPr="00F40457" w14:paraId="694151D7" w14:textId="77777777" w:rsidTr="003D4ACC">
        <w:trPr>
          <w:trHeight w:val="266"/>
        </w:trPr>
        <w:tc>
          <w:tcPr>
            <w:tcW w:w="2966" w:type="pct"/>
            <w:tcBorders>
              <w:top w:val="single" w:sz="4" w:space="0" w:color="auto"/>
            </w:tcBorders>
            <w:vAlign w:val="center"/>
          </w:tcPr>
          <w:p w14:paraId="6D26CCC5" w14:textId="77777777" w:rsidR="007854A9" w:rsidRPr="00231377" w:rsidRDefault="007854A9" w:rsidP="003D4ACC">
            <w:pPr>
              <w:jc w:val="left"/>
              <w:rPr>
                <w:rFonts w:ascii="Arial" w:hAnsi="Arial" w:cs="Arial"/>
                <w:b/>
                <w:sz w:val="22"/>
                <w:szCs w:val="22"/>
              </w:rPr>
            </w:pPr>
            <w:r w:rsidRPr="00231377">
              <w:rPr>
                <w:rFonts w:ascii="Arial" w:hAnsi="Arial" w:cs="Arial"/>
                <w:b/>
                <w:sz w:val="22"/>
                <w:szCs w:val="22"/>
              </w:rPr>
              <w:t>Retail profit (constant currency)</w:t>
            </w:r>
          </w:p>
        </w:tc>
        <w:tc>
          <w:tcPr>
            <w:tcW w:w="635" w:type="pct"/>
            <w:tcBorders>
              <w:top w:val="single" w:sz="4" w:space="0" w:color="auto"/>
            </w:tcBorders>
            <w:vAlign w:val="center"/>
          </w:tcPr>
          <w:p w14:paraId="048A9449" w14:textId="77777777" w:rsidR="007854A9" w:rsidRPr="007005F4" w:rsidRDefault="007854A9" w:rsidP="003D4ACC">
            <w:pPr>
              <w:jc w:val="right"/>
              <w:rPr>
                <w:rFonts w:ascii="Arial" w:hAnsi="Arial" w:cs="Arial"/>
                <w:b/>
                <w:sz w:val="22"/>
                <w:szCs w:val="22"/>
              </w:rPr>
            </w:pPr>
            <w:r w:rsidRPr="007005F4">
              <w:rPr>
                <w:rFonts w:ascii="Arial" w:hAnsi="Arial" w:cs="Arial"/>
                <w:b/>
                <w:sz w:val="22"/>
                <w:szCs w:val="22"/>
              </w:rPr>
              <w:t>923</w:t>
            </w:r>
          </w:p>
        </w:tc>
        <w:tc>
          <w:tcPr>
            <w:tcW w:w="626" w:type="pct"/>
            <w:tcBorders>
              <w:top w:val="single" w:sz="4" w:space="0" w:color="auto"/>
            </w:tcBorders>
            <w:vAlign w:val="center"/>
          </w:tcPr>
          <w:p w14:paraId="53676B97" w14:textId="77777777" w:rsidR="007854A9" w:rsidRPr="008D1EA4" w:rsidRDefault="007854A9" w:rsidP="003D4ACC">
            <w:pPr>
              <w:jc w:val="right"/>
              <w:rPr>
                <w:rFonts w:ascii="Arial" w:hAnsi="Arial" w:cs="Arial"/>
                <w:bCs/>
                <w:sz w:val="22"/>
                <w:szCs w:val="22"/>
              </w:rPr>
            </w:pPr>
            <w:r w:rsidRPr="008D1EA4">
              <w:rPr>
                <w:rFonts w:ascii="Arial" w:hAnsi="Arial" w:cs="Arial"/>
                <w:bCs/>
                <w:sz w:val="22"/>
                <w:szCs w:val="22"/>
              </w:rPr>
              <w:t>1,142</w:t>
            </w:r>
          </w:p>
        </w:tc>
        <w:tc>
          <w:tcPr>
            <w:tcW w:w="773" w:type="pct"/>
            <w:tcBorders>
              <w:top w:val="single" w:sz="4" w:space="0" w:color="auto"/>
            </w:tcBorders>
            <w:shd w:val="clear" w:color="auto" w:fill="auto"/>
            <w:vAlign w:val="center"/>
          </w:tcPr>
          <w:p w14:paraId="41976D1A" w14:textId="77777777" w:rsidR="007854A9" w:rsidRPr="00BD3974" w:rsidRDefault="007854A9" w:rsidP="003D4ACC">
            <w:pPr>
              <w:jc w:val="right"/>
              <w:rPr>
                <w:rFonts w:ascii="Arial" w:hAnsi="Arial" w:cs="Arial"/>
                <w:sz w:val="22"/>
                <w:szCs w:val="22"/>
              </w:rPr>
            </w:pPr>
            <w:r w:rsidRPr="00BD3974">
              <w:rPr>
                <w:rFonts w:ascii="Arial" w:hAnsi="Arial" w:cs="Arial"/>
                <w:sz w:val="22"/>
                <w:szCs w:val="22"/>
              </w:rPr>
              <w:t>(19.2)%</w:t>
            </w:r>
          </w:p>
        </w:tc>
      </w:tr>
      <w:tr w:rsidR="007854A9" w:rsidRPr="00F40457" w14:paraId="03F99261" w14:textId="77777777" w:rsidTr="003D4ACC">
        <w:trPr>
          <w:trHeight w:val="266"/>
        </w:trPr>
        <w:tc>
          <w:tcPr>
            <w:tcW w:w="2966" w:type="pct"/>
            <w:tcBorders>
              <w:bottom w:val="single" w:sz="4" w:space="0" w:color="auto"/>
            </w:tcBorders>
            <w:vAlign w:val="center"/>
          </w:tcPr>
          <w:p w14:paraId="09ED8551" w14:textId="77777777" w:rsidR="007854A9" w:rsidRPr="00231377" w:rsidRDefault="007854A9" w:rsidP="003D4ACC">
            <w:pPr>
              <w:jc w:val="left"/>
              <w:rPr>
                <w:rFonts w:ascii="Arial" w:hAnsi="Arial" w:cs="Arial"/>
                <w:sz w:val="22"/>
                <w:szCs w:val="22"/>
              </w:rPr>
            </w:pPr>
            <w:r w:rsidRPr="00231377">
              <w:rPr>
                <w:rFonts w:ascii="Arial" w:hAnsi="Arial" w:cs="Arial"/>
                <w:sz w:val="22"/>
                <w:szCs w:val="22"/>
              </w:rPr>
              <w:t>Impact of exchange rates</w:t>
            </w:r>
          </w:p>
        </w:tc>
        <w:tc>
          <w:tcPr>
            <w:tcW w:w="635" w:type="pct"/>
            <w:tcBorders>
              <w:bottom w:val="single" w:sz="4" w:space="0" w:color="auto"/>
            </w:tcBorders>
            <w:vAlign w:val="center"/>
          </w:tcPr>
          <w:p w14:paraId="78203097" w14:textId="77777777" w:rsidR="007854A9" w:rsidRPr="007005F4" w:rsidRDefault="007854A9" w:rsidP="003D4ACC">
            <w:pPr>
              <w:jc w:val="right"/>
              <w:rPr>
                <w:rFonts w:ascii="Arial" w:hAnsi="Arial" w:cs="Arial"/>
                <w:bCs/>
                <w:sz w:val="22"/>
                <w:szCs w:val="22"/>
              </w:rPr>
            </w:pPr>
            <w:r w:rsidRPr="007005F4">
              <w:rPr>
                <w:rFonts w:ascii="Arial" w:hAnsi="Arial" w:cs="Arial"/>
                <w:b/>
                <w:sz w:val="22"/>
                <w:szCs w:val="22"/>
              </w:rPr>
              <w:t>-</w:t>
            </w:r>
          </w:p>
        </w:tc>
        <w:tc>
          <w:tcPr>
            <w:tcW w:w="626" w:type="pct"/>
            <w:tcBorders>
              <w:bottom w:val="single" w:sz="4" w:space="0" w:color="auto"/>
            </w:tcBorders>
            <w:vAlign w:val="center"/>
          </w:tcPr>
          <w:p w14:paraId="05F50B98" w14:textId="77777777" w:rsidR="007854A9" w:rsidRPr="008D1EA4" w:rsidRDefault="007854A9" w:rsidP="003D4ACC">
            <w:pPr>
              <w:jc w:val="right"/>
              <w:rPr>
                <w:rFonts w:ascii="Arial" w:hAnsi="Arial" w:cs="Arial"/>
                <w:bCs/>
                <w:sz w:val="22"/>
                <w:szCs w:val="22"/>
              </w:rPr>
            </w:pPr>
            <w:r w:rsidRPr="00BD3974">
              <w:rPr>
                <w:rFonts w:ascii="Arial" w:hAnsi="Arial" w:cs="Arial"/>
                <w:bCs/>
                <w:sz w:val="22"/>
                <w:szCs w:val="22"/>
              </w:rPr>
              <w:t>6</w:t>
            </w:r>
          </w:p>
        </w:tc>
        <w:tc>
          <w:tcPr>
            <w:tcW w:w="773" w:type="pct"/>
            <w:tcBorders>
              <w:bottom w:val="single" w:sz="4" w:space="0" w:color="auto"/>
            </w:tcBorders>
            <w:shd w:val="clear" w:color="auto" w:fill="auto"/>
            <w:vAlign w:val="center"/>
          </w:tcPr>
          <w:p w14:paraId="24CA67B7" w14:textId="77777777" w:rsidR="007854A9" w:rsidRPr="00BD3974" w:rsidRDefault="007854A9" w:rsidP="003D4ACC">
            <w:pPr>
              <w:jc w:val="right"/>
              <w:rPr>
                <w:rFonts w:ascii="Arial" w:hAnsi="Arial" w:cs="Arial"/>
                <w:sz w:val="22"/>
                <w:szCs w:val="22"/>
              </w:rPr>
            </w:pPr>
            <w:r w:rsidRPr="00BD3974">
              <w:rPr>
                <w:rFonts w:ascii="Arial" w:hAnsi="Arial" w:cs="Arial"/>
                <w:sz w:val="22"/>
                <w:szCs w:val="22"/>
              </w:rPr>
              <w:t>n/a</w:t>
            </w:r>
          </w:p>
        </w:tc>
      </w:tr>
      <w:tr w:rsidR="007854A9" w:rsidRPr="00302695" w14:paraId="747F658E" w14:textId="77777777" w:rsidTr="003D4ACC">
        <w:trPr>
          <w:trHeight w:val="266"/>
        </w:trPr>
        <w:tc>
          <w:tcPr>
            <w:tcW w:w="2966" w:type="pct"/>
            <w:tcBorders>
              <w:top w:val="single" w:sz="4" w:space="0" w:color="auto"/>
            </w:tcBorders>
            <w:vAlign w:val="center"/>
          </w:tcPr>
          <w:p w14:paraId="18713DE0" w14:textId="77777777" w:rsidR="007854A9" w:rsidRPr="00231377" w:rsidRDefault="007854A9" w:rsidP="003D4ACC">
            <w:pPr>
              <w:jc w:val="left"/>
              <w:rPr>
                <w:rFonts w:ascii="Arial" w:hAnsi="Arial" w:cs="Arial"/>
                <w:b/>
                <w:bCs/>
                <w:sz w:val="22"/>
                <w:szCs w:val="22"/>
              </w:rPr>
            </w:pPr>
            <w:r w:rsidRPr="00231377">
              <w:rPr>
                <w:rFonts w:ascii="Arial" w:hAnsi="Arial" w:cs="Arial"/>
                <w:b/>
                <w:bCs/>
                <w:sz w:val="22"/>
                <w:szCs w:val="22"/>
              </w:rPr>
              <w:t xml:space="preserve">Retail </w:t>
            </w:r>
            <w:r>
              <w:rPr>
                <w:rFonts w:ascii="Arial" w:hAnsi="Arial" w:cs="Arial"/>
                <w:b/>
                <w:bCs/>
                <w:sz w:val="22"/>
                <w:szCs w:val="22"/>
              </w:rPr>
              <w:t>p</w:t>
            </w:r>
            <w:r w:rsidRPr="00231377">
              <w:rPr>
                <w:rFonts w:ascii="Arial" w:hAnsi="Arial" w:cs="Arial"/>
                <w:b/>
                <w:bCs/>
                <w:sz w:val="22"/>
                <w:szCs w:val="22"/>
              </w:rPr>
              <w:t>rofit (reported)</w:t>
            </w:r>
          </w:p>
        </w:tc>
        <w:tc>
          <w:tcPr>
            <w:tcW w:w="635" w:type="pct"/>
            <w:tcBorders>
              <w:top w:val="single" w:sz="4" w:space="0" w:color="auto"/>
            </w:tcBorders>
            <w:vAlign w:val="center"/>
          </w:tcPr>
          <w:p w14:paraId="4B5F7B6A" w14:textId="77777777" w:rsidR="007854A9" w:rsidRPr="007005F4" w:rsidRDefault="007854A9" w:rsidP="003D4ACC">
            <w:pPr>
              <w:jc w:val="right"/>
              <w:rPr>
                <w:rFonts w:ascii="Arial" w:hAnsi="Arial" w:cs="Arial"/>
                <w:b/>
                <w:sz w:val="22"/>
                <w:szCs w:val="22"/>
              </w:rPr>
            </w:pPr>
            <w:r w:rsidRPr="007005F4">
              <w:rPr>
                <w:rFonts w:ascii="Arial" w:hAnsi="Arial" w:cs="Arial"/>
                <w:b/>
                <w:sz w:val="22"/>
                <w:szCs w:val="22"/>
              </w:rPr>
              <w:t>923</w:t>
            </w:r>
          </w:p>
        </w:tc>
        <w:tc>
          <w:tcPr>
            <w:tcW w:w="626" w:type="pct"/>
            <w:tcBorders>
              <w:top w:val="single" w:sz="4" w:space="0" w:color="auto"/>
            </w:tcBorders>
            <w:vAlign w:val="center"/>
          </w:tcPr>
          <w:p w14:paraId="290E5E76" w14:textId="77777777" w:rsidR="007854A9" w:rsidRPr="008D1EA4" w:rsidRDefault="007854A9" w:rsidP="003D4ACC">
            <w:pPr>
              <w:jc w:val="right"/>
              <w:rPr>
                <w:rFonts w:ascii="Arial" w:hAnsi="Arial" w:cs="Arial"/>
                <w:bCs/>
                <w:sz w:val="22"/>
                <w:szCs w:val="22"/>
              </w:rPr>
            </w:pPr>
            <w:r w:rsidRPr="008D1EA4">
              <w:rPr>
                <w:rFonts w:ascii="Arial" w:hAnsi="Arial" w:cs="Arial"/>
                <w:bCs/>
                <w:sz w:val="22"/>
                <w:szCs w:val="22"/>
              </w:rPr>
              <w:t>1,148</w:t>
            </w:r>
          </w:p>
        </w:tc>
        <w:tc>
          <w:tcPr>
            <w:tcW w:w="773" w:type="pct"/>
            <w:tcBorders>
              <w:top w:val="single" w:sz="4" w:space="0" w:color="auto"/>
            </w:tcBorders>
            <w:shd w:val="clear" w:color="auto" w:fill="auto"/>
            <w:vAlign w:val="center"/>
          </w:tcPr>
          <w:p w14:paraId="274A9D40" w14:textId="1960B9FC" w:rsidR="007854A9" w:rsidRPr="00BD3974" w:rsidRDefault="007854A9" w:rsidP="003D4ACC">
            <w:pPr>
              <w:jc w:val="right"/>
              <w:rPr>
                <w:rFonts w:ascii="Arial" w:hAnsi="Arial" w:cs="Arial"/>
                <w:sz w:val="22"/>
                <w:szCs w:val="22"/>
              </w:rPr>
            </w:pPr>
            <w:r w:rsidRPr="00BD3974">
              <w:rPr>
                <w:rFonts w:ascii="Arial" w:hAnsi="Arial" w:cs="Arial"/>
                <w:sz w:val="22"/>
                <w:szCs w:val="22"/>
              </w:rPr>
              <w:t>(19.</w:t>
            </w:r>
            <w:r w:rsidR="00885F35">
              <w:rPr>
                <w:rFonts w:ascii="Arial" w:hAnsi="Arial" w:cs="Arial"/>
                <w:sz w:val="22"/>
                <w:szCs w:val="22"/>
              </w:rPr>
              <w:t>7</w:t>
            </w:r>
            <w:r w:rsidRPr="00BD3974">
              <w:rPr>
                <w:rFonts w:ascii="Arial" w:hAnsi="Arial" w:cs="Arial"/>
                <w:sz w:val="22"/>
                <w:szCs w:val="22"/>
              </w:rPr>
              <w:t>)%</w:t>
            </w:r>
          </w:p>
        </w:tc>
      </w:tr>
      <w:tr w:rsidR="007854A9" w:rsidRPr="00302695" w14:paraId="2A3D03AD" w14:textId="77777777" w:rsidTr="003D4ACC">
        <w:trPr>
          <w:trHeight w:val="266"/>
        </w:trPr>
        <w:tc>
          <w:tcPr>
            <w:tcW w:w="2966" w:type="pct"/>
            <w:vAlign w:val="center"/>
          </w:tcPr>
          <w:p w14:paraId="5667F976" w14:textId="77777777" w:rsidR="007854A9" w:rsidRPr="00231377" w:rsidRDefault="007854A9" w:rsidP="003D4ACC">
            <w:pPr>
              <w:jc w:val="left"/>
              <w:rPr>
                <w:rFonts w:ascii="Arial" w:hAnsi="Arial" w:cs="Arial"/>
                <w:sz w:val="22"/>
                <w:szCs w:val="22"/>
              </w:rPr>
            </w:pPr>
            <w:r w:rsidRPr="00231377">
              <w:rPr>
                <w:rFonts w:ascii="Arial" w:hAnsi="Arial" w:cs="Arial"/>
                <w:sz w:val="22"/>
                <w:szCs w:val="22"/>
              </w:rPr>
              <w:t>Central costs</w:t>
            </w:r>
          </w:p>
        </w:tc>
        <w:tc>
          <w:tcPr>
            <w:tcW w:w="635" w:type="pct"/>
            <w:vAlign w:val="center"/>
          </w:tcPr>
          <w:p w14:paraId="6DDA0DE3" w14:textId="77777777" w:rsidR="007854A9" w:rsidRPr="007005F4" w:rsidRDefault="007854A9" w:rsidP="003D4ACC">
            <w:pPr>
              <w:jc w:val="right"/>
              <w:rPr>
                <w:rFonts w:ascii="Arial" w:hAnsi="Arial" w:cs="Arial"/>
                <w:b/>
                <w:sz w:val="22"/>
                <w:szCs w:val="22"/>
              </w:rPr>
            </w:pPr>
            <w:r w:rsidRPr="007005F4">
              <w:rPr>
                <w:rFonts w:ascii="Arial" w:hAnsi="Arial" w:cs="Arial"/>
                <w:b/>
                <w:sz w:val="22"/>
                <w:szCs w:val="22"/>
              </w:rPr>
              <w:t>(49)</w:t>
            </w:r>
          </w:p>
        </w:tc>
        <w:tc>
          <w:tcPr>
            <w:tcW w:w="626" w:type="pct"/>
            <w:vAlign w:val="center"/>
          </w:tcPr>
          <w:p w14:paraId="6153BE7D" w14:textId="77777777" w:rsidR="007854A9" w:rsidRPr="008D1EA4" w:rsidRDefault="007854A9" w:rsidP="003D4ACC">
            <w:pPr>
              <w:jc w:val="right"/>
              <w:rPr>
                <w:rFonts w:ascii="Arial" w:hAnsi="Arial" w:cs="Arial"/>
                <w:bCs/>
                <w:sz w:val="22"/>
                <w:szCs w:val="22"/>
              </w:rPr>
            </w:pPr>
            <w:r w:rsidRPr="008D1EA4">
              <w:rPr>
                <w:rFonts w:ascii="Arial" w:hAnsi="Arial" w:cs="Arial"/>
                <w:bCs/>
                <w:sz w:val="22"/>
                <w:szCs w:val="22"/>
              </w:rPr>
              <w:t>(60)</w:t>
            </w:r>
          </w:p>
        </w:tc>
        <w:tc>
          <w:tcPr>
            <w:tcW w:w="773" w:type="pct"/>
            <w:shd w:val="clear" w:color="auto" w:fill="auto"/>
            <w:vAlign w:val="center"/>
          </w:tcPr>
          <w:p w14:paraId="64BFB985" w14:textId="77777777" w:rsidR="007854A9" w:rsidRPr="00BD3974" w:rsidRDefault="007854A9" w:rsidP="003D4ACC">
            <w:pPr>
              <w:jc w:val="right"/>
              <w:rPr>
                <w:rFonts w:ascii="Arial" w:hAnsi="Arial" w:cs="Arial"/>
                <w:sz w:val="22"/>
                <w:szCs w:val="22"/>
              </w:rPr>
            </w:pPr>
            <w:r w:rsidRPr="00BD3974">
              <w:rPr>
                <w:rFonts w:ascii="Arial" w:hAnsi="Arial" w:cs="Arial"/>
                <w:sz w:val="22"/>
                <w:szCs w:val="22"/>
              </w:rPr>
              <w:t>n/a</w:t>
            </w:r>
          </w:p>
        </w:tc>
      </w:tr>
      <w:tr w:rsidR="007854A9" w:rsidRPr="00302695" w14:paraId="191EE845" w14:textId="77777777" w:rsidTr="003D4ACC">
        <w:trPr>
          <w:trHeight w:val="266"/>
        </w:trPr>
        <w:tc>
          <w:tcPr>
            <w:tcW w:w="2966" w:type="pct"/>
            <w:vAlign w:val="center"/>
          </w:tcPr>
          <w:p w14:paraId="01C2CDF5" w14:textId="77777777" w:rsidR="007854A9" w:rsidRPr="00231377" w:rsidRDefault="007854A9" w:rsidP="003D4ACC">
            <w:pPr>
              <w:jc w:val="left"/>
              <w:rPr>
                <w:rFonts w:ascii="Arial" w:hAnsi="Arial" w:cs="Arial"/>
                <w:sz w:val="22"/>
                <w:szCs w:val="22"/>
              </w:rPr>
            </w:pPr>
            <w:r w:rsidRPr="00231377">
              <w:rPr>
                <w:rFonts w:ascii="Arial" w:hAnsi="Arial" w:cs="Arial"/>
                <w:sz w:val="22"/>
                <w:szCs w:val="22"/>
              </w:rPr>
              <w:t>Share of interest and tax of joint ventures &amp; associates</w:t>
            </w:r>
          </w:p>
        </w:tc>
        <w:tc>
          <w:tcPr>
            <w:tcW w:w="635" w:type="pct"/>
            <w:vAlign w:val="center"/>
          </w:tcPr>
          <w:p w14:paraId="2963D5C5" w14:textId="77777777" w:rsidR="007854A9" w:rsidRPr="007005F4" w:rsidRDefault="007854A9" w:rsidP="003D4ACC">
            <w:pPr>
              <w:jc w:val="right"/>
              <w:rPr>
                <w:rFonts w:ascii="Arial" w:hAnsi="Arial" w:cs="Arial"/>
                <w:b/>
                <w:sz w:val="22"/>
                <w:szCs w:val="22"/>
              </w:rPr>
            </w:pPr>
            <w:r w:rsidRPr="007005F4">
              <w:rPr>
                <w:rFonts w:ascii="Arial" w:hAnsi="Arial" w:cs="Arial"/>
                <w:b/>
                <w:sz w:val="22"/>
                <w:szCs w:val="22"/>
              </w:rPr>
              <w:t>(4)</w:t>
            </w:r>
          </w:p>
        </w:tc>
        <w:tc>
          <w:tcPr>
            <w:tcW w:w="626" w:type="pct"/>
            <w:vAlign w:val="center"/>
          </w:tcPr>
          <w:p w14:paraId="760CAF05" w14:textId="77777777" w:rsidR="007854A9" w:rsidRPr="008D1EA4" w:rsidRDefault="007854A9" w:rsidP="003D4ACC">
            <w:pPr>
              <w:jc w:val="right"/>
              <w:rPr>
                <w:rFonts w:ascii="Arial" w:hAnsi="Arial" w:cs="Arial"/>
                <w:bCs/>
                <w:sz w:val="22"/>
                <w:szCs w:val="22"/>
              </w:rPr>
            </w:pPr>
            <w:r w:rsidRPr="008D1EA4">
              <w:rPr>
                <w:rFonts w:ascii="Arial" w:hAnsi="Arial" w:cs="Arial"/>
                <w:bCs/>
                <w:sz w:val="22"/>
                <w:szCs w:val="22"/>
              </w:rPr>
              <w:t>(2)</w:t>
            </w:r>
          </w:p>
        </w:tc>
        <w:tc>
          <w:tcPr>
            <w:tcW w:w="773" w:type="pct"/>
            <w:shd w:val="clear" w:color="auto" w:fill="auto"/>
            <w:vAlign w:val="center"/>
          </w:tcPr>
          <w:p w14:paraId="5FA35C75" w14:textId="77777777" w:rsidR="007854A9" w:rsidRPr="00BD3974" w:rsidRDefault="007854A9" w:rsidP="003D4ACC">
            <w:pPr>
              <w:jc w:val="right"/>
              <w:rPr>
                <w:rFonts w:ascii="Arial" w:hAnsi="Arial" w:cs="Arial"/>
                <w:sz w:val="22"/>
                <w:szCs w:val="22"/>
              </w:rPr>
            </w:pPr>
            <w:r w:rsidRPr="00BD3974">
              <w:rPr>
                <w:rFonts w:ascii="Arial" w:hAnsi="Arial" w:cs="Arial"/>
                <w:sz w:val="22"/>
                <w:szCs w:val="22"/>
              </w:rPr>
              <w:t>n/a</w:t>
            </w:r>
          </w:p>
        </w:tc>
      </w:tr>
      <w:tr w:rsidR="007854A9" w:rsidRPr="00302695" w14:paraId="30700A1A" w14:textId="77777777" w:rsidTr="003D4ACC">
        <w:trPr>
          <w:trHeight w:val="266"/>
        </w:trPr>
        <w:tc>
          <w:tcPr>
            <w:tcW w:w="2966" w:type="pct"/>
            <w:tcBorders>
              <w:bottom w:val="single" w:sz="4" w:space="0" w:color="auto"/>
            </w:tcBorders>
            <w:vAlign w:val="center"/>
          </w:tcPr>
          <w:p w14:paraId="51C16AE5" w14:textId="77777777" w:rsidR="007854A9" w:rsidRPr="00231377" w:rsidRDefault="007854A9" w:rsidP="003D4ACC">
            <w:pPr>
              <w:jc w:val="left"/>
              <w:rPr>
                <w:rFonts w:ascii="Arial" w:hAnsi="Arial" w:cs="Arial"/>
                <w:b/>
                <w:strike/>
                <w:sz w:val="22"/>
                <w:szCs w:val="22"/>
              </w:rPr>
            </w:pPr>
            <w:r w:rsidRPr="00231377">
              <w:rPr>
                <w:rFonts w:ascii="Arial" w:hAnsi="Arial" w:cs="Arial"/>
                <w:sz w:val="22"/>
                <w:szCs w:val="22"/>
              </w:rPr>
              <w:t>Net finance costs</w:t>
            </w:r>
          </w:p>
        </w:tc>
        <w:tc>
          <w:tcPr>
            <w:tcW w:w="635" w:type="pct"/>
            <w:tcBorders>
              <w:bottom w:val="single" w:sz="4" w:space="0" w:color="auto"/>
            </w:tcBorders>
            <w:vAlign w:val="center"/>
          </w:tcPr>
          <w:p w14:paraId="042EA624" w14:textId="77777777" w:rsidR="007854A9" w:rsidRPr="007005F4" w:rsidRDefault="007854A9" w:rsidP="003D4ACC">
            <w:pPr>
              <w:jc w:val="right"/>
              <w:rPr>
                <w:rFonts w:ascii="Arial" w:hAnsi="Arial" w:cs="Arial"/>
                <w:b/>
                <w:strike/>
                <w:sz w:val="22"/>
                <w:szCs w:val="22"/>
              </w:rPr>
            </w:pPr>
            <w:r w:rsidRPr="007005F4">
              <w:rPr>
                <w:rFonts w:ascii="Arial" w:hAnsi="Arial" w:cs="Arial"/>
                <w:b/>
                <w:sz w:val="22"/>
                <w:szCs w:val="22"/>
              </w:rPr>
              <w:t>(112)</w:t>
            </w:r>
          </w:p>
        </w:tc>
        <w:tc>
          <w:tcPr>
            <w:tcW w:w="626" w:type="pct"/>
            <w:tcBorders>
              <w:bottom w:val="single" w:sz="4" w:space="0" w:color="auto"/>
            </w:tcBorders>
            <w:vAlign w:val="center"/>
          </w:tcPr>
          <w:p w14:paraId="0CA8697B" w14:textId="77777777" w:rsidR="007854A9" w:rsidRPr="008D1EA4" w:rsidRDefault="007854A9" w:rsidP="003D4ACC">
            <w:pPr>
              <w:jc w:val="right"/>
              <w:rPr>
                <w:rFonts w:ascii="Arial" w:hAnsi="Arial" w:cs="Arial"/>
                <w:bCs/>
                <w:strike/>
                <w:sz w:val="22"/>
                <w:szCs w:val="22"/>
              </w:rPr>
            </w:pPr>
            <w:r w:rsidRPr="008D1EA4">
              <w:rPr>
                <w:rFonts w:ascii="Arial" w:hAnsi="Arial" w:cs="Arial"/>
                <w:bCs/>
                <w:sz w:val="22"/>
                <w:szCs w:val="22"/>
              </w:rPr>
              <w:t>(137)</w:t>
            </w:r>
          </w:p>
        </w:tc>
        <w:tc>
          <w:tcPr>
            <w:tcW w:w="773" w:type="pct"/>
            <w:tcBorders>
              <w:bottom w:val="single" w:sz="4" w:space="0" w:color="auto"/>
            </w:tcBorders>
            <w:shd w:val="clear" w:color="auto" w:fill="auto"/>
            <w:vAlign w:val="center"/>
          </w:tcPr>
          <w:p w14:paraId="33E34237" w14:textId="77777777" w:rsidR="007854A9" w:rsidRPr="00BD3974" w:rsidRDefault="007854A9" w:rsidP="003D4ACC">
            <w:pPr>
              <w:jc w:val="right"/>
              <w:rPr>
                <w:rFonts w:ascii="Arial" w:hAnsi="Arial" w:cs="Arial"/>
                <w:strike/>
                <w:sz w:val="22"/>
                <w:szCs w:val="22"/>
              </w:rPr>
            </w:pPr>
            <w:r w:rsidRPr="00BD3974">
              <w:rPr>
                <w:rFonts w:ascii="Arial" w:hAnsi="Arial" w:cs="Arial"/>
                <w:sz w:val="22"/>
                <w:szCs w:val="22"/>
              </w:rPr>
              <w:t>n/a</w:t>
            </w:r>
          </w:p>
        </w:tc>
      </w:tr>
      <w:tr w:rsidR="007854A9" w:rsidRPr="00EF3DE1" w14:paraId="4FC9C10E" w14:textId="77777777" w:rsidTr="003D4ACC">
        <w:trPr>
          <w:trHeight w:val="266"/>
        </w:trPr>
        <w:tc>
          <w:tcPr>
            <w:tcW w:w="2966" w:type="pct"/>
            <w:tcBorders>
              <w:top w:val="single" w:sz="4" w:space="0" w:color="auto"/>
            </w:tcBorders>
            <w:vAlign w:val="center"/>
          </w:tcPr>
          <w:p w14:paraId="55406448" w14:textId="77777777" w:rsidR="007854A9" w:rsidRPr="00231377" w:rsidRDefault="007854A9" w:rsidP="003D4ACC">
            <w:pPr>
              <w:jc w:val="left"/>
              <w:rPr>
                <w:rFonts w:ascii="Arial" w:hAnsi="Arial" w:cs="Arial"/>
                <w:sz w:val="22"/>
                <w:szCs w:val="22"/>
              </w:rPr>
            </w:pPr>
            <w:r w:rsidRPr="00231377">
              <w:rPr>
                <w:rFonts w:ascii="Arial" w:hAnsi="Arial" w:cs="Arial"/>
                <w:b/>
                <w:sz w:val="22"/>
                <w:szCs w:val="22"/>
              </w:rPr>
              <w:t>Adjusted pre-tax profit</w:t>
            </w:r>
          </w:p>
        </w:tc>
        <w:tc>
          <w:tcPr>
            <w:tcW w:w="635" w:type="pct"/>
            <w:tcBorders>
              <w:top w:val="single" w:sz="4" w:space="0" w:color="auto"/>
            </w:tcBorders>
            <w:vAlign w:val="center"/>
          </w:tcPr>
          <w:p w14:paraId="2253FA05" w14:textId="77777777" w:rsidR="007854A9" w:rsidRPr="007005F4" w:rsidRDefault="007854A9" w:rsidP="003D4ACC">
            <w:pPr>
              <w:jc w:val="right"/>
              <w:rPr>
                <w:rFonts w:ascii="Arial" w:hAnsi="Arial" w:cs="Arial"/>
                <w:b/>
                <w:sz w:val="22"/>
                <w:szCs w:val="22"/>
              </w:rPr>
            </w:pPr>
            <w:r w:rsidRPr="007005F4">
              <w:rPr>
                <w:rFonts w:ascii="Arial" w:hAnsi="Arial" w:cs="Arial"/>
                <w:b/>
                <w:sz w:val="22"/>
                <w:szCs w:val="22"/>
              </w:rPr>
              <w:t>758</w:t>
            </w:r>
          </w:p>
        </w:tc>
        <w:tc>
          <w:tcPr>
            <w:tcW w:w="626" w:type="pct"/>
            <w:tcBorders>
              <w:top w:val="single" w:sz="4" w:space="0" w:color="auto"/>
            </w:tcBorders>
            <w:vAlign w:val="center"/>
          </w:tcPr>
          <w:p w14:paraId="0AAB5FD2" w14:textId="77777777" w:rsidR="007854A9" w:rsidRPr="008D1EA4" w:rsidRDefault="007854A9" w:rsidP="003D4ACC">
            <w:pPr>
              <w:jc w:val="right"/>
              <w:rPr>
                <w:rFonts w:ascii="Arial" w:hAnsi="Arial" w:cs="Arial"/>
                <w:bCs/>
                <w:sz w:val="22"/>
                <w:szCs w:val="22"/>
              </w:rPr>
            </w:pPr>
            <w:r w:rsidRPr="008D1EA4">
              <w:rPr>
                <w:rFonts w:ascii="Arial" w:hAnsi="Arial" w:cs="Arial"/>
                <w:bCs/>
                <w:sz w:val="22"/>
                <w:szCs w:val="22"/>
              </w:rPr>
              <w:t>949</w:t>
            </w:r>
          </w:p>
        </w:tc>
        <w:tc>
          <w:tcPr>
            <w:tcW w:w="773" w:type="pct"/>
            <w:tcBorders>
              <w:top w:val="single" w:sz="4" w:space="0" w:color="auto"/>
            </w:tcBorders>
            <w:shd w:val="clear" w:color="auto" w:fill="auto"/>
            <w:vAlign w:val="center"/>
          </w:tcPr>
          <w:p w14:paraId="6B87B222" w14:textId="2ECBB1B8" w:rsidR="007854A9" w:rsidRPr="00BD3974" w:rsidRDefault="007854A9" w:rsidP="003D4ACC">
            <w:pPr>
              <w:jc w:val="right"/>
              <w:rPr>
                <w:rFonts w:ascii="Arial" w:hAnsi="Arial" w:cs="Arial"/>
                <w:sz w:val="22"/>
                <w:szCs w:val="22"/>
              </w:rPr>
            </w:pPr>
            <w:r w:rsidRPr="00BD3974">
              <w:rPr>
                <w:rFonts w:ascii="Arial" w:hAnsi="Arial" w:cs="Arial"/>
                <w:sz w:val="22"/>
                <w:szCs w:val="22"/>
              </w:rPr>
              <w:t>(20.</w:t>
            </w:r>
            <w:r w:rsidR="001D7C5A">
              <w:rPr>
                <w:rFonts w:ascii="Arial" w:hAnsi="Arial" w:cs="Arial"/>
                <w:sz w:val="22"/>
                <w:szCs w:val="22"/>
              </w:rPr>
              <w:t>2</w:t>
            </w:r>
            <w:r w:rsidRPr="00BD3974">
              <w:rPr>
                <w:rFonts w:ascii="Arial" w:hAnsi="Arial" w:cs="Arial"/>
                <w:sz w:val="22"/>
                <w:szCs w:val="22"/>
              </w:rPr>
              <w:t>)%</w:t>
            </w:r>
          </w:p>
        </w:tc>
      </w:tr>
      <w:tr w:rsidR="007854A9" w:rsidRPr="00302695" w14:paraId="0F2CF7B6" w14:textId="77777777" w:rsidTr="003D4ACC">
        <w:trPr>
          <w:trHeight w:val="266"/>
        </w:trPr>
        <w:tc>
          <w:tcPr>
            <w:tcW w:w="2966" w:type="pct"/>
            <w:vAlign w:val="center"/>
          </w:tcPr>
          <w:p w14:paraId="0A0015EC" w14:textId="77777777" w:rsidR="007854A9" w:rsidRPr="00231377" w:rsidRDefault="007854A9" w:rsidP="003D4ACC">
            <w:pPr>
              <w:jc w:val="left"/>
              <w:rPr>
                <w:rFonts w:ascii="Arial" w:hAnsi="Arial" w:cs="Arial"/>
                <w:sz w:val="22"/>
                <w:szCs w:val="22"/>
              </w:rPr>
            </w:pPr>
            <w:r w:rsidRPr="00231377">
              <w:rPr>
                <w:rFonts w:ascii="Arial" w:hAnsi="Arial" w:cs="Arial"/>
                <w:sz w:val="22"/>
                <w:szCs w:val="22"/>
              </w:rPr>
              <w:t>Adjusting items before tax</w:t>
            </w:r>
          </w:p>
        </w:tc>
        <w:tc>
          <w:tcPr>
            <w:tcW w:w="635" w:type="pct"/>
            <w:vAlign w:val="center"/>
          </w:tcPr>
          <w:p w14:paraId="4055BE6C" w14:textId="576DAA06" w:rsidR="007854A9" w:rsidRPr="007005F4" w:rsidRDefault="007854A9" w:rsidP="003D4ACC">
            <w:pPr>
              <w:jc w:val="right"/>
              <w:rPr>
                <w:rFonts w:ascii="Arial" w:hAnsi="Arial" w:cs="Arial"/>
                <w:b/>
                <w:sz w:val="22"/>
                <w:szCs w:val="22"/>
              </w:rPr>
            </w:pPr>
            <w:r w:rsidRPr="007005F4">
              <w:rPr>
                <w:rFonts w:ascii="Arial" w:hAnsi="Arial" w:cs="Arial"/>
                <w:b/>
                <w:sz w:val="22"/>
                <w:szCs w:val="22"/>
              </w:rPr>
              <w:t>(</w:t>
            </w:r>
            <w:r w:rsidR="00B64D52">
              <w:rPr>
                <w:rFonts w:ascii="Arial" w:hAnsi="Arial" w:cs="Arial"/>
                <w:b/>
                <w:sz w:val="22"/>
                <w:szCs w:val="22"/>
              </w:rPr>
              <w:t>147</w:t>
            </w:r>
            <w:r w:rsidRPr="007005F4">
              <w:rPr>
                <w:rFonts w:ascii="Arial" w:hAnsi="Arial" w:cs="Arial"/>
                <w:b/>
                <w:sz w:val="22"/>
                <w:szCs w:val="22"/>
              </w:rPr>
              <w:t>)</w:t>
            </w:r>
          </w:p>
        </w:tc>
        <w:tc>
          <w:tcPr>
            <w:tcW w:w="626" w:type="pct"/>
            <w:vAlign w:val="center"/>
          </w:tcPr>
          <w:p w14:paraId="34771E36" w14:textId="77777777" w:rsidR="007854A9" w:rsidRPr="008D1EA4" w:rsidRDefault="007854A9" w:rsidP="003D4ACC">
            <w:pPr>
              <w:jc w:val="right"/>
              <w:rPr>
                <w:rFonts w:ascii="Arial" w:hAnsi="Arial" w:cs="Arial"/>
                <w:bCs/>
                <w:sz w:val="22"/>
                <w:szCs w:val="22"/>
              </w:rPr>
            </w:pPr>
            <w:r w:rsidRPr="008D1EA4">
              <w:rPr>
                <w:rFonts w:ascii="Arial" w:hAnsi="Arial" w:cs="Arial"/>
                <w:bCs/>
                <w:sz w:val="22"/>
                <w:szCs w:val="22"/>
              </w:rPr>
              <w:t>58</w:t>
            </w:r>
          </w:p>
        </w:tc>
        <w:tc>
          <w:tcPr>
            <w:tcW w:w="773" w:type="pct"/>
            <w:shd w:val="clear" w:color="auto" w:fill="auto"/>
            <w:vAlign w:val="center"/>
          </w:tcPr>
          <w:p w14:paraId="58CEC373" w14:textId="77777777" w:rsidR="007854A9" w:rsidRPr="00BD3974" w:rsidRDefault="007854A9" w:rsidP="003D4ACC">
            <w:pPr>
              <w:jc w:val="right"/>
              <w:rPr>
                <w:rFonts w:ascii="Arial" w:hAnsi="Arial" w:cs="Arial"/>
                <w:sz w:val="22"/>
                <w:szCs w:val="22"/>
              </w:rPr>
            </w:pPr>
            <w:r w:rsidRPr="00BD3974">
              <w:rPr>
                <w:rFonts w:ascii="Arial" w:hAnsi="Arial" w:cs="Arial"/>
                <w:sz w:val="22"/>
                <w:szCs w:val="22"/>
              </w:rPr>
              <w:t>n/a</w:t>
            </w:r>
          </w:p>
        </w:tc>
      </w:tr>
      <w:tr w:rsidR="007854A9" w:rsidRPr="007E015D" w14:paraId="3439B96F" w14:textId="77777777" w:rsidTr="003D4ACC">
        <w:trPr>
          <w:trHeight w:val="266"/>
        </w:trPr>
        <w:tc>
          <w:tcPr>
            <w:tcW w:w="2966" w:type="pct"/>
            <w:tcBorders>
              <w:top w:val="single" w:sz="4" w:space="0" w:color="auto"/>
              <w:bottom w:val="single" w:sz="4" w:space="0" w:color="auto"/>
            </w:tcBorders>
            <w:vAlign w:val="center"/>
          </w:tcPr>
          <w:p w14:paraId="4B27A7EE" w14:textId="77777777" w:rsidR="007854A9" w:rsidRPr="00231377" w:rsidRDefault="007854A9" w:rsidP="003D4ACC">
            <w:pPr>
              <w:jc w:val="left"/>
              <w:rPr>
                <w:rFonts w:ascii="Arial" w:hAnsi="Arial" w:cs="Arial"/>
                <w:b/>
                <w:sz w:val="22"/>
                <w:szCs w:val="22"/>
              </w:rPr>
            </w:pPr>
            <w:r w:rsidRPr="00231377">
              <w:rPr>
                <w:rFonts w:ascii="Arial" w:hAnsi="Arial" w:cs="Arial"/>
                <w:b/>
                <w:sz w:val="22"/>
                <w:szCs w:val="22"/>
              </w:rPr>
              <w:t>Statutory pre-tax profit</w:t>
            </w:r>
          </w:p>
        </w:tc>
        <w:tc>
          <w:tcPr>
            <w:tcW w:w="635" w:type="pct"/>
            <w:tcBorders>
              <w:top w:val="single" w:sz="4" w:space="0" w:color="auto"/>
              <w:bottom w:val="single" w:sz="4" w:space="0" w:color="auto"/>
            </w:tcBorders>
            <w:vAlign w:val="center"/>
          </w:tcPr>
          <w:p w14:paraId="4B6232BF" w14:textId="25207B47" w:rsidR="007854A9" w:rsidRPr="007005F4" w:rsidRDefault="00B64D52" w:rsidP="003D4ACC">
            <w:pPr>
              <w:jc w:val="right"/>
              <w:rPr>
                <w:rFonts w:ascii="Arial" w:hAnsi="Arial" w:cs="Arial"/>
                <w:b/>
                <w:sz w:val="22"/>
                <w:szCs w:val="22"/>
              </w:rPr>
            </w:pPr>
            <w:r>
              <w:rPr>
                <w:rFonts w:ascii="Arial" w:hAnsi="Arial" w:cs="Arial"/>
                <w:b/>
                <w:sz w:val="22"/>
                <w:szCs w:val="22"/>
              </w:rPr>
              <w:t>611</w:t>
            </w:r>
          </w:p>
        </w:tc>
        <w:tc>
          <w:tcPr>
            <w:tcW w:w="626" w:type="pct"/>
            <w:tcBorders>
              <w:top w:val="single" w:sz="4" w:space="0" w:color="auto"/>
              <w:bottom w:val="single" w:sz="4" w:space="0" w:color="auto"/>
            </w:tcBorders>
            <w:vAlign w:val="center"/>
          </w:tcPr>
          <w:p w14:paraId="1141A8B3" w14:textId="77777777" w:rsidR="007854A9" w:rsidRPr="008D1EA4" w:rsidRDefault="007854A9" w:rsidP="003D4ACC">
            <w:pPr>
              <w:jc w:val="right"/>
              <w:rPr>
                <w:rFonts w:ascii="Arial" w:hAnsi="Arial" w:cs="Arial"/>
                <w:bCs/>
                <w:sz w:val="22"/>
                <w:szCs w:val="22"/>
              </w:rPr>
            </w:pPr>
            <w:r w:rsidRPr="008D1EA4">
              <w:rPr>
                <w:rFonts w:ascii="Arial" w:hAnsi="Arial" w:cs="Arial"/>
                <w:bCs/>
                <w:sz w:val="22"/>
                <w:szCs w:val="22"/>
              </w:rPr>
              <w:t>1,007</w:t>
            </w:r>
          </w:p>
        </w:tc>
        <w:tc>
          <w:tcPr>
            <w:tcW w:w="773" w:type="pct"/>
            <w:tcBorders>
              <w:top w:val="single" w:sz="4" w:space="0" w:color="auto"/>
              <w:bottom w:val="single" w:sz="4" w:space="0" w:color="auto"/>
            </w:tcBorders>
            <w:shd w:val="clear" w:color="auto" w:fill="auto"/>
            <w:vAlign w:val="center"/>
          </w:tcPr>
          <w:p w14:paraId="1EF1904E" w14:textId="525219A4" w:rsidR="007854A9" w:rsidRPr="00BD3974" w:rsidRDefault="007854A9" w:rsidP="003D4ACC">
            <w:pPr>
              <w:jc w:val="right"/>
              <w:rPr>
                <w:rFonts w:ascii="Arial" w:hAnsi="Arial" w:cs="Arial"/>
                <w:sz w:val="22"/>
                <w:szCs w:val="22"/>
              </w:rPr>
            </w:pPr>
            <w:r w:rsidRPr="00BD3974">
              <w:rPr>
                <w:rFonts w:ascii="Arial" w:hAnsi="Arial" w:cs="Arial"/>
                <w:sz w:val="22"/>
                <w:szCs w:val="22"/>
              </w:rPr>
              <w:t>(</w:t>
            </w:r>
            <w:r w:rsidR="00B64D52">
              <w:rPr>
                <w:rFonts w:ascii="Arial" w:hAnsi="Arial" w:cs="Arial"/>
                <w:sz w:val="22"/>
                <w:szCs w:val="22"/>
              </w:rPr>
              <w:t>39.3</w:t>
            </w:r>
            <w:r w:rsidRPr="00BD3974">
              <w:rPr>
                <w:rFonts w:ascii="Arial" w:hAnsi="Arial" w:cs="Arial"/>
                <w:sz w:val="22"/>
                <w:szCs w:val="22"/>
              </w:rPr>
              <w:t>)%</w:t>
            </w:r>
          </w:p>
        </w:tc>
      </w:tr>
    </w:tbl>
    <w:p w14:paraId="258B9A89" w14:textId="77777777" w:rsidR="007854A9" w:rsidRPr="003A1B1F" w:rsidRDefault="007854A9" w:rsidP="007854A9">
      <w:pPr>
        <w:jc w:val="left"/>
        <w:rPr>
          <w:rFonts w:ascii="Arial" w:hAnsi="Arial" w:cs="Arial"/>
          <w:b/>
          <w:bCs/>
          <w:szCs w:val="24"/>
        </w:rPr>
      </w:pPr>
    </w:p>
    <w:p w14:paraId="77B450FC" w14:textId="5AA32E95" w:rsidR="007854A9" w:rsidRPr="002110D5" w:rsidRDefault="007854A9" w:rsidP="007854A9">
      <w:pPr>
        <w:jc w:val="left"/>
        <w:rPr>
          <w:rFonts w:ascii="Arial" w:hAnsi="Arial" w:cs="Arial"/>
          <w:b/>
          <w:bCs/>
          <w:szCs w:val="24"/>
        </w:rPr>
      </w:pPr>
      <w:bookmarkStart w:id="70" w:name="_Hlk98754745"/>
      <w:r w:rsidRPr="003C2712">
        <w:rPr>
          <w:rFonts w:ascii="Arial" w:hAnsi="Arial" w:cs="Arial"/>
          <w:b/>
          <w:bCs/>
          <w:szCs w:val="24"/>
        </w:rPr>
        <w:t xml:space="preserve">Net finance costs </w:t>
      </w:r>
      <w:r w:rsidRPr="003C2712">
        <w:rPr>
          <w:rFonts w:ascii="Arial" w:hAnsi="Arial" w:cs="Arial"/>
          <w:szCs w:val="24"/>
        </w:rPr>
        <w:t>of £</w:t>
      </w:r>
      <w:r>
        <w:rPr>
          <w:rFonts w:ascii="Arial" w:hAnsi="Arial" w:cs="Arial"/>
          <w:szCs w:val="24"/>
        </w:rPr>
        <w:t>112</w:t>
      </w:r>
      <w:r w:rsidRPr="003C2712">
        <w:rPr>
          <w:rFonts w:ascii="Arial" w:hAnsi="Arial" w:cs="Arial"/>
          <w:szCs w:val="24"/>
        </w:rPr>
        <w:t>m (</w:t>
      </w:r>
      <w:r>
        <w:rPr>
          <w:rFonts w:ascii="Arial" w:hAnsi="Arial" w:cs="Arial"/>
          <w:szCs w:val="24"/>
        </w:rPr>
        <w:t>FY</w:t>
      </w:r>
      <w:r w:rsidRPr="003C2712">
        <w:rPr>
          <w:rFonts w:ascii="Arial" w:hAnsi="Arial" w:cs="Arial"/>
          <w:szCs w:val="24"/>
        </w:rPr>
        <w:t xml:space="preserve"> 21/22: £</w:t>
      </w:r>
      <w:r>
        <w:rPr>
          <w:rFonts w:ascii="Arial" w:hAnsi="Arial" w:cs="Arial"/>
          <w:szCs w:val="24"/>
        </w:rPr>
        <w:t>137</w:t>
      </w:r>
      <w:r w:rsidRPr="003C2712">
        <w:rPr>
          <w:rFonts w:ascii="Arial" w:hAnsi="Arial" w:cs="Arial"/>
          <w:szCs w:val="24"/>
        </w:rPr>
        <w:t xml:space="preserve">m) consist principally of interest on IFRS 16 lease liabilities. </w:t>
      </w:r>
      <w:r w:rsidR="001D67D3">
        <w:rPr>
          <w:rFonts w:ascii="Arial" w:hAnsi="Arial" w:cs="Arial"/>
          <w:szCs w:val="24"/>
        </w:rPr>
        <w:t xml:space="preserve">The </w:t>
      </w:r>
      <w:r w:rsidR="00347B38">
        <w:rPr>
          <w:rFonts w:ascii="Arial" w:hAnsi="Arial" w:cs="Arial"/>
          <w:szCs w:val="24"/>
        </w:rPr>
        <w:t xml:space="preserve">YoY </w:t>
      </w:r>
      <w:r w:rsidRPr="00C75E48">
        <w:rPr>
          <w:rFonts w:ascii="Arial" w:hAnsi="Arial" w:cs="Arial"/>
          <w:szCs w:val="24"/>
        </w:rPr>
        <w:t>decrease</w:t>
      </w:r>
      <w:r w:rsidR="001D67D3">
        <w:rPr>
          <w:rFonts w:ascii="Arial" w:hAnsi="Arial" w:cs="Arial"/>
          <w:szCs w:val="24"/>
        </w:rPr>
        <w:t xml:space="preserve"> </w:t>
      </w:r>
      <w:r w:rsidR="00347B38">
        <w:rPr>
          <w:rFonts w:ascii="Arial" w:hAnsi="Arial" w:cs="Arial"/>
          <w:szCs w:val="24"/>
        </w:rPr>
        <w:t>was</w:t>
      </w:r>
      <w:r w:rsidRPr="00C75E48">
        <w:rPr>
          <w:rFonts w:ascii="Arial" w:hAnsi="Arial" w:cs="Arial"/>
          <w:szCs w:val="24"/>
        </w:rPr>
        <w:t xml:space="preserve"> due </w:t>
      </w:r>
      <w:r w:rsidRPr="006F4BDD">
        <w:rPr>
          <w:rFonts w:ascii="Arial" w:hAnsi="Arial" w:cs="Arial"/>
          <w:szCs w:val="24"/>
        </w:rPr>
        <w:t xml:space="preserve">to </w:t>
      </w:r>
      <w:r w:rsidRPr="00E00F3B">
        <w:rPr>
          <w:rFonts w:ascii="Arial" w:hAnsi="Arial" w:cs="Arial"/>
          <w:szCs w:val="24"/>
        </w:rPr>
        <w:t>lower interest on lease liabilities</w:t>
      </w:r>
      <w:r w:rsidR="0090250E">
        <w:rPr>
          <w:rFonts w:ascii="Arial" w:hAnsi="Arial" w:cs="Arial"/>
          <w:szCs w:val="24"/>
        </w:rPr>
        <w:t xml:space="preserve"> and higher interest income</w:t>
      </w:r>
      <w:r w:rsidRPr="00E00F3B">
        <w:rPr>
          <w:rFonts w:ascii="Arial" w:hAnsi="Arial" w:cs="Arial"/>
          <w:szCs w:val="24"/>
        </w:rPr>
        <w:t>.</w:t>
      </w:r>
    </w:p>
    <w:bookmarkEnd w:id="70"/>
    <w:p w14:paraId="5B93BDDE" w14:textId="77777777" w:rsidR="007854A9" w:rsidRPr="00BB1AF0" w:rsidRDefault="007854A9" w:rsidP="007854A9">
      <w:pPr>
        <w:jc w:val="left"/>
        <w:rPr>
          <w:rFonts w:ascii="Arial" w:hAnsi="Arial" w:cs="Arial"/>
          <w:b/>
          <w:bCs/>
          <w:szCs w:val="24"/>
        </w:rPr>
      </w:pPr>
    </w:p>
    <w:p w14:paraId="4DE7E442" w14:textId="78F13CD4" w:rsidR="007854A9" w:rsidRPr="00FA6BF3" w:rsidRDefault="007854A9" w:rsidP="007854A9">
      <w:pPr>
        <w:jc w:val="left"/>
        <w:rPr>
          <w:rFonts w:ascii="Arial" w:hAnsi="Arial" w:cs="Arial"/>
          <w:b/>
          <w:bCs/>
          <w:szCs w:val="24"/>
        </w:rPr>
      </w:pPr>
      <w:r w:rsidRPr="00FA6BF3">
        <w:rPr>
          <w:rFonts w:ascii="Arial" w:hAnsi="Arial" w:cs="Arial"/>
          <w:b/>
          <w:bCs/>
          <w:szCs w:val="24"/>
        </w:rPr>
        <w:t xml:space="preserve">Adjusting items after tax </w:t>
      </w:r>
      <w:r w:rsidRPr="002B3D6F">
        <w:rPr>
          <w:rFonts w:ascii="Arial" w:hAnsi="Arial" w:cs="Arial"/>
          <w:szCs w:val="24"/>
        </w:rPr>
        <w:t xml:space="preserve">were a </w:t>
      </w:r>
      <w:r>
        <w:rPr>
          <w:rFonts w:ascii="Arial" w:hAnsi="Arial" w:cs="Arial"/>
          <w:szCs w:val="24"/>
        </w:rPr>
        <w:t xml:space="preserve">total charge </w:t>
      </w:r>
      <w:r w:rsidRPr="002B3D6F">
        <w:rPr>
          <w:rFonts w:ascii="Arial" w:hAnsi="Arial" w:cs="Arial"/>
          <w:szCs w:val="24"/>
        </w:rPr>
        <w:t xml:space="preserve">of </w:t>
      </w:r>
      <w:r w:rsidRPr="00F62983">
        <w:rPr>
          <w:rFonts w:ascii="Arial" w:hAnsi="Arial" w:cs="Arial"/>
          <w:szCs w:val="24"/>
        </w:rPr>
        <w:t>£</w:t>
      </w:r>
      <w:r w:rsidR="00D77BA5">
        <w:rPr>
          <w:rFonts w:ascii="Arial" w:hAnsi="Arial" w:cs="Arial"/>
          <w:szCs w:val="24"/>
        </w:rPr>
        <w:t>118</w:t>
      </w:r>
      <w:r w:rsidR="00D77BA5" w:rsidRPr="00F62983">
        <w:rPr>
          <w:rFonts w:ascii="Arial" w:hAnsi="Arial" w:cs="Arial"/>
          <w:szCs w:val="24"/>
        </w:rPr>
        <w:t>m</w:t>
      </w:r>
      <w:r w:rsidR="00D77BA5" w:rsidRPr="002B3D6F">
        <w:rPr>
          <w:rFonts w:ascii="Arial" w:hAnsi="Arial" w:cs="Arial"/>
          <w:szCs w:val="24"/>
        </w:rPr>
        <w:t xml:space="preserve"> </w:t>
      </w:r>
      <w:r w:rsidRPr="002B3D6F">
        <w:rPr>
          <w:rFonts w:ascii="Arial" w:hAnsi="Arial" w:cs="Arial"/>
          <w:szCs w:val="24"/>
        </w:rPr>
        <w:t>(</w:t>
      </w:r>
      <w:r>
        <w:rPr>
          <w:rFonts w:ascii="Arial" w:hAnsi="Arial" w:cs="Arial"/>
          <w:szCs w:val="24"/>
        </w:rPr>
        <w:t>FY</w:t>
      </w:r>
      <w:r w:rsidRPr="002B3D6F">
        <w:rPr>
          <w:rFonts w:ascii="Arial" w:hAnsi="Arial" w:cs="Arial"/>
          <w:szCs w:val="24"/>
        </w:rPr>
        <w:t xml:space="preserve"> 21/22</w:t>
      </w:r>
      <w:r w:rsidRPr="00FA6BF3">
        <w:rPr>
          <w:rFonts w:ascii="Arial" w:hAnsi="Arial" w:cs="Arial"/>
          <w:szCs w:val="24"/>
        </w:rPr>
        <w:t xml:space="preserve">: </w:t>
      </w:r>
      <w:r>
        <w:rPr>
          <w:rFonts w:ascii="Arial" w:hAnsi="Arial" w:cs="Arial"/>
          <w:szCs w:val="24"/>
        </w:rPr>
        <w:t>gain</w:t>
      </w:r>
      <w:r w:rsidRPr="00FA6BF3">
        <w:rPr>
          <w:rFonts w:ascii="Arial" w:hAnsi="Arial" w:cs="Arial"/>
          <w:szCs w:val="24"/>
        </w:rPr>
        <w:t xml:space="preserve"> of £</w:t>
      </w:r>
      <w:r>
        <w:rPr>
          <w:rFonts w:ascii="Arial" w:hAnsi="Arial" w:cs="Arial"/>
          <w:szCs w:val="24"/>
        </w:rPr>
        <w:t>106</w:t>
      </w:r>
      <w:r w:rsidRPr="00FA6BF3">
        <w:rPr>
          <w:rFonts w:ascii="Arial" w:hAnsi="Arial" w:cs="Arial"/>
          <w:szCs w:val="24"/>
        </w:rPr>
        <w:t>m), as detailed below:</w:t>
      </w:r>
    </w:p>
    <w:p w14:paraId="542CA66C" w14:textId="77777777" w:rsidR="007854A9" w:rsidRPr="00FA6BF3" w:rsidRDefault="007854A9" w:rsidP="007854A9">
      <w:pPr>
        <w:jc w:val="left"/>
        <w:rPr>
          <w:rFonts w:ascii="Arial" w:hAnsi="Arial" w:cs="Arial"/>
          <w:b/>
          <w:bCs/>
          <w:szCs w:val="24"/>
        </w:rPr>
      </w:pPr>
    </w:p>
    <w:tbl>
      <w:tblPr>
        <w:tblW w:w="5001" w:type="pct"/>
        <w:tblLook w:val="04A0" w:firstRow="1" w:lastRow="0" w:firstColumn="1" w:lastColumn="0" w:noHBand="0" w:noVBand="1"/>
      </w:tblPr>
      <w:tblGrid>
        <w:gridCol w:w="6380"/>
        <w:gridCol w:w="2014"/>
        <w:gridCol w:w="1926"/>
      </w:tblGrid>
      <w:tr w:rsidR="007854A9" w:rsidRPr="00FA6BF3" w14:paraId="258EAB45" w14:textId="77777777" w:rsidTr="003D4ACC">
        <w:trPr>
          <w:trHeight w:val="525"/>
        </w:trPr>
        <w:tc>
          <w:tcPr>
            <w:tcW w:w="3091" w:type="pct"/>
            <w:tcBorders>
              <w:top w:val="nil"/>
              <w:left w:val="nil"/>
              <w:bottom w:val="single" w:sz="4" w:space="0" w:color="auto"/>
              <w:right w:val="nil"/>
            </w:tcBorders>
            <w:vAlign w:val="center"/>
          </w:tcPr>
          <w:p w14:paraId="4FF94D08" w14:textId="77777777" w:rsidR="007854A9" w:rsidRPr="00FA6BF3" w:rsidRDefault="007854A9" w:rsidP="003D4ACC">
            <w:pPr>
              <w:jc w:val="left"/>
              <w:rPr>
                <w:rFonts w:ascii="Arial" w:hAnsi="Arial" w:cs="Arial"/>
                <w:bCs/>
              </w:rPr>
            </w:pPr>
          </w:p>
        </w:tc>
        <w:tc>
          <w:tcPr>
            <w:tcW w:w="976" w:type="pct"/>
            <w:tcBorders>
              <w:top w:val="nil"/>
              <w:left w:val="nil"/>
              <w:bottom w:val="single" w:sz="4" w:space="0" w:color="auto"/>
              <w:right w:val="nil"/>
            </w:tcBorders>
            <w:vAlign w:val="center"/>
            <w:hideMark/>
          </w:tcPr>
          <w:p w14:paraId="2A0D16E8" w14:textId="77777777" w:rsidR="007854A9" w:rsidRPr="00FA6BF3" w:rsidRDefault="007854A9" w:rsidP="003D4ACC">
            <w:pPr>
              <w:jc w:val="right"/>
              <w:rPr>
                <w:rFonts w:ascii="Arial" w:hAnsi="Arial" w:cs="Arial"/>
                <w:b/>
                <w:bCs/>
              </w:rPr>
            </w:pPr>
            <w:r w:rsidRPr="00FA6BF3">
              <w:rPr>
                <w:rFonts w:ascii="Arial" w:hAnsi="Arial" w:cs="Arial"/>
                <w:b/>
                <w:bCs/>
              </w:rPr>
              <w:t>202</w:t>
            </w:r>
            <w:r>
              <w:rPr>
                <w:rFonts w:ascii="Arial" w:hAnsi="Arial" w:cs="Arial"/>
                <w:b/>
                <w:bCs/>
              </w:rPr>
              <w:t>2</w:t>
            </w:r>
            <w:r w:rsidRPr="00FA6BF3">
              <w:rPr>
                <w:rFonts w:ascii="Arial" w:hAnsi="Arial" w:cs="Arial"/>
                <w:b/>
                <w:bCs/>
              </w:rPr>
              <w:t>/2</w:t>
            </w:r>
            <w:r>
              <w:rPr>
                <w:rFonts w:ascii="Arial" w:hAnsi="Arial" w:cs="Arial"/>
                <w:b/>
                <w:bCs/>
              </w:rPr>
              <w:t>3</w:t>
            </w:r>
          </w:p>
          <w:p w14:paraId="53348471" w14:textId="77777777" w:rsidR="007854A9" w:rsidRPr="00FA6BF3" w:rsidRDefault="007854A9" w:rsidP="003D4ACC">
            <w:pPr>
              <w:jc w:val="right"/>
              <w:rPr>
                <w:rFonts w:ascii="Arial" w:hAnsi="Arial" w:cs="Arial"/>
                <w:b/>
                <w:bCs/>
              </w:rPr>
            </w:pPr>
            <w:r w:rsidRPr="00FA6BF3">
              <w:rPr>
                <w:rFonts w:ascii="Arial" w:hAnsi="Arial" w:cs="Arial"/>
                <w:b/>
                <w:bCs/>
              </w:rPr>
              <w:t>£m</w:t>
            </w:r>
          </w:p>
          <w:p w14:paraId="20C9CBCE" w14:textId="77777777" w:rsidR="007854A9" w:rsidRPr="00FA6BF3" w:rsidRDefault="007854A9" w:rsidP="003D4ACC">
            <w:pPr>
              <w:jc w:val="right"/>
              <w:rPr>
                <w:rFonts w:ascii="Arial" w:hAnsi="Arial" w:cs="Arial"/>
                <w:b/>
                <w:bCs/>
              </w:rPr>
            </w:pPr>
            <w:r w:rsidRPr="00FA6BF3">
              <w:rPr>
                <w:rFonts w:ascii="Arial" w:hAnsi="Arial" w:cs="Arial"/>
                <w:b/>
                <w:bCs/>
              </w:rPr>
              <w:t>Gain/(charge)</w:t>
            </w:r>
          </w:p>
        </w:tc>
        <w:tc>
          <w:tcPr>
            <w:tcW w:w="933" w:type="pct"/>
            <w:tcBorders>
              <w:top w:val="nil"/>
              <w:left w:val="nil"/>
              <w:bottom w:val="single" w:sz="4" w:space="0" w:color="auto"/>
              <w:right w:val="nil"/>
            </w:tcBorders>
            <w:vAlign w:val="center"/>
            <w:hideMark/>
          </w:tcPr>
          <w:p w14:paraId="789C4EC3" w14:textId="77777777" w:rsidR="007854A9" w:rsidRPr="00FA6BF3" w:rsidRDefault="007854A9" w:rsidP="003D4ACC">
            <w:pPr>
              <w:jc w:val="right"/>
              <w:rPr>
                <w:rFonts w:ascii="Arial" w:hAnsi="Arial" w:cs="Arial"/>
                <w:bCs/>
              </w:rPr>
            </w:pPr>
            <w:r w:rsidRPr="00FA6BF3">
              <w:rPr>
                <w:rFonts w:ascii="Arial" w:hAnsi="Arial" w:cs="Arial"/>
                <w:bCs/>
              </w:rPr>
              <w:t>202</w:t>
            </w:r>
            <w:r>
              <w:rPr>
                <w:rFonts w:ascii="Arial" w:hAnsi="Arial" w:cs="Arial"/>
                <w:bCs/>
              </w:rPr>
              <w:t>1</w:t>
            </w:r>
            <w:r w:rsidRPr="00FA6BF3">
              <w:rPr>
                <w:rFonts w:ascii="Arial" w:hAnsi="Arial" w:cs="Arial"/>
                <w:bCs/>
              </w:rPr>
              <w:t>/2</w:t>
            </w:r>
            <w:r>
              <w:rPr>
                <w:rFonts w:ascii="Arial" w:hAnsi="Arial" w:cs="Arial"/>
                <w:bCs/>
              </w:rPr>
              <w:t>2</w:t>
            </w:r>
          </w:p>
          <w:p w14:paraId="1F868022" w14:textId="77777777" w:rsidR="007854A9" w:rsidRPr="00FA6BF3" w:rsidRDefault="007854A9" w:rsidP="003D4ACC">
            <w:pPr>
              <w:jc w:val="right"/>
              <w:rPr>
                <w:rFonts w:ascii="Arial" w:hAnsi="Arial" w:cs="Arial"/>
                <w:bCs/>
              </w:rPr>
            </w:pPr>
            <w:r w:rsidRPr="00FA6BF3">
              <w:rPr>
                <w:rFonts w:ascii="Arial" w:hAnsi="Arial" w:cs="Arial"/>
                <w:bCs/>
              </w:rPr>
              <w:t>£m</w:t>
            </w:r>
          </w:p>
          <w:p w14:paraId="05EE6468" w14:textId="77777777" w:rsidR="007854A9" w:rsidRPr="00FA6BF3" w:rsidRDefault="007854A9" w:rsidP="003D4ACC">
            <w:pPr>
              <w:jc w:val="right"/>
              <w:rPr>
                <w:rFonts w:ascii="Arial" w:hAnsi="Arial" w:cs="Arial"/>
                <w:bCs/>
              </w:rPr>
            </w:pPr>
            <w:r w:rsidRPr="00FA6BF3">
              <w:rPr>
                <w:rFonts w:ascii="Arial" w:hAnsi="Arial" w:cs="Arial"/>
                <w:bCs/>
              </w:rPr>
              <w:t>Gain/(charge)</w:t>
            </w:r>
          </w:p>
        </w:tc>
      </w:tr>
      <w:tr w:rsidR="007854A9" w:rsidRPr="00FA6BF3" w14:paraId="7BC59194" w14:textId="77777777" w:rsidTr="003D4ACC">
        <w:trPr>
          <w:trHeight w:val="266"/>
        </w:trPr>
        <w:tc>
          <w:tcPr>
            <w:tcW w:w="3091" w:type="pct"/>
            <w:vAlign w:val="center"/>
          </w:tcPr>
          <w:p w14:paraId="6D4D4676" w14:textId="77777777" w:rsidR="007854A9" w:rsidRPr="00FA6BF3" w:rsidRDefault="007854A9" w:rsidP="003D4ACC">
            <w:pPr>
              <w:jc w:val="left"/>
              <w:rPr>
                <w:rFonts w:ascii="Arial" w:hAnsi="Arial" w:cs="Arial"/>
              </w:rPr>
            </w:pPr>
            <w:r w:rsidRPr="00FA6BF3">
              <w:rPr>
                <w:rFonts w:ascii="Arial" w:hAnsi="Arial" w:cs="Arial"/>
              </w:rPr>
              <w:t xml:space="preserve">Net store asset impairment </w:t>
            </w:r>
            <w:r>
              <w:rPr>
                <w:rFonts w:ascii="Arial" w:hAnsi="Arial" w:cs="Arial"/>
              </w:rPr>
              <w:t>(charges)/</w:t>
            </w:r>
            <w:r w:rsidRPr="00FA6BF3">
              <w:rPr>
                <w:rFonts w:ascii="Arial" w:hAnsi="Arial" w:cs="Arial"/>
              </w:rPr>
              <w:t>reversals</w:t>
            </w:r>
          </w:p>
        </w:tc>
        <w:tc>
          <w:tcPr>
            <w:tcW w:w="976" w:type="pct"/>
            <w:vAlign w:val="center"/>
          </w:tcPr>
          <w:p w14:paraId="4895193F" w14:textId="59B797BC" w:rsidR="007854A9" w:rsidRPr="007005F4" w:rsidRDefault="007854A9" w:rsidP="003D4ACC">
            <w:pPr>
              <w:jc w:val="right"/>
              <w:rPr>
                <w:rFonts w:ascii="Arial" w:hAnsi="Arial" w:cs="Arial"/>
                <w:b/>
              </w:rPr>
            </w:pPr>
            <w:r w:rsidRPr="007005F4">
              <w:rPr>
                <w:rFonts w:ascii="Arial" w:hAnsi="Arial" w:cs="Arial"/>
                <w:b/>
              </w:rPr>
              <w:t>(</w:t>
            </w:r>
            <w:r w:rsidR="007C5243">
              <w:rPr>
                <w:rFonts w:ascii="Arial" w:hAnsi="Arial" w:cs="Arial"/>
                <w:b/>
              </w:rPr>
              <w:t>139</w:t>
            </w:r>
            <w:r w:rsidRPr="007005F4">
              <w:rPr>
                <w:rFonts w:ascii="Arial" w:hAnsi="Arial" w:cs="Arial"/>
                <w:b/>
              </w:rPr>
              <w:t>)</w:t>
            </w:r>
          </w:p>
        </w:tc>
        <w:tc>
          <w:tcPr>
            <w:tcW w:w="933" w:type="pct"/>
            <w:vAlign w:val="center"/>
          </w:tcPr>
          <w:p w14:paraId="1AF673CF" w14:textId="77777777" w:rsidR="007854A9" w:rsidRPr="00645986" w:rsidRDefault="007854A9" w:rsidP="003D4ACC">
            <w:pPr>
              <w:jc w:val="right"/>
              <w:rPr>
                <w:rFonts w:ascii="Arial" w:hAnsi="Arial" w:cs="Arial"/>
                <w:bCs/>
              </w:rPr>
            </w:pPr>
            <w:r w:rsidRPr="00645986">
              <w:rPr>
                <w:rFonts w:ascii="Arial" w:hAnsi="Arial" w:cs="Arial"/>
                <w:bCs/>
              </w:rPr>
              <w:t>33</w:t>
            </w:r>
          </w:p>
        </w:tc>
      </w:tr>
      <w:tr w:rsidR="007854A9" w:rsidRPr="00FA6BF3" w14:paraId="457FA104" w14:textId="77777777" w:rsidTr="003D4ACC">
        <w:trPr>
          <w:trHeight w:val="266"/>
        </w:trPr>
        <w:tc>
          <w:tcPr>
            <w:tcW w:w="3091" w:type="pct"/>
            <w:vAlign w:val="center"/>
          </w:tcPr>
          <w:p w14:paraId="656EE29C" w14:textId="77777777" w:rsidR="007854A9" w:rsidRPr="00B84DF6" w:rsidRDefault="007854A9" w:rsidP="003D4ACC">
            <w:pPr>
              <w:jc w:val="left"/>
              <w:rPr>
                <w:rFonts w:ascii="Arial" w:hAnsi="Arial" w:cs="Arial"/>
              </w:rPr>
            </w:pPr>
            <w:r w:rsidRPr="00B84DF6">
              <w:rPr>
                <w:rFonts w:ascii="Arial" w:hAnsi="Arial" w:cs="Arial"/>
              </w:rPr>
              <w:t>Romania goodwill impairment</w:t>
            </w:r>
          </w:p>
        </w:tc>
        <w:tc>
          <w:tcPr>
            <w:tcW w:w="976" w:type="pct"/>
            <w:vAlign w:val="center"/>
          </w:tcPr>
          <w:p w14:paraId="69F860A6" w14:textId="77777777" w:rsidR="007854A9" w:rsidRPr="007005F4" w:rsidRDefault="007854A9" w:rsidP="003D4ACC">
            <w:pPr>
              <w:jc w:val="right"/>
              <w:rPr>
                <w:rFonts w:ascii="Arial" w:hAnsi="Arial" w:cs="Arial"/>
                <w:b/>
              </w:rPr>
            </w:pPr>
            <w:r w:rsidRPr="007005F4">
              <w:rPr>
                <w:rFonts w:ascii="Arial" w:hAnsi="Arial" w:cs="Arial"/>
                <w:b/>
              </w:rPr>
              <w:t>(16)</w:t>
            </w:r>
          </w:p>
        </w:tc>
        <w:tc>
          <w:tcPr>
            <w:tcW w:w="933" w:type="pct"/>
            <w:vAlign w:val="center"/>
          </w:tcPr>
          <w:p w14:paraId="78A0A24F" w14:textId="77777777" w:rsidR="007854A9" w:rsidRPr="00B84DF6" w:rsidRDefault="007854A9" w:rsidP="003D4ACC">
            <w:pPr>
              <w:jc w:val="right"/>
              <w:rPr>
                <w:rFonts w:ascii="Arial" w:hAnsi="Arial" w:cs="Arial"/>
                <w:bCs/>
              </w:rPr>
            </w:pPr>
            <w:r w:rsidRPr="00B84DF6">
              <w:rPr>
                <w:rFonts w:ascii="Arial" w:hAnsi="Arial" w:cs="Arial"/>
                <w:bCs/>
              </w:rPr>
              <w:t>-</w:t>
            </w:r>
          </w:p>
        </w:tc>
      </w:tr>
      <w:tr w:rsidR="007854A9" w:rsidRPr="00FA6BF3" w14:paraId="7C3AA243" w14:textId="77777777" w:rsidTr="003D4ACC">
        <w:trPr>
          <w:trHeight w:val="266"/>
        </w:trPr>
        <w:tc>
          <w:tcPr>
            <w:tcW w:w="3091" w:type="pct"/>
            <w:vAlign w:val="center"/>
          </w:tcPr>
          <w:p w14:paraId="4C50FB15" w14:textId="2FDE27BB" w:rsidR="007854A9" w:rsidRPr="00B84DF6" w:rsidRDefault="00A9650E" w:rsidP="003D4ACC">
            <w:pPr>
              <w:jc w:val="left"/>
              <w:rPr>
                <w:rFonts w:ascii="Arial" w:hAnsi="Arial" w:cs="Arial"/>
              </w:rPr>
            </w:pPr>
            <w:r w:rsidRPr="00B84DF6">
              <w:rPr>
                <w:rFonts w:ascii="Arial" w:hAnsi="Arial" w:cs="Arial"/>
              </w:rPr>
              <w:t>Release of Castorama Russia disposal warranty liability</w:t>
            </w:r>
          </w:p>
        </w:tc>
        <w:tc>
          <w:tcPr>
            <w:tcW w:w="976" w:type="pct"/>
            <w:vAlign w:val="center"/>
          </w:tcPr>
          <w:p w14:paraId="59BD2C4B" w14:textId="77777777" w:rsidR="007854A9" w:rsidRPr="007005F4" w:rsidDel="00F62983" w:rsidRDefault="007854A9" w:rsidP="003D4ACC">
            <w:pPr>
              <w:jc w:val="right"/>
              <w:rPr>
                <w:rFonts w:ascii="Arial" w:hAnsi="Arial" w:cs="Arial"/>
                <w:b/>
              </w:rPr>
            </w:pPr>
            <w:r w:rsidRPr="007005F4">
              <w:rPr>
                <w:rFonts w:ascii="Arial" w:hAnsi="Arial" w:cs="Arial"/>
                <w:b/>
              </w:rPr>
              <w:t>4</w:t>
            </w:r>
          </w:p>
        </w:tc>
        <w:tc>
          <w:tcPr>
            <w:tcW w:w="933" w:type="pct"/>
            <w:vAlign w:val="center"/>
          </w:tcPr>
          <w:p w14:paraId="49592704" w14:textId="62E3FDB0" w:rsidR="007854A9" w:rsidRPr="00B84DF6" w:rsidRDefault="00B5242C" w:rsidP="003D4ACC">
            <w:pPr>
              <w:jc w:val="right"/>
              <w:rPr>
                <w:rFonts w:ascii="Arial" w:hAnsi="Arial" w:cs="Arial"/>
                <w:bCs/>
              </w:rPr>
            </w:pPr>
            <w:r w:rsidRPr="00B84DF6">
              <w:rPr>
                <w:rFonts w:ascii="Arial" w:hAnsi="Arial" w:cs="Arial"/>
                <w:bCs/>
              </w:rPr>
              <w:t>-</w:t>
            </w:r>
          </w:p>
        </w:tc>
      </w:tr>
      <w:tr w:rsidR="007854A9" w:rsidRPr="00FA6BF3" w14:paraId="6655973F" w14:textId="77777777" w:rsidTr="003D4ACC">
        <w:trPr>
          <w:trHeight w:val="266"/>
        </w:trPr>
        <w:tc>
          <w:tcPr>
            <w:tcW w:w="3091" w:type="pct"/>
            <w:vAlign w:val="center"/>
          </w:tcPr>
          <w:p w14:paraId="706FCE10" w14:textId="3A91A865" w:rsidR="007854A9" w:rsidRPr="00B84DF6" w:rsidRDefault="00A9650E" w:rsidP="003D4ACC">
            <w:pPr>
              <w:jc w:val="left"/>
              <w:rPr>
                <w:rFonts w:ascii="Arial" w:hAnsi="Arial" w:cs="Arial"/>
              </w:rPr>
            </w:pPr>
            <w:r w:rsidRPr="00FA6BF3">
              <w:rPr>
                <w:rFonts w:ascii="Arial" w:hAnsi="Arial" w:cs="Arial"/>
              </w:rPr>
              <w:t>Release of France and other restructuring provisions</w:t>
            </w:r>
          </w:p>
        </w:tc>
        <w:tc>
          <w:tcPr>
            <w:tcW w:w="976" w:type="pct"/>
            <w:vAlign w:val="center"/>
          </w:tcPr>
          <w:p w14:paraId="0C41210B" w14:textId="77777777" w:rsidR="007854A9" w:rsidRPr="007005F4" w:rsidRDefault="007854A9" w:rsidP="003D4ACC">
            <w:pPr>
              <w:jc w:val="right"/>
              <w:rPr>
                <w:rFonts w:ascii="Arial" w:hAnsi="Arial" w:cs="Arial"/>
                <w:b/>
              </w:rPr>
            </w:pPr>
            <w:r>
              <w:rPr>
                <w:rFonts w:ascii="Arial" w:hAnsi="Arial" w:cs="Arial"/>
                <w:b/>
              </w:rPr>
              <w:t>3</w:t>
            </w:r>
          </w:p>
        </w:tc>
        <w:tc>
          <w:tcPr>
            <w:tcW w:w="933" w:type="pct"/>
            <w:vAlign w:val="center"/>
          </w:tcPr>
          <w:p w14:paraId="399D65C2" w14:textId="5F882BB1" w:rsidR="007854A9" w:rsidRPr="00B84DF6" w:rsidRDefault="00700384" w:rsidP="003D4ACC">
            <w:pPr>
              <w:jc w:val="right"/>
              <w:rPr>
                <w:rFonts w:ascii="Arial" w:hAnsi="Arial" w:cs="Arial"/>
                <w:bCs/>
              </w:rPr>
            </w:pPr>
            <w:r>
              <w:rPr>
                <w:rFonts w:ascii="Arial" w:hAnsi="Arial" w:cs="Arial"/>
                <w:bCs/>
              </w:rPr>
              <w:t>9</w:t>
            </w:r>
          </w:p>
        </w:tc>
      </w:tr>
      <w:tr w:rsidR="007854A9" w:rsidRPr="00FA6BF3" w14:paraId="70413003" w14:textId="77777777" w:rsidTr="003D4ACC">
        <w:trPr>
          <w:trHeight w:val="266"/>
        </w:trPr>
        <w:tc>
          <w:tcPr>
            <w:tcW w:w="3091" w:type="pct"/>
            <w:vAlign w:val="center"/>
          </w:tcPr>
          <w:p w14:paraId="7C982892" w14:textId="77777777" w:rsidR="007854A9" w:rsidRPr="00FA6BF3" w:rsidRDefault="007854A9" w:rsidP="003D4ACC">
            <w:pPr>
              <w:jc w:val="left"/>
              <w:rPr>
                <w:rFonts w:ascii="Arial" w:hAnsi="Arial" w:cs="Arial"/>
              </w:rPr>
            </w:pPr>
            <w:r>
              <w:rPr>
                <w:rFonts w:ascii="Arial" w:hAnsi="Arial" w:cs="Arial"/>
              </w:rPr>
              <w:t>Property gains</w:t>
            </w:r>
          </w:p>
        </w:tc>
        <w:tc>
          <w:tcPr>
            <w:tcW w:w="976" w:type="pct"/>
            <w:vAlign w:val="center"/>
          </w:tcPr>
          <w:p w14:paraId="74595D53" w14:textId="77777777" w:rsidR="007854A9" w:rsidRPr="007005F4" w:rsidRDefault="007854A9" w:rsidP="003D4ACC">
            <w:pPr>
              <w:jc w:val="right"/>
              <w:rPr>
                <w:rFonts w:ascii="Arial" w:hAnsi="Arial" w:cs="Arial"/>
                <w:b/>
              </w:rPr>
            </w:pPr>
            <w:r>
              <w:rPr>
                <w:rFonts w:ascii="Arial" w:hAnsi="Arial" w:cs="Arial"/>
                <w:b/>
              </w:rPr>
              <w:t>1</w:t>
            </w:r>
          </w:p>
        </w:tc>
        <w:tc>
          <w:tcPr>
            <w:tcW w:w="933" w:type="pct"/>
            <w:vAlign w:val="center"/>
          </w:tcPr>
          <w:p w14:paraId="235E35C3" w14:textId="77777777" w:rsidR="007854A9" w:rsidRPr="00645986" w:rsidRDefault="007854A9" w:rsidP="003D4ACC">
            <w:pPr>
              <w:jc w:val="right"/>
              <w:rPr>
                <w:rFonts w:ascii="Arial" w:hAnsi="Arial" w:cs="Arial"/>
                <w:bCs/>
              </w:rPr>
            </w:pPr>
            <w:r>
              <w:rPr>
                <w:rFonts w:ascii="Arial" w:hAnsi="Arial" w:cs="Arial"/>
                <w:bCs/>
              </w:rPr>
              <w:t>3</w:t>
            </w:r>
          </w:p>
        </w:tc>
      </w:tr>
      <w:tr w:rsidR="007854A9" w:rsidRPr="00FA6BF3" w14:paraId="3491020B" w14:textId="77777777" w:rsidTr="003D4ACC">
        <w:trPr>
          <w:trHeight w:val="266"/>
        </w:trPr>
        <w:tc>
          <w:tcPr>
            <w:tcW w:w="3091" w:type="pct"/>
            <w:vAlign w:val="center"/>
          </w:tcPr>
          <w:p w14:paraId="0FDBC972" w14:textId="77777777" w:rsidR="007854A9" w:rsidRPr="00FA6BF3" w:rsidRDefault="007854A9" w:rsidP="003D4ACC">
            <w:pPr>
              <w:jc w:val="left"/>
              <w:rPr>
                <w:rFonts w:ascii="Arial" w:hAnsi="Arial" w:cs="Arial"/>
              </w:rPr>
            </w:pPr>
            <w:r w:rsidRPr="00FA6BF3">
              <w:rPr>
                <w:rFonts w:ascii="Arial" w:hAnsi="Arial" w:cs="Arial"/>
              </w:rPr>
              <w:t>Commercial operating model restructuring</w:t>
            </w:r>
          </w:p>
        </w:tc>
        <w:tc>
          <w:tcPr>
            <w:tcW w:w="976" w:type="pct"/>
            <w:vAlign w:val="center"/>
          </w:tcPr>
          <w:p w14:paraId="7DCBD2AF" w14:textId="77777777" w:rsidR="007854A9" w:rsidRPr="007005F4" w:rsidRDefault="007854A9" w:rsidP="003D4ACC">
            <w:pPr>
              <w:jc w:val="right"/>
              <w:rPr>
                <w:rFonts w:ascii="Arial" w:hAnsi="Arial" w:cs="Arial"/>
                <w:b/>
              </w:rPr>
            </w:pPr>
            <w:r w:rsidRPr="007005F4">
              <w:rPr>
                <w:rFonts w:ascii="Arial" w:hAnsi="Arial" w:cs="Arial"/>
                <w:b/>
              </w:rPr>
              <w:t>-</w:t>
            </w:r>
          </w:p>
        </w:tc>
        <w:tc>
          <w:tcPr>
            <w:tcW w:w="933" w:type="pct"/>
            <w:vAlign w:val="center"/>
          </w:tcPr>
          <w:p w14:paraId="0F5E6D3A" w14:textId="77777777" w:rsidR="007854A9" w:rsidRPr="00645986" w:rsidRDefault="007854A9" w:rsidP="003D4ACC">
            <w:pPr>
              <w:jc w:val="right"/>
              <w:rPr>
                <w:rFonts w:ascii="Arial" w:hAnsi="Arial" w:cs="Arial"/>
                <w:bCs/>
              </w:rPr>
            </w:pPr>
            <w:r w:rsidRPr="00645986">
              <w:rPr>
                <w:rFonts w:ascii="Arial" w:hAnsi="Arial" w:cs="Arial"/>
                <w:bCs/>
              </w:rPr>
              <w:t>4</w:t>
            </w:r>
          </w:p>
        </w:tc>
      </w:tr>
      <w:tr w:rsidR="007854A9" w:rsidRPr="00FA6BF3" w14:paraId="05E91C23" w14:textId="77777777" w:rsidTr="003D4ACC">
        <w:trPr>
          <w:trHeight w:val="266"/>
        </w:trPr>
        <w:tc>
          <w:tcPr>
            <w:tcW w:w="3091" w:type="pct"/>
            <w:vAlign w:val="center"/>
          </w:tcPr>
          <w:p w14:paraId="3A082DC6" w14:textId="77777777" w:rsidR="007854A9" w:rsidRPr="00FA6BF3" w:rsidRDefault="007854A9" w:rsidP="003D4ACC">
            <w:pPr>
              <w:jc w:val="left"/>
              <w:rPr>
                <w:rFonts w:ascii="Arial" w:hAnsi="Arial" w:cs="Arial"/>
              </w:rPr>
            </w:pPr>
            <w:r w:rsidRPr="00FA6BF3">
              <w:rPr>
                <w:rFonts w:ascii="Arial" w:hAnsi="Arial" w:cs="Arial"/>
              </w:rPr>
              <w:t xml:space="preserve">Release of France </w:t>
            </w:r>
            <w:r>
              <w:rPr>
                <w:rFonts w:ascii="Arial" w:hAnsi="Arial" w:cs="Arial"/>
              </w:rPr>
              <w:t>uncertain operating tax position</w:t>
            </w:r>
          </w:p>
        </w:tc>
        <w:tc>
          <w:tcPr>
            <w:tcW w:w="976" w:type="pct"/>
            <w:vAlign w:val="center"/>
          </w:tcPr>
          <w:p w14:paraId="66D0CD3C" w14:textId="77777777" w:rsidR="007854A9" w:rsidRPr="007005F4" w:rsidRDefault="007854A9" w:rsidP="003D4ACC">
            <w:pPr>
              <w:jc w:val="right"/>
              <w:rPr>
                <w:rFonts w:ascii="Arial" w:hAnsi="Arial" w:cs="Arial"/>
                <w:b/>
              </w:rPr>
            </w:pPr>
            <w:r w:rsidRPr="007005F4">
              <w:rPr>
                <w:rFonts w:ascii="Arial" w:hAnsi="Arial" w:cs="Arial"/>
                <w:b/>
              </w:rPr>
              <w:t>-</w:t>
            </w:r>
          </w:p>
        </w:tc>
        <w:tc>
          <w:tcPr>
            <w:tcW w:w="933" w:type="pct"/>
            <w:vAlign w:val="center"/>
          </w:tcPr>
          <w:p w14:paraId="735E5B7F" w14:textId="77777777" w:rsidR="007854A9" w:rsidRPr="00645986" w:rsidRDefault="007854A9" w:rsidP="003D4ACC">
            <w:pPr>
              <w:jc w:val="right"/>
              <w:rPr>
                <w:rFonts w:ascii="Arial" w:hAnsi="Arial" w:cs="Arial"/>
                <w:bCs/>
              </w:rPr>
            </w:pPr>
            <w:r w:rsidRPr="00645986">
              <w:rPr>
                <w:rFonts w:ascii="Arial" w:hAnsi="Arial" w:cs="Arial"/>
                <w:bCs/>
              </w:rPr>
              <w:t>9</w:t>
            </w:r>
          </w:p>
        </w:tc>
      </w:tr>
      <w:tr w:rsidR="007854A9" w:rsidRPr="00FA6BF3" w14:paraId="25E6858C" w14:textId="77777777" w:rsidTr="003D4ACC">
        <w:trPr>
          <w:trHeight w:val="266"/>
        </w:trPr>
        <w:tc>
          <w:tcPr>
            <w:tcW w:w="3091" w:type="pct"/>
            <w:tcBorders>
              <w:top w:val="single" w:sz="4" w:space="0" w:color="auto"/>
              <w:left w:val="nil"/>
              <w:bottom w:val="nil"/>
              <w:right w:val="nil"/>
            </w:tcBorders>
            <w:vAlign w:val="center"/>
            <w:hideMark/>
          </w:tcPr>
          <w:p w14:paraId="5AE92E13" w14:textId="77777777" w:rsidR="007854A9" w:rsidRPr="00FA6BF3" w:rsidRDefault="007854A9" w:rsidP="003D4ACC">
            <w:pPr>
              <w:jc w:val="left"/>
              <w:rPr>
                <w:rFonts w:ascii="Arial" w:hAnsi="Arial" w:cs="Arial"/>
              </w:rPr>
            </w:pPr>
            <w:r w:rsidRPr="00FA6BF3">
              <w:rPr>
                <w:rFonts w:ascii="Arial" w:hAnsi="Arial" w:cs="Arial"/>
                <w:b/>
              </w:rPr>
              <w:t>Adjusting items before tax</w:t>
            </w:r>
          </w:p>
        </w:tc>
        <w:tc>
          <w:tcPr>
            <w:tcW w:w="976" w:type="pct"/>
            <w:tcBorders>
              <w:top w:val="single" w:sz="4" w:space="0" w:color="auto"/>
              <w:left w:val="nil"/>
              <w:bottom w:val="nil"/>
              <w:right w:val="nil"/>
            </w:tcBorders>
            <w:vAlign w:val="center"/>
          </w:tcPr>
          <w:p w14:paraId="3E99740E" w14:textId="7344F7E9" w:rsidR="007854A9" w:rsidRPr="00F62983" w:rsidRDefault="007854A9" w:rsidP="003D4ACC">
            <w:pPr>
              <w:jc w:val="right"/>
              <w:rPr>
                <w:rFonts w:ascii="Arial" w:hAnsi="Arial" w:cs="Arial"/>
                <w:b/>
              </w:rPr>
            </w:pPr>
            <w:r w:rsidRPr="00F62983">
              <w:rPr>
                <w:rFonts w:ascii="Arial" w:hAnsi="Arial" w:cs="Arial"/>
                <w:b/>
              </w:rPr>
              <w:t>(</w:t>
            </w:r>
            <w:r w:rsidR="003670E4">
              <w:rPr>
                <w:rFonts w:ascii="Arial" w:hAnsi="Arial" w:cs="Arial"/>
                <w:b/>
              </w:rPr>
              <w:t>147</w:t>
            </w:r>
            <w:r w:rsidRPr="00F62983">
              <w:rPr>
                <w:rFonts w:ascii="Arial" w:hAnsi="Arial" w:cs="Arial"/>
                <w:b/>
              </w:rPr>
              <w:t>)</w:t>
            </w:r>
          </w:p>
        </w:tc>
        <w:tc>
          <w:tcPr>
            <w:tcW w:w="933" w:type="pct"/>
            <w:tcBorders>
              <w:top w:val="single" w:sz="4" w:space="0" w:color="auto"/>
              <w:left w:val="nil"/>
              <w:bottom w:val="nil"/>
              <w:right w:val="nil"/>
            </w:tcBorders>
            <w:vAlign w:val="center"/>
            <w:hideMark/>
          </w:tcPr>
          <w:p w14:paraId="20061F2B" w14:textId="77777777" w:rsidR="007854A9" w:rsidRPr="006F4BDD" w:rsidRDefault="007854A9" w:rsidP="003D4ACC">
            <w:pPr>
              <w:jc w:val="right"/>
              <w:rPr>
                <w:rFonts w:ascii="Arial" w:hAnsi="Arial" w:cs="Arial"/>
                <w:bCs/>
              </w:rPr>
            </w:pPr>
            <w:r w:rsidRPr="006F4BDD">
              <w:rPr>
                <w:rFonts w:ascii="Arial" w:hAnsi="Arial" w:cs="Arial"/>
                <w:bCs/>
              </w:rPr>
              <w:t>58</w:t>
            </w:r>
          </w:p>
        </w:tc>
      </w:tr>
      <w:tr w:rsidR="007854A9" w:rsidRPr="00FA6BF3" w14:paraId="59DBFA1F" w14:textId="77777777" w:rsidTr="003D4ACC">
        <w:trPr>
          <w:trHeight w:val="266"/>
        </w:trPr>
        <w:tc>
          <w:tcPr>
            <w:tcW w:w="3091" w:type="pct"/>
            <w:vAlign w:val="center"/>
            <w:hideMark/>
          </w:tcPr>
          <w:p w14:paraId="179E05EE" w14:textId="77777777" w:rsidR="007854A9" w:rsidRPr="00FA6BF3" w:rsidRDefault="007854A9" w:rsidP="003D4ACC">
            <w:pPr>
              <w:jc w:val="left"/>
              <w:rPr>
                <w:rFonts w:ascii="Arial" w:hAnsi="Arial" w:cs="Arial"/>
                <w:b/>
              </w:rPr>
            </w:pPr>
            <w:r w:rsidRPr="00FA6BF3">
              <w:rPr>
                <w:rFonts w:ascii="Arial" w:hAnsi="Arial" w:cs="Arial"/>
              </w:rPr>
              <w:t>Prior year and other adjusting tax items</w:t>
            </w:r>
          </w:p>
        </w:tc>
        <w:tc>
          <w:tcPr>
            <w:tcW w:w="976" w:type="pct"/>
            <w:vAlign w:val="center"/>
          </w:tcPr>
          <w:p w14:paraId="24564C89" w14:textId="4CDAE744" w:rsidR="007854A9" w:rsidRPr="007005F4" w:rsidRDefault="00D21E8E" w:rsidP="003D4ACC">
            <w:pPr>
              <w:jc w:val="right"/>
              <w:rPr>
                <w:rFonts w:ascii="Arial" w:hAnsi="Arial" w:cs="Arial"/>
                <w:b/>
              </w:rPr>
            </w:pPr>
            <w:r>
              <w:rPr>
                <w:rFonts w:ascii="Arial" w:hAnsi="Arial" w:cs="Arial"/>
                <w:b/>
              </w:rPr>
              <w:t>29</w:t>
            </w:r>
          </w:p>
        </w:tc>
        <w:tc>
          <w:tcPr>
            <w:tcW w:w="933" w:type="pct"/>
            <w:vAlign w:val="center"/>
            <w:hideMark/>
          </w:tcPr>
          <w:p w14:paraId="1DC2EBC7" w14:textId="77777777" w:rsidR="007854A9" w:rsidRPr="00645986" w:rsidRDefault="007854A9" w:rsidP="003D4ACC">
            <w:pPr>
              <w:jc w:val="right"/>
              <w:rPr>
                <w:rFonts w:ascii="Arial" w:hAnsi="Arial" w:cs="Arial"/>
                <w:bCs/>
              </w:rPr>
            </w:pPr>
            <w:r w:rsidRPr="00645986">
              <w:rPr>
                <w:rFonts w:ascii="Arial" w:hAnsi="Arial" w:cs="Arial"/>
                <w:bCs/>
              </w:rPr>
              <w:t>48</w:t>
            </w:r>
          </w:p>
        </w:tc>
      </w:tr>
      <w:tr w:rsidR="007854A9" w:rsidRPr="00A845B7" w14:paraId="4A151AB1" w14:textId="77777777" w:rsidTr="003D4ACC">
        <w:trPr>
          <w:trHeight w:val="266"/>
        </w:trPr>
        <w:tc>
          <w:tcPr>
            <w:tcW w:w="3091" w:type="pct"/>
            <w:tcBorders>
              <w:top w:val="single" w:sz="4" w:space="0" w:color="auto"/>
              <w:left w:val="nil"/>
              <w:bottom w:val="single" w:sz="4" w:space="0" w:color="auto"/>
              <w:right w:val="nil"/>
            </w:tcBorders>
            <w:vAlign w:val="center"/>
            <w:hideMark/>
          </w:tcPr>
          <w:p w14:paraId="67176661" w14:textId="77777777" w:rsidR="007854A9" w:rsidRPr="00FA6BF3" w:rsidRDefault="007854A9" w:rsidP="003D4ACC">
            <w:pPr>
              <w:jc w:val="left"/>
              <w:rPr>
                <w:rFonts w:ascii="Arial" w:hAnsi="Arial" w:cs="Arial"/>
              </w:rPr>
            </w:pPr>
            <w:r w:rsidRPr="00FA6BF3">
              <w:rPr>
                <w:rFonts w:ascii="Arial" w:hAnsi="Arial" w:cs="Arial"/>
                <w:b/>
              </w:rPr>
              <w:t>Adjusting items after tax</w:t>
            </w:r>
          </w:p>
        </w:tc>
        <w:tc>
          <w:tcPr>
            <w:tcW w:w="976" w:type="pct"/>
            <w:tcBorders>
              <w:top w:val="single" w:sz="4" w:space="0" w:color="auto"/>
              <w:left w:val="nil"/>
              <w:bottom w:val="single" w:sz="4" w:space="0" w:color="auto"/>
              <w:right w:val="nil"/>
            </w:tcBorders>
            <w:vAlign w:val="center"/>
          </w:tcPr>
          <w:p w14:paraId="07BF7F64" w14:textId="2B91C53B" w:rsidR="007854A9" w:rsidRPr="007005F4" w:rsidRDefault="007854A9" w:rsidP="003D4ACC">
            <w:pPr>
              <w:jc w:val="right"/>
              <w:rPr>
                <w:rFonts w:ascii="Arial" w:hAnsi="Arial" w:cs="Arial"/>
                <w:b/>
              </w:rPr>
            </w:pPr>
            <w:r w:rsidRPr="007005F4">
              <w:rPr>
                <w:rFonts w:ascii="Arial" w:hAnsi="Arial" w:cs="Arial"/>
                <w:b/>
              </w:rPr>
              <w:t>(</w:t>
            </w:r>
            <w:r w:rsidR="00D21E8E">
              <w:rPr>
                <w:rFonts w:ascii="Arial" w:hAnsi="Arial" w:cs="Arial"/>
                <w:b/>
              </w:rPr>
              <w:t>118</w:t>
            </w:r>
            <w:r w:rsidRPr="007005F4">
              <w:rPr>
                <w:rFonts w:ascii="Arial" w:hAnsi="Arial" w:cs="Arial"/>
                <w:b/>
              </w:rPr>
              <w:t>)</w:t>
            </w:r>
          </w:p>
        </w:tc>
        <w:tc>
          <w:tcPr>
            <w:tcW w:w="933" w:type="pct"/>
            <w:tcBorders>
              <w:top w:val="single" w:sz="4" w:space="0" w:color="auto"/>
              <w:left w:val="nil"/>
              <w:bottom w:val="single" w:sz="4" w:space="0" w:color="auto"/>
              <w:right w:val="nil"/>
            </w:tcBorders>
            <w:vAlign w:val="center"/>
            <w:hideMark/>
          </w:tcPr>
          <w:p w14:paraId="5886E53C" w14:textId="77777777" w:rsidR="007854A9" w:rsidRPr="00645986" w:rsidRDefault="007854A9" w:rsidP="003D4ACC">
            <w:pPr>
              <w:jc w:val="right"/>
              <w:rPr>
                <w:rFonts w:ascii="Arial" w:hAnsi="Arial" w:cs="Arial"/>
                <w:bCs/>
              </w:rPr>
            </w:pPr>
            <w:r w:rsidRPr="00645986">
              <w:rPr>
                <w:rFonts w:ascii="Arial" w:hAnsi="Arial" w:cs="Arial"/>
                <w:bCs/>
              </w:rPr>
              <w:t>106</w:t>
            </w:r>
          </w:p>
        </w:tc>
      </w:tr>
    </w:tbl>
    <w:p w14:paraId="26ADE7B9" w14:textId="77777777" w:rsidR="007854A9" w:rsidRPr="00D31DED" w:rsidRDefault="007854A9" w:rsidP="007854A9">
      <w:pPr>
        <w:spacing w:after="200"/>
        <w:contextualSpacing/>
        <w:jc w:val="left"/>
        <w:rPr>
          <w:rFonts w:ascii="Arial" w:hAnsi="Arial" w:cs="Arial"/>
        </w:rPr>
      </w:pPr>
    </w:p>
    <w:p w14:paraId="789F5B80" w14:textId="7198FF1B" w:rsidR="007854A9" w:rsidRDefault="007854A9" w:rsidP="007854A9">
      <w:pPr>
        <w:spacing w:after="200"/>
        <w:contextualSpacing/>
        <w:jc w:val="left"/>
        <w:rPr>
          <w:rFonts w:ascii="Arial" w:hAnsi="Arial"/>
          <w:bCs/>
        </w:rPr>
      </w:pPr>
      <w:r w:rsidRPr="007005F4">
        <w:rPr>
          <w:rFonts w:ascii="Arial" w:hAnsi="Arial"/>
          <w:bCs/>
        </w:rPr>
        <w:t xml:space="preserve">In consideration of </w:t>
      </w:r>
      <w:r w:rsidR="002B3806" w:rsidRPr="007005F4">
        <w:rPr>
          <w:rFonts w:ascii="Arial" w:hAnsi="Arial"/>
          <w:bCs/>
        </w:rPr>
        <w:t xml:space="preserve">the significant increase in discount rates </w:t>
      </w:r>
      <w:r w:rsidR="00337BCF">
        <w:rPr>
          <w:rFonts w:ascii="Arial" w:hAnsi="Arial"/>
          <w:bCs/>
        </w:rPr>
        <w:t xml:space="preserve">resulting from </w:t>
      </w:r>
      <w:r w:rsidR="00054767">
        <w:rPr>
          <w:rFonts w:ascii="Arial" w:hAnsi="Arial"/>
          <w:bCs/>
        </w:rPr>
        <w:t xml:space="preserve">high levels of inflation and </w:t>
      </w:r>
      <w:r w:rsidRPr="007005F4">
        <w:rPr>
          <w:rFonts w:ascii="Arial" w:hAnsi="Arial"/>
          <w:bCs/>
        </w:rPr>
        <w:t xml:space="preserve">wider macroeconomic </w:t>
      </w:r>
      <w:r w:rsidR="00337BCF">
        <w:rPr>
          <w:rFonts w:ascii="Arial" w:hAnsi="Arial"/>
          <w:bCs/>
        </w:rPr>
        <w:t>uncertainty</w:t>
      </w:r>
      <w:r>
        <w:rPr>
          <w:rFonts w:ascii="Arial" w:hAnsi="Arial"/>
          <w:bCs/>
        </w:rPr>
        <w:t>,</w:t>
      </w:r>
      <w:r w:rsidRPr="007005F4">
        <w:rPr>
          <w:rFonts w:ascii="Arial" w:hAnsi="Arial"/>
          <w:bCs/>
        </w:rPr>
        <w:t xml:space="preserve"> the Group </w:t>
      </w:r>
      <w:r w:rsidR="0064021F">
        <w:rPr>
          <w:rFonts w:ascii="Arial" w:hAnsi="Arial"/>
          <w:bCs/>
        </w:rPr>
        <w:t xml:space="preserve">has </w:t>
      </w:r>
      <w:r>
        <w:rPr>
          <w:rFonts w:ascii="Arial" w:hAnsi="Arial"/>
          <w:bCs/>
        </w:rPr>
        <w:t>undert</w:t>
      </w:r>
      <w:r w:rsidR="0064021F">
        <w:rPr>
          <w:rFonts w:ascii="Arial" w:hAnsi="Arial"/>
          <w:bCs/>
        </w:rPr>
        <w:t>aken</w:t>
      </w:r>
      <w:r>
        <w:rPr>
          <w:rFonts w:ascii="Arial" w:hAnsi="Arial"/>
          <w:bCs/>
        </w:rPr>
        <w:t xml:space="preserve"> </w:t>
      </w:r>
      <w:r w:rsidRPr="007005F4">
        <w:rPr>
          <w:rFonts w:ascii="Arial" w:hAnsi="Arial"/>
          <w:bCs/>
        </w:rPr>
        <w:t xml:space="preserve">a full impairment review </w:t>
      </w:r>
      <w:r>
        <w:rPr>
          <w:rFonts w:ascii="Arial" w:hAnsi="Arial"/>
          <w:bCs/>
        </w:rPr>
        <w:t xml:space="preserve">of its </w:t>
      </w:r>
      <w:r w:rsidRPr="007005F4">
        <w:rPr>
          <w:rFonts w:ascii="Arial" w:hAnsi="Arial"/>
          <w:bCs/>
        </w:rPr>
        <w:t xml:space="preserve">stores. The significant increase in discount rates, combined with revised </w:t>
      </w:r>
      <w:r w:rsidR="00AD4402">
        <w:rPr>
          <w:rFonts w:ascii="Arial" w:hAnsi="Arial"/>
          <w:bCs/>
        </w:rPr>
        <w:t xml:space="preserve">financial </w:t>
      </w:r>
      <w:r w:rsidRPr="007005F4">
        <w:rPr>
          <w:rFonts w:ascii="Arial" w:hAnsi="Arial"/>
          <w:bCs/>
        </w:rPr>
        <w:t xml:space="preserve">projections, </w:t>
      </w:r>
      <w:r w:rsidR="000A06D9">
        <w:rPr>
          <w:rFonts w:ascii="Arial" w:hAnsi="Arial"/>
          <w:bCs/>
        </w:rPr>
        <w:t xml:space="preserve">has </w:t>
      </w:r>
      <w:r w:rsidRPr="007005F4">
        <w:rPr>
          <w:rFonts w:ascii="Arial" w:hAnsi="Arial"/>
          <w:bCs/>
        </w:rPr>
        <w:t>resulted in the recognition of £</w:t>
      </w:r>
      <w:r w:rsidR="000A06D9">
        <w:rPr>
          <w:rFonts w:ascii="Arial" w:hAnsi="Arial"/>
          <w:bCs/>
        </w:rPr>
        <w:t>139</w:t>
      </w:r>
      <w:r w:rsidR="000A06D9" w:rsidRPr="007005F4">
        <w:rPr>
          <w:rFonts w:ascii="Arial" w:hAnsi="Arial"/>
          <w:bCs/>
        </w:rPr>
        <w:t xml:space="preserve">m </w:t>
      </w:r>
      <w:r w:rsidRPr="007005F4">
        <w:rPr>
          <w:rFonts w:ascii="Arial" w:hAnsi="Arial"/>
          <w:bCs/>
        </w:rPr>
        <w:t xml:space="preserve">of net store asset impairments in the year. These </w:t>
      </w:r>
      <w:r w:rsidR="00100947">
        <w:rPr>
          <w:rFonts w:ascii="Arial" w:hAnsi="Arial"/>
          <w:bCs/>
        </w:rPr>
        <w:t xml:space="preserve">have been </w:t>
      </w:r>
      <w:r w:rsidRPr="007005F4">
        <w:rPr>
          <w:rFonts w:ascii="Arial" w:hAnsi="Arial"/>
          <w:bCs/>
        </w:rPr>
        <w:t xml:space="preserve">recorded principally in the UK and France. </w:t>
      </w:r>
    </w:p>
    <w:p w14:paraId="14863FA7" w14:textId="77777777" w:rsidR="007854A9" w:rsidRPr="007005F4" w:rsidRDefault="007854A9" w:rsidP="007854A9">
      <w:pPr>
        <w:spacing w:after="200"/>
        <w:contextualSpacing/>
        <w:jc w:val="left"/>
        <w:rPr>
          <w:rFonts w:ascii="Arial" w:hAnsi="Arial"/>
          <w:bCs/>
        </w:rPr>
      </w:pPr>
    </w:p>
    <w:p w14:paraId="7D44B0C6" w14:textId="4478444E" w:rsidR="007854A9" w:rsidRPr="007005F4" w:rsidRDefault="007854A9" w:rsidP="007854A9">
      <w:pPr>
        <w:spacing w:after="200"/>
        <w:contextualSpacing/>
        <w:jc w:val="left"/>
        <w:rPr>
          <w:rFonts w:ascii="Arial" w:hAnsi="Arial"/>
          <w:bCs/>
        </w:rPr>
      </w:pPr>
      <w:r w:rsidRPr="007005F4">
        <w:rPr>
          <w:rFonts w:ascii="Arial" w:hAnsi="Arial"/>
          <w:bCs/>
        </w:rPr>
        <w:t>A</w:t>
      </w:r>
      <w:r w:rsidR="00947313">
        <w:rPr>
          <w:rFonts w:ascii="Arial" w:hAnsi="Arial"/>
          <w:bCs/>
        </w:rPr>
        <w:t>n</w:t>
      </w:r>
      <w:r w:rsidRPr="007005F4">
        <w:rPr>
          <w:rFonts w:ascii="Arial" w:hAnsi="Arial"/>
          <w:bCs/>
        </w:rPr>
        <w:t xml:space="preserve"> impairment charge of £16m has been recorded relating to the remaining goodwill in Romania, principally driven by the significant increase in discount rates and revised </w:t>
      </w:r>
      <w:r w:rsidR="007D0530">
        <w:rPr>
          <w:rFonts w:ascii="Arial" w:hAnsi="Arial"/>
          <w:bCs/>
        </w:rPr>
        <w:t>financial</w:t>
      </w:r>
      <w:r w:rsidR="007D0530" w:rsidRPr="007005F4">
        <w:rPr>
          <w:rFonts w:ascii="Arial" w:hAnsi="Arial"/>
          <w:bCs/>
        </w:rPr>
        <w:t xml:space="preserve"> </w:t>
      </w:r>
      <w:r w:rsidRPr="007005F4">
        <w:rPr>
          <w:rFonts w:ascii="Arial" w:hAnsi="Arial"/>
          <w:bCs/>
        </w:rPr>
        <w:t xml:space="preserve">projections.   </w:t>
      </w:r>
    </w:p>
    <w:p w14:paraId="4F3E843B" w14:textId="77777777" w:rsidR="007854A9" w:rsidRDefault="007854A9" w:rsidP="007854A9">
      <w:pPr>
        <w:spacing w:after="200"/>
        <w:contextualSpacing/>
        <w:jc w:val="left"/>
        <w:rPr>
          <w:rFonts w:ascii="Arial" w:hAnsi="Arial"/>
          <w:bCs/>
        </w:rPr>
      </w:pPr>
    </w:p>
    <w:p w14:paraId="2C639F48" w14:textId="77777777" w:rsidR="007854A9" w:rsidRPr="007005F4" w:rsidRDefault="007854A9" w:rsidP="007854A9">
      <w:pPr>
        <w:spacing w:after="200"/>
        <w:contextualSpacing/>
        <w:jc w:val="left"/>
        <w:rPr>
          <w:rFonts w:ascii="Arial" w:hAnsi="Arial"/>
          <w:bCs/>
        </w:rPr>
      </w:pPr>
      <w:r w:rsidRPr="007005F4">
        <w:rPr>
          <w:rFonts w:ascii="Arial" w:hAnsi="Arial"/>
          <w:bCs/>
        </w:rPr>
        <w:t xml:space="preserve">A £4m liability that was held in relation to warranties as part of the Castorama Russia disposal in 2020 </w:t>
      </w:r>
      <w:r>
        <w:rPr>
          <w:rFonts w:ascii="Arial" w:hAnsi="Arial"/>
          <w:bCs/>
        </w:rPr>
        <w:t xml:space="preserve">was </w:t>
      </w:r>
      <w:r w:rsidRPr="007005F4">
        <w:rPr>
          <w:rFonts w:ascii="Arial" w:hAnsi="Arial"/>
          <w:bCs/>
        </w:rPr>
        <w:t>released in the year following the expiry of the warranty claims period.</w:t>
      </w:r>
    </w:p>
    <w:p w14:paraId="04E24A74" w14:textId="77777777" w:rsidR="007854A9" w:rsidRPr="007005F4" w:rsidRDefault="007854A9" w:rsidP="007854A9">
      <w:pPr>
        <w:spacing w:after="200"/>
        <w:contextualSpacing/>
        <w:jc w:val="left"/>
        <w:rPr>
          <w:rFonts w:ascii="Arial" w:hAnsi="Arial"/>
          <w:bCs/>
        </w:rPr>
      </w:pPr>
    </w:p>
    <w:p w14:paraId="784EE794" w14:textId="77777777" w:rsidR="007854A9" w:rsidRPr="007005F4" w:rsidRDefault="007854A9" w:rsidP="007854A9">
      <w:pPr>
        <w:spacing w:after="200"/>
        <w:contextualSpacing/>
        <w:jc w:val="left"/>
        <w:rPr>
          <w:rFonts w:ascii="Arial" w:hAnsi="Arial"/>
          <w:bCs/>
        </w:rPr>
      </w:pPr>
      <w:r>
        <w:rPr>
          <w:rFonts w:ascii="Arial" w:hAnsi="Arial"/>
          <w:bCs/>
        </w:rPr>
        <w:lastRenderedPageBreak/>
        <w:t xml:space="preserve">Other </w:t>
      </w:r>
      <w:r w:rsidRPr="007005F4">
        <w:rPr>
          <w:rFonts w:ascii="Arial" w:hAnsi="Arial"/>
          <w:bCs/>
        </w:rPr>
        <w:t xml:space="preserve">adjusting items include a £3m </w:t>
      </w:r>
      <w:r>
        <w:rPr>
          <w:rFonts w:ascii="Arial" w:hAnsi="Arial"/>
          <w:bCs/>
        </w:rPr>
        <w:t xml:space="preserve">gain </w:t>
      </w:r>
      <w:r w:rsidRPr="007005F4">
        <w:rPr>
          <w:rFonts w:ascii="Arial" w:hAnsi="Arial"/>
          <w:bCs/>
        </w:rPr>
        <w:t>arising due to savings on costs relating to legacy store closure programmes in France</w:t>
      </w:r>
      <w:r>
        <w:rPr>
          <w:rFonts w:ascii="Arial" w:hAnsi="Arial"/>
          <w:bCs/>
        </w:rPr>
        <w:t>,</w:t>
      </w:r>
      <w:r w:rsidRPr="007005F4">
        <w:rPr>
          <w:rFonts w:ascii="Arial" w:hAnsi="Arial"/>
          <w:bCs/>
        </w:rPr>
        <w:t xml:space="preserve"> as compared with the original restructuring provisions recognised.</w:t>
      </w:r>
      <w:r>
        <w:rPr>
          <w:rFonts w:ascii="Arial" w:hAnsi="Arial"/>
          <w:bCs/>
        </w:rPr>
        <w:t xml:space="preserve"> </w:t>
      </w:r>
      <w:r w:rsidRPr="007005F4">
        <w:rPr>
          <w:rFonts w:ascii="Arial" w:hAnsi="Arial"/>
          <w:bCs/>
        </w:rPr>
        <w:t xml:space="preserve">A </w:t>
      </w:r>
      <w:r>
        <w:rPr>
          <w:rFonts w:ascii="Arial" w:hAnsi="Arial"/>
          <w:bCs/>
        </w:rPr>
        <w:t xml:space="preserve">gain </w:t>
      </w:r>
      <w:r w:rsidRPr="007005F4">
        <w:rPr>
          <w:rFonts w:ascii="Arial" w:hAnsi="Arial"/>
          <w:bCs/>
        </w:rPr>
        <w:t xml:space="preserve">of £1m </w:t>
      </w:r>
      <w:r>
        <w:rPr>
          <w:rFonts w:ascii="Arial" w:hAnsi="Arial"/>
          <w:bCs/>
        </w:rPr>
        <w:t xml:space="preserve">was </w:t>
      </w:r>
      <w:r w:rsidRPr="007005F4">
        <w:rPr>
          <w:rFonts w:ascii="Arial" w:hAnsi="Arial"/>
          <w:bCs/>
        </w:rPr>
        <w:t>recorded on the exit of one property in the UK.</w:t>
      </w:r>
    </w:p>
    <w:p w14:paraId="061715C0" w14:textId="77777777" w:rsidR="007854A9" w:rsidRPr="00D31DED" w:rsidRDefault="007854A9" w:rsidP="007854A9">
      <w:pPr>
        <w:spacing w:after="200"/>
        <w:contextualSpacing/>
        <w:jc w:val="left"/>
        <w:rPr>
          <w:rFonts w:ascii="Arial" w:hAnsi="Arial" w:cs="Arial"/>
        </w:rPr>
      </w:pPr>
    </w:p>
    <w:p w14:paraId="3EAA1954" w14:textId="77777777" w:rsidR="007854A9" w:rsidRPr="00D978CF" w:rsidRDefault="007854A9" w:rsidP="007854A9">
      <w:pPr>
        <w:jc w:val="left"/>
        <w:rPr>
          <w:rFonts w:ascii="Arial" w:hAnsi="Arial" w:cs="Arial"/>
          <w:b/>
        </w:rPr>
      </w:pPr>
      <w:r w:rsidRPr="00D978CF">
        <w:rPr>
          <w:rFonts w:ascii="Arial" w:hAnsi="Arial" w:cs="Arial"/>
          <w:b/>
        </w:rPr>
        <w:t>Taxation</w:t>
      </w:r>
      <w:r>
        <w:rPr>
          <w:rFonts w:ascii="Arial" w:hAnsi="Arial" w:cs="Arial"/>
          <w:b/>
        </w:rPr>
        <w:t xml:space="preserve"> </w:t>
      </w:r>
    </w:p>
    <w:p w14:paraId="1E9A764C" w14:textId="77777777" w:rsidR="007854A9" w:rsidRPr="003A1B1F" w:rsidRDefault="007854A9" w:rsidP="007854A9">
      <w:pPr>
        <w:jc w:val="left"/>
        <w:rPr>
          <w:rFonts w:ascii="Arial" w:hAnsi="Arial" w:cs="Arial"/>
          <w:szCs w:val="24"/>
        </w:rPr>
      </w:pPr>
      <w:r>
        <w:rPr>
          <w:rFonts w:ascii="Arial" w:hAnsi="Arial" w:cs="Arial"/>
          <w:szCs w:val="24"/>
        </w:rPr>
        <w:t>The Group’s</w:t>
      </w:r>
      <w:r w:rsidRPr="00561DBD">
        <w:rPr>
          <w:rFonts w:ascii="Arial" w:hAnsi="Arial" w:cs="Arial"/>
          <w:szCs w:val="24"/>
        </w:rPr>
        <w:t xml:space="preserve"> adjusted effective tax rate </w:t>
      </w:r>
      <w:r>
        <w:rPr>
          <w:rFonts w:ascii="Arial" w:hAnsi="Arial" w:cs="Arial"/>
          <w:szCs w:val="24"/>
        </w:rPr>
        <w:t xml:space="preserve">(ETR) </w:t>
      </w:r>
      <w:r w:rsidRPr="00561DBD">
        <w:rPr>
          <w:rFonts w:ascii="Arial" w:hAnsi="Arial" w:cs="Arial"/>
          <w:szCs w:val="24"/>
        </w:rPr>
        <w:t>is sensitive to the blend of tax rates and profits in the Group’s</w:t>
      </w:r>
      <w:r>
        <w:rPr>
          <w:rFonts w:ascii="Arial" w:hAnsi="Arial" w:cs="Arial"/>
          <w:szCs w:val="24"/>
        </w:rPr>
        <w:t xml:space="preserve"> </w:t>
      </w:r>
      <w:r w:rsidRPr="00561DBD">
        <w:rPr>
          <w:rFonts w:ascii="Arial" w:hAnsi="Arial" w:cs="Arial"/>
          <w:szCs w:val="24"/>
        </w:rPr>
        <w:t>various jurisdictions. It is higher than the UK statutory rate because of the amount of Group profit that is</w:t>
      </w:r>
      <w:r>
        <w:rPr>
          <w:rFonts w:ascii="Arial" w:hAnsi="Arial" w:cs="Arial"/>
          <w:szCs w:val="24"/>
        </w:rPr>
        <w:t xml:space="preserve"> </w:t>
      </w:r>
      <w:r w:rsidRPr="00561DBD">
        <w:rPr>
          <w:rFonts w:ascii="Arial" w:hAnsi="Arial" w:cs="Arial"/>
          <w:szCs w:val="24"/>
        </w:rPr>
        <w:t xml:space="preserve">earned in higher tax </w:t>
      </w:r>
      <w:r>
        <w:rPr>
          <w:rFonts w:ascii="Arial" w:hAnsi="Arial" w:cs="Arial"/>
          <w:szCs w:val="24"/>
        </w:rPr>
        <w:t>jurisdictions</w:t>
      </w:r>
      <w:r w:rsidRPr="00561DBD">
        <w:rPr>
          <w:rFonts w:ascii="Arial" w:hAnsi="Arial" w:cs="Arial"/>
          <w:szCs w:val="24"/>
        </w:rPr>
        <w:t>.</w:t>
      </w:r>
      <w:r>
        <w:rPr>
          <w:rFonts w:ascii="Arial" w:hAnsi="Arial" w:cs="Arial"/>
          <w:szCs w:val="24"/>
        </w:rPr>
        <w:t xml:space="preserve"> </w:t>
      </w:r>
      <w:r w:rsidRPr="00561DBD">
        <w:rPr>
          <w:rFonts w:ascii="Arial" w:hAnsi="Arial" w:cs="Arial"/>
          <w:szCs w:val="24"/>
        </w:rPr>
        <w:t xml:space="preserve">The adjusted </w:t>
      </w:r>
      <w:r>
        <w:rPr>
          <w:rFonts w:ascii="Arial" w:hAnsi="Arial" w:cs="Arial"/>
          <w:szCs w:val="24"/>
        </w:rPr>
        <w:t>ETR</w:t>
      </w:r>
      <w:r w:rsidRPr="00561DBD">
        <w:rPr>
          <w:rFonts w:ascii="Arial" w:hAnsi="Arial" w:cs="Arial"/>
          <w:szCs w:val="24"/>
        </w:rPr>
        <w:t xml:space="preserve">, calculated on </w:t>
      </w:r>
      <w:r w:rsidRPr="00EB692F">
        <w:rPr>
          <w:rFonts w:ascii="Arial" w:hAnsi="Arial" w:cs="Arial"/>
          <w:szCs w:val="24"/>
        </w:rPr>
        <w:t xml:space="preserve">profit before </w:t>
      </w:r>
      <w:r>
        <w:rPr>
          <w:rFonts w:ascii="Arial" w:hAnsi="Arial" w:cs="Arial"/>
          <w:szCs w:val="24"/>
        </w:rPr>
        <w:t>adjusting</w:t>
      </w:r>
      <w:r w:rsidRPr="00EB692F">
        <w:rPr>
          <w:rFonts w:ascii="Arial" w:hAnsi="Arial" w:cs="Arial"/>
          <w:szCs w:val="24"/>
        </w:rPr>
        <w:t xml:space="preserve"> </w:t>
      </w:r>
      <w:r w:rsidRPr="00354EE8">
        <w:rPr>
          <w:rFonts w:ascii="Arial" w:hAnsi="Arial" w:cs="Arial"/>
          <w:szCs w:val="24"/>
        </w:rPr>
        <w:t xml:space="preserve">items, prior year tax adjustments </w:t>
      </w:r>
      <w:r w:rsidRPr="00B74FBE">
        <w:rPr>
          <w:rFonts w:ascii="Arial" w:hAnsi="Arial" w:cs="Arial"/>
          <w:szCs w:val="24"/>
        </w:rPr>
        <w:t xml:space="preserve">and the impact of future rate changes, </w:t>
      </w:r>
      <w:r w:rsidRPr="00FB39DB">
        <w:rPr>
          <w:rFonts w:ascii="Arial" w:hAnsi="Arial" w:cs="Arial"/>
          <w:szCs w:val="24"/>
        </w:rPr>
        <w:t xml:space="preserve">is </w:t>
      </w:r>
      <w:r w:rsidRPr="00BD3974">
        <w:rPr>
          <w:rFonts w:ascii="Arial" w:hAnsi="Arial" w:cs="Arial"/>
          <w:szCs w:val="24"/>
        </w:rPr>
        <w:t>22</w:t>
      </w:r>
      <w:r w:rsidRPr="00FB39DB">
        <w:rPr>
          <w:rFonts w:ascii="Arial" w:hAnsi="Arial" w:cs="Arial"/>
          <w:szCs w:val="24"/>
        </w:rPr>
        <w:t>%</w:t>
      </w:r>
      <w:r w:rsidRPr="00B74FBE">
        <w:rPr>
          <w:rFonts w:ascii="Arial" w:hAnsi="Arial" w:cs="Arial"/>
          <w:szCs w:val="24"/>
        </w:rPr>
        <w:t xml:space="preserve"> (</w:t>
      </w:r>
      <w:r>
        <w:rPr>
          <w:rFonts w:ascii="Arial" w:hAnsi="Arial" w:cs="Arial"/>
          <w:szCs w:val="24"/>
        </w:rPr>
        <w:t>FY 21/22</w:t>
      </w:r>
      <w:r w:rsidRPr="00B74FBE">
        <w:rPr>
          <w:rFonts w:ascii="Arial" w:hAnsi="Arial" w:cs="Arial"/>
          <w:szCs w:val="24"/>
        </w:rPr>
        <w:t xml:space="preserve">: </w:t>
      </w:r>
      <w:r w:rsidRPr="005919BD">
        <w:rPr>
          <w:rFonts w:ascii="Arial" w:hAnsi="Arial" w:cs="Arial"/>
          <w:szCs w:val="24"/>
        </w:rPr>
        <w:t>22</w:t>
      </w:r>
      <w:r w:rsidRPr="00B74FBE">
        <w:rPr>
          <w:rFonts w:ascii="Arial" w:hAnsi="Arial" w:cs="Arial"/>
          <w:szCs w:val="24"/>
        </w:rPr>
        <w:t xml:space="preserve">%). </w:t>
      </w:r>
      <w:r w:rsidRPr="00BC5FA6">
        <w:rPr>
          <w:rFonts w:ascii="Arial" w:hAnsi="Arial" w:cs="Arial"/>
          <w:szCs w:val="24"/>
        </w:rPr>
        <w:t xml:space="preserve">The adjusted ETR is consistent with the prior year rate with small increases relating to the </w:t>
      </w:r>
      <w:r>
        <w:rPr>
          <w:rFonts w:ascii="Arial" w:hAnsi="Arial" w:cs="Arial"/>
          <w:szCs w:val="24"/>
        </w:rPr>
        <w:t>impact of increased losses in territories in which tax credits are not recognised,</w:t>
      </w:r>
      <w:r w:rsidRPr="00BC5FA6">
        <w:rPr>
          <w:rFonts w:ascii="Arial" w:hAnsi="Arial" w:cs="Arial"/>
          <w:szCs w:val="24"/>
        </w:rPr>
        <w:t xml:space="preserve"> and </w:t>
      </w:r>
      <w:r>
        <w:rPr>
          <w:rFonts w:ascii="Arial" w:hAnsi="Arial" w:cs="Arial"/>
          <w:szCs w:val="24"/>
        </w:rPr>
        <w:t>a</w:t>
      </w:r>
      <w:r w:rsidRPr="00BC5FA6">
        <w:rPr>
          <w:rFonts w:ascii="Arial" w:hAnsi="Arial" w:cs="Arial"/>
          <w:szCs w:val="24"/>
        </w:rPr>
        <w:t xml:space="preserve"> higher share of profits in France</w:t>
      </w:r>
      <w:r>
        <w:rPr>
          <w:rFonts w:ascii="Arial" w:hAnsi="Arial" w:cs="Arial"/>
          <w:szCs w:val="24"/>
        </w:rPr>
        <w:t>;</w:t>
      </w:r>
      <w:r w:rsidRPr="00BC5FA6">
        <w:rPr>
          <w:rFonts w:ascii="Arial" w:hAnsi="Arial" w:cs="Arial"/>
          <w:szCs w:val="24"/>
        </w:rPr>
        <w:t xml:space="preserve"> offset by reductions for the fall in French corporate income tax rate.</w:t>
      </w:r>
    </w:p>
    <w:p w14:paraId="26B8FFBA" w14:textId="77777777" w:rsidR="007854A9" w:rsidRPr="003A1B1F" w:rsidRDefault="007854A9" w:rsidP="007854A9">
      <w:pPr>
        <w:jc w:val="left"/>
        <w:rPr>
          <w:rFonts w:ascii="Arial" w:hAnsi="Arial" w:cs="Arial"/>
          <w:szCs w:val="24"/>
        </w:rPr>
      </w:pPr>
    </w:p>
    <w:p w14:paraId="22374C4D" w14:textId="77777777" w:rsidR="007854A9" w:rsidRDefault="007854A9" w:rsidP="007854A9">
      <w:pPr>
        <w:jc w:val="left"/>
        <w:rPr>
          <w:rFonts w:ascii="Arial" w:hAnsi="Arial" w:cs="Arial"/>
          <w:szCs w:val="24"/>
        </w:rPr>
      </w:pPr>
      <w:r w:rsidRPr="003A1B1F">
        <w:rPr>
          <w:rFonts w:ascii="Arial" w:hAnsi="Arial" w:cs="Arial"/>
          <w:szCs w:val="24"/>
        </w:rPr>
        <w:t xml:space="preserve">The </w:t>
      </w:r>
      <w:r>
        <w:rPr>
          <w:rFonts w:ascii="Arial" w:hAnsi="Arial" w:cs="Arial"/>
          <w:szCs w:val="24"/>
        </w:rPr>
        <w:t xml:space="preserve">statutory </w:t>
      </w:r>
      <w:r w:rsidRPr="003A1B1F">
        <w:rPr>
          <w:rFonts w:ascii="Arial" w:hAnsi="Arial" w:cs="Arial"/>
          <w:szCs w:val="24"/>
        </w:rPr>
        <w:t xml:space="preserve">effective tax rate includes the impact of </w:t>
      </w:r>
      <w:r w:rsidRPr="00FB39DB">
        <w:rPr>
          <w:rFonts w:ascii="Arial" w:hAnsi="Arial" w:cs="Arial"/>
          <w:szCs w:val="24"/>
        </w:rPr>
        <w:t xml:space="preserve">adjusting items (including prior year tax items). The impact of these result in a statutory effective tax rate of </w:t>
      </w:r>
      <w:r w:rsidRPr="00BD3974">
        <w:rPr>
          <w:rFonts w:ascii="Arial" w:hAnsi="Arial" w:cs="Arial"/>
          <w:szCs w:val="24"/>
        </w:rPr>
        <w:t>2</w:t>
      </w:r>
      <w:r>
        <w:rPr>
          <w:rFonts w:ascii="Arial" w:hAnsi="Arial" w:cs="Arial"/>
          <w:szCs w:val="24"/>
        </w:rPr>
        <w:t>3</w:t>
      </w:r>
      <w:r w:rsidRPr="00FB39DB">
        <w:rPr>
          <w:rFonts w:ascii="Arial" w:hAnsi="Arial" w:cs="Arial"/>
          <w:szCs w:val="24"/>
        </w:rPr>
        <w:t>%.</w:t>
      </w:r>
    </w:p>
    <w:p w14:paraId="3E76F59F" w14:textId="77777777" w:rsidR="007854A9" w:rsidRDefault="007854A9" w:rsidP="007854A9">
      <w:pPr>
        <w:jc w:val="left"/>
        <w:rPr>
          <w:rFonts w:ascii="Arial" w:hAnsi="Arial" w:cs="Arial"/>
          <w:szCs w:val="24"/>
        </w:rPr>
      </w:pPr>
    </w:p>
    <w:tbl>
      <w:tblPr>
        <w:tblStyle w:val="TableGrid"/>
        <w:tblW w:w="10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106"/>
        <w:gridCol w:w="1106"/>
        <w:gridCol w:w="1106"/>
        <w:gridCol w:w="1106"/>
        <w:gridCol w:w="1106"/>
        <w:gridCol w:w="1106"/>
      </w:tblGrid>
      <w:tr w:rsidR="007854A9" w14:paraId="229BF161" w14:textId="77777777" w:rsidTr="003D4ACC">
        <w:tc>
          <w:tcPr>
            <w:tcW w:w="3606" w:type="dxa"/>
            <w:tcBorders>
              <w:bottom w:val="single" w:sz="4" w:space="0" w:color="auto"/>
            </w:tcBorders>
          </w:tcPr>
          <w:p w14:paraId="74B9B1D2" w14:textId="77777777" w:rsidR="007854A9" w:rsidRPr="00333375" w:rsidRDefault="007854A9" w:rsidP="003D4ACC">
            <w:pPr>
              <w:jc w:val="left"/>
              <w:rPr>
                <w:rFonts w:ascii="Arial" w:hAnsi="Arial" w:cs="Arial"/>
                <w:sz w:val="22"/>
                <w:szCs w:val="22"/>
              </w:rPr>
            </w:pPr>
          </w:p>
        </w:tc>
        <w:tc>
          <w:tcPr>
            <w:tcW w:w="1106" w:type="dxa"/>
            <w:tcBorders>
              <w:bottom w:val="single" w:sz="4" w:space="0" w:color="auto"/>
            </w:tcBorders>
            <w:vAlign w:val="center"/>
          </w:tcPr>
          <w:p w14:paraId="12E7B60F" w14:textId="77777777" w:rsidR="007854A9" w:rsidRPr="00333375" w:rsidRDefault="007854A9" w:rsidP="003D4ACC">
            <w:pPr>
              <w:jc w:val="right"/>
              <w:rPr>
                <w:rFonts w:ascii="Arial" w:hAnsi="Arial" w:cs="Arial"/>
                <w:b/>
                <w:bCs/>
                <w:sz w:val="22"/>
                <w:szCs w:val="22"/>
              </w:rPr>
            </w:pPr>
            <w:r w:rsidRPr="00333375">
              <w:rPr>
                <w:rFonts w:ascii="Arial" w:hAnsi="Arial" w:cs="Arial"/>
                <w:b/>
                <w:bCs/>
                <w:sz w:val="22"/>
                <w:szCs w:val="22"/>
              </w:rPr>
              <w:t>Pre-tax profit</w:t>
            </w:r>
          </w:p>
          <w:p w14:paraId="5E401F29" w14:textId="77777777" w:rsidR="007854A9" w:rsidRPr="00333375" w:rsidRDefault="007854A9" w:rsidP="003D4ACC">
            <w:pPr>
              <w:jc w:val="right"/>
              <w:rPr>
                <w:rFonts w:ascii="Arial" w:hAnsi="Arial" w:cs="Arial"/>
                <w:sz w:val="22"/>
                <w:szCs w:val="22"/>
              </w:rPr>
            </w:pPr>
            <w:r w:rsidRPr="00333375">
              <w:rPr>
                <w:rFonts w:ascii="Arial" w:hAnsi="Arial" w:cs="Arial"/>
                <w:b/>
                <w:bCs/>
                <w:sz w:val="22"/>
                <w:szCs w:val="22"/>
              </w:rPr>
              <w:t>£m</w:t>
            </w:r>
          </w:p>
        </w:tc>
        <w:tc>
          <w:tcPr>
            <w:tcW w:w="1106" w:type="dxa"/>
            <w:tcBorders>
              <w:bottom w:val="single" w:sz="4" w:space="0" w:color="auto"/>
            </w:tcBorders>
            <w:vAlign w:val="center"/>
          </w:tcPr>
          <w:p w14:paraId="5CF84D32" w14:textId="77777777" w:rsidR="007854A9" w:rsidRPr="00333375" w:rsidRDefault="007854A9" w:rsidP="003D4ACC">
            <w:pPr>
              <w:jc w:val="right"/>
              <w:rPr>
                <w:rFonts w:ascii="Arial" w:hAnsi="Arial" w:cs="Arial"/>
                <w:b/>
                <w:bCs/>
                <w:sz w:val="22"/>
                <w:szCs w:val="22"/>
              </w:rPr>
            </w:pPr>
          </w:p>
          <w:p w14:paraId="3CB6672F" w14:textId="77777777" w:rsidR="007854A9" w:rsidRPr="00333375" w:rsidRDefault="007854A9" w:rsidP="003D4ACC">
            <w:pPr>
              <w:jc w:val="right"/>
              <w:rPr>
                <w:rFonts w:ascii="Arial" w:hAnsi="Arial" w:cs="Arial"/>
                <w:b/>
                <w:bCs/>
                <w:sz w:val="22"/>
                <w:szCs w:val="22"/>
              </w:rPr>
            </w:pPr>
            <w:r w:rsidRPr="00333375">
              <w:rPr>
                <w:rFonts w:ascii="Arial" w:hAnsi="Arial" w:cs="Arial"/>
                <w:b/>
                <w:bCs/>
                <w:sz w:val="22"/>
                <w:szCs w:val="22"/>
              </w:rPr>
              <w:t xml:space="preserve">Tax </w:t>
            </w:r>
          </w:p>
          <w:p w14:paraId="3CA13EC1" w14:textId="77777777" w:rsidR="007854A9" w:rsidRPr="00333375" w:rsidRDefault="007854A9" w:rsidP="003D4ACC">
            <w:pPr>
              <w:jc w:val="right"/>
              <w:rPr>
                <w:rFonts w:ascii="Arial" w:hAnsi="Arial" w:cs="Arial"/>
                <w:sz w:val="22"/>
                <w:szCs w:val="22"/>
              </w:rPr>
            </w:pPr>
            <w:r w:rsidRPr="00333375">
              <w:rPr>
                <w:rFonts w:ascii="Arial" w:hAnsi="Arial" w:cs="Arial"/>
                <w:b/>
                <w:bCs/>
                <w:sz w:val="22"/>
                <w:szCs w:val="22"/>
              </w:rPr>
              <w:t>£m</w:t>
            </w:r>
          </w:p>
        </w:tc>
        <w:tc>
          <w:tcPr>
            <w:tcW w:w="1106" w:type="dxa"/>
            <w:tcBorders>
              <w:bottom w:val="single" w:sz="4" w:space="0" w:color="auto"/>
            </w:tcBorders>
            <w:vAlign w:val="center"/>
          </w:tcPr>
          <w:p w14:paraId="10F1534C" w14:textId="77777777" w:rsidR="007854A9" w:rsidRPr="00333375" w:rsidRDefault="007854A9" w:rsidP="003D4ACC">
            <w:pPr>
              <w:jc w:val="right"/>
              <w:rPr>
                <w:rFonts w:ascii="Arial" w:hAnsi="Arial" w:cs="Arial"/>
                <w:b/>
                <w:bCs/>
                <w:sz w:val="22"/>
                <w:szCs w:val="22"/>
              </w:rPr>
            </w:pPr>
          </w:p>
          <w:p w14:paraId="151554A4" w14:textId="77777777" w:rsidR="007854A9" w:rsidRPr="00333375" w:rsidRDefault="007854A9" w:rsidP="003D4ACC">
            <w:pPr>
              <w:jc w:val="right"/>
              <w:rPr>
                <w:rFonts w:ascii="Arial" w:hAnsi="Arial" w:cs="Arial"/>
                <w:b/>
                <w:bCs/>
                <w:sz w:val="22"/>
                <w:szCs w:val="22"/>
              </w:rPr>
            </w:pPr>
            <w:r w:rsidRPr="00333375">
              <w:rPr>
                <w:rFonts w:ascii="Arial" w:hAnsi="Arial" w:cs="Arial"/>
                <w:b/>
                <w:bCs/>
                <w:sz w:val="22"/>
                <w:szCs w:val="22"/>
              </w:rPr>
              <w:t>2022/23</w:t>
            </w:r>
          </w:p>
          <w:p w14:paraId="6E5CDCBC" w14:textId="77777777" w:rsidR="007854A9" w:rsidRPr="00333375" w:rsidRDefault="007854A9" w:rsidP="003D4ACC">
            <w:pPr>
              <w:jc w:val="right"/>
              <w:rPr>
                <w:rFonts w:ascii="Arial" w:hAnsi="Arial" w:cs="Arial"/>
                <w:sz w:val="22"/>
                <w:szCs w:val="22"/>
              </w:rPr>
            </w:pPr>
            <w:r w:rsidRPr="00333375">
              <w:rPr>
                <w:rFonts w:ascii="Arial" w:hAnsi="Arial" w:cs="Arial"/>
                <w:b/>
                <w:bCs/>
                <w:sz w:val="22"/>
                <w:szCs w:val="22"/>
              </w:rPr>
              <w:t>%</w:t>
            </w:r>
          </w:p>
        </w:tc>
        <w:tc>
          <w:tcPr>
            <w:tcW w:w="1106" w:type="dxa"/>
            <w:tcBorders>
              <w:bottom w:val="single" w:sz="4" w:space="0" w:color="auto"/>
            </w:tcBorders>
            <w:vAlign w:val="center"/>
          </w:tcPr>
          <w:p w14:paraId="7B8D0B3C" w14:textId="77777777" w:rsidR="007854A9" w:rsidRPr="00333375" w:rsidRDefault="007854A9" w:rsidP="003D4ACC">
            <w:pPr>
              <w:jc w:val="right"/>
              <w:rPr>
                <w:rFonts w:ascii="Arial" w:hAnsi="Arial" w:cs="Arial"/>
                <w:sz w:val="22"/>
                <w:szCs w:val="22"/>
              </w:rPr>
            </w:pPr>
            <w:r w:rsidRPr="00333375">
              <w:rPr>
                <w:rFonts w:ascii="Arial" w:hAnsi="Arial" w:cs="Arial"/>
                <w:sz w:val="22"/>
                <w:szCs w:val="22"/>
              </w:rPr>
              <w:t>Pre-tax profit</w:t>
            </w:r>
          </w:p>
          <w:p w14:paraId="6CF4EF36" w14:textId="77777777" w:rsidR="007854A9" w:rsidRPr="00333375" w:rsidRDefault="007854A9" w:rsidP="003D4ACC">
            <w:pPr>
              <w:jc w:val="right"/>
              <w:rPr>
                <w:rFonts w:ascii="Arial" w:hAnsi="Arial" w:cs="Arial"/>
                <w:sz w:val="22"/>
                <w:szCs w:val="22"/>
              </w:rPr>
            </w:pPr>
            <w:r w:rsidRPr="00333375">
              <w:rPr>
                <w:rFonts w:ascii="Arial" w:hAnsi="Arial" w:cs="Arial"/>
                <w:sz w:val="22"/>
                <w:szCs w:val="22"/>
              </w:rPr>
              <w:t>£m</w:t>
            </w:r>
          </w:p>
        </w:tc>
        <w:tc>
          <w:tcPr>
            <w:tcW w:w="1106" w:type="dxa"/>
            <w:tcBorders>
              <w:bottom w:val="single" w:sz="4" w:space="0" w:color="auto"/>
            </w:tcBorders>
            <w:vAlign w:val="center"/>
          </w:tcPr>
          <w:p w14:paraId="0B89D28C" w14:textId="77777777" w:rsidR="007854A9" w:rsidRPr="00333375" w:rsidRDefault="007854A9" w:rsidP="003D4ACC">
            <w:pPr>
              <w:jc w:val="right"/>
              <w:rPr>
                <w:rFonts w:ascii="Arial" w:hAnsi="Arial" w:cs="Arial"/>
                <w:sz w:val="22"/>
                <w:szCs w:val="22"/>
              </w:rPr>
            </w:pPr>
          </w:p>
          <w:p w14:paraId="415EF5F0" w14:textId="77777777" w:rsidR="007854A9" w:rsidRPr="00333375" w:rsidRDefault="007854A9" w:rsidP="003D4ACC">
            <w:pPr>
              <w:jc w:val="right"/>
              <w:rPr>
                <w:rFonts w:ascii="Arial" w:hAnsi="Arial" w:cs="Arial"/>
                <w:sz w:val="22"/>
                <w:szCs w:val="22"/>
              </w:rPr>
            </w:pPr>
            <w:r w:rsidRPr="00333375">
              <w:rPr>
                <w:rFonts w:ascii="Arial" w:hAnsi="Arial" w:cs="Arial"/>
                <w:sz w:val="22"/>
                <w:szCs w:val="22"/>
              </w:rPr>
              <w:t>Tax</w:t>
            </w:r>
          </w:p>
          <w:p w14:paraId="730DD10D" w14:textId="77777777" w:rsidR="007854A9" w:rsidRPr="00333375" w:rsidRDefault="007854A9" w:rsidP="003D4ACC">
            <w:pPr>
              <w:jc w:val="right"/>
              <w:rPr>
                <w:rFonts w:ascii="Arial" w:hAnsi="Arial" w:cs="Arial"/>
                <w:sz w:val="22"/>
                <w:szCs w:val="22"/>
              </w:rPr>
            </w:pPr>
            <w:r w:rsidRPr="00333375">
              <w:rPr>
                <w:rFonts w:ascii="Arial" w:hAnsi="Arial" w:cs="Arial"/>
                <w:sz w:val="22"/>
                <w:szCs w:val="22"/>
              </w:rPr>
              <w:t>£m</w:t>
            </w:r>
          </w:p>
        </w:tc>
        <w:tc>
          <w:tcPr>
            <w:tcW w:w="1106" w:type="dxa"/>
            <w:tcBorders>
              <w:bottom w:val="single" w:sz="4" w:space="0" w:color="auto"/>
            </w:tcBorders>
            <w:vAlign w:val="center"/>
          </w:tcPr>
          <w:p w14:paraId="7419C9E5" w14:textId="77777777" w:rsidR="007854A9" w:rsidRPr="00333375" w:rsidRDefault="007854A9" w:rsidP="003D4ACC">
            <w:pPr>
              <w:jc w:val="right"/>
              <w:rPr>
                <w:rFonts w:ascii="Arial" w:hAnsi="Arial" w:cs="Arial"/>
                <w:sz w:val="22"/>
                <w:szCs w:val="22"/>
              </w:rPr>
            </w:pPr>
          </w:p>
          <w:p w14:paraId="1C633EDE" w14:textId="77777777" w:rsidR="007854A9" w:rsidRPr="00333375" w:rsidRDefault="007854A9" w:rsidP="003D4ACC">
            <w:pPr>
              <w:jc w:val="right"/>
              <w:rPr>
                <w:rFonts w:ascii="Arial" w:hAnsi="Arial" w:cs="Arial"/>
                <w:sz w:val="22"/>
                <w:szCs w:val="22"/>
              </w:rPr>
            </w:pPr>
            <w:r w:rsidRPr="00333375">
              <w:rPr>
                <w:rFonts w:ascii="Arial" w:hAnsi="Arial" w:cs="Arial"/>
                <w:sz w:val="22"/>
                <w:szCs w:val="22"/>
              </w:rPr>
              <w:t>2021/22</w:t>
            </w:r>
          </w:p>
          <w:p w14:paraId="266F9B0C" w14:textId="77777777" w:rsidR="007854A9" w:rsidRPr="00333375" w:rsidRDefault="007854A9" w:rsidP="003D4ACC">
            <w:pPr>
              <w:jc w:val="right"/>
              <w:rPr>
                <w:rFonts w:ascii="Arial" w:hAnsi="Arial" w:cs="Arial"/>
                <w:sz w:val="22"/>
                <w:szCs w:val="22"/>
              </w:rPr>
            </w:pPr>
            <w:r w:rsidRPr="00333375">
              <w:rPr>
                <w:rFonts w:ascii="Arial" w:hAnsi="Arial" w:cs="Arial"/>
                <w:sz w:val="22"/>
                <w:szCs w:val="22"/>
              </w:rPr>
              <w:t>%</w:t>
            </w:r>
          </w:p>
        </w:tc>
      </w:tr>
      <w:tr w:rsidR="007854A9" w14:paraId="5A3C39CF" w14:textId="77777777" w:rsidTr="003D4ACC">
        <w:trPr>
          <w:trHeight w:val="266"/>
        </w:trPr>
        <w:tc>
          <w:tcPr>
            <w:tcW w:w="3606" w:type="dxa"/>
            <w:tcBorders>
              <w:top w:val="single" w:sz="4" w:space="0" w:color="auto"/>
            </w:tcBorders>
            <w:shd w:val="clear" w:color="auto" w:fill="auto"/>
            <w:vAlign w:val="center"/>
          </w:tcPr>
          <w:p w14:paraId="5387DDCB" w14:textId="77777777" w:rsidR="007854A9" w:rsidRPr="00270EDB" w:rsidRDefault="007854A9" w:rsidP="003D4ACC">
            <w:pPr>
              <w:jc w:val="left"/>
              <w:rPr>
                <w:rFonts w:ascii="Arial" w:hAnsi="Arial" w:cs="Arial"/>
                <w:sz w:val="22"/>
                <w:szCs w:val="22"/>
              </w:rPr>
            </w:pPr>
            <w:r w:rsidRPr="00270EDB">
              <w:rPr>
                <w:rFonts w:ascii="Arial" w:hAnsi="Arial"/>
                <w:b/>
                <w:sz w:val="22"/>
                <w:szCs w:val="22"/>
              </w:rPr>
              <w:t>Adjusted effective tax rate</w:t>
            </w:r>
          </w:p>
        </w:tc>
        <w:tc>
          <w:tcPr>
            <w:tcW w:w="1106" w:type="dxa"/>
            <w:tcBorders>
              <w:top w:val="single" w:sz="4" w:space="0" w:color="auto"/>
            </w:tcBorders>
            <w:shd w:val="clear" w:color="auto" w:fill="auto"/>
            <w:vAlign w:val="center"/>
          </w:tcPr>
          <w:p w14:paraId="1E54A07F" w14:textId="77777777" w:rsidR="007854A9" w:rsidRPr="007005F4" w:rsidRDefault="007854A9" w:rsidP="003D4ACC">
            <w:pPr>
              <w:jc w:val="right"/>
              <w:rPr>
                <w:rFonts w:ascii="Arial" w:hAnsi="Arial" w:cs="Arial"/>
                <w:sz w:val="22"/>
                <w:szCs w:val="22"/>
              </w:rPr>
            </w:pPr>
            <w:r w:rsidRPr="007005F4">
              <w:rPr>
                <w:rFonts w:ascii="Arial" w:hAnsi="Arial" w:cs="Arial"/>
                <w:b/>
                <w:sz w:val="22"/>
                <w:szCs w:val="22"/>
              </w:rPr>
              <w:t>758</w:t>
            </w:r>
          </w:p>
        </w:tc>
        <w:tc>
          <w:tcPr>
            <w:tcW w:w="1106" w:type="dxa"/>
            <w:tcBorders>
              <w:top w:val="single" w:sz="4" w:space="0" w:color="auto"/>
            </w:tcBorders>
            <w:shd w:val="clear" w:color="auto" w:fill="auto"/>
            <w:vAlign w:val="center"/>
          </w:tcPr>
          <w:p w14:paraId="2F9DE342" w14:textId="77777777" w:rsidR="007854A9" w:rsidRPr="007005F4" w:rsidRDefault="007854A9" w:rsidP="003D4ACC">
            <w:pPr>
              <w:jc w:val="right"/>
              <w:rPr>
                <w:rFonts w:ascii="Arial" w:hAnsi="Arial" w:cs="Arial"/>
                <w:sz w:val="22"/>
                <w:szCs w:val="22"/>
              </w:rPr>
            </w:pPr>
            <w:r w:rsidRPr="007005F4">
              <w:rPr>
                <w:rFonts w:ascii="Arial" w:hAnsi="Arial" w:cs="Arial"/>
                <w:b/>
                <w:sz w:val="22"/>
                <w:szCs w:val="22"/>
              </w:rPr>
              <w:t>(16</w:t>
            </w:r>
            <w:r>
              <w:rPr>
                <w:rFonts w:ascii="Arial" w:hAnsi="Arial" w:cs="Arial"/>
                <w:b/>
                <w:sz w:val="22"/>
                <w:szCs w:val="22"/>
              </w:rPr>
              <w:t>9</w:t>
            </w:r>
            <w:r w:rsidRPr="007005F4">
              <w:rPr>
                <w:rFonts w:ascii="Arial" w:hAnsi="Arial" w:cs="Arial"/>
                <w:b/>
                <w:sz w:val="22"/>
                <w:szCs w:val="22"/>
              </w:rPr>
              <w:t>)</w:t>
            </w:r>
          </w:p>
        </w:tc>
        <w:tc>
          <w:tcPr>
            <w:tcW w:w="1106" w:type="dxa"/>
            <w:tcBorders>
              <w:top w:val="single" w:sz="4" w:space="0" w:color="auto"/>
            </w:tcBorders>
            <w:shd w:val="clear" w:color="auto" w:fill="auto"/>
            <w:vAlign w:val="center"/>
          </w:tcPr>
          <w:p w14:paraId="57241A84" w14:textId="77777777" w:rsidR="007854A9" w:rsidRPr="007005F4" w:rsidRDefault="007854A9" w:rsidP="003D4ACC">
            <w:pPr>
              <w:jc w:val="right"/>
              <w:rPr>
                <w:rFonts w:ascii="Arial" w:hAnsi="Arial" w:cs="Arial"/>
                <w:sz w:val="22"/>
                <w:szCs w:val="22"/>
              </w:rPr>
            </w:pPr>
            <w:r w:rsidRPr="007005F4">
              <w:rPr>
                <w:rFonts w:ascii="Arial" w:hAnsi="Arial" w:cs="Arial"/>
                <w:b/>
                <w:sz w:val="22"/>
                <w:szCs w:val="22"/>
              </w:rPr>
              <w:t>22%</w:t>
            </w:r>
          </w:p>
        </w:tc>
        <w:tc>
          <w:tcPr>
            <w:tcW w:w="1106" w:type="dxa"/>
            <w:tcBorders>
              <w:top w:val="single" w:sz="4" w:space="0" w:color="auto"/>
            </w:tcBorders>
            <w:shd w:val="clear" w:color="auto" w:fill="auto"/>
            <w:vAlign w:val="center"/>
          </w:tcPr>
          <w:p w14:paraId="1F1A14FE" w14:textId="77777777" w:rsidR="007854A9" w:rsidRPr="008D1EA4" w:rsidRDefault="007854A9" w:rsidP="003D4ACC">
            <w:pPr>
              <w:jc w:val="right"/>
              <w:rPr>
                <w:rFonts w:ascii="Arial" w:hAnsi="Arial" w:cs="Arial"/>
                <w:bCs/>
                <w:sz w:val="22"/>
                <w:szCs w:val="22"/>
              </w:rPr>
            </w:pPr>
            <w:r w:rsidRPr="008D1EA4">
              <w:rPr>
                <w:rFonts w:ascii="Arial" w:hAnsi="Arial" w:cs="Arial"/>
                <w:bCs/>
                <w:sz w:val="22"/>
                <w:szCs w:val="22"/>
              </w:rPr>
              <w:t>949</w:t>
            </w:r>
          </w:p>
        </w:tc>
        <w:tc>
          <w:tcPr>
            <w:tcW w:w="1106" w:type="dxa"/>
            <w:tcBorders>
              <w:top w:val="single" w:sz="4" w:space="0" w:color="auto"/>
            </w:tcBorders>
            <w:vAlign w:val="center"/>
          </w:tcPr>
          <w:p w14:paraId="46A42259" w14:textId="77777777" w:rsidR="007854A9" w:rsidRPr="008D1EA4" w:rsidRDefault="007854A9" w:rsidP="003D4ACC">
            <w:pPr>
              <w:jc w:val="right"/>
              <w:rPr>
                <w:rFonts w:ascii="Arial" w:hAnsi="Arial" w:cs="Arial"/>
                <w:bCs/>
                <w:sz w:val="22"/>
                <w:szCs w:val="22"/>
              </w:rPr>
            </w:pPr>
            <w:r w:rsidRPr="008D1EA4">
              <w:rPr>
                <w:rFonts w:ascii="Arial" w:hAnsi="Arial" w:cs="Arial"/>
                <w:bCs/>
                <w:sz w:val="22"/>
                <w:szCs w:val="22"/>
              </w:rPr>
              <w:t>(212)</w:t>
            </w:r>
          </w:p>
        </w:tc>
        <w:tc>
          <w:tcPr>
            <w:tcW w:w="1106" w:type="dxa"/>
            <w:tcBorders>
              <w:top w:val="single" w:sz="4" w:space="0" w:color="auto"/>
            </w:tcBorders>
            <w:vAlign w:val="center"/>
          </w:tcPr>
          <w:p w14:paraId="21C69483" w14:textId="77777777" w:rsidR="007854A9" w:rsidRPr="008D1EA4" w:rsidRDefault="007854A9" w:rsidP="003D4ACC">
            <w:pPr>
              <w:jc w:val="right"/>
              <w:rPr>
                <w:rFonts w:ascii="Arial" w:hAnsi="Arial" w:cs="Arial"/>
                <w:bCs/>
                <w:sz w:val="22"/>
                <w:szCs w:val="22"/>
              </w:rPr>
            </w:pPr>
            <w:r w:rsidRPr="008D1EA4">
              <w:rPr>
                <w:rFonts w:ascii="Arial" w:hAnsi="Arial" w:cs="Arial"/>
                <w:bCs/>
                <w:sz w:val="22"/>
                <w:szCs w:val="22"/>
              </w:rPr>
              <w:t>22%</w:t>
            </w:r>
          </w:p>
        </w:tc>
      </w:tr>
      <w:tr w:rsidR="007854A9" w14:paraId="3F7FE595" w14:textId="77777777" w:rsidTr="003D4ACC">
        <w:trPr>
          <w:trHeight w:val="266"/>
        </w:trPr>
        <w:tc>
          <w:tcPr>
            <w:tcW w:w="3606" w:type="dxa"/>
            <w:tcBorders>
              <w:bottom w:val="single" w:sz="4" w:space="0" w:color="auto"/>
            </w:tcBorders>
            <w:shd w:val="clear" w:color="auto" w:fill="auto"/>
            <w:vAlign w:val="center"/>
          </w:tcPr>
          <w:p w14:paraId="53829A55" w14:textId="77777777" w:rsidR="007854A9" w:rsidRPr="00270EDB" w:rsidRDefault="007854A9" w:rsidP="003D4ACC">
            <w:pPr>
              <w:jc w:val="left"/>
              <w:rPr>
                <w:rFonts w:ascii="Arial" w:hAnsi="Arial" w:cs="Arial"/>
                <w:sz w:val="22"/>
                <w:szCs w:val="22"/>
              </w:rPr>
            </w:pPr>
            <w:r w:rsidRPr="00270EDB">
              <w:rPr>
                <w:rFonts w:ascii="Arial" w:hAnsi="Arial" w:cs="Arial"/>
                <w:sz w:val="22"/>
                <w:szCs w:val="22"/>
              </w:rPr>
              <w:t>Adjusting items</w:t>
            </w:r>
          </w:p>
        </w:tc>
        <w:tc>
          <w:tcPr>
            <w:tcW w:w="1106" w:type="dxa"/>
            <w:tcBorders>
              <w:bottom w:val="single" w:sz="4" w:space="0" w:color="auto"/>
            </w:tcBorders>
            <w:shd w:val="clear" w:color="auto" w:fill="auto"/>
            <w:vAlign w:val="center"/>
          </w:tcPr>
          <w:p w14:paraId="54678A71" w14:textId="114F147D" w:rsidR="007854A9" w:rsidRPr="007005F4" w:rsidRDefault="007854A9" w:rsidP="003D4ACC">
            <w:pPr>
              <w:jc w:val="right"/>
              <w:rPr>
                <w:rFonts w:ascii="Arial" w:hAnsi="Arial" w:cs="Arial"/>
                <w:sz w:val="22"/>
                <w:szCs w:val="22"/>
              </w:rPr>
            </w:pPr>
            <w:r w:rsidRPr="007005F4">
              <w:rPr>
                <w:rFonts w:ascii="Arial" w:hAnsi="Arial" w:cs="Arial"/>
                <w:b/>
                <w:bCs/>
                <w:sz w:val="22"/>
                <w:szCs w:val="22"/>
              </w:rPr>
              <w:t>(</w:t>
            </w:r>
            <w:r w:rsidR="009E3E16">
              <w:rPr>
                <w:rFonts w:ascii="Arial" w:hAnsi="Arial" w:cs="Arial"/>
                <w:b/>
                <w:bCs/>
                <w:sz w:val="22"/>
                <w:szCs w:val="22"/>
              </w:rPr>
              <w:t>147</w:t>
            </w:r>
            <w:r w:rsidRPr="007005F4">
              <w:rPr>
                <w:rFonts w:ascii="Arial" w:hAnsi="Arial" w:cs="Arial"/>
                <w:b/>
                <w:bCs/>
                <w:sz w:val="22"/>
                <w:szCs w:val="22"/>
              </w:rPr>
              <w:t>)</w:t>
            </w:r>
          </w:p>
        </w:tc>
        <w:tc>
          <w:tcPr>
            <w:tcW w:w="1106" w:type="dxa"/>
            <w:tcBorders>
              <w:bottom w:val="single" w:sz="4" w:space="0" w:color="auto"/>
            </w:tcBorders>
            <w:shd w:val="clear" w:color="auto" w:fill="auto"/>
            <w:vAlign w:val="center"/>
          </w:tcPr>
          <w:p w14:paraId="2336E98B" w14:textId="03EE09F8" w:rsidR="007854A9" w:rsidRPr="007005F4" w:rsidRDefault="006C10B8" w:rsidP="003D4ACC">
            <w:pPr>
              <w:jc w:val="right"/>
              <w:rPr>
                <w:rFonts w:ascii="Arial" w:hAnsi="Arial" w:cs="Arial"/>
                <w:sz w:val="22"/>
                <w:szCs w:val="22"/>
              </w:rPr>
            </w:pPr>
            <w:r>
              <w:rPr>
                <w:rFonts w:ascii="Arial" w:hAnsi="Arial" w:cs="Arial"/>
                <w:b/>
                <w:sz w:val="22"/>
                <w:szCs w:val="22"/>
              </w:rPr>
              <w:t>29</w:t>
            </w:r>
          </w:p>
        </w:tc>
        <w:tc>
          <w:tcPr>
            <w:tcW w:w="1106" w:type="dxa"/>
            <w:tcBorders>
              <w:bottom w:val="single" w:sz="4" w:space="0" w:color="auto"/>
            </w:tcBorders>
            <w:shd w:val="clear" w:color="auto" w:fill="auto"/>
            <w:vAlign w:val="center"/>
          </w:tcPr>
          <w:p w14:paraId="0CAA40D5" w14:textId="77777777" w:rsidR="007854A9" w:rsidRPr="007005F4" w:rsidRDefault="007854A9" w:rsidP="003D4ACC">
            <w:pPr>
              <w:jc w:val="right"/>
              <w:rPr>
                <w:rFonts w:ascii="Arial" w:hAnsi="Arial" w:cs="Arial"/>
                <w:sz w:val="22"/>
                <w:szCs w:val="22"/>
              </w:rPr>
            </w:pPr>
          </w:p>
        </w:tc>
        <w:tc>
          <w:tcPr>
            <w:tcW w:w="1106" w:type="dxa"/>
            <w:tcBorders>
              <w:bottom w:val="single" w:sz="4" w:space="0" w:color="auto"/>
            </w:tcBorders>
            <w:shd w:val="clear" w:color="auto" w:fill="auto"/>
            <w:vAlign w:val="center"/>
          </w:tcPr>
          <w:p w14:paraId="7A85DBDB" w14:textId="77777777" w:rsidR="007854A9" w:rsidRPr="008D1EA4" w:rsidRDefault="007854A9" w:rsidP="003D4ACC">
            <w:pPr>
              <w:jc w:val="right"/>
              <w:rPr>
                <w:rFonts w:ascii="Arial" w:hAnsi="Arial" w:cs="Arial"/>
                <w:bCs/>
                <w:sz w:val="22"/>
                <w:szCs w:val="22"/>
              </w:rPr>
            </w:pPr>
            <w:r w:rsidRPr="008D1EA4">
              <w:rPr>
                <w:rFonts w:ascii="Arial" w:hAnsi="Arial" w:cs="Arial"/>
                <w:bCs/>
                <w:sz w:val="22"/>
                <w:szCs w:val="22"/>
              </w:rPr>
              <w:t>58</w:t>
            </w:r>
          </w:p>
        </w:tc>
        <w:tc>
          <w:tcPr>
            <w:tcW w:w="1106" w:type="dxa"/>
            <w:tcBorders>
              <w:bottom w:val="single" w:sz="4" w:space="0" w:color="auto"/>
            </w:tcBorders>
            <w:vAlign w:val="center"/>
          </w:tcPr>
          <w:p w14:paraId="7C504E66" w14:textId="77777777" w:rsidR="007854A9" w:rsidRPr="008D1EA4" w:rsidRDefault="007854A9" w:rsidP="003D4ACC">
            <w:pPr>
              <w:jc w:val="right"/>
              <w:rPr>
                <w:rFonts w:ascii="Arial" w:hAnsi="Arial" w:cs="Arial"/>
                <w:bCs/>
                <w:sz w:val="22"/>
                <w:szCs w:val="22"/>
              </w:rPr>
            </w:pPr>
            <w:r w:rsidRPr="008D1EA4">
              <w:rPr>
                <w:rFonts w:ascii="Arial" w:hAnsi="Arial" w:cs="Arial"/>
                <w:bCs/>
                <w:sz w:val="22"/>
                <w:szCs w:val="22"/>
              </w:rPr>
              <w:t>48</w:t>
            </w:r>
          </w:p>
        </w:tc>
        <w:tc>
          <w:tcPr>
            <w:tcW w:w="1106" w:type="dxa"/>
            <w:tcBorders>
              <w:bottom w:val="single" w:sz="4" w:space="0" w:color="auto"/>
            </w:tcBorders>
            <w:vAlign w:val="center"/>
          </w:tcPr>
          <w:p w14:paraId="2FDCAA59" w14:textId="77777777" w:rsidR="007854A9" w:rsidRPr="008D1EA4" w:rsidRDefault="007854A9" w:rsidP="003D4ACC">
            <w:pPr>
              <w:jc w:val="right"/>
              <w:rPr>
                <w:rFonts w:ascii="Arial" w:hAnsi="Arial" w:cs="Arial"/>
                <w:bCs/>
                <w:sz w:val="22"/>
                <w:szCs w:val="22"/>
              </w:rPr>
            </w:pPr>
          </w:p>
        </w:tc>
      </w:tr>
      <w:tr w:rsidR="007854A9" w14:paraId="5A2C640F" w14:textId="77777777" w:rsidTr="003D4ACC">
        <w:trPr>
          <w:trHeight w:val="266"/>
        </w:trPr>
        <w:tc>
          <w:tcPr>
            <w:tcW w:w="3606" w:type="dxa"/>
            <w:tcBorders>
              <w:top w:val="single" w:sz="4" w:space="0" w:color="auto"/>
              <w:bottom w:val="single" w:sz="4" w:space="0" w:color="auto"/>
            </w:tcBorders>
            <w:shd w:val="clear" w:color="auto" w:fill="auto"/>
            <w:vAlign w:val="center"/>
          </w:tcPr>
          <w:p w14:paraId="28976962" w14:textId="77777777" w:rsidR="007854A9" w:rsidRPr="00270EDB" w:rsidRDefault="007854A9" w:rsidP="003D4ACC">
            <w:pPr>
              <w:jc w:val="left"/>
              <w:rPr>
                <w:rFonts w:ascii="Arial" w:hAnsi="Arial" w:cs="Arial"/>
                <w:sz w:val="22"/>
                <w:szCs w:val="22"/>
              </w:rPr>
            </w:pPr>
            <w:r w:rsidRPr="00270EDB">
              <w:rPr>
                <w:rFonts w:ascii="Arial" w:hAnsi="Arial" w:cs="Arial"/>
                <w:b/>
                <w:bCs/>
                <w:sz w:val="22"/>
                <w:szCs w:val="22"/>
              </w:rPr>
              <w:t>Statutory effective tax rate</w:t>
            </w:r>
          </w:p>
        </w:tc>
        <w:tc>
          <w:tcPr>
            <w:tcW w:w="1106" w:type="dxa"/>
            <w:tcBorders>
              <w:top w:val="single" w:sz="4" w:space="0" w:color="auto"/>
              <w:bottom w:val="single" w:sz="4" w:space="0" w:color="auto"/>
            </w:tcBorders>
            <w:shd w:val="clear" w:color="auto" w:fill="auto"/>
            <w:vAlign w:val="center"/>
          </w:tcPr>
          <w:p w14:paraId="53B2AFCA" w14:textId="5E01286A" w:rsidR="007854A9" w:rsidRPr="007005F4" w:rsidRDefault="00704FAE" w:rsidP="003D4ACC">
            <w:pPr>
              <w:jc w:val="right"/>
              <w:rPr>
                <w:rFonts w:ascii="Arial" w:hAnsi="Arial" w:cs="Arial"/>
                <w:sz w:val="22"/>
                <w:szCs w:val="22"/>
              </w:rPr>
            </w:pPr>
            <w:r>
              <w:rPr>
                <w:rFonts w:ascii="Arial" w:hAnsi="Arial" w:cs="Arial"/>
                <w:b/>
                <w:bCs/>
                <w:sz w:val="22"/>
                <w:szCs w:val="22"/>
              </w:rPr>
              <w:t>611</w:t>
            </w:r>
          </w:p>
        </w:tc>
        <w:tc>
          <w:tcPr>
            <w:tcW w:w="1106" w:type="dxa"/>
            <w:tcBorders>
              <w:top w:val="single" w:sz="4" w:space="0" w:color="auto"/>
              <w:bottom w:val="single" w:sz="4" w:space="0" w:color="auto"/>
            </w:tcBorders>
            <w:shd w:val="clear" w:color="auto" w:fill="auto"/>
            <w:vAlign w:val="center"/>
          </w:tcPr>
          <w:p w14:paraId="090EB466" w14:textId="39A0BEFB" w:rsidR="007854A9" w:rsidRPr="007005F4" w:rsidRDefault="007854A9" w:rsidP="003D4ACC">
            <w:pPr>
              <w:jc w:val="right"/>
              <w:rPr>
                <w:rFonts w:ascii="Arial" w:hAnsi="Arial" w:cs="Arial"/>
                <w:sz w:val="22"/>
                <w:szCs w:val="22"/>
              </w:rPr>
            </w:pPr>
            <w:r w:rsidRPr="007005F4">
              <w:rPr>
                <w:rFonts w:ascii="Arial" w:hAnsi="Arial" w:cs="Arial"/>
                <w:b/>
                <w:bCs/>
                <w:sz w:val="22"/>
                <w:szCs w:val="22"/>
              </w:rPr>
              <w:t>(</w:t>
            </w:r>
            <w:r w:rsidR="00725E89">
              <w:rPr>
                <w:rFonts w:ascii="Arial" w:hAnsi="Arial" w:cs="Arial"/>
                <w:b/>
                <w:bCs/>
                <w:sz w:val="22"/>
                <w:szCs w:val="22"/>
              </w:rPr>
              <w:t>140</w:t>
            </w:r>
            <w:r w:rsidRPr="007005F4">
              <w:rPr>
                <w:rFonts w:ascii="Arial" w:hAnsi="Arial" w:cs="Arial"/>
                <w:b/>
                <w:bCs/>
                <w:sz w:val="22"/>
                <w:szCs w:val="22"/>
              </w:rPr>
              <w:t>)</w:t>
            </w:r>
          </w:p>
        </w:tc>
        <w:tc>
          <w:tcPr>
            <w:tcW w:w="1106" w:type="dxa"/>
            <w:tcBorders>
              <w:top w:val="single" w:sz="4" w:space="0" w:color="auto"/>
              <w:bottom w:val="single" w:sz="4" w:space="0" w:color="auto"/>
            </w:tcBorders>
            <w:shd w:val="clear" w:color="auto" w:fill="auto"/>
            <w:vAlign w:val="center"/>
          </w:tcPr>
          <w:p w14:paraId="142B62A2" w14:textId="77777777" w:rsidR="007854A9" w:rsidRPr="007005F4" w:rsidRDefault="007854A9" w:rsidP="003D4ACC">
            <w:pPr>
              <w:jc w:val="right"/>
              <w:rPr>
                <w:rFonts w:ascii="Arial" w:hAnsi="Arial" w:cs="Arial"/>
                <w:sz w:val="22"/>
                <w:szCs w:val="22"/>
              </w:rPr>
            </w:pPr>
            <w:r w:rsidRPr="007005F4">
              <w:rPr>
                <w:rFonts w:ascii="Arial" w:hAnsi="Arial" w:cs="Arial"/>
                <w:b/>
                <w:bCs/>
                <w:sz w:val="22"/>
                <w:szCs w:val="22"/>
              </w:rPr>
              <w:t>2</w:t>
            </w:r>
            <w:r>
              <w:rPr>
                <w:rFonts w:ascii="Arial" w:hAnsi="Arial" w:cs="Arial"/>
                <w:b/>
                <w:bCs/>
                <w:sz w:val="22"/>
                <w:szCs w:val="22"/>
              </w:rPr>
              <w:t>3</w:t>
            </w:r>
            <w:r w:rsidRPr="007005F4">
              <w:rPr>
                <w:rFonts w:ascii="Arial" w:hAnsi="Arial" w:cs="Arial"/>
                <w:b/>
                <w:bCs/>
                <w:sz w:val="22"/>
                <w:szCs w:val="22"/>
              </w:rPr>
              <w:t>%</w:t>
            </w:r>
          </w:p>
        </w:tc>
        <w:tc>
          <w:tcPr>
            <w:tcW w:w="1106" w:type="dxa"/>
            <w:tcBorders>
              <w:top w:val="single" w:sz="4" w:space="0" w:color="auto"/>
              <w:bottom w:val="single" w:sz="4" w:space="0" w:color="auto"/>
            </w:tcBorders>
            <w:shd w:val="clear" w:color="auto" w:fill="auto"/>
            <w:vAlign w:val="center"/>
          </w:tcPr>
          <w:p w14:paraId="5F738F75" w14:textId="77777777" w:rsidR="007854A9" w:rsidRPr="008D1EA4" w:rsidRDefault="007854A9" w:rsidP="003D4ACC">
            <w:pPr>
              <w:jc w:val="right"/>
              <w:rPr>
                <w:rFonts w:ascii="Arial" w:hAnsi="Arial" w:cs="Arial"/>
                <w:bCs/>
                <w:sz w:val="22"/>
                <w:szCs w:val="22"/>
              </w:rPr>
            </w:pPr>
            <w:r w:rsidRPr="008D1EA4">
              <w:rPr>
                <w:rFonts w:ascii="Arial" w:hAnsi="Arial" w:cs="Arial"/>
                <w:bCs/>
                <w:sz w:val="22"/>
                <w:szCs w:val="22"/>
              </w:rPr>
              <w:t>1,007</w:t>
            </w:r>
          </w:p>
        </w:tc>
        <w:tc>
          <w:tcPr>
            <w:tcW w:w="1106" w:type="dxa"/>
            <w:tcBorders>
              <w:top w:val="single" w:sz="4" w:space="0" w:color="auto"/>
              <w:bottom w:val="single" w:sz="4" w:space="0" w:color="auto"/>
            </w:tcBorders>
            <w:vAlign w:val="center"/>
          </w:tcPr>
          <w:p w14:paraId="6F535497" w14:textId="77777777" w:rsidR="007854A9" w:rsidRPr="008D1EA4" w:rsidRDefault="007854A9" w:rsidP="003D4ACC">
            <w:pPr>
              <w:jc w:val="right"/>
              <w:rPr>
                <w:rFonts w:ascii="Arial" w:hAnsi="Arial" w:cs="Arial"/>
                <w:bCs/>
                <w:sz w:val="22"/>
                <w:szCs w:val="22"/>
              </w:rPr>
            </w:pPr>
            <w:r w:rsidRPr="008D1EA4">
              <w:rPr>
                <w:rFonts w:ascii="Arial" w:hAnsi="Arial" w:cs="Arial"/>
                <w:bCs/>
                <w:sz w:val="22"/>
                <w:szCs w:val="22"/>
              </w:rPr>
              <w:t>(164)</w:t>
            </w:r>
          </w:p>
        </w:tc>
        <w:tc>
          <w:tcPr>
            <w:tcW w:w="1106" w:type="dxa"/>
            <w:tcBorders>
              <w:top w:val="single" w:sz="4" w:space="0" w:color="auto"/>
              <w:bottom w:val="single" w:sz="4" w:space="0" w:color="auto"/>
            </w:tcBorders>
            <w:vAlign w:val="center"/>
          </w:tcPr>
          <w:p w14:paraId="6AE123EE" w14:textId="77777777" w:rsidR="007854A9" w:rsidRPr="008D1EA4" w:rsidRDefault="007854A9" w:rsidP="003D4ACC">
            <w:pPr>
              <w:jc w:val="right"/>
              <w:rPr>
                <w:rFonts w:ascii="Arial" w:hAnsi="Arial" w:cs="Arial"/>
                <w:bCs/>
                <w:sz w:val="22"/>
                <w:szCs w:val="22"/>
              </w:rPr>
            </w:pPr>
            <w:r w:rsidRPr="008D1EA4">
              <w:rPr>
                <w:rFonts w:ascii="Arial" w:hAnsi="Arial" w:cs="Arial"/>
                <w:bCs/>
                <w:sz w:val="22"/>
                <w:szCs w:val="22"/>
              </w:rPr>
              <w:t>16%</w:t>
            </w:r>
          </w:p>
        </w:tc>
      </w:tr>
    </w:tbl>
    <w:p w14:paraId="7407845D" w14:textId="34AFDF8A" w:rsidR="007854A9" w:rsidRDefault="007854A9" w:rsidP="007854A9">
      <w:pPr>
        <w:jc w:val="left"/>
        <w:rPr>
          <w:rFonts w:ascii="Arial" w:hAnsi="Arial" w:cs="Arial"/>
          <w:szCs w:val="24"/>
        </w:rPr>
      </w:pPr>
    </w:p>
    <w:p w14:paraId="39E4AC86" w14:textId="77777777" w:rsidR="003077C1" w:rsidRPr="0057614C" w:rsidRDefault="003077C1" w:rsidP="003077C1">
      <w:pPr>
        <w:jc w:val="left"/>
        <w:rPr>
          <w:rFonts w:ascii="Arial" w:hAnsi="Arial" w:cs="Arial"/>
          <w:szCs w:val="24"/>
        </w:rPr>
      </w:pPr>
      <w:r w:rsidRPr="0057614C">
        <w:rPr>
          <w:rFonts w:ascii="Arial" w:hAnsi="Arial" w:cs="Arial"/>
          <w:szCs w:val="24"/>
        </w:rPr>
        <w:t>On 8 June 2022, the General Court of the European Union dismissed several of the appeals, including the UK Government’s, to annul the European Commission's 2019 state aid decision concerning the UK's controlled foreign company tax rules. This decision has been appealed to the European Court of Justice.</w:t>
      </w:r>
    </w:p>
    <w:p w14:paraId="2996CE39" w14:textId="77777777" w:rsidR="003077C1" w:rsidRDefault="003077C1" w:rsidP="007854A9">
      <w:pPr>
        <w:jc w:val="left"/>
        <w:rPr>
          <w:rFonts w:ascii="Arial" w:hAnsi="Arial" w:cs="Arial"/>
          <w:szCs w:val="24"/>
        </w:rPr>
      </w:pPr>
    </w:p>
    <w:p w14:paraId="5F6DD9B9" w14:textId="7A3876F0" w:rsidR="007854A9" w:rsidRDefault="007854A9" w:rsidP="007854A9">
      <w:pPr>
        <w:jc w:val="left"/>
        <w:rPr>
          <w:rFonts w:ascii="Arial" w:eastAsiaTheme="minorHAnsi" w:hAnsi="Arial" w:cs="Arial"/>
        </w:rPr>
      </w:pPr>
      <w:bookmarkStart w:id="71" w:name="_Hlk112141740"/>
      <w:r>
        <w:rPr>
          <w:rFonts w:ascii="Arial" w:hAnsi="Arial" w:cs="Arial"/>
        </w:rPr>
        <w:t xml:space="preserve">In FY 21/22, Kingfisher paid £64m (including interest) to HM Revenue &amp; </w:t>
      </w:r>
      <w:r w:rsidRPr="00AC4DB1">
        <w:rPr>
          <w:rFonts w:ascii="Arial" w:hAnsi="Arial" w:cs="Arial"/>
        </w:rPr>
        <w:t xml:space="preserve">Customs in relation to the state aid decision. The Group continues to recognise this amount as a non-current tax asset based on its assessment that its appeal will ultimately be successful. Refer to note </w:t>
      </w:r>
      <w:r w:rsidR="00E30D4B">
        <w:rPr>
          <w:rFonts w:ascii="Arial" w:hAnsi="Arial" w:cs="Arial"/>
        </w:rPr>
        <w:t>13</w:t>
      </w:r>
      <w:r w:rsidR="00E30D4B" w:rsidRPr="00AC4DB1">
        <w:rPr>
          <w:rFonts w:ascii="Arial" w:hAnsi="Arial" w:cs="Arial"/>
        </w:rPr>
        <w:t xml:space="preserve"> </w:t>
      </w:r>
      <w:r w:rsidRPr="00AC4DB1">
        <w:rPr>
          <w:rFonts w:ascii="Arial" w:hAnsi="Arial" w:cs="Arial"/>
        </w:rPr>
        <w:t>of the condensed financial statements.</w:t>
      </w:r>
    </w:p>
    <w:bookmarkEnd w:id="71"/>
    <w:p w14:paraId="14466474" w14:textId="77777777" w:rsidR="007854A9" w:rsidRDefault="007854A9" w:rsidP="007854A9">
      <w:pPr>
        <w:jc w:val="left"/>
        <w:rPr>
          <w:rFonts w:ascii="Arial" w:hAnsi="Arial" w:cs="Arial"/>
        </w:rPr>
      </w:pPr>
    </w:p>
    <w:p w14:paraId="6B886C3D" w14:textId="77777777" w:rsidR="007854A9" w:rsidRDefault="007854A9" w:rsidP="007854A9">
      <w:pPr>
        <w:jc w:val="left"/>
        <w:rPr>
          <w:rFonts w:ascii="Arial" w:eastAsiaTheme="minorHAnsi" w:hAnsi="Arial" w:cs="Arial"/>
        </w:rPr>
      </w:pPr>
      <w:r w:rsidRPr="00DB7957">
        <w:rPr>
          <w:rFonts w:ascii="Arial" w:eastAsiaTheme="minorHAnsi" w:hAnsi="Arial" w:cs="Arial"/>
        </w:rPr>
        <w:t>In February 2022, a payment of €40m (</w:t>
      </w:r>
      <w:r>
        <w:rPr>
          <w:rFonts w:ascii="Arial" w:eastAsiaTheme="minorHAnsi" w:hAnsi="Arial" w:cs="Arial"/>
        </w:rPr>
        <w:t>c.</w:t>
      </w:r>
      <w:r w:rsidRPr="00DB7957">
        <w:rPr>
          <w:rFonts w:ascii="Arial" w:eastAsiaTheme="minorHAnsi" w:hAnsi="Arial" w:cs="Arial"/>
        </w:rPr>
        <w:t xml:space="preserve">£34m) was made to the French tax authorities relating to a historic tax liability. This amount was fully provided for </w:t>
      </w:r>
      <w:r>
        <w:rPr>
          <w:rFonts w:ascii="Arial" w:eastAsiaTheme="minorHAnsi" w:hAnsi="Arial" w:cs="Arial"/>
        </w:rPr>
        <w:t>in prior periods</w:t>
      </w:r>
      <w:r w:rsidRPr="00DB7957">
        <w:rPr>
          <w:rFonts w:ascii="Arial" w:eastAsiaTheme="minorHAnsi" w:hAnsi="Arial" w:cs="Arial"/>
        </w:rPr>
        <w:t>.</w:t>
      </w:r>
    </w:p>
    <w:p w14:paraId="6BAD3F8B" w14:textId="77777777" w:rsidR="007854A9" w:rsidRDefault="007854A9" w:rsidP="007854A9">
      <w:pPr>
        <w:jc w:val="left"/>
        <w:rPr>
          <w:rFonts w:ascii="Arial" w:hAnsi="Arial" w:cs="Arial"/>
        </w:rPr>
      </w:pPr>
    </w:p>
    <w:p w14:paraId="7637D670" w14:textId="77777777" w:rsidR="007854A9" w:rsidRPr="00BD028A" w:rsidRDefault="007854A9" w:rsidP="007854A9">
      <w:pPr>
        <w:jc w:val="left"/>
        <w:rPr>
          <w:rFonts w:ascii="Arial" w:hAnsi="Arial" w:cs="Arial"/>
        </w:rPr>
      </w:pPr>
      <w:r w:rsidRPr="00914333">
        <w:rPr>
          <w:rFonts w:ascii="Arial" w:hAnsi="Arial" w:cs="Arial"/>
        </w:rPr>
        <w:t xml:space="preserve">The statutory tax rates applicable to this financial year and the </w:t>
      </w:r>
      <w:r w:rsidRPr="00C26A3B">
        <w:rPr>
          <w:rFonts w:ascii="Arial" w:hAnsi="Arial" w:cs="Arial"/>
        </w:rPr>
        <w:t>expected statutory tax rates for next year in our main jurisdictions are as follows:</w:t>
      </w:r>
    </w:p>
    <w:p w14:paraId="572A840B" w14:textId="77777777" w:rsidR="007854A9" w:rsidRPr="004E3B34" w:rsidRDefault="007854A9" w:rsidP="007854A9">
      <w:pPr>
        <w:jc w:val="left"/>
        <w:rPr>
          <w:rFonts w:ascii="Arial" w:hAnsi="Arial" w:cs="Arial"/>
        </w:rPr>
      </w:pPr>
    </w:p>
    <w:tbl>
      <w:tblPr>
        <w:tblStyle w:val="TableGrid1"/>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700"/>
        <w:gridCol w:w="2702"/>
      </w:tblGrid>
      <w:tr w:rsidR="007854A9" w:rsidRPr="009951C3" w14:paraId="0459318D" w14:textId="77777777" w:rsidTr="003D4ACC">
        <w:trPr>
          <w:trHeight w:val="540"/>
        </w:trPr>
        <w:tc>
          <w:tcPr>
            <w:tcW w:w="4535" w:type="dxa"/>
            <w:tcBorders>
              <w:bottom w:val="single" w:sz="4" w:space="0" w:color="auto"/>
            </w:tcBorders>
            <w:vAlign w:val="center"/>
          </w:tcPr>
          <w:p w14:paraId="15186F7E" w14:textId="77777777" w:rsidR="007854A9" w:rsidRPr="00173C14" w:rsidRDefault="007854A9" w:rsidP="003D4ACC">
            <w:pPr>
              <w:jc w:val="left"/>
              <w:rPr>
                <w:rFonts w:ascii="Arial" w:hAnsi="Arial" w:cs="Arial"/>
                <w:b/>
              </w:rPr>
            </w:pPr>
          </w:p>
        </w:tc>
        <w:tc>
          <w:tcPr>
            <w:tcW w:w="2700" w:type="dxa"/>
            <w:tcBorders>
              <w:bottom w:val="single" w:sz="4" w:space="0" w:color="auto"/>
            </w:tcBorders>
            <w:vAlign w:val="center"/>
          </w:tcPr>
          <w:p w14:paraId="6579F1EA" w14:textId="77777777" w:rsidR="007854A9" w:rsidRPr="009951C3" w:rsidRDefault="007854A9" w:rsidP="003D4ACC">
            <w:pPr>
              <w:jc w:val="right"/>
              <w:rPr>
                <w:rFonts w:ascii="Arial" w:hAnsi="Arial" w:cs="Arial"/>
                <w:bCs/>
              </w:rPr>
            </w:pPr>
            <w:r w:rsidRPr="009951C3">
              <w:rPr>
                <w:rFonts w:ascii="Arial" w:hAnsi="Arial" w:cs="Arial"/>
                <w:bCs/>
              </w:rPr>
              <w:t>Statutory tax rate</w:t>
            </w:r>
          </w:p>
          <w:p w14:paraId="1242803E" w14:textId="77777777" w:rsidR="007854A9" w:rsidRPr="009951C3" w:rsidRDefault="007854A9" w:rsidP="003D4ACC">
            <w:pPr>
              <w:jc w:val="right"/>
              <w:rPr>
                <w:rFonts w:ascii="Arial" w:hAnsi="Arial" w:cs="Arial"/>
                <w:bCs/>
              </w:rPr>
            </w:pPr>
            <w:r w:rsidRPr="009951C3">
              <w:rPr>
                <w:rFonts w:ascii="Arial" w:hAnsi="Arial" w:cs="Arial"/>
                <w:bCs/>
              </w:rPr>
              <w:t>2023/24</w:t>
            </w:r>
          </w:p>
        </w:tc>
        <w:tc>
          <w:tcPr>
            <w:tcW w:w="2702" w:type="dxa"/>
            <w:tcBorders>
              <w:bottom w:val="single" w:sz="4" w:space="0" w:color="auto"/>
            </w:tcBorders>
            <w:vAlign w:val="center"/>
          </w:tcPr>
          <w:p w14:paraId="1C3E8306" w14:textId="77777777" w:rsidR="007854A9" w:rsidRPr="009951C3" w:rsidRDefault="007854A9" w:rsidP="003D4ACC">
            <w:pPr>
              <w:jc w:val="right"/>
              <w:rPr>
                <w:rFonts w:ascii="Arial" w:hAnsi="Arial" w:cs="Arial"/>
              </w:rPr>
            </w:pPr>
            <w:r w:rsidRPr="009951C3">
              <w:rPr>
                <w:rFonts w:ascii="Arial" w:hAnsi="Arial" w:cs="Arial"/>
              </w:rPr>
              <w:t>Statutory tax rate</w:t>
            </w:r>
          </w:p>
          <w:p w14:paraId="25352F02" w14:textId="77777777" w:rsidR="007854A9" w:rsidRPr="009951C3" w:rsidRDefault="007854A9" w:rsidP="003D4ACC">
            <w:pPr>
              <w:jc w:val="right"/>
              <w:rPr>
                <w:rFonts w:ascii="Arial" w:hAnsi="Arial" w:cs="Arial"/>
              </w:rPr>
            </w:pPr>
            <w:r w:rsidRPr="009951C3">
              <w:rPr>
                <w:rFonts w:ascii="Arial" w:hAnsi="Arial" w:cs="Arial"/>
              </w:rPr>
              <w:t>2022/23</w:t>
            </w:r>
          </w:p>
        </w:tc>
      </w:tr>
      <w:tr w:rsidR="007854A9" w:rsidRPr="009951C3" w14:paraId="60C16055" w14:textId="77777777" w:rsidTr="003D4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4535" w:type="dxa"/>
            <w:tcBorders>
              <w:top w:val="single" w:sz="4" w:space="0" w:color="auto"/>
              <w:left w:val="nil"/>
              <w:bottom w:val="nil"/>
              <w:right w:val="nil"/>
            </w:tcBorders>
            <w:vAlign w:val="center"/>
          </w:tcPr>
          <w:p w14:paraId="6CCEAF2F" w14:textId="77777777" w:rsidR="007854A9" w:rsidRPr="009951C3" w:rsidRDefault="007854A9" w:rsidP="003D4ACC">
            <w:pPr>
              <w:jc w:val="left"/>
              <w:rPr>
                <w:rFonts w:ascii="Arial" w:hAnsi="Arial" w:cs="Arial"/>
              </w:rPr>
            </w:pPr>
            <w:r w:rsidRPr="009951C3">
              <w:rPr>
                <w:rFonts w:ascii="Arial" w:hAnsi="Arial" w:cs="Arial"/>
              </w:rPr>
              <w:t>UK</w:t>
            </w:r>
          </w:p>
        </w:tc>
        <w:tc>
          <w:tcPr>
            <w:tcW w:w="2700" w:type="dxa"/>
            <w:tcBorders>
              <w:top w:val="single" w:sz="4" w:space="0" w:color="auto"/>
              <w:left w:val="nil"/>
              <w:bottom w:val="nil"/>
              <w:right w:val="nil"/>
            </w:tcBorders>
            <w:shd w:val="clear" w:color="auto" w:fill="auto"/>
            <w:vAlign w:val="center"/>
          </w:tcPr>
          <w:p w14:paraId="50238A6B" w14:textId="77777777" w:rsidR="007854A9" w:rsidRPr="00DF355A" w:rsidRDefault="007854A9" w:rsidP="003D4ACC">
            <w:pPr>
              <w:jc w:val="right"/>
              <w:rPr>
                <w:rFonts w:ascii="Arial" w:hAnsi="Arial" w:cs="Arial"/>
                <w:bCs/>
              </w:rPr>
            </w:pPr>
            <w:r w:rsidRPr="00DF355A">
              <w:rPr>
                <w:rFonts w:ascii="Arial" w:hAnsi="Arial" w:cs="Arial"/>
                <w:bCs/>
              </w:rPr>
              <w:t>24%</w:t>
            </w:r>
          </w:p>
        </w:tc>
        <w:tc>
          <w:tcPr>
            <w:tcW w:w="2702" w:type="dxa"/>
            <w:tcBorders>
              <w:top w:val="single" w:sz="4" w:space="0" w:color="auto"/>
              <w:left w:val="nil"/>
              <w:bottom w:val="nil"/>
              <w:right w:val="nil"/>
            </w:tcBorders>
            <w:vAlign w:val="center"/>
          </w:tcPr>
          <w:p w14:paraId="7E821DE2" w14:textId="77777777" w:rsidR="007854A9" w:rsidRPr="009951C3" w:rsidRDefault="007854A9" w:rsidP="003D4ACC">
            <w:pPr>
              <w:jc w:val="right"/>
              <w:rPr>
                <w:rFonts w:ascii="Arial" w:hAnsi="Arial" w:cs="Arial"/>
                <w:bCs/>
              </w:rPr>
            </w:pPr>
            <w:r w:rsidRPr="009951C3">
              <w:rPr>
                <w:rFonts w:ascii="Arial" w:hAnsi="Arial" w:cs="Arial"/>
                <w:bCs/>
              </w:rPr>
              <w:t>19%</w:t>
            </w:r>
          </w:p>
        </w:tc>
      </w:tr>
      <w:tr w:rsidR="007854A9" w:rsidRPr="009951C3" w14:paraId="6DBA2A35" w14:textId="77777777" w:rsidTr="003D4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4535" w:type="dxa"/>
            <w:tcBorders>
              <w:top w:val="nil"/>
              <w:left w:val="nil"/>
              <w:bottom w:val="nil"/>
              <w:right w:val="nil"/>
            </w:tcBorders>
            <w:vAlign w:val="center"/>
          </w:tcPr>
          <w:p w14:paraId="7599992F" w14:textId="77777777" w:rsidR="007854A9" w:rsidRPr="009951C3" w:rsidRDefault="007854A9" w:rsidP="003D4ACC">
            <w:pPr>
              <w:jc w:val="left"/>
              <w:rPr>
                <w:rFonts w:ascii="Arial" w:hAnsi="Arial" w:cs="Arial"/>
              </w:rPr>
            </w:pPr>
            <w:r w:rsidRPr="009951C3">
              <w:rPr>
                <w:rFonts w:ascii="Arial" w:hAnsi="Arial" w:cs="Arial"/>
              </w:rPr>
              <w:t>France</w:t>
            </w:r>
          </w:p>
        </w:tc>
        <w:tc>
          <w:tcPr>
            <w:tcW w:w="2700" w:type="dxa"/>
            <w:tcBorders>
              <w:top w:val="nil"/>
              <w:left w:val="nil"/>
              <w:bottom w:val="nil"/>
              <w:right w:val="nil"/>
            </w:tcBorders>
            <w:shd w:val="clear" w:color="auto" w:fill="auto"/>
            <w:vAlign w:val="center"/>
          </w:tcPr>
          <w:p w14:paraId="20968707" w14:textId="77777777" w:rsidR="007854A9" w:rsidRPr="00DF355A" w:rsidRDefault="007854A9" w:rsidP="003D4ACC">
            <w:pPr>
              <w:jc w:val="right"/>
              <w:rPr>
                <w:rFonts w:ascii="Arial" w:hAnsi="Arial" w:cs="Arial"/>
                <w:bCs/>
              </w:rPr>
            </w:pPr>
            <w:r w:rsidRPr="00DF355A">
              <w:rPr>
                <w:rFonts w:ascii="Arial" w:hAnsi="Arial" w:cs="Arial"/>
                <w:bCs/>
              </w:rPr>
              <w:t>26%</w:t>
            </w:r>
          </w:p>
        </w:tc>
        <w:tc>
          <w:tcPr>
            <w:tcW w:w="2702" w:type="dxa"/>
            <w:tcBorders>
              <w:top w:val="nil"/>
              <w:left w:val="nil"/>
              <w:bottom w:val="nil"/>
              <w:right w:val="nil"/>
            </w:tcBorders>
            <w:vAlign w:val="center"/>
          </w:tcPr>
          <w:p w14:paraId="49C6E132" w14:textId="77777777" w:rsidR="007854A9" w:rsidRPr="009951C3" w:rsidRDefault="007854A9" w:rsidP="003D4ACC">
            <w:pPr>
              <w:jc w:val="right"/>
              <w:rPr>
                <w:rFonts w:ascii="Arial" w:hAnsi="Arial" w:cs="Arial"/>
                <w:bCs/>
              </w:rPr>
            </w:pPr>
            <w:r w:rsidRPr="009951C3">
              <w:rPr>
                <w:rFonts w:ascii="Arial" w:hAnsi="Arial" w:cs="Arial"/>
                <w:bCs/>
              </w:rPr>
              <w:t>26%</w:t>
            </w:r>
          </w:p>
        </w:tc>
      </w:tr>
      <w:tr w:rsidR="007854A9" w:rsidRPr="00173C14" w14:paraId="0E675AD6" w14:textId="77777777" w:rsidTr="003D4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4535" w:type="dxa"/>
            <w:tcBorders>
              <w:top w:val="nil"/>
              <w:left w:val="nil"/>
              <w:bottom w:val="single" w:sz="4" w:space="0" w:color="auto"/>
              <w:right w:val="nil"/>
            </w:tcBorders>
            <w:vAlign w:val="center"/>
          </w:tcPr>
          <w:p w14:paraId="19F21470" w14:textId="77777777" w:rsidR="007854A9" w:rsidRPr="009951C3" w:rsidRDefault="007854A9" w:rsidP="003D4ACC">
            <w:pPr>
              <w:jc w:val="left"/>
              <w:rPr>
                <w:rFonts w:ascii="Arial" w:hAnsi="Arial" w:cs="Arial"/>
              </w:rPr>
            </w:pPr>
            <w:r w:rsidRPr="009951C3">
              <w:rPr>
                <w:rFonts w:ascii="Arial" w:hAnsi="Arial" w:cs="Arial"/>
              </w:rPr>
              <w:t>Poland</w:t>
            </w:r>
          </w:p>
        </w:tc>
        <w:tc>
          <w:tcPr>
            <w:tcW w:w="2700" w:type="dxa"/>
            <w:tcBorders>
              <w:top w:val="nil"/>
              <w:left w:val="nil"/>
              <w:bottom w:val="single" w:sz="4" w:space="0" w:color="auto"/>
              <w:right w:val="nil"/>
            </w:tcBorders>
            <w:shd w:val="clear" w:color="auto" w:fill="auto"/>
            <w:vAlign w:val="center"/>
          </w:tcPr>
          <w:p w14:paraId="7706D6CA" w14:textId="77777777" w:rsidR="007854A9" w:rsidRPr="00DF355A" w:rsidRDefault="007854A9" w:rsidP="003D4ACC">
            <w:pPr>
              <w:jc w:val="right"/>
              <w:rPr>
                <w:rFonts w:ascii="Arial" w:hAnsi="Arial" w:cs="Arial"/>
                <w:bCs/>
              </w:rPr>
            </w:pPr>
            <w:r w:rsidRPr="00DF355A">
              <w:rPr>
                <w:rFonts w:ascii="Arial" w:hAnsi="Arial" w:cs="Arial"/>
                <w:bCs/>
              </w:rPr>
              <w:t>19%</w:t>
            </w:r>
          </w:p>
        </w:tc>
        <w:tc>
          <w:tcPr>
            <w:tcW w:w="2702" w:type="dxa"/>
            <w:tcBorders>
              <w:top w:val="nil"/>
              <w:left w:val="nil"/>
              <w:bottom w:val="single" w:sz="4" w:space="0" w:color="auto"/>
              <w:right w:val="nil"/>
            </w:tcBorders>
            <w:vAlign w:val="center"/>
          </w:tcPr>
          <w:p w14:paraId="5C6AF5DF" w14:textId="77777777" w:rsidR="007854A9" w:rsidRPr="00173C14" w:rsidRDefault="007854A9" w:rsidP="003D4ACC">
            <w:pPr>
              <w:jc w:val="right"/>
              <w:rPr>
                <w:rFonts w:ascii="Arial" w:hAnsi="Arial" w:cs="Arial"/>
                <w:bCs/>
              </w:rPr>
            </w:pPr>
            <w:r w:rsidRPr="009951C3">
              <w:rPr>
                <w:rFonts w:ascii="Arial" w:hAnsi="Arial" w:cs="Arial"/>
                <w:bCs/>
              </w:rPr>
              <w:t>19%</w:t>
            </w:r>
          </w:p>
        </w:tc>
      </w:tr>
    </w:tbl>
    <w:p w14:paraId="2E1469A8" w14:textId="77777777" w:rsidR="007854A9" w:rsidRPr="004E3B34" w:rsidRDefault="007854A9" w:rsidP="007854A9">
      <w:pPr>
        <w:jc w:val="left"/>
        <w:rPr>
          <w:rFonts w:ascii="Arial" w:hAnsi="Arial" w:cs="Arial"/>
        </w:rPr>
      </w:pPr>
    </w:p>
    <w:p w14:paraId="6026286C" w14:textId="7A1A98C0" w:rsidR="007854A9" w:rsidRPr="004E3B34" w:rsidRDefault="007854A9" w:rsidP="007854A9">
      <w:pPr>
        <w:jc w:val="left"/>
        <w:rPr>
          <w:rFonts w:ascii="Arial" w:hAnsi="Arial" w:cs="Arial"/>
        </w:rPr>
      </w:pPr>
      <w:r w:rsidRPr="000509AE">
        <w:rPr>
          <w:rFonts w:ascii="Arial" w:hAnsi="Arial" w:cs="Arial"/>
          <w:b/>
        </w:rPr>
        <w:t>Adjusted basic earnings per share</w:t>
      </w:r>
      <w:r w:rsidRPr="000509AE">
        <w:rPr>
          <w:rFonts w:ascii="Arial" w:hAnsi="Arial" w:cs="Arial"/>
        </w:rPr>
        <w:t xml:space="preserve"> decreased by </w:t>
      </w:r>
      <w:r w:rsidRPr="00BD3974">
        <w:rPr>
          <w:rFonts w:ascii="Arial" w:hAnsi="Arial" w:cs="Arial"/>
        </w:rPr>
        <w:t>15.</w:t>
      </w:r>
      <w:r w:rsidR="00B83878">
        <w:rPr>
          <w:rFonts w:ascii="Arial" w:hAnsi="Arial" w:cs="Arial"/>
        </w:rPr>
        <w:t>6</w:t>
      </w:r>
      <w:r w:rsidRPr="006524DA">
        <w:rPr>
          <w:rFonts w:ascii="Arial" w:hAnsi="Arial" w:cs="Arial"/>
        </w:rPr>
        <w:t xml:space="preserve">% to </w:t>
      </w:r>
      <w:r w:rsidRPr="00BD3974">
        <w:rPr>
          <w:rFonts w:ascii="Arial" w:hAnsi="Arial" w:cs="Arial"/>
        </w:rPr>
        <w:t>29.</w:t>
      </w:r>
      <w:r>
        <w:rPr>
          <w:rFonts w:ascii="Arial" w:hAnsi="Arial" w:cs="Arial"/>
        </w:rPr>
        <w:t>7</w:t>
      </w:r>
      <w:r w:rsidRPr="006524DA">
        <w:rPr>
          <w:rFonts w:ascii="Arial" w:hAnsi="Arial" w:cs="Arial"/>
        </w:rPr>
        <w:t xml:space="preserve">p </w:t>
      </w:r>
      <w:r w:rsidRPr="006524DA">
        <w:rPr>
          <w:rFonts w:ascii="Arial" w:hAnsi="Arial" w:cs="Arial"/>
          <w:szCs w:val="24"/>
        </w:rPr>
        <w:t>(FY 21/22: 35.2p)</w:t>
      </w:r>
      <w:r w:rsidRPr="006524DA">
        <w:rPr>
          <w:rFonts w:ascii="Arial" w:hAnsi="Arial" w:cs="Arial"/>
        </w:rPr>
        <w:t xml:space="preserve">, which excludes the impact of adjusting items. </w:t>
      </w:r>
      <w:r w:rsidRPr="006524DA">
        <w:rPr>
          <w:rFonts w:ascii="Arial" w:hAnsi="Arial" w:cs="Arial"/>
          <w:b/>
        </w:rPr>
        <w:t>Basic earnings per share</w:t>
      </w:r>
      <w:r w:rsidRPr="006524DA">
        <w:rPr>
          <w:rFonts w:ascii="Arial" w:hAnsi="Arial" w:cs="Arial"/>
        </w:rPr>
        <w:t xml:space="preserve"> decreased by </w:t>
      </w:r>
      <w:r w:rsidRPr="00BD3974">
        <w:rPr>
          <w:rFonts w:ascii="Arial" w:hAnsi="Arial" w:cs="Arial"/>
        </w:rPr>
        <w:t>4</w:t>
      </w:r>
      <w:r w:rsidR="00D92DA2">
        <w:rPr>
          <w:rFonts w:ascii="Arial" w:hAnsi="Arial" w:cs="Arial"/>
        </w:rPr>
        <w:t>0</w:t>
      </w:r>
      <w:r w:rsidRPr="00BD3974">
        <w:rPr>
          <w:rFonts w:ascii="Arial" w:hAnsi="Arial" w:cs="Arial"/>
        </w:rPr>
        <w:t>.</w:t>
      </w:r>
      <w:r w:rsidR="00D92DA2">
        <w:rPr>
          <w:rFonts w:ascii="Arial" w:hAnsi="Arial" w:cs="Arial"/>
        </w:rPr>
        <w:t>9</w:t>
      </w:r>
      <w:r w:rsidRPr="006524DA">
        <w:rPr>
          <w:rFonts w:ascii="Arial" w:hAnsi="Arial" w:cs="Arial"/>
        </w:rPr>
        <w:t>% to</w:t>
      </w:r>
      <w:r w:rsidRPr="00FB39DB">
        <w:rPr>
          <w:rFonts w:ascii="Arial" w:hAnsi="Arial" w:cs="Arial"/>
        </w:rPr>
        <w:t xml:space="preserve"> </w:t>
      </w:r>
      <w:r w:rsidRPr="00BD3974">
        <w:rPr>
          <w:rFonts w:ascii="Arial" w:hAnsi="Arial" w:cs="Arial"/>
        </w:rPr>
        <w:t>2</w:t>
      </w:r>
      <w:r w:rsidR="004A5AE9">
        <w:rPr>
          <w:rFonts w:ascii="Arial" w:hAnsi="Arial" w:cs="Arial"/>
        </w:rPr>
        <w:t>3</w:t>
      </w:r>
      <w:r>
        <w:rPr>
          <w:rFonts w:ascii="Arial" w:hAnsi="Arial" w:cs="Arial"/>
        </w:rPr>
        <w:t>.</w:t>
      </w:r>
      <w:r w:rsidR="004A5AE9">
        <w:rPr>
          <w:rFonts w:ascii="Arial" w:hAnsi="Arial" w:cs="Arial"/>
        </w:rPr>
        <w:t>8</w:t>
      </w:r>
      <w:r w:rsidRPr="00FB39DB">
        <w:rPr>
          <w:rFonts w:ascii="Arial" w:hAnsi="Arial" w:cs="Arial"/>
        </w:rPr>
        <w:t xml:space="preserve">p </w:t>
      </w:r>
      <w:r w:rsidRPr="00FB39DB">
        <w:rPr>
          <w:rFonts w:ascii="Arial" w:hAnsi="Arial" w:cs="Arial"/>
          <w:szCs w:val="24"/>
        </w:rPr>
        <w:t>(FY 21/22: 40.3p)</w:t>
      </w:r>
      <w:r w:rsidRPr="00FB39DB">
        <w:rPr>
          <w:rFonts w:ascii="Arial" w:hAnsi="Arial" w:cs="Arial"/>
        </w:rPr>
        <w:t xml:space="preserve"> as set out below:</w:t>
      </w:r>
    </w:p>
    <w:p w14:paraId="32E9A1A2" w14:textId="77777777" w:rsidR="007854A9" w:rsidRPr="004E3B34" w:rsidRDefault="007854A9" w:rsidP="007854A9">
      <w:pPr>
        <w:jc w:val="left"/>
        <w:rPr>
          <w:rFonts w:ascii="Arial" w:hAnsi="Arial" w:cs="Arial"/>
        </w:rPr>
      </w:pPr>
    </w:p>
    <w:tbl>
      <w:tblPr>
        <w:tblW w:w="5000" w:type="pct"/>
        <w:tblLook w:val="01E0" w:firstRow="1" w:lastRow="1" w:firstColumn="1" w:lastColumn="1" w:noHBand="0" w:noVBand="0"/>
      </w:tblPr>
      <w:tblGrid>
        <w:gridCol w:w="4730"/>
        <w:gridCol w:w="1397"/>
        <w:gridCol w:w="1397"/>
        <w:gridCol w:w="1397"/>
        <w:gridCol w:w="1397"/>
      </w:tblGrid>
      <w:tr w:rsidR="007854A9" w:rsidRPr="004E3B34" w14:paraId="0920F0AD" w14:textId="77777777" w:rsidTr="003D4ACC">
        <w:tc>
          <w:tcPr>
            <w:tcW w:w="2292" w:type="pct"/>
            <w:tcBorders>
              <w:top w:val="nil"/>
              <w:left w:val="nil"/>
              <w:bottom w:val="single" w:sz="4" w:space="0" w:color="auto"/>
              <w:right w:val="nil"/>
            </w:tcBorders>
            <w:vAlign w:val="center"/>
          </w:tcPr>
          <w:p w14:paraId="47EA9AFE" w14:textId="77777777" w:rsidR="007854A9" w:rsidRPr="004E3B34" w:rsidRDefault="007854A9" w:rsidP="003D4ACC">
            <w:pPr>
              <w:jc w:val="left"/>
              <w:rPr>
                <w:rFonts w:ascii="Arial" w:hAnsi="Arial" w:cs="Arial"/>
              </w:rPr>
            </w:pPr>
          </w:p>
        </w:tc>
        <w:tc>
          <w:tcPr>
            <w:tcW w:w="677" w:type="pct"/>
            <w:tcBorders>
              <w:top w:val="nil"/>
              <w:left w:val="nil"/>
              <w:bottom w:val="single" w:sz="4" w:space="0" w:color="auto"/>
              <w:right w:val="nil"/>
            </w:tcBorders>
            <w:vAlign w:val="center"/>
          </w:tcPr>
          <w:p w14:paraId="0E48E5A2" w14:textId="77777777" w:rsidR="007854A9" w:rsidRPr="004E3B34" w:rsidRDefault="007854A9" w:rsidP="003D4ACC">
            <w:pPr>
              <w:jc w:val="right"/>
              <w:rPr>
                <w:rFonts w:ascii="Arial" w:hAnsi="Arial" w:cs="Arial"/>
                <w:b/>
              </w:rPr>
            </w:pPr>
          </w:p>
          <w:p w14:paraId="1D9E25C9" w14:textId="77777777" w:rsidR="007854A9" w:rsidRPr="004E3B34" w:rsidRDefault="007854A9" w:rsidP="003D4ACC">
            <w:pPr>
              <w:jc w:val="right"/>
              <w:rPr>
                <w:rFonts w:ascii="Arial" w:hAnsi="Arial" w:cs="Arial"/>
                <w:b/>
              </w:rPr>
            </w:pPr>
            <w:r w:rsidRPr="004E3B34">
              <w:rPr>
                <w:rFonts w:ascii="Arial" w:hAnsi="Arial" w:cs="Arial"/>
                <w:b/>
              </w:rPr>
              <w:t>Earnings</w:t>
            </w:r>
            <w:r w:rsidRPr="004E3B34">
              <w:rPr>
                <w:rFonts w:ascii="Arial" w:hAnsi="Arial" w:cs="Arial"/>
                <w:b/>
                <w:vertAlign w:val="superscript"/>
              </w:rPr>
              <w:t>(1)</w:t>
            </w:r>
          </w:p>
          <w:p w14:paraId="571C50C2" w14:textId="77777777" w:rsidR="007854A9" w:rsidRPr="004E3B34" w:rsidRDefault="007854A9" w:rsidP="003D4ACC">
            <w:pPr>
              <w:jc w:val="right"/>
              <w:rPr>
                <w:rFonts w:ascii="Arial" w:hAnsi="Arial" w:cs="Arial"/>
                <w:b/>
              </w:rPr>
            </w:pPr>
            <w:r w:rsidRPr="004E3B34">
              <w:rPr>
                <w:rFonts w:ascii="Arial" w:hAnsi="Arial" w:cs="Arial"/>
                <w:b/>
              </w:rPr>
              <w:t>£m</w:t>
            </w:r>
          </w:p>
        </w:tc>
        <w:tc>
          <w:tcPr>
            <w:tcW w:w="677" w:type="pct"/>
            <w:tcBorders>
              <w:top w:val="nil"/>
              <w:left w:val="nil"/>
              <w:bottom w:val="single" w:sz="4" w:space="0" w:color="auto"/>
              <w:right w:val="nil"/>
            </w:tcBorders>
            <w:vAlign w:val="center"/>
            <w:hideMark/>
          </w:tcPr>
          <w:p w14:paraId="7452F9EA" w14:textId="77777777" w:rsidR="007854A9" w:rsidRPr="004E3B34" w:rsidRDefault="007854A9" w:rsidP="003D4ACC">
            <w:pPr>
              <w:jc w:val="right"/>
              <w:rPr>
                <w:rFonts w:ascii="Arial" w:hAnsi="Arial" w:cs="Arial"/>
                <w:b/>
              </w:rPr>
            </w:pPr>
            <w:r w:rsidRPr="004E3B34">
              <w:rPr>
                <w:rFonts w:ascii="Arial" w:hAnsi="Arial" w:cs="Arial"/>
                <w:b/>
              </w:rPr>
              <w:t>202</w:t>
            </w:r>
            <w:r>
              <w:rPr>
                <w:rFonts w:ascii="Arial" w:hAnsi="Arial" w:cs="Arial"/>
                <w:b/>
              </w:rPr>
              <w:t>2</w:t>
            </w:r>
            <w:r w:rsidRPr="004E3B34">
              <w:rPr>
                <w:rFonts w:ascii="Arial" w:hAnsi="Arial" w:cs="Arial"/>
                <w:b/>
              </w:rPr>
              <w:t>/2</w:t>
            </w:r>
            <w:r>
              <w:rPr>
                <w:rFonts w:ascii="Arial" w:hAnsi="Arial" w:cs="Arial"/>
                <w:b/>
              </w:rPr>
              <w:t>3</w:t>
            </w:r>
          </w:p>
          <w:p w14:paraId="2E4A853D" w14:textId="77777777" w:rsidR="007854A9" w:rsidRPr="004E3B34" w:rsidRDefault="007854A9" w:rsidP="003D4ACC">
            <w:pPr>
              <w:jc w:val="right"/>
              <w:rPr>
                <w:rFonts w:ascii="Arial" w:hAnsi="Arial" w:cs="Arial"/>
                <w:b/>
              </w:rPr>
            </w:pPr>
            <w:r w:rsidRPr="004E3B34">
              <w:rPr>
                <w:rFonts w:ascii="Arial" w:hAnsi="Arial" w:cs="Arial"/>
                <w:b/>
              </w:rPr>
              <w:t>EPS</w:t>
            </w:r>
          </w:p>
          <w:p w14:paraId="7BE6391E" w14:textId="77777777" w:rsidR="007854A9" w:rsidRPr="004E3B34" w:rsidRDefault="007854A9" w:rsidP="003D4ACC">
            <w:pPr>
              <w:jc w:val="right"/>
              <w:rPr>
                <w:rFonts w:ascii="Arial" w:hAnsi="Arial" w:cs="Arial"/>
                <w:b/>
              </w:rPr>
            </w:pPr>
            <w:r w:rsidRPr="004E3B34">
              <w:rPr>
                <w:rFonts w:ascii="Arial" w:hAnsi="Arial" w:cs="Arial"/>
                <w:b/>
              </w:rPr>
              <w:t>pence</w:t>
            </w:r>
          </w:p>
        </w:tc>
        <w:tc>
          <w:tcPr>
            <w:tcW w:w="677" w:type="pct"/>
            <w:tcBorders>
              <w:top w:val="nil"/>
              <w:left w:val="nil"/>
              <w:bottom w:val="single" w:sz="4" w:space="0" w:color="auto"/>
              <w:right w:val="nil"/>
            </w:tcBorders>
            <w:vAlign w:val="center"/>
          </w:tcPr>
          <w:p w14:paraId="4A2A2A6F" w14:textId="77777777" w:rsidR="007854A9" w:rsidRPr="004E3B34" w:rsidRDefault="007854A9" w:rsidP="003D4ACC">
            <w:pPr>
              <w:jc w:val="right"/>
              <w:rPr>
                <w:rFonts w:ascii="Arial" w:hAnsi="Arial" w:cs="Arial"/>
              </w:rPr>
            </w:pPr>
          </w:p>
          <w:p w14:paraId="4EAACBF3" w14:textId="77777777" w:rsidR="007854A9" w:rsidRPr="004E3B34" w:rsidRDefault="007854A9" w:rsidP="003D4ACC">
            <w:pPr>
              <w:jc w:val="right"/>
              <w:rPr>
                <w:rFonts w:ascii="Arial" w:hAnsi="Arial" w:cs="Arial"/>
              </w:rPr>
            </w:pPr>
            <w:r w:rsidRPr="004E3B34">
              <w:rPr>
                <w:rFonts w:ascii="Arial" w:hAnsi="Arial" w:cs="Arial"/>
              </w:rPr>
              <w:t>Earnings</w:t>
            </w:r>
            <w:r w:rsidRPr="004E3B34">
              <w:rPr>
                <w:rFonts w:ascii="Arial" w:hAnsi="Arial" w:cs="Arial"/>
                <w:vertAlign w:val="superscript"/>
              </w:rPr>
              <w:t>(1)</w:t>
            </w:r>
          </w:p>
          <w:p w14:paraId="095F0B23" w14:textId="77777777" w:rsidR="007854A9" w:rsidRPr="004E3B34" w:rsidRDefault="007854A9" w:rsidP="003D4ACC">
            <w:pPr>
              <w:jc w:val="right"/>
              <w:rPr>
                <w:rFonts w:ascii="Arial" w:hAnsi="Arial" w:cs="Arial"/>
              </w:rPr>
            </w:pPr>
            <w:r w:rsidRPr="004E3B34">
              <w:rPr>
                <w:rFonts w:ascii="Arial" w:hAnsi="Arial" w:cs="Arial"/>
              </w:rPr>
              <w:t>£m</w:t>
            </w:r>
          </w:p>
        </w:tc>
        <w:tc>
          <w:tcPr>
            <w:tcW w:w="677" w:type="pct"/>
            <w:tcBorders>
              <w:top w:val="nil"/>
              <w:left w:val="nil"/>
              <w:bottom w:val="single" w:sz="4" w:space="0" w:color="auto"/>
              <w:right w:val="nil"/>
            </w:tcBorders>
            <w:vAlign w:val="center"/>
            <w:hideMark/>
          </w:tcPr>
          <w:p w14:paraId="1E3AF9BC" w14:textId="77777777" w:rsidR="007854A9" w:rsidRPr="004E3B34" w:rsidRDefault="007854A9" w:rsidP="003D4ACC">
            <w:pPr>
              <w:jc w:val="right"/>
              <w:rPr>
                <w:rFonts w:ascii="Arial" w:hAnsi="Arial" w:cs="Arial"/>
              </w:rPr>
            </w:pPr>
            <w:r w:rsidRPr="004E3B34">
              <w:rPr>
                <w:rFonts w:ascii="Arial" w:hAnsi="Arial" w:cs="Arial"/>
              </w:rPr>
              <w:t>202</w:t>
            </w:r>
            <w:r>
              <w:rPr>
                <w:rFonts w:ascii="Arial" w:hAnsi="Arial" w:cs="Arial"/>
              </w:rPr>
              <w:t>1</w:t>
            </w:r>
            <w:r w:rsidRPr="004E3B34">
              <w:rPr>
                <w:rFonts w:ascii="Arial" w:hAnsi="Arial" w:cs="Arial"/>
              </w:rPr>
              <w:t>/2</w:t>
            </w:r>
            <w:r>
              <w:rPr>
                <w:rFonts w:ascii="Arial" w:hAnsi="Arial" w:cs="Arial"/>
              </w:rPr>
              <w:t>2</w:t>
            </w:r>
          </w:p>
          <w:p w14:paraId="578B67BA" w14:textId="77777777" w:rsidR="007854A9" w:rsidRPr="004E3B34" w:rsidRDefault="007854A9" w:rsidP="003D4ACC">
            <w:pPr>
              <w:jc w:val="right"/>
              <w:rPr>
                <w:rFonts w:ascii="Arial" w:hAnsi="Arial" w:cs="Arial"/>
              </w:rPr>
            </w:pPr>
            <w:r w:rsidRPr="004E3B34">
              <w:rPr>
                <w:rFonts w:ascii="Arial" w:hAnsi="Arial" w:cs="Arial"/>
              </w:rPr>
              <w:t>EPS</w:t>
            </w:r>
          </w:p>
          <w:p w14:paraId="1A1740E2" w14:textId="77777777" w:rsidR="007854A9" w:rsidRPr="004E3B34" w:rsidRDefault="007854A9" w:rsidP="003D4ACC">
            <w:pPr>
              <w:jc w:val="right"/>
              <w:rPr>
                <w:rFonts w:ascii="Arial" w:hAnsi="Arial" w:cs="Arial"/>
              </w:rPr>
            </w:pPr>
            <w:r w:rsidRPr="004E3B34">
              <w:rPr>
                <w:rFonts w:ascii="Arial" w:hAnsi="Arial" w:cs="Arial"/>
              </w:rPr>
              <w:t>pence</w:t>
            </w:r>
          </w:p>
        </w:tc>
      </w:tr>
      <w:tr w:rsidR="007854A9" w:rsidRPr="004E3B34" w14:paraId="12D73FCD" w14:textId="77777777" w:rsidTr="003D4ACC">
        <w:trPr>
          <w:trHeight w:val="266"/>
        </w:trPr>
        <w:tc>
          <w:tcPr>
            <w:tcW w:w="2292" w:type="pct"/>
            <w:tcBorders>
              <w:top w:val="single" w:sz="4" w:space="0" w:color="auto"/>
              <w:left w:val="nil"/>
              <w:bottom w:val="nil"/>
              <w:right w:val="nil"/>
            </w:tcBorders>
            <w:vAlign w:val="center"/>
          </w:tcPr>
          <w:p w14:paraId="4FBDD6C4" w14:textId="77777777" w:rsidR="007854A9" w:rsidRPr="004E3B34" w:rsidRDefault="007854A9" w:rsidP="003D4ACC">
            <w:pPr>
              <w:jc w:val="left"/>
              <w:rPr>
                <w:rFonts w:ascii="Arial" w:hAnsi="Arial" w:cs="Arial"/>
                <w:b/>
                <w:strike/>
              </w:rPr>
            </w:pPr>
            <w:r w:rsidRPr="004E3B34">
              <w:rPr>
                <w:rFonts w:ascii="Arial" w:hAnsi="Arial" w:cs="Arial"/>
                <w:b/>
              </w:rPr>
              <w:t>Adjusted basic earnings per share</w:t>
            </w:r>
          </w:p>
        </w:tc>
        <w:tc>
          <w:tcPr>
            <w:tcW w:w="677" w:type="pct"/>
            <w:tcBorders>
              <w:top w:val="single" w:sz="4" w:space="0" w:color="auto"/>
              <w:left w:val="nil"/>
              <w:bottom w:val="nil"/>
              <w:right w:val="nil"/>
            </w:tcBorders>
            <w:vAlign w:val="center"/>
          </w:tcPr>
          <w:p w14:paraId="40E506B4" w14:textId="76212AD7" w:rsidR="007854A9" w:rsidRPr="00BD3974" w:rsidRDefault="00B25486" w:rsidP="003D4ACC">
            <w:pPr>
              <w:jc w:val="right"/>
              <w:rPr>
                <w:rFonts w:ascii="Arial" w:hAnsi="Arial" w:cs="Arial"/>
                <w:b/>
                <w:strike/>
              </w:rPr>
            </w:pPr>
            <w:r w:rsidRPr="00BD3974">
              <w:rPr>
                <w:rFonts w:ascii="Arial" w:hAnsi="Arial" w:cs="Arial"/>
                <w:b/>
              </w:rPr>
              <w:t>5</w:t>
            </w:r>
            <w:r>
              <w:rPr>
                <w:rFonts w:ascii="Arial" w:hAnsi="Arial" w:cs="Arial"/>
                <w:b/>
              </w:rPr>
              <w:t>89</w:t>
            </w:r>
          </w:p>
        </w:tc>
        <w:tc>
          <w:tcPr>
            <w:tcW w:w="677" w:type="pct"/>
            <w:tcBorders>
              <w:top w:val="single" w:sz="4" w:space="0" w:color="auto"/>
              <w:left w:val="nil"/>
              <w:bottom w:val="nil"/>
              <w:right w:val="nil"/>
            </w:tcBorders>
            <w:vAlign w:val="center"/>
          </w:tcPr>
          <w:p w14:paraId="2D3EF7A4" w14:textId="71756A6C" w:rsidR="007854A9" w:rsidRPr="005717CB" w:rsidRDefault="007854A9" w:rsidP="003D4ACC">
            <w:pPr>
              <w:jc w:val="right"/>
              <w:rPr>
                <w:rFonts w:ascii="Arial" w:hAnsi="Arial" w:cs="Arial"/>
                <w:b/>
                <w:strike/>
              </w:rPr>
            </w:pPr>
            <w:r w:rsidRPr="005717CB">
              <w:rPr>
                <w:rFonts w:ascii="Arial" w:hAnsi="Arial" w:cs="Arial"/>
                <w:b/>
              </w:rPr>
              <w:t>29.</w:t>
            </w:r>
            <w:r w:rsidR="008816B8">
              <w:rPr>
                <w:rFonts w:ascii="Arial" w:hAnsi="Arial" w:cs="Arial"/>
                <w:b/>
              </w:rPr>
              <w:t>7</w:t>
            </w:r>
          </w:p>
        </w:tc>
        <w:tc>
          <w:tcPr>
            <w:tcW w:w="677" w:type="pct"/>
            <w:tcBorders>
              <w:top w:val="single" w:sz="4" w:space="0" w:color="auto"/>
              <w:left w:val="nil"/>
              <w:bottom w:val="nil"/>
              <w:right w:val="nil"/>
            </w:tcBorders>
            <w:vAlign w:val="center"/>
          </w:tcPr>
          <w:p w14:paraId="63AF16A8" w14:textId="77777777" w:rsidR="007854A9" w:rsidRPr="00AE159D" w:rsidRDefault="007854A9" w:rsidP="003D4ACC">
            <w:pPr>
              <w:jc w:val="right"/>
              <w:rPr>
                <w:rFonts w:ascii="Arial" w:hAnsi="Arial" w:cs="Arial"/>
                <w:bCs/>
              </w:rPr>
            </w:pPr>
            <w:r w:rsidRPr="00AE159D">
              <w:rPr>
                <w:rFonts w:ascii="Arial" w:hAnsi="Arial" w:cs="Arial"/>
                <w:bCs/>
              </w:rPr>
              <w:t>737</w:t>
            </w:r>
          </w:p>
        </w:tc>
        <w:tc>
          <w:tcPr>
            <w:tcW w:w="677" w:type="pct"/>
            <w:tcBorders>
              <w:top w:val="single" w:sz="4" w:space="0" w:color="auto"/>
              <w:left w:val="nil"/>
              <w:bottom w:val="nil"/>
              <w:right w:val="nil"/>
            </w:tcBorders>
            <w:vAlign w:val="center"/>
          </w:tcPr>
          <w:p w14:paraId="4F052131" w14:textId="77777777" w:rsidR="007854A9" w:rsidRPr="00AE159D" w:rsidRDefault="007854A9" w:rsidP="003D4ACC">
            <w:pPr>
              <w:jc w:val="right"/>
              <w:rPr>
                <w:rFonts w:ascii="Arial" w:hAnsi="Arial" w:cs="Arial"/>
                <w:bCs/>
                <w:strike/>
              </w:rPr>
            </w:pPr>
            <w:r w:rsidRPr="00AE159D">
              <w:rPr>
                <w:rFonts w:ascii="Arial" w:hAnsi="Arial" w:cs="Arial"/>
                <w:bCs/>
              </w:rPr>
              <w:t>35.2</w:t>
            </w:r>
          </w:p>
        </w:tc>
      </w:tr>
      <w:tr w:rsidR="007854A9" w:rsidRPr="004E3B34" w14:paraId="5D7FB9A1" w14:textId="77777777" w:rsidTr="003D4ACC">
        <w:trPr>
          <w:trHeight w:val="266"/>
        </w:trPr>
        <w:tc>
          <w:tcPr>
            <w:tcW w:w="2292" w:type="pct"/>
            <w:vAlign w:val="center"/>
          </w:tcPr>
          <w:p w14:paraId="66B75DA2" w14:textId="77777777" w:rsidR="007854A9" w:rsidRPr="004E3B34" w:rsidRDefault="007854A9" w:rsidP="003D4ACC">
            <w:pPr>
              <w:jc w:val="left"/>
              <w:rPr>
                <w:rFonts w:ascii="Arial" w:hAnsi="Arial" w:cs="Arial"/>
                <w:strike/>
              </w:rPr>
            </w:pPr>
            <w:r w:rsidRPr="004E3B34">
              <w:rPr>
                <w:rFonts w:ascii="Arial" w:hAnsi="Arial" w:cs="Arial"/>
              </w:rPr>
              <w:t xml:space="preserve">Adjusting items before tax </w:t>
            </w:r>
          </w:p>
        </w:tc>
        <w:tc>
          <w:tcPr>
            <w:tcW w:w="677" w:type="pct"/>
            <w:shd w:val="clear" w:color="auto" w:fill="auto"/>
            <w:vAlign w:val="center"/>
          </w:tcPr>
          <w:p w14:paraId="238FF89A" w14:textId="6962F961" w:rsidR="007854A9" w:rsidRPr="005717CB" w:rsidRDefault="007854A9" w:rsidP="003D4ACC">
            <w:pPr>
              <w:jc w:val="right"/>
              <w:rPr>
                <w:rFonts w:ascii="Arial" w:hAnsi="Arial" w:cs="Arial"/>
                <w:b/>
                <w:strike/>
              </w:rPr>
            </w:pPr>
            <w:r w:rsidRPr="005717CB">
              <w:rPr>
                <w:rFonts w:ascii="Arial" w:hAnsi="Arial" w:cs="Arial"/>
                <w:b/>
              </w:rPr>
              <w:t>(</w:t>
            </w:r>
            <w:r w:rsidR="00595187">
              <w:rPr>
                <w:rFonts w:ascii="Arial" w:hAnsi="Arial" w:cs="Arial"/>
                <w:b/>
              </w:rPr>
              <w:t>147</w:t>
            </w:r>
            <w:r w:rsidRPr="005717CB">
              <w:rPr>
                <w:rFonts w:ascii="Arial" w:hAnsi="Arial" w:cs="Arial"/>
                <w:b/>
              </w:rPr>
              <w:t>)</w:t>
            </w:r>
          </w:p>
        </w:tc>
        <w:tc>
          <w:tcPr>
            <w:tcW w:w="677" w:type="pct"/>
            <w:shd w:val="clear" w:color="auto" w:fill="auto"/>
            <w:vAlign w:val="center"/>
          </w:tcPr>
          <w:p w14:paraId="6541033C" w14:textId="205599DD" w:rsidR="007854A9" w:rsidRPr="007005F4" w:rsidRDefault="007854A9" w:rsidP="003D4ACC">
            <w:pPr>
              <w:jc w:val="right"/>
              <w:rPr>
                <w:rFonts w:ascii="Arial" w:hAnsi="Arial" w:cs="Arial"/>
                <w:b/>
                <w:strike/>
              </w:rPr>
            </w:pPr>
            <w:r w:rsidRPr="007005F4">
              <w:rPr>
                <w:rFonts w:ascii="Arial" w:hAnsi="Arial" w:cs="Arial"/>
                <w:b/>
              </w:rPr>
              <w:t>(</w:t>
            </w:r>
            <w:r w:rsidR="00A365D8">
              <w:rPr>
                <w:rFonts w:ascii="Arial" w:hAnsi="Arial" w:cs="Arial"/>
                <w:b/>
              </w:rPr>
              <w:t>7</w:t>
            </w:r>
            <w:r w:rsidRPr="007005F4">
              <w:rPr>
                <w:rFonts w:ascii="Arial" w:hAnsi="Arial" w:cs="Arial"/>
                <w:b/>
              </w:rPr>
              <w:t>.</w:t>
            </w:r>
            <w:r w:rsidR="00A365D8">
              <w:rPr>
                <w:rFonts w:ascii="Arial" w:hAnsi="Arial" w:cs="Arial"/>
                <w:b/>
              </w:rPr>
              <w:t>4</w:t>
            </w:r>
            <w:r w:rsidRPr="007005F4">
              <w:rPr>
                <w:rFonts w:ascii="Arial" w:hAnsi="Arial" w:cs="Arial"/>
                <w:b/>
              </w:rPr>
              <w:t>)</w:t>
            </w:r>
          </w:p>
        </w:tc>
        <w:tc>
          <w:tcPr>
            <w:tcW w:w="677" w:type="pct"/>
            <w:shd w:val="clear" w:color="auto" w:fill="auto"/>
            <w:vAlign w:val="center"/>
          </w:tcPr>
          <w:p w14:paraId="0A260618" w14:textId="77777777" w:rsidR="007854A9" w:rsidRPr="00AE159D" w:rsidRDefault="007854A9" w:rsidP="003D4ACC">
            <w:pPr>
              <w:jc w:val="right"/>
              <w:rPr>
                <w:rFonts w:ascii="Arial" w:hAnsi="Arial" w:cs="Arial"/>
                <w:bCs/>
                <w:strike/>
              </w:rPr>
            </w:pPr>
            <w:r w:rsidRPr="00AE159D">
              <w:rPr>
                <w:rFonts w:ascii="Arial" w:hAnsi="Arial" w:cs="Arial"/>
                <w:bCs/>
              </w:rPr>
              <w:t>58</w:t>
            </w:r>
          </w:p>
        </w:tc>
        <w:tc>
          <w:tcPr>
            <w:tcW w:w="677" w:type="pct"/>
            <w:shd w:val="clear" w:color="auto" w:fill="auto"/>
            <w:vAlign w:val="center"/>
          </w:tcPr>
          <w:p w14:paraId="6FC46C68" w14:textId="77777777" w:rsidR="007854A9" w:rsidRPr="00AE159D" w:rsidRDefault="007854A9" w:rsidP="003D4ACC">
            <w:pPr>
              <w:jc w:val="right"/>
              <w:rPr>
                <w:rFonts w:ascii="Arial" w:hAnsi="Arial" w:cs="Arial"/>
                <w:bCs/>
                <w:strike/>
              </w:rPr>
            </w:pPr>
            <w:r w:rsidRPr="00AE159D">
              <w:rPr>
                <w:rFonts w:ascii="Arial" w:hAnsi="Arial" w:cs="Arial"/>
                <w:bCs/>
              </w:rPr>
              <w:t>2.8</w:t>
            </w:r>
          </w:p>
        </w:tc>
      </w:tr>
      <w:tr w:rsidR="007854A9" w:rsidRPr="004E3B34" w14:paraId="5F4BDD78" w14:textId="77777777" w:rsidTr="003D4ACC">
        <w:trPr>
          <w:trHeight w:val="266"/>
        </w:trPr>
        <w:tc>
          <w:tcPr>
            <w:tcW w:w="2292" w:type="pct"/>
            <w:vAlign w:val="center"/>
            <w:hideMark/>
          </w:tcPr>
          <w:p w14:paraId="08014C67" w14:textId="77777777" w:rsidR="007854A9" w:rsidRPr="004E3B34" w:rsidRDefault="007854A9" w:rsidP="003D4ACC">
            <w:pPr>
              <w:jc w:val="left"/>
              <w:rPr>
                <w:rFonts w:ascii="Arial" w:hAnsi="Arial" w:cs="Arial"/>
              </w:rPr>
            </w:pPr>
            <w:r w:rsidRPr="004E3B34">
              <w:rPr>
                <w:rFonts w:ascii="Arial" w:hAnsi="Arial" w:cs="Arial"/>
              </w:rPr>
              <w:t>Prior year and other adjusting tax items</w:t>
            </w:r>
          </w:p>
        </w:tc>
        <w:tc>
          <w:tcPr>
            <w:tcW w:w="677" w:type="pct"/>
            <w:vAlign w:val="center"/>
          </w:tcPr>
          <w:p w14:paraId="34DCC903" w14:textId="09181DCD" w:rsidR="007854A9" w:rsidRPr="005717CB" w:rsidRDefault="00D75F4E" w:rsidP="003D4ACC">
            <w:pPr>
              <w:jc w:val="right"/>
              <w:rPr>
                <w:rFonts w:ascii="Arial" w:hAnsi="Arial" w:cs="Arial"/>
                <w:b/>
              </w:rPr>
            </w:pPr>
            <w:r>
              <w:rPr>
                <w:rFonts w:ascii="Arial" w:hAnsi="Arial" w:cs="Arial"/>
                <w:b/>
              </w:rPr>
              <w:t>29</w:t>
            </w:r>
          </w:p>
        </w:tc>
        <w:tc>
          <w:tcPr>
            <w:tcW w:w="677" w:type="pct"/>
            <w:vAlign w:val="center"/>
          </w:tcPr>
          <w:p w14:paraId="15183768" w14:textId="7D3BFD56" w:rsidR="007854A9" w:rsidRPr="007005F4" w:rsidRDefault="007854A9" w:rsidP="003D4ACC">
            <w:pPr>
              <w:jc w:val="right"/>
              <w:rPr>
                <w:rFonts w:ascii="Arial" w:hAnsi="Arial" w:cs="Arial"/>
                <w:b/>
              </w:rPr>
            </w:pPr>
            <w:r w:rsidRPr="007005F4">
              <w:rPr>
                <w:rFonts w:ascii="Arial" w:hAnsi="Arial" w:cs="Arial"/>
                <w:b/>
              </w:rPr>
              <w:t>1.</w:t>
            </w:r>
            <w:r w:rsidR="00776AAA">
              <w:rPr>
                <w:rFonts w:ascii="Arial" w:hAnsi="Arial" w:cs="Arial"/>
                <w:b/>
              </w:rPr>
              <w:t>5</w:t>
            </w:r>
          </w:p>
        </w:tc>
        <w:tc>
          <w:tcPr>
            <w:tcW w:w="677" w:type="pct"/>
            <w:vAlign w:val="center"/>
          </w:tcPr>
          <w:p w14:paraId="5D1256EA" w14:textId="77777777" w:rsidR="007854A9" w:rsidRPr="00AE159D" w:rsidRDefault="007854A9" w:rsidP="003D4ACC">
            <w:pPr>
              <w:jc w:val="right"/>
              <w:rPr>
                <w:rFonts w:ascii="Arial" w:hAnsi="Arial" w:cs="Arial"/>
                <w:bCs/>
              </w:rPr>
            </w:pPr>
            <w:r w:rsidRPr="00AE159D">
              <w:rPr>
                <w:rFonts w:ascii="Arial" w:hAnsi="Arial" w:cs="Arial"/>
                <w:bCs/>
              </w:rPr>
              <w:t>48</w:t>
            </w:r>
          </w:p>
        </w:tc>
        <w:tc>
          <w:tcPr>
            <w:tcW w:w="677" w:type="pct"/>
            <w:vAlign w:val="center"/>
          </w:tcPr>
          <w:p w14:paraId="239D2973" w14:textId="77777777" w:rsidR="007854A9" w:rsidRPr="00AE159D" w:rsidRDefault="007854A9" w:rsidP="003D4ACC">
            <w:pPr>
              <w:jc w:val="right"/>
              <w:rPr>
                <w:rFonts w:ascii="Arial" w:hAnsi="Arial" w:cs="Arial"/>
                <w:bCs/>
              </w:rPr>
            </w:pPr>
            <w:r w:rsidRPr="00AE159D">
              <w:rPr>
                <w:rFonts w:ascii="Arial" w:hAnsi="Arial" w:cs="Arial"/>
                <w:bCs/>
              </w:rPr>
              <w:t>2.3</w:t>
            </w:r>
          </w:p>
        </w:tc>
      </w:tr>
      <w:tr w:rsidR="007854A9" w:rsidRPr="004E3B34" w14:paraId="4B6CE597" w14:textId="77777777" w:rsidTr="003D4ACC">
        <w:trPr>
          <w:trHeight w:val="266"/>
        </w:trPr>
        <w:tc>
          <w:tcPr>
            <w:tcW w:w="2292" w:type="pct"/>
            <w:tcBorders>
              <w:top w:val="single" w:sz="4" w:space="0" w:color="auto"/>
              <w:left w:val="nil"/>
              <w:bottom w:val="single" w:sz="4" w:space="0" w:color="auto"/>
              <w:right w:val="nil"/>
            </w:tcBorders>
            <w:vAlign w:val="center"/>
            <w:hideMark/>
          </w:tcPr>
          <w:p w14:paraId="7C7C2360" w14:textId="77777777" w:rsidR="007854A9" w:rsidRPr="004E3B34" w:rsidRDefault="007854A9" w:rsidP="003D4ACC">
            <w:pPr>
              <w:jc w:val="left"/>
              <w:rPr>
                <w:rFonts w:ascii="Arial" w:hAnsi="Arial" w:cs="Arial"/>
              </w:rPr>
            </w:pPr>
            <w:r w:rsidRPr="004E3B34">
              <w:rPr>
                <w:rFonts w:ascii="Arial" w:hAnsi="Arial" w:cs="Arial"/>
                <w:b/>
              </w:rPr>
              <w:t>Basic earnings per share</w:t>
            </w:r>
          </w:p>
        </w:tc>
        <w:tc>
          <w:tcPr>
            <w:tcW w:w="677" w:type="pct"/>
            <w:tcBorders>
              <w:top w:val="single" w:sz="4" w:space="0" w:color="auto"/>
              <w:left w:val="nil"/>
              <w:bottom w:val="single" w:sz="4" w:space="0" w:color="auto"/>
              <w:right w:val="nil"/>
            </w:tcBorders>
            <w:vAlign w:val="center"/>
          </w:tcPr>
          <w:p w14:paraId="41661176" w14:textId="2CDA9A93" w:rsidR="007854A9" w:rsidRPr="005717CB" w:rsidRDefault="00C60285" w:rsidP="003D4ACC">
            <w:pPr>
              <w:jc w:val="right"/>
              <w:rPr>
                <w:rFonts w:ascii="Arial" w:hAnsi="Arial" w:cs="Arial"/>
                <w:b/>
              </w:rPr>
            </w:pPr>
            <w:r>
              <w:rPr>
                <w:rFonts w:ascii="Arial" w:hAnsi="Arial" w:cs="Arial"/>
                <w:b/>
              </w:rPr>
              <w:t>471</w:t>
            </w:r>
          </w:p>
        </w:tc>
        <w:tc>
          <w:tcPr>
            <w:tcW w:w="677" w:type="pct"/>
            <w:tcBorders>
              <w:top w:val="single" w:sz="4" w:space="0" w:color="auto"/>
              <w:left w:val="nil"/>
              <w:bottom w:val="single" w:sz="4" w:space="0" w:color="auto"/>
              <w:right w:val="nil"/>
            </w:tcBorders>
            <w:vAlign w:val="center"/>
          </w:tcPr>
          <w:p w14:paraId="03B8B1D0" w14:textId="20A026B2" w:rsidR="007854A9" w:rsidRPr="005717CB" w:rsidRDefault="006323AC" w:rsidP="003D4ACC">
            <w:pPr>
              <w:jc w:val="right"/>
              <w:rPr>
                <w:rFonts w:ascii="Arial" w:hAnsi="Arial" w:cs="Arial"/>
                <w:b/>
              </w:rPr>
            </w:pPr>
            <w:r>
              <w:rPr>
                <w:rFonts w:ascii="Arial" w:hAnsi="Arial" w:cs="Arial"/>
                <w:b/>
              </w:rPr>
              <w:t>23.8</w:t>
            </w:r>
          </w:p>
        </w:tc>
        <w:tc>
          <w:tcPr>
            <w:tcW w:w="677" w:type="pct"/>
            <w:tcBorders>
              <w:top w:val="single" w:sz="4" w:space="0" w:color="auto"/>
              <w:left w:val="nil"/>
              <w:bottom w:val="single" w:sz="4" w:space="0" w:color="auto"/>
              <w:right w:val="nil"/>
            </w:tcBorders>
            <w:vAlign w:val="center"/>
          </w:tcPr>
          <w:p w14:paraId="5F8A3926" w14:textId="77777777" w:rsidR="007854A9" w:rsidRPr="00AE159D" w:rsidRDefault="007854A9" w:rsidP="003D4ACC">
            <w:pPr>
              <w:jc w:val="right"/>
              <w:rPr>
                <w:rFonts w:ascii="Arial" w:hAnsi="Arial" w:cs="Arial"/>
                <w:bCs/>
              </w:rPr>
            </w:pPr>
            <w:r w:rsidRPr="00AE159D">
              <w:rPr>
                <w:rFonts w:ascii="Arial" w:hAnsi="Arial" w:cs="Arial"/>
                <w:bCs/>
              </w:rPr>
              <w:t>843</w:t>
            </w:r>
          </w:p>
        </w:tc>
        <w:tc>
          <w:tcPr>
            <w:tcW w:w="677" w:type="pct"/>
            <w:tcBorders>
              <w:top w:val="single" w:sz="4" w:space="0" w:color="auto"/>
              <w:left w:val="nil"/>
              <w:bottom w:val="single" w:sz="4" w:space="0" w:color="auto"/>
              <w:right w:val="nil"/>
            </w:tcBorders>
            <w:vAlign w:val="center"/>
          </w:tcPr>
          <w:p w14:paraId="54BF56AC" w14:textId="77777777" w:rsidR="007854A9" w:rsidRPr="00AE159D" w:rsidRDefault="007854A9" w:rsidP="003D4ACC">
            <w:pPr>
              <w:jc w:val="right"/>
              <w:rPr>
                <w:rFonts w:ascii="Arial" w:hAnsi="Arial" w:cs="Arial"/>
                <w:bCs/>
              </w:rPr>
            </w:pPr>
            <w:r w:rsidRPr="00AE159D">
              <w:rPr>
                <w:rFonts w:ascii="Arial" w:hAnsi="Arial" w:cs="Arial"/>
                <w:bCs/>
              </w:rPr>
              <w:t>40.3</w:t>
            </w:r>
          </w:p>
        </w:tc>
      </w:tr>
    </w:tbl>
    <w:p w14:paraId="2BB0BB48" w14:textId="77777777" w:rsidR="007854A9" w:rsidRPr="00DE0F31" w:rsidRDefault="007854A9" w:rsidP="007854A9">
      <w:pPr>
        <w:ind w:right="-368"/>
        <w:jc w:val="left"/>
        <w:rPr>
          <w:rFonts w:ascii="Arial" w:hAnsi="Arial"/>
          <w:sz w:val="18"/>
          <w:szCs w:val="18"/>
        </w:rPr>
      </w:pPr>
    </w:p>
    <w:p w14:paraId="360D8270" w14:textId="77777777" w:rsidR="007854A9" w:rsidRDefault="007854A9" w:rsidP="007854A9">
      <w:pPr>
        <w:jc w:val="left"/>
        <w:rPr>
          <w:rFonts w:ascii="Arial" w:hAnsi="Arial" w:cs="Arial"/>
          <w:sz w:val="18"/>
          <w:szCs w:val="18"/>
        </w:rPr>
      </w:pPr>
      <w:r w:rsidRPr="00DE0F31">
        <w:rPr>
          <w:rFonts w:ascii="Arial" w:hAnsi="Arial" w:cs="Arial"/>
          <w:bCs/>
          <w:sz w:val="18"/>
          <w:szCs w:val="18"/>
          <w:vertAlign w:val="superscript"/>
        </w:rPr>
        <w:t>(1)</w:t>
      </w:r>
      <w:r w:rsidRPr="00DE0F31">
        <w:rPr>
          <w:rFonts w:ascii="Arial" w:hAnsi="Arial" w:cs="Arial"/>
          <w:sz w:val="18"/>
          <w:szCs w:val="18"/>
        </w:rPr>
        <w:t xml:space="preserve"> Earnings figures presented reconcile adjusted post-tax profits to statutory post-tax profits.</w:t>
      </w:r>
      <w:r>
        <w:rPr>
          <w:rFonts w:ascii="Arial" w:hAnsi="Arial" w:cs="Arial"/>
          <w:sz w:val="18"/>
          <w:szCs w:val="18"/>
        </w:rPr>
        <w:br w:type="page"/>
      </w:r>
    </w:p>
    <w:p w14:paraId="3F51CEE4" w14:textId="77777777" w:rsidR="007854A9" w:rsidRPr="00F24AC4" w:rsidRDefault="007854A9" w:rsidP="007854A9">
      <w:pPr>
        <w:jc w:val="left"/>
        <w:rPr>
          <w:rFonts w:ascii="Arial" w:hAnsi="Arial"/>
          <w:b/>
        </w:rPr>
      </w:pPr>
      <w:r w:rsidRPr="00F24AC4">
        <w:rPr>
          <w:rFonts w:ascii="Arial" w:hAnsi="Arial"/>
          <w:b/>
        </w:rPr>
        <w:lastRenderedPageBreak/>
        <w:t xml:space="preserve">Dividends </w:t>
      </w:r>
    </w:p>
    <w:p w14:paraId="407AD041" w14:textId="77777777" w:rsidR="007854A9" w:rsidRPr="00EE5E9A" w:rsidRDefault="007854A9" w:rsidP="007854A9">
      <w:pPr>
        <w:jc w:val="left"/>
        <w:rPr>
          <w:rFonts w:ascii="Arial" w:hAnsi="Arial" w:cs="Arial"/>
        </w:rPr>
      </w:pPr>
      <w:r>
        <w:rPr>
          <w:rFonts w:ascii="Arial" w:hAnsi="Arial" w:cs="Arial"/>
        </w:rPr>
        <w:t>T</w:t>
      </w:r>
      <w:r w:rsidRPr="001C26C2">
        <w:rPr>
          <w:rFonts w:ascii="Arial" w:hAnsi="Arial" w:cs="Arial"/>
        </w:rPr>
        <w:t xml:space="preserve">he Board has </w:t>
      </w:r>
      <w:r>
        <w:rPr>
          <w:rFonts w:ascii="Arial" w:hAnsi="Arial" w:cs="Arial"/>
        </w:rPr>
        <w:t xml:space="preserve">proposed </w:t>
      </w:r>
      <w:r w:rsidRPr="001C26C2">
        <w:rPr>
          <w:rFonts w:ascii="Arial" w:hAnsi="Arial" w:cs="Arial"/>
        </w:rPr>
        <w:t>a</w:t>
      </w:r>
      <w:r>
        <w:rPr>
          <w:rFonts w:ascii="Arial" w:hAnsi="Arial" w:cs="Arial"/>
        </w:rPr>
        <w:t xml:space="preserve"> final</w:t>
      </w:r>
      <w:r w:rsidRPr="001C26C2">
        <w:rPr>
          <w:rFonts w:ascii="Arial" w:hAnsi="Arial" w:cs="Arial"/>
        </w:rPr>
        <w:t xml:space="preserve"> </w:t>
      </w:r>
      <w:r w:rsidRPr="004A404A">
        <w:rPr>
          <w:rFonts w:ascii="Arial" w:hAnsi="Arial" w:cs="Arial"/>
        </w:rPr>
        <w:t xml:space="preserve">dividend </w:t>
      </w:r>
      <w:r>
        <w:rPr>
          <w:rFonts w:ascii="Arial" w:hAnsi="Arial" w:cs="Arial"/>
        </w:rPr>
        <w:t xml:space="preserve">per share </w:t>
      </w:r>
      <w:r w:rsidRPr="0090456A">
        <w:rPr>
          <w:rFonts w:ascii="Arial" w:hAnsi="Arial" w:cs="Arial"/>
        </w:rPr>
        <w:t xml:space="preserve">of </w:t>
      </w:r>
      <w:r w:rsidRPr="00BD3974">
        <w:rPr>
          <w:rFonts w:ascii="Arial" w:hAnsi="Arial" w:cs="Arial"/>
        </w:rPr>
        <w:t>8.60</w:t>
      </w:r>
      <w:r>
        <w:rPr>
          <w:rFonts w:ascii="Arial" w:hAnsi="Arial" w:cs="Arial"/>
        </w:rPr>
        <w:t xml:space="preserve">p </w:t>
      </w:r>
      <w:r w:rsidRPr="00D12531">
        <w:rPr>
          <w:rFonts w:ascii="Arial" w:hAnsi="Arial" w:cs="Arial"/>
        </w:rPr>
        <w:t>(FY 21/22 final dividend: 8.60p)</w:t>
      </w:r>
      <w:r w:rsidRPr="0090456A">
        <w:rPr>
          <w:rFonts w:ascii="Arial" w:hAnsi="Arial" w:cs="Arial"/>
        </w:rPr>
        <w:t xml:space="preserve">. Taken alongside the interim dividend already paid of 3.80p (FY 21/22 interim dividend: 3.80p), this results in a proposed total dividend per share of </w:t>
      </w:r>
      <w:r w:rsidRPr="00BD3974">
        <w:rPr>
          <w:rFonts w:ascii="Arial" w:hAnsi="Arial" w:cs="Arial"/>
        </w:rPr>
        <w:t>12.40</w:t>
      </w:r>
      <w:r w:rsidRPr="0090456A">
        <w:rPr>
          <w:rFonts w:ascii="Arial" w:hAnsi="Arial" w:cs="Arial"/>
        </w:rPr>
        <w:t>p</w:t>
      </w:r>
      <w:r w:rsidRPr="00AE159D">
        <w:rPr>
          <w:rFonts w:ascii="Arial" w:hAnsi="Arial" w:cs="Arial"/>
        </w:rPr>
        <w:t xml:space="preserve"> in respect of FY 2</w:t>
      </w:r>
      <w:r>
        <w:rPr>
          <w:rFonts w:ascii="Arial" w:hAnsi="Arial" w:cs="Arial"/>
        </w:rPr>
        <w:t xml:space="preserve">2/23 </w:t>
      </w:r>
      <w:r w:rsidRPr="00AE159D">
        <w:rPr>
          <w:rFonts w:ascii="Arial" w:hAnsi="Arial" w:cs="Arial"/>
        </w:rPr>
        <w:t>(FY 2</w:t>
      </w:r>
      <w:r>
        <w:rPr>
          <w:rFonts w:ascii="Arial" w:hAnsi="Arial" w:cs="Arial"/>
        </w:rPr>
        <w:t>1/22</w:t>
      </w:r>
      <w:r w:rsidRPr="00AE159D">
        <w:rPr>
          <w:rFonts w:ascii="Arial" w:hAnsi="Arial" w:cs="Arial"/>
        </w:rPr>
        <w:t xml:space="preserve">: </w:t>
      </w:r>
      <w:r>
        <w:rPr>
          <w:rFonts w:ascii="Arial" w:hAnsi="Arial" w:cs="Arial"/>
        </w:rPr>
        <w:t>12.40</w:t>
      </w:r>
      <w:r w:rsidRPr="00AE159D">
        <w:rPr>
          <w:rFonts w:ascii="Arial" w:hAnsi="Arial" w:cs="Arial"/>
        </w:rPr>
        <w:t>p). The final dividend is subject to shareholder</w:t>
      </w:r>
      <w:r>
        <w:rPr>
          <w:rFonts w:ascii="Arial" w:hAnsi="Arial" w:cs="Arial"/>
        </w:rPr>
        <w:t xml:space="preserve"> approval</w:t>
      </w:r>
      <w:r w:rsidRPr="00AE159D">
        <w:rPr>
          <w:rFonts w:ascii="Arial" w:hAnsi="Arial" w:cs="Arial"/>
        </w:rPr>
        <w:t xml:space="preserve"> at the Annual General Meeting on 2</w:t>
      </w:r>
      <w:r>
        <w:rPr>
          <w:rFonts w:ascii="Arial" w:hAnsi="Arial" w:cs="Arial"/>
        </w:rPr>
        <w:t>7</w:t>
      </w:r>
      <w:r w:rsidRPr="00AE159D">
        <w:rPr>
          <w:rFonts w:ascii="Arial" w:hAnsi="Arial" w:cs="Arial"/>
        </w:rPr>
        <w:t xml:space="preserve"> June 202</w:t>
      </w:r>
      <w:r>
        <w:rPr>
          <w:rFonts w:ascii="Arial" w:hAnsi="Arial" w:cs="Arial"/>
        </w:rPr>
        <w:t>3</w:t>
      </w:r>
      <w:r w:rsidRPr="00AE159D">
        <w:rPr>
          <w:rFonts w:ascii="Arial" w:hAnsi="Arial" w:cs="Arial"/>
        </w:rPr>
        <w:t xml:space="preserve">, and </w:t>
      </w:r>
      <w:r>
        <w:rPr>
          <w:rFonts w:ascii="Arial" w:hAnsi="Arial" w:cs="Arial"/>
        </w:rPr>
        <w:t xml:space="preserve">if approved </w:t>
      </w:r>
      <w:r w:rsidRPr="00AE159D">
        <w:rPr>
          <w:rFonts w:ascii="Arial" w:hAnsi="Arial" w:cs="Arial"/>
        </w:rPr>
        <w:t xml:space="preserve">will be paid </w:t>
      </w:r>
      <w:r w:rsidRPr="00EE5E9A">
        <w:rPr>
          <w:rFonts w:ascii="Arial" w:hAnsi="Arial" w:cs="Arial"/>
        </w:rPr>
        <w:t xml:space="preserve">on </w:t>
      </w:r>
      <w:r w:rsidRPr="00E00F3B">
        <w:rPr>
          <w:rFonts w:ascii="Arial" w:hAnsi="Arial" w:cs="Arial"/>
        </w:rPr>
        <w:t>3 July 2023</w:t>
      </w:r>
      <w:r w:rsidRPr="00EE5E9A">
        <w:rPr>
          <w:rFonts w:ascii="Arial" w:hAnsi="Arial" w:cs="Arial"/>
        </w:rPr>
        <w:t xml:space="preserve"> to shareholders on the register at close of business on </w:t>
      </w:r>
      <w:r w:rsidRPr="00E00F3B">
        <w:rPr>
          <w:rFonts w:ascii="Arial" w:hAnsi="Arial" w:cs="Arial"/>
        </w:rPr>
        <w:t>2</w:t>
      </w:r>
      <w:r>
        <w:rPr>
          <w:rFonts w:ascii="Arial" w:hAnsi="Arial" w:cs="Arial"/>
        </w:rPr>
        <w:t>6</w:t>
      </w:r>
      <w:r w:rsidRPr="00E00F3B">
        <w:rPr>
          <w:rFonts w:ascii="Arial" w:hAnsi="Arial" w:cs="Arial"/>
        </w:rPr>
        <w:t xml:space="preserve"> May 2023</w:t>
      </w:r>
      <w:r w:rsidRPr="00EE5E9A">
        <w:rPr>
          <w:rFonts w:ascii="Arial" w:hAnsi="Arial" w:cs="Arial"/>
        </w:rPr>
        <w:t>.</w:t>
      </w:r>
      <w:r w:rsidRPr="00616CF3">
        <w:rPr>
          <w:rFonts w:ascii="Arial" w:hAnsi="Arial" w:cs="Arial"/>
        </w:rPr>
        <w:t xml:space="preserve"> </w:t>
      </w:r>
      <w:r w:rsidRPr="00EE5E9A">
        <w:rPr>
          <w:rFonts w:ascii="Arial" w:hAnsi="Arial" w:cs="Arial"/>
        </w:rPr>
        <w:t xml:space="preserve">The shares will go ex-dividend on </w:t>
      </w:r>
      <w:r>
        <w:rPr>
          <w:rFonts w:ascii="Arial" w:hAnsi="Arial" w:cs="Arial"/>
        </w:rPr>
        <w:t>25 May</w:t>
      </w:r>
      <w:r w:rsidRPr="00E00F3B">
        <w:rPr>
          <w:rFonts w:ascii="Arial" w:hAnsi="Arial" w:cs="Arial"/>
        </w:rPr>
        <w:t xml:space="preserve"> 2023</w:t>
      </w:r>
      <w:r w:rsidRPr="00EE5E9A">
        <w:rPr>
          <w:rFonts w:ascii="Arial" w:hAnsi="Arial" w:cs="Arial"/>
        </w:rPr>
        <w:t>.</w:t>
      </w:r>
    </w:p>
    <w:p w14:paraId="429415C5" w14:textId="77777777" w:rsidR="007854A9" w:rsidRPr="00EE5E9A" w:rsidRDefault="007854A9" w:rsidP="007854A9">
      <w:pPr>
        <w:jc w:val="left"/>
        <w:rPr>
          <w:rFonts w:ascii="Arial" w:hAnsi="Arial" w:cs="Arial"/>
        </w:rPr>
      </w:pPr>
    </w:p>
    <w:p w14:paraId="4613FD55" w14:textId="77777777" w:rsidR="007854A9" w:rsidRPr="001C26C2" w:rsidRDefault="007854A9" w:rsidP="007854A9">
      <w:pPr>
        <w:jc w:val="left"/>
        <w:rPr>
          <w:rFonts w:ascii="Arial" w:hAnsi="Arial" w:cs="Arial"/>
        </w:rPr>
      </w:pPr>
      <w:r w:rsidRPr="00EE5E9A">
        <w:rPr>
          <w:rFonts w:ascii="Arial" w:hAnsi="Arial" w:cs="Arial"/>
        </w:rPr>
        <w:t xml:space="preserve">A dividend reinvestment plan (DRIP) is available to shareholders who would prefer to </w:t>
      </w:r>
      <w:r>
        <w:rPr>
          <w:rFonts w:ascii="Arial" w:hAnsi="Arial" w:cs="Arial"/>
        </w:rPr>
        <w:t>re</w:t>
      </w:r>
      <w:r w:rsidRPr="00EE5E9A">
        <w:rPr>
          <w:rFonts w:ascii="Arial" w:hAnsi="Arial" w:cs="Arial"/>
        </w:rPr>
        <w:t xml:space="preserve">invest their dividends in the Company’s shares. The last date for receipt of DRIP elections is </w:t>
      </w:r>
      <w:r>
        <w:rPr>
          <w:rFonts w:ascii="Arial" w:hAnsi="Arial" w:cs="Arial"/>
        </w:rPr>
        <w:t>12 June</w:t>
      </w:r>
      <w:r w:rsidRPr="00E00F3B">
        <w:rPr>
          <w:rFonts w:ascii="Arial" w:hAnsi="Arial" w:cs="Arial"/>
        </w:rPr>
        <w:t xml:space="preserve"> 2023</w:t>
      </w:r>
      <w:r w:rsidRPr="00EE5E9A">
        <w:rPr>
          <w:rFonts w:ascii="Arial" w:hAnsi="Arial" w:cs="Arial"/>
        </w:rPr>
        <w:t>.</w:t>
      </w:r>
    </w:p>
    <w:p w14:paraId="07EA8CC2" w14:textId="77777777" w:rsidR="007854A9" w:rsidRDefault="007854A9" w:rsidP="007854A9">
      <w:pPr>
        <w:ind w:right="-368"/>
        <w:jc w:val="left"/>
        <w:rPr>
          <w:rFonts w:ascii="Arial" w:hAnsi="Arial" w:cs="Arial"/>
          <w:bCs/>
        </w:rPr>
      </w:pPr>
    </w:p>
    <w:p w14:paraId="4C26B103" w14:textId="77777777" w:rsidR="007854A9" w:rsidRDefault="007854A9" w:rsidP="007854A9">
      <w:pPr>
        <w:ind w:right="-368"/>
        <w:jc w:val="left"/>
        <w:rPr>
          <w:rFonts w:ascii="Arial" w:hAnsi="Arial" w:cs="Arial"/>
          <w:bCs/>
        </w:rPr>
      </w:pPr>
      <w:r>
        <w:rPr>
          <w:rFonts w:ascii="Arial" w:hAnsi="Arial" w:cs="Arial"/>
        </w:rPr>
        <w:t xml:space="preserve">For further details on our dividend policy please refer to </w:t>
      </w:r>
      <w:r w:rsidRPr="00056539">
        <w:rPr>
          <w:rFonts w:ascii="Arial" w:hAnsi="Arial" w:cs="Arial"/>
          <w:i/>
          <w:iCs/>
        </w:rPr>
        <w:t xml:space="preserve">‘Medium-term financial and capital allocation </w:t>
      </w:r>
      <w:r>
        <w:rPr>
          <w:rFonts w:ascii="Arial" w:hAnsi="Arial" w:cs="Arial"/>
          <w:i/>
          <w:iCs/>
        </w:rPr>
        <w:t>priorities</w:t>
      </w:r>
      <w:r w:rsidRPr="00056539">
        <w:rPr>
          <w:rFonts w:ascii="Arial" w:hAnsi="Arial" w:cs="Arial"/>
          <w:i/>
          <w:iCs/>
        </w:rPr>
        <w:t>’</w:t>
      </w:r>
      <w:r>
        <w:rPr>
          <w:rFonts w:ascii="Arial" w:hAnsi="Arial" w:cs="Arial"/>
        </w:rPr>
        <w:t>, within Section 2.</w:t>
      </w:r>
    </w:p>
    <w:p w14:paraId="0361A552" w14:textId="77777777" w:rsidR="007854A9" w:rsidRDefault="007854A9" w:rsidP="007854A9">
      <w:pPr>
        <w:jc w:val="left"/>
        <w:rPr>
          <w:rFonts w:ascii="Arial" w:hAnsi="Arial" w:cs="Arial"/>
          <w:bCs/>
        </w:rPr>
      </w:pPr>
    </w:p>
    <w:p w14:paraId="540FFD79" w14:textId="77777777" w:rsidR="007854A9" w:rsidRPr="0088653C" w:rsidRDefault="007854A9" w:rsidP="007854A9">
      <w:pPr>
        <w:jc w:val="left"/>
        <w:rPr>
          <w:rFonts w:ascii="Arial" w:hAnsi="Arial" w:cs="Arial"/>
          <w:bCs/>
        </w:rPr>
      </w:pPr>
      <w:r w:rsidRPr="00364F7A">
        <w:rPr>
          <w:rFonts w:ascii="Arial" w:hAnsi="Arial" w:cs="Arial"/>
          <w:b/>
        </w:rPr>
        <w:t>Management of balance sheet and liquidity risk and financing</w:t>
      </w:r>
    </w:p>
    <w:p w14:paraId="047BFE20" w14:textId="77777777" w:rsidR="007854A9" w:rsidRDefault="007854A9" w:rsidP="007854A9">
      <w:pPr>
        <w:jc w:val="left"/>
        <w:rPr>
          <w:rFonts w:ascii="Arial" w:hAnsi="Arial" w:cs="Arial"/>
          <w:szCs w:val="24"/>
        </w:rPr>
      </w:pPr>
    </w:p>
    <w:p w14:paraId="23D0CC12" w14:textId="77777777" w:rsidR="007854A9" w:rsidRPr="007F1826" w:rsidRDefault="007854A9" w:rsidP="007854A9">
      <w:pPr>
        <w:jc w:val="left"/>
        <w:rPr>
          <w:rFonts w:ascii="Arial" w:hAnsi="Arial" w:cs="Arial"/>
          <w:szCs w:val="24"/>
          <w:u w:val="single"/>
        </w:rPr>
      </w:pPr>
      <w:r w:rsidRPr="007F1826">
        <w:rPr>
          <w:rFonts w:ascii="Arial" w:hAnsi="Arial" w:cs="Arial"/>
          <w:szCs w:val="24"/>
          <w:u w:val="single"/>
        </w:rPr>
        <w:t>Management of cash and debt facilities</w:t>
      </w:r>
    </w:p>
    <w:p w14:paraId="1C319C18" w14:textId="77777777" w:rsidR="007854A9" w:rsidRPr="00364F7A" w:rsidRDefault="007854A9" w:rsidP="007854A9">
      <w:pPr>
        <w:jc w:val="left"/>
        <w:rPr>
          <w:rFonts w:ascii="Arial" w:hAnsi="Arial" w:cs="Arial"/>
        </w:rPr>
      </w:pPr>
      <w:r w:rsidRPr="00232191">
        <w:rPr>
          <w:rFonts w:ascii="Arial" w:hAnsi="Arial" w:cs="Arial"/>
        </w:rPr>
        <w:t>Kingfisher regularly reviews the level of cash and debt facilities required to fund its activities.</w:t>
      </w:r>
      <w:r w:rsidRPr="00364F7A">
        <w:rPr>
          <w:rFonts w:ascii="Arial" w:hAnsi="Arial" w:cs="Arial"/>
        </w:rPr>
        <w:t xml:space="preserve"> This involves preparing a prudent cash flow forecast for the medium term, determining the level of debt facilities required to fund the business, planning for repayment of debt at its maturity</w:t>
      </w:r>
      <w:r>
        <w:rPr>
          <w:rFonts w:ascii="Arial" w:hAnsi="Arial" w:cs="Arial"/>
        </w:rPr>
        <w:t>,</w:t>
      </w:r>
      <w:r w:rsidRPr="00364F7A">
        <w:rPr>
          <w:rFonts w:ascii="Arial" w:hAnsi="Arial" w:cs="Arial"/>
        </w:rPr>
        <w:t xml:space="preserve"> and identifying an appropriate amount of headroom to provide a reserve against unexpected outflows</w:t>
      </w:r>
      <w:r>
        <w:rPr>
          <w:rFonts w:ascii="Arial" w:hAnsi="Arial" w:cs="Arial"/>
        </w:rPr>
        <w:t xml:space="preserve"> and/or unexpected impacts to cash inflows</w:t>
      </w:r>
      <w:r w:rsidRPr="00364F7A">
        <w:rPr>
          <w:rFonts w:ascii="Arial" w:hAnsi="Arial" w:cs="Arial"/>
        </w:rPr>
        <w:t>.</w:t>
      </w:r>
      <w:r>
        <w:rPr>
          <w:rFonts w:ascii="Arial" w:hAnsi="Arial" w:cs="Arial"/>
        </w:rPr>
        <w:t xml:space="preserve"> To </w:t>
      </w:r>
      <w:r w:rsidRPr="009D3C12">
        <w:rPr>
          <w:rFonts w:ascii="Arial" w:hAnsi="Arial" w:cs="Arial"/>
        </w:rPr>
        <w:t>retain financial flexibility</w:t>
      </w:r>
      <w:r>
        <w:rPr>
          <w:rFonts w:ascii="Arial" w:hAnsi="Arial" w:cs="Arial"/>
        </w:rPr>
        <w:t xml:space="preserve">, we aim to </w:t>
      </w:r>
      <w:r w:rsidRPr="00D21466">
        <w:rPr>
          <w:rFonts w:ascii="Arial" w:hAnsi="Arial" w:cs="Arial"/>
        </w:rPr>
        <w:t>maintain strong liquidity headroom (including cash and cash equivalents, and committed debt facilities), which is currently set at a minimum of £800m.</w:t>
      </w:r>
    </w:p>
    <w:p w14:paraId="363DF81F" w14:textId="77777777" w:rsidR="007854A9" w:rsidRPr="00364F7A" w:rsidRDefault="007854A9" w:rsidP="007854A9">
      <w:pPr>
        <w:jc w:val="left"/>
        <w:rPr>
          <w:rFonts w:ascii="Arial" w:hAnsi="Arial" w:cs="Arial"/>
        </w:rPr>
      </w:pPr>
    </w:p>
    <w:p w14:paraId="026487F8" w14:textId="77777777" w:rsidR="007854A9" w:rsidRPr="002C63EC" w:rsidRDefault="007854A9" w:rsidP="007854A9">
      <w:pPr>
        <w:jc w:val="left"/>
        <w:rPr>
          <w:rFonts w:ascii="Arial" w:hAnsi="Arial" w:cs="Arial"/>
          <w:szCs w:val="24"/>
        </w:rPr>
      </w:pPr>
      <w:r>
        <w:rPr>
          <w:rFonts w:ascii="Arial" w:hAnsi="Arial" w:cs="Arial"/>
          <w:szCs w:val="24"/>
          <w:u w:val="single"/>
        </w:rPr>
        <w:t>Net debt to EBITDA</w:t>
      </w:r>
    </w:p>
    <w:p w14:paraId="65C0EC3D" w14:textId="77777777" w:rsidR="007854A9" w:rsidRPr="00C67DF1" w:rsidRDefault="007854A9" w:rsidP="007854A9">
      <w:pPr>
        <w:jc w:val="left"/>
        <w:rPr>
          <w:rFonts w:ascii="Arial" w:hAnsi="Arial" w:cs="Arial"/>
          <w:szCs w:val="24"/>
        </w:rPr>
      </w:pPr>
      <w:r w:rsidRPr="002C63EC">
        <w:rPr>
          <w:rFonts w:ascii="Arial" w:hAnsi="Arial" w:cs="Arial"/>
          <w:szCs w:val="24"/>
        </w:rPr>
        <w:t xml:space="preserve">As </w:t>
      </w:r>
      <w:r>
        <w:rPr>
          <w:rFonts w:ascii="Arial" w:hAnsi="Arial" w:cs="Arial"/>
          <w:szCs w:val="24"/>
        </w:rPr>
        <w:t xml:space="preserve">of 31 January 2023, </w:t>
      </w:r>
      <w:r w:rsidRPr="002C63EC">
        <w:rPr>
          <w:rFonts w:ascii="Arial" w:hAnsi="Arial" w:cs="Arial"/>
          <w:szCs w:val="24"/>
        </w:rPr>
        <w:t xml:space="preserve">the Group </w:t>
      </w:r>
      <w:r w:rsidRPr="00C67DF1">
        <w:rPr>
          <w:rFonts w:ascii="Arial" w:hAnsi="Arial" w:cs="Arial"/>
          <w:szCs w:val="24"/>
        </w:rPr>
        <w:t>had £</w:t>
      </w:r>
      <w:r>
        <w:rPr>
          <w:rFonts w:ascii="Arial" w:hAnsi="Arial" w:cs="Arial"/>
          <w:szCs w:val="24"/>
        </w:rPr>
        <w:t>2.3</w:t>
      </w:r>
      <w:r w:rsidRPr="00C67DF1">
        <w:rPr>
          <w:rFonts w:ascii="Arial" w:hAnsi="Arial" w:cs="Arial"/>
          <w:szCs w:val="24"/>
        </w:rPr>
        <w:t>bn (</w:t>
      </w:r>
      <w:r>
        <w:rPr>
          <w:rFonts w:ascii="Arial" w:hAnsi="Arial" w:cs="Arial"/>
          <w:szCs w:val="24"/>
        </w:rPr>
        <w:t>FY</w:t>
      </w:r>
      <w:r w:rsidRPr="00C67DF1">
        <w:rPr>
          <w:rFonts w:ascii="Arial" w:hAnsi="Arial" w:cs="Arial"/>
          <w:szCs w:val="24"/>
        </w:rPr>
        <w:t xml:space="preserve"> 21/22: £</w:t>
      </w:r>
      <w:r>
        <w:rPr>
          <w:rFonts w:ascii="Arial" w:hAnsi="Arial" w:cs="Arial"/>
          <w:szCs w:val="24"/>
        </w:rPr>
        <w:t>1.6</w:t>
      </w:r>
      <w:r w:rsidRPr="00C67DF1">
        <w:rPr>
          <w:rFonts w:ascii="Arial" w:hAnsi="Arial" w:cs="Arial"/>
          <w:szCs w:val="24"/>
        </w:rPr>
        <w:t>bn) of net debt on its balance sheet including £</w:t>
      </w:r>
      <w:r>
        <w:rPr>
          <w:rFonts w:ascii="Arial" w:hAnsi="Arial" w:cs="Arial"/>
          <w:szCs w:val="24"/>
        </w:rPr>
        <w:t>2.4</w:t>
      </w:r>
      <w:r w:rsidRPr="00C67DF1">
        <w:rPr>
          <w:rFonts w:ascii="Arial" w:hAnsi="Arial" w:cs="Arial"/>
          <w:szCs w:val="24"/>
        </w:rPr>
        <w:t>bn (</w:t>
      </w:r>
      <w:r>
        <w:rPr>
          <w:rFonts w:ascii="Arial" w:hAnsi="Arial" w:cs="Arial"/>
          <w:szCs w:val="24"/>
        </w:rPr>
        <w:t>FY</w:t>
      </w:r>
      <w:r w:rsidRPr="00C67DF1">
        <w:rPr>
          <w:rFonts w:ascii="Arial" w:hAnsi="Arial" w:cs="Arial"/>
          <w:szCs w:val="24"/>
        </w:rPr>
        <w:t xml:space="preserve"> 21/22: £2.</w:t>
      </w:r>
      <w:r>
        <w:rPr>
          <w:rFonts w:ascii="Arial" w:hAnsi="Arial" w:cs="Arial"/>
          <w:szCs w:val="24"/>
        </w:rPr>
        <w:t>4</w:t>
      </w:r>
      <w:r w:rsidRPr="00C67DF1">
        <w:rPr>
          <w:rFonts w:ascii="Arial" w:hAnsi="Arial" w:cs="Arial"/>
          <w:szCs w:val="24"/>
        </w:rPr>
        <w:t xml:space="preserve">bn) of total lease liabilities. </w:t>
      </w:r>
    </w:p>
    <w:p w14:paraId="3533D461" w14:textId="77777777" w:rsidR="007854A9" w:rsidRPr="00C67DF1" w:rsidRDefault="007854A9" w:rsidP="007854A9">
      <w:pPr>
        <w:jc w:val="left"/>
        <w:rPr>
          <w:rFonts w:ascii="Arial" w:hAnsi="Arial" w:cs="Arial"/>
          <w:szCs w:val="24"/>
        </w:rPr>
      </w:pPr>
    </w:p>
    <w:p w14:paraId="20674D28" w14:textId="77777777" w:rsidR="007854A9" w:rsidRDefault="007854A9" w:rsidP="007854A9">
      <w:pPr>
        <w:jc w:val="left"/>
        <w:rPr>
          <w:rFonts w:ascii="Arial" w:hAnsi="Arial" w:cs="Arial"/>
          <w:szCs w:val="24"/>
        </w:rPr>
      </w:pPr>
      <w:r w:rsidRPr="00C67DF1">
        <w:rPr>
          <w:rFonts w:ascii="Arial" w:hAnsi="Arial" w:cs="Arial"/>
          <w:szCs w:val="24"/>
        </w:rPr>
        <w:t xml:space="preserve">The ratio of the Group’s net debt to EBITDA </w:t>
      </w:r>
      <w:r w:rsidRPr="007005F4">
        <w:rPr>
          <w:rFonts w:ascii="Arial" w:hAnsi="Arial" w:cs="Arial"/>
          <w:szCs w:val="24"/>
        </w:rPr>
        <w:t>was 1.6 tim</w:t>
      </w:r>
      <w:r w:rsidRPr="00C67DF1">
        <w:rPr>
          <w:rFonts w:ascii="Arial" w:hAnsi="Arial" w:cs="Arial"/>
          <w:szCs w:val="24"/>
        </w:rPr>
        <w:t>es as of 31 J</w:t>
      </w:r>
      <w:r>
        <w:rPr>
          <w:rFonts w:ascii="Arial" w:hAnsi="Arial" w:cs="Arial"/>
          <w:szCs w:val="24"/>
        </w:rPr>
        <w:t>anuary</w:t>
      </w:r>
      <w:r w:rsidRPr="00C67DF1">
        <w:rPr>
          <w:rFonts w:ascii="Arial" w:hAnsi="Arial" w:cs="Arial"/>
          <w:szCs w:val="24"/>
        </w:rPr>
        <w:t xml:space="preserve"> 202</w:t>
      </w:r>
      <w:r>
        <w:rPr>
          <w:rFonts w:ascii="Arial" w:hAnsi="Arial" w:cs="Arial"/>
          <w:szCs w:val="24"/>
        </w:rPr>
        <w:t>3</w:t>
      </w:r>
      <w:r w:rsidRPr="00C67DF1">
        <w:rPr>
          <w:rFonts w:ascii="Arial" w:hAnsi="Arial" w:cs="Arial"/>
          <w:szCs w:val="24"/>
        </w:rPr>
        <w:t xml:space="preserve"> </w:t>
      </w:r>
      <w:r w:rsidRPr="00C67DF1">
        <w:rPr>
          <w:rFonts w:ascii="Arial" w:hAnsi="Arial" w:cs="Arial"/>
        </w:rPr>
        <w:t>(1.0 times as of 31 January 2022)</w:t>
      </w:r>
      <w:r w:rsidRPr="00C67DF1">
        <w:rPr>
          <w:rFonts w:ascii="Arial" w:hAnsi="Arial" w:cs="Arial"/>
          <w:szCs w:val="24"/>
        </w:rPr>
        <w:t xml:space="preserve">. At </w:t>
      </w:r>
      <w:r w:rsidRPr="00B84DF6">
        <w:rPr>
          <w:rFonts w:ascii="Arial" w:hAnsi="Arial" w:cs="Arial"/>
          <w:szCs w:val="24"/>
        </w:rPr>
        <w:t>this level</w:t>
      </w:r>
      <w:r>
        <w:rPr>
          <w:rFonts w:ascii="Arial" w:hAnsi="Arial" w:cs="Arial"/>
          <w:szCs w:val="24"/>
        </w:rPr>
        <w:t>,</w:t>
      </w:r>
      <w:r w:rsidRPr="00B84DF6">
        <w:rPr>
          <w:rFonts w:ascii="Arial" w:hAnsi="Arial" w:cs="Arial"/>
          <w:szCs w:val="24"/>
        </w:rPr>
        <w:t xml:space="preserve"> the Group </w:t>
      </w:r>
      <w:r>
        <w:rPr>
          <w:rFonts w:ascii="Arial" w:hAnsi="Arial" w:cs="Arial"/>
          <w:szCs w:val="24"/>
        </w:rPr>
        <w:t xml:space="preserve">has </w:t>
      </w:r>
      <w:r w:rsidRPr="00B84DF6">
        <w:rPr>
          <w:rFonts w:ascii="Arial" w:hAnsi="Arial" w:cs="Arial"/>
          <w:szCs w:val="24"/>
        </w:rPr>
        <w:t>financial flexibility whilst retaining an efficient cost of capital.</w:t>
      </w:r>
    </w:p>
    <w:p w14:paraId="3607A8AF" w14:textId="77777777" w:rsidR="007854A9" w:rsidRDefault="007854A9" w:rsidP="007854A9">
      <w:pPr>
        <w:jc w:val="left"/>
        <w:rPr>
          <w:rFonts w:ascii="Arial" w:hAnsi="Arial" w:cs="Arial"/>
          <w:szCs w:val="24"/>
        </w:rPr>
      </w:pPr>
    </w:p>
    <w:p w14:paraId="5EDF2168" w14:textId="36CD2E28" w:rsidR="007854A9" w:rsidRPr="003F6776" w:rsidRDefault="004B3352" w:rsidP="007854A9">
      <w:pPr>
        <w:jc w:val="left"/>
        <w:rPr>
          <w:rFonts w:ascii="Arial" w:hAnsi="Arial" w:cs="Arial"/>
          <w:szCs w:val="24"/>
        </w:rPr>
      </w:pPr>
      <w:r>
        <w:rPr>
          <w:rFonts w:ascii="Arial" w:hAnsi="Arial" w:cs="Arial"/>
          <w:szCs w:val="24"/>
        </w:rPr>
        <w:t>T</w:t>
      </w:r>
      <w:r>
        <w:rPr>
          <w:rFonts w:ascii="Arial" w:hAnsi="Arial" w:cs="Arial"/>
        </w:rPr>
        <w:t>he Group’s</w:t>
      </w:r>
      <w:r w:rsidRPr="00EB53AD">
        <w:rPr>
          <w:rFonts w:ascii="Arial" w:hAnsi="Arial" w:cs="Arial"/>
        </w:rPr>
        <w:t xml:space="preserve"> maximum net debt to EBITDA </w:t>
      </w:r>
      <w:r>
        <w:rPr>
          <w:rFonts w:ascii="Arial" w:hAnsi="Arial" w:cs="Arial"/>
        </w:rPr>
        <w:t>is</w:t>
      </w:r>
      <w:r w:rsidRPr="00EB53AD">
        <w:rPr>
          <w:rFonts w:ascii="Arial" w:hAnsi="Arial" w:cs="Arial"/>
        </w:rPr>
        <w:t xml:space="preserve"> 2.0 times over the medium term</w:t>
      </w:r>
      <w:r w:rsidR="007854A9" w:rsidRPr="00C454E6">
        <w:rPr>
          <w:rFonts w:ascii="Arial" w:hAnsi="Arial" w:cs="Arial"/>
        </w:rPr>
        <w:t>.</w:t>
      </w:r>
      <w:r w:rsidR="007854A9">
        <w:rPr>
          <w:rFonts w:ascii="Arial" w:hAnsi="Arial" w:cs="Arial"/>
        </w:rPr>
        <w:t xml:space="preserve"> For further details please refer to </w:t>
      </w:r>
      <w:r w:rsidR="007854A9" w:rsidRPr="006C0803">
        <w:rPr>
          <w:rFonts w:ascii="Arial" w:hAnsi="Arial" w:cs="Arial"/>
          <w:i/>
          <w:iCs/>
        </w:rPr>
        <w:t>‘Medium-term financial and capital allocation priorities’</w:t>
      </w:r>
      <w:r w:rsidR="007854A9">
        <w:rPr>
          <w:rFonts w:ascii="Arial" w:hAnsi="Arial" w:cs="Arial"/>
        </w:rPr>
        <w:t>, within Section 2.</w:t>
      </w:r>
    </w:p>
    <w:p w14:paraId="311178D6" w14:textId="77777777" w:rsidR="007854A9" w:rsidRDefault="007854A9" w:rsidP="007854A9">
      <w:pPr>
        <w:jc w:val="left"/>
        <w:rPr>
          <w:rFonts w:ascii="Arial" w:hAnsi="Arial" w:cs="Arial"/>
        </w:rPr>
      </w:pPr>
    </w:p>
    <w:p w14:paraId="06556C5B" w14:textId="77777777" w:rsidR="007854A9" w:rsidRPr="00364F7A" w:rsidRDefault="007854A9" w:rsidP="007854A9">
      <w:pPr>
        <w:jc w:val="left"/>
        <w:rPr>
          <w:rFonts w:ascii="Arial" w:hAnsi="Arial" w:cs="Arial"/>
          <w:szCs w:val="24"/>
        </w:rPr>
      </w:pPr>
      <w:r w:rsidRPr="00364F7A">
        <w:rPr>
          <w:rFonts w:ascii="Arial" w:hAnsi="Arial" w:cs="Arial"/>
          <w:szCs w:val="24"/>
        </w:rPr>
        <w:t>Net debt to EBITDA is set out below:</w:t>
      </w:r>
    </w:p>
    <w:tbl>
      <w:tblPr>
        <w:tblW w:w="5000" w:type="pct"/>
        <w:tblLayout w:type="fixed"/>
        <w:tblLook w:val="04A0" w:firstRow="1" w:lastRow="0" w:firstColumn="1" w:lastColumn="0" w:noHBand="0" w:noVBand="1"/>
      </w:tblPr>
      <w:tblGrid>
        <w:gridCol w:w="5516"/>
        <w:gridCol w:w="2980"/>
        <w:gridCol w:w="1822"/>
      </w:tblGrid>
      <w:tr w:rsidR="007854A9" w:rsidRPr="00CA42F6" w14:paraId="2EEB15B3" w14:textId="77777777" w:rsidTr="003D4ACC">
        <w:trPr>
          <w:trHeight w:val="510"/>
        </w:trPr>
        <w:tc>
          <w:tcPr>
            <w:tcW w:w="5455" w:type="dxa"/>
            <w:vAlign w:val="center"/>
          </w:tcPr>
          <w:p w14:paraId="162AA4E5" w14:textId="77777777" w:rsidR="007854A9" w:rsidRPr="00364F7A" w:rsidRDefault="007854A9" w:rsidP="003D4ACC">
            <w:pPr>
              <w:jc w:val="left"/>
              <w:rPr>
                <w:rFonts w:ascii="Arial" w:hAnsi="Arial" w:cs="Arial"/>
                <w:bCs/>
              </w:rPr>
            </w:pPr>
          </w:p>
        </w:tc>
        <w:tc>
          <w:tcPr>
            <w:tcW w:w="2947" w:type="dxa"/>
            <w:hideMark/>
          </w:tcPr>
          <w:p w14:paraId="7D04A3C1" w14:textId="77777777" w:rsidR="007854A9" w:rsidRPr="00CA42F6" w:rsidRDefault="007854A9" w:rsidP="003D4ACC">
            <w:pPr>
              <w:jc w:val="right"/>
              <w:rPr>
                <w:rFonts w:ascii="Arial" w:hAnsi="Arial" w:cs="Arial"/>
                <w:b/>
                <w:bCs/>
                <w:szCs w:val="24"/>
              </w:rPr>
            </w:pPr>
            <w:r w:rsidRPr="00CA42F6">
              <w:rPr>
                <w:rFonts w:ascii="Arial" w:hAnsi="Arial" w:cs="Arial"/>
                <w:b/>
                <w:bCs/>
                <w:szCs w:val="24"/>
              </w:rPr>
              <w:t>202</w:t>
            </w:r>
            <w:r>
              <w:rPr>
                <w:rFonts w:ascii="Arial" w:hAnsi="Arial" w:cs="Arial"/>
                <w:b/>
                <w:bCs/>
                <w:szCs w:val="24"/>
              </w:rPr>
              <w:t>2</w:t>
            </w:r>
            <w:r w:rsidRPr="00CA42F6">
              <w:rPr>
                <w:rFonts w:ascii="Arial" w:hAnsi="Arial" w:cs="Arial"/>
                <w:b/>
                <w:bCs/>
                <w:szCs w:val="24"/>
              </w:rPr>
              <w:t>/2</w:t>
            </w:r>
            <w:r>
              <w:rPr>
                <w:rFonts w:ascii="Arial" w:hAnsi="Arial" w:cs="Arial"/>
                <w:b/>
                <w:bCs/>
                <w:szCs w:val="24"/>
              </w:rPr>
              <w:t>3</w:t>
            </w:r>
          </w:p>
          <w:p w14:paraId="360B16A7" w14:textId="77777777" w:rsidR="007854A9" w:rsidRPr="00CA42F6" w:rsidRDefault="007854A9" w:rsidP="003D4ACC">
            <w:pPr>
              <w:jc w:val="right"/>
              <w:rPr>
                <w:rFonts w:ascii="Arial" w:hAnsi="Arial" w:cs="Arial"/>
                <w:b/>
                <w:bCs/>
              </w:rPr>
            </w:pPr>
            <w:r w:rsidRPr="00CA42F6">
              <w:rPr>
                <w:rFonts w:ascii="Arial" w:hAnsi="Arial" w:cs="Arial"/>
                <w:b/>
                <w:bCs/>
                <w:szCs w:val="24"/>
              </w:rPr>
              <w:t>£m</w:t>
            </w:r>
          </w:p>
        </w:tc>
        <w:tc>
          <w:tcPr>
            <w:tcW w:w="1802" w:type="dxa"/>
            <w:hideMark/>
          </w:tcPr>
          <w:p w14:paraId="6270E21A" w14:textId="77777777" w:rsidR="007854A9" w:rsidRPr="00CA42F6" w:rsidRDefault="007854A9" w:rsidP="003D4ACC">
            <w:pPr>
              <w:jc w:val="right"/>
              <w:rPr>
                <w:rFonts w:ascii="Arial" w:hAnsi="Arial" w:cs="Arial"/>
                <w:bCs/>
                <w:vertAlign w:val="superscript"/>
              </w:rPr>
            </w:pPr>
            <w:r w:rsidRPr="00CA42F6">
              <w:rPr>
                <w:rFonts w:ascii="Arial" w:hAnsi="Arial" w:cs="Arial"/>
                <w:bCs/>
              </w:rPr>
              <w:t>202</w:t>
            </w:r>
            <w:r>
              <w:rPr>
                <w:rFonts w:ascii="Arial" w:hAnsi="Arial" w:cs="Arial"/>
                <w:bCs/>
              </w:rPr>
              <w:t>1</w:t>
            </w:r>
            <w:r w:rsidRPr="00CA42F6">
              <w:rPr>
                <w:rFonts w:ascii="Arial" w:hAnsi="Arial" w:cs="Arial"/>
                <w:bCs/>
              </w:rPr>
              <w:t>/2</w:t>
            </w:r>
            <w:r>
              <w:rPr>
                <w:rFonts w:ascii="Arial" w:hAnsi="Arial" w:cs="Arial"/>
                <w:bCs/>
              </w:rPr>
              <w:t>2</w:t>
            </w:r>
          </w:p>
          <w:p w14:paraId="1F9EECB1" w14:textId="77777777" w:rsidR="007854A9" w:rsidRPr="00CA42F6" w:rsidRDefault="007854A9" w:rsidP="003D4ACC">
            <w:pPr>
              <w:jc w:val="right"/>
              <w:rPr>
                <w:rFonts w:ascii="Arial" w:hAnsi="Arial" w:cs="Arial"/>
                <w:bCs/>
              </w:rPr>
            </w:pPr>
            <w:r w:rsidRPr="00CA42F6">
              <w:rPr>
                <w:rFonts w:ascii="Arial" w:hAnsi="Arial" w:cs="Arial"/>
                <w:bCs/>
                <w:szCs w:val="24"/>
              </w:rPr>
              <w:t>£m</w:t>
            </w:r>
          </w:p>
        </w:tc>
      </w:tr>
      <w:tr w:rsidR="007854A9" w:rsidRPr="00CA42F6" w14:paraId="43106A5B" w14:textId="77777777" w:rsidTr="003D4ACC">
        <w:trPr>
          <w:trHeight w:val="266"/>
        </w:trPr>
        <w:tc>
          <w:tcPr>
            <w:tcW w:w="5455" w:type="dxa"/>
            <w:tcBorders>
              <w:top w:val="single" w:sz="4" w:space="0" w:color="auto"/>
              <w:left w:val="nil"/>
              <w:right w:val="nil"/>
            </w:tcBorders>
            <w:shd w:val="clear" w:color="auto" w:fill="auto"/>
            <w:vAlign w:val="center"/>
          </w:tcPr>
          <w:p w14:paraId="0BAC2DE0" w14:textId="77777777" w:rsidR="007854A9" w:rsidRPr="00CA42F6" w:rsidRDefault="007854A9" w:rsidP="003D4ACC">
            <w:pPr>
              <w:jc w:val="left"/>
              <w:rPr>
                <w:rFonts w:ascii="Arial" w:hAnsi="Arial" w:cs="Arial"/>
              </w:rPr>
            </w:pPr>
            <w:r w:rsidRPr="00CA42F6">
              <w:rPr>
                <w:rFonts w:ascii="Arial" w:hAnsi="Arial" w:cs="Arial"/>
              </w:rPr>
              <w:t>Retail profit</w:t>
            </w:r>
          </w:p>
        </w:tc>
        <w:tc>
          <w:tcPr>
            <w:tcW w:w="2947" w:type="dxa"/>
            <w:tcBorders>
              <w:top w:val="single" w:sz="4" w:space="0" w:color="auto"/>
              <w:left w:val="nil"/>
              <w:right w:val="nil"/>
            </w:tcBorders>
            <w:shd w:val="clear" w:color="auto" w:fill="auto"/>
            <w:vAlign w:val="center"/>
          </w:tcPr>
          <w:p w14:paraId="6768A68A" w14:textId="77777777" w:rsidR="007854A9" w:rsidRPr="0088653C" w:rsidRDefault="007854A9" w:rsidP="003D4ACC">
            <w:pPr>
              <w:jc w:val="right"/>
              <w:rPr>
                <w:rFonts w:ascii="Arial" w:hAnsi="Arial" w:cs="Arial"/>
                <w:b/>
                <w:highlight w:val="yellow"/>
              </w:rPr>
            </w:pPr>
            <w:r w:rsidRPr="00BD3974">
              <w:rPr>
                <w:rFonts w:ascii="Arial" w:hAnsi="Arial" w:cs="Arial"/>
                <w:b/>
              </w:rPr>
              <w:t>923</w:t>
            </w:r>
          </w:p>
        </w:tc>
        <w:tc>
          <w:tcPr>
            <w:tcW w:w="1802" w:type="dxa"/>
            <w:tcBorders>
              <w:top w:val="single" w:sz="4" w:space="0" w:color="auto"/>
              <w:left w:val="nil"/>
              <w:right w:val="nil"/>
            </w:tcBorders>
            <w:vAlign w:val="center"/>
          </w:tcPr>
          <w:p w14:paraId="34C9F6DE" w14:textId="77777777" w:rsidR="007854A9" w:rsidRPr="0088653C" w:rsidRDefault="007854A9" w:rsidP="003D4ACC">
            <w:pPr>
              <w:jc w:val="right"/>
              <w:rPr>
                <w:rFonts w:ascii="Arial" w:hAnsi="Arial" w:cs="Arial"/>
                <w:bCs/>
              </w:rPr>
            </w:pPr>
            <w:r w:rsidRPr="0088653C">
              <w:rPr>
                <w:rFonts w:ascii="Arial" w:hAnsi="Arial" w:cs="Arial"/>
                <w:bCs/>
              </w:rPr>
              <w:t>1,148</w:t>
            </w:r>
          </w:p>
        </w:tc>
      </w:tr>
      <w:tr w:rsidR="007854A9" w:rsidRPr="00CA42F6" w14:paraId="44F4A474" w14:textId="77777777" w:rsidTr="003D4ACC">
        <w:trPr>
          <w:trHeight w:val="266"/>
        </w:trPr>
        <w:tc>
          <w:tcPr>
            <w:tcW w:w="5455" w:type="dxa"/>
            <w:tcBorders>
              <w:left w:val="nil"/>
              <w:bottom w:val="nil"/>
              <w:right w:val="nil"/>
            </w:tcBorders>
            <w:shd w:val="clear" w:color="auto" w:fill="auto"/>
            <w:vAlign w:val="center"/>
          </w:tcPr>
          <w:p w14:paraId="67CCF860" w14:textId="77777777" w:rsidR="007854A9" w:rsidRPr="00CA42F6" w:rsidRDefault="007854A9" w:rsidP="003D4ACC">
            <w:pPr>
              <w:jc w:val="left"/>
              <w:rPr>
                <w:rFonts w:ascii="Arial" w:hAnsi="Arial" w:cs="Arial"/>
              </w:rPr>
            </w:pPr>
            <w:r w:rsidRPr="00CA42F6">
              <w:rPr>
                <w:rFonts w:ascii="Arial" w:hAnsi="Arial" w:cs="Arial"/>
              </w:rPr>
              <w:t>Central costs</w:t>
            </w:r>
          </w:p>
        </w:tc>
        <w:tc>
          <w:tcPr>
            <w:tcW w:w="2947" w:type="dxa"/>
            <w:tcBorders>
              <w:left w:val="nil"/>
              <w:bottom w:val="nil"/>
              <w:right w:val="nil"/>
            </w:tcBorders>
            <w:shd w:val="clear" w:color="auto" w:fill="auto"/>
            <w:vAlign w:val="center"/>
          </w:tcPr>
          <w:p w14:paraId="3D617A7A" w14:textId="77777777" w:rsidR="007854A9" w:rsidRPr="0088653C" w:rsidRDefault="007854A9" w:rsidP="003D4ACC">
            <w:pPr>
              <w:jc w:val="right"/>
              <w:rPr>
                <w:rFonts w:ascii="Arial" w:hAnsi="Arial" w:cs="Arial"/>
                <w:b/>
                <w:highlight w:val="yellow"/>
              </w:rPr>
            </w:pPr>
            <w:r w:rsidRPr="00BD3974">
              <w:rPr>
                <w:rFonts w:ascii="Arial" w:hAnsi="Arial" w:cs="Arial"/>
                <w:b/>
              </w:rPr>
              <w:t>(49)</w:t>
            </w:r>
          </w:p>
        </w:tc>
        <w:tc>
          <w:tcPr>
            <w:tcW w:w="1802" w:type="dxa"/>
            <w:tcBorders>
              <w:left w:val="nil"/>
              <w:bottom w:val="nil"/>
              <w:right w:val="nil"/>
            </w:tcBorders>
            <w:vAlign w:val="center"/>
          </w:tcPr>
          <w:p w14:paraId="5FA480F8" w14:textId="77777777" w:rsidR="007854A9" w:rsidRPr="0088653C" w:rsidRDefault="007854A9" w:rsidP="003D4ACC">
            <w:pPr>
              <w:jc w:val="right"/>
              <w:rPr>
                <w:rFonts w:ascii="Arial" w:hAnsi="Arial" w:cs="Arial"/>
                <w:bCs/>
              </w:rPr>
            </w:pPr>
            <w:r w:rsidRPr="0088653C">
              <w:rPr>
                <w:rFonts w:ascii="Arial" w:hAnsi="Arial" w:cs="Arial"/>
                <w:bCs/>
              </w:rPr>
              <w:t>(60)</w:t>
            </w:r>
          </w:p>
        </w:tc>
      </w:tr>
      <w:tr w:rsidR="007854A9" w:rsidRPr="00CA42F6" w14:paraId="67192BD5" w14:textId="77777777" w:rsidTr="003D4ACC">
        <w:trPr>
          <w:trHeight w:val="266"/>
        </w:trPr>
        <w:tc>
          <w:tcPr>
            <w:tcW w:w="5455" w:type="dxa"/>
            <w:tcBorders>
              <w:left w:val="nil"/>
              <w:bottom w:val="nil"/>
              <w:right w:val="nil"/>
            </w:tcBorders>
            <w:shd w:val="clear" w:color="auto" w:fill="auto"/>
            <w:vAlign w:val="center"/>
          </w:tcPr>
          <w:p w14:paraId="7855C15E" w14:textId="77777777" w:rsidR="007854A9" w:rsidRPr="00CA42F6" w:rsidRDefault="007854A9" w:rsidP="003D4ACC">
            <w:pPr>
              <w:jc w:val="left"/>
              <w:rPr>
                <w:rFonts w:ascii="Arial" w:hAnsi="Arial" w:cs="Arial"/>
              </w:rPr>
            </w:pPr>
            <w:r w:rsidRPr="00CA42F6">
              <w:rPr>
                <w:rFonts w:ascii="Arial" w:hAnsi="Arial" w:cs="Arial"/>
              </w:rPr>
              <w:t>Depreciation and amortisation</w:t>
            </w:r>
          </w:p>
        </w:tc>
        <w:tc>
          <w:tcPr>
            <w:tcW w:w="2947" w:type="dxa"/>
            <w:tcBorders>
              <w:left w:val="nil"/>
              <w:bottom w:val="nil"/>
              <w:right w:val="nil"/>
            </w:tcBorders>
            <w:shd w:val="clear" w:color="auto" w:fill="auto"/>
            <w:vAlign w:val="center"/>
          </w:tcPr>
          <w:p w14:paraId="0CE81B14" w14:textId="77777777" w:rsidR="007854A9" w:rsidRPr="007005F4" w:rsidRDefault="007854A9" w:rsidP="003D4ACC">
            <w:pPr>
              <w:jc w:val="right"/>
              <w:rPr>
                <w:rFonts w:ascii="Arial" w:hAnsi="Arial" w:cs="Arial"/>
                <w:b/>
              </w:rPr>
            </w:pPr>
            <w:r w:rsidRPr="007005F4">
              <w:rPr>
                <w:rFonts w:ascii="Arial" w:hAnsi="Arial" w:cs="Arial"/>
                <w:b/>
              </w:rPr>
              <w:t>582</w:t>
            </w:r>
          </w:p>
        </w:tc>
        <w:tc>
          <w:tcPr>
            <w:tcW w:w="1802" w:type="dxa"/>
            <w:tcBorders>
              <w:left w:val="nil"/>
              <w:bottom w:val="nil"/>
              <w:right w:val="nil"/>
            </w:tcBorders>
            <w:vAlign w:val="center"/>
          </w:tcPr>
          <w:p w14:paraId="3F637F58" w14:textId="77777777" w:rsidR="007854A9" w:rsidRPr="0088653C" w:rsidRDefault="007854A9" w:rsidP="003D4ACC">
            <w:pPr>
              <w:jc w:val="right"/>
              <w:rPr>
                <w:rFonts w:ascii="Arial" w:hAnsi="Arial" w:cs="Arial"/>
                <w:bCs/>
              </w:rPr>
            </w:pPr>
            <w:r w:rsidRPr="0088653C">
              <w:rPr>
                <w:rFonts w:ascii="Arial" w:hAnsi="Arial" w:cs="Arial"/>
                <w:bCs/>
              </w:rPr>
              <w:t>555</w:t>
            </w:r>
          </w:p>
        </w:tc>
      </w:tr>
      <w:tr w:rsidR="007854A9" w:rsidRPr="00CA42F6" w14:paraId="001E3CE7" w14:textId="77777777" w:rsidTr="003D4ACC">
        <w:trPr>
          <w:trHeight w:val="266"/>
        </w:trPr>
        <w:tc>
          <w:tcPr>
            <w:tcW w:w="5455" w:type="dxa"/>
            <w:tcBorders>
              <w:top w:val="single" w:sz="4" w:space="0" w:color="auto"/>
              <w:left w:val="nil"/>
              <w:bottom w:val="nil"/>
              <w:right w:val="nil"/>
            </w:tcBorders>
            <w:shd w:val="clear" w:color="auto" w:fill="auto"/>
            <w:vAlign w:val="center"/>
            <w:hideMark/>
          </w:tcPr>
          <w:p w14:paraId="4BB3748D" w14:textId="77777777" w:rsidR="007854A9" w:rsidRPr="00CA42F6" w:rsidRDefault="007854A9" w:rsidP="003D4ACC">
            <w:pPr>
              <w:jc w:val="left"/>
              <w:rPr>
                <w:rFonts w:ascii="Arial" w:hAnsi="Arial" w:cs="Arial"/>
                <w:b/>
              </w:rPr>
            </w:pPr>
            <w:r w:rsidRPr="00CA42F6">
              <w:rPr>
                <w:rFonts w:ascii="Arial" w:hAnsi="Arial" w:cs="Arial"/>
                <w:b/>
              </w:rPr>
              <w:t>EBITDA</w:t>
            </w:r>
          </w:p>
        </w:tc>
        <w:tc>
          <w:tcPr>
            <w:tcW w:w="2947" w:type="dxa"/>
            <w:tcBorders>
              <w:top w:val="single" w:sz="4" w:space="0" w:color="auto"/>
              <w:left w:val="nil"/>
              <w:bottom w:val="nil"/>
              <w:right w:val="nil"/>
            </w:tcBorders>
            <w:shd w:val="clear" w:color="auto" w:fill="auto"/>
            <w:vAlign w:val="center"/>
          </w:tcPr>
          <w:p w14:paraId="3E8B2DD3" w14:textId="77777777" w:rsidR="007854A9" w:rsidRPr="007005F4" w:rsidRDefault="007854A9" w:rsidP="003D4ACC">
            <w:pPr>
              <w:jc w:val="right"/>
              <w:rPr>
                <w:rFonts w:ascii="Arial" w:hAnsi="Arial" w:cs="Arial"/>
                <w:b/>
              </w:rPr>
            </w:pPr>
            <w:r w:rsidRPr="007005F4">
              <w:rPr>
                <w:rFonts w:ascii="Arial" w:hAnsi="Arial" w:cs="Arial"/>
                <w:b/>
              </w:rPr>
              <w:t>1,456</w:t>
            </w:r>
          </w:p>
        </w:tc>
        <w:tc>
          <w:tcPr>
            <w:tcW w:w="1802" w:type="dxa"/>
            <w:tcBorders>
              <w:top w:val="single" w:sz="4" w:space="0" w:color="auto"/>
              <w:left w:val="nil"/>
              <w:bottom w:val="nil"/>
              <w:right w:val="nil"/>
            </w:tcBorders>
            <w:vAlign w:val="center"/>
          </w:tcPr>
          <w:p w14:paraId="7C69C101" w14:textId="77777777" w:rsidR="007854A9" w:rsidRPr="0088653C" w:rsidRDefault="007854A9" w:rsidP="003D4ACC">
            <w:pPr>
              <w:jc w:val="right"/>
              <w:rPr>
                <w:rFonts w:ascii="Arial" w:hAnsi="Arial" w:cs="Arial"/>
                <w:bCs/>
              </w:rPr>
            </w:pPr>
            <w:r w:rsidRPr="0088653C">
              <w:rPr>
                <w:rFonts w:ascii="Arial" w:hAnsi="Arial" w:cs="Arial"/>
                <w:bCs/>
              </w:rPr>
              <w:t>1,643</w:t>
            </w:r>
          </w:p>
        </w:tc>
      </w:tr>
      <w:tr w:rsidR="007854A9" w:rsidRPr="00CA42F6" w14:paraId="73AE76CF" w14:textId="77777777" w:rsidTr="003D4ACC">
        <w:trPr>
          <w:trHeight w:val="266"/>
        </w:trPr>
        <w:tc>
          <w:tcPr>
            <w:tcW w:w="5455" w:type="dxa"/>
            <w:tcBorders>
              <w:top w:val="single" w:sz="4" w:space="0" w:color="auto"/>
              <w:left w:val="nil"/>
              <w:bottom w:val="single" w:sz="4" w:space="0" w:color="auto"/>
              <w:right w:val="nil"/>
            </w:tcBorders>
            <w:shd w:val="clear" w:color="auto" w:fill="auto"/>
            <w:vAlign w:val="center"/>
            <w:hideMark/>
          </w:tcPr>
          <w:p w14:paraId="23130F02" w14:textId="77777777" w:rsidR="007854A9" w:rsidRPr="00CA42F6" w:rsidRDefault="007854A9" w:rsidP="003D4ACC">
            <w:pPr>
              <w:jc w:val="left"/>
              <w:rPr>
                <w:rFonts w:ascii="Arial" w:hAnsi="Arial" w:cs="Arial"/>
                <w:b/>
              </w:rPr>
            </w:pPr>
            <w:r w:rsidRPr="00CA42F6">
              <w:rPr>
                <w:rFonts w:ascii="Arial" w:hAnsi="Arial" w:cs="Arial"/>
                <w:b/>
              </w:rPr>
              <w:t>Net debt</w:t>
            </w:r>
          </w:p>
        </w:tc>
        <w:tc>
          <w:tcPr>
            <w:tcW w:w="2947" w:type="dxa"/>
            <w:tcBorders>
              <w:top w:val="single" w:sz="4" w:space="0" w:color="auto"/>
              <w:left w:val="nil"/>
              <w:bottom w:val="single" w:sz="4" w:space="0" w:color="auto"/>
              <w:right w:val="nil"/>
            </w:tcBorders>
            <w:shd w:val="clear" w:color="auto" w:fill="auto"/>
            <w:vAlign w:val="center"/>
          </w:tcPr>
          <w:p w14:paraId="2D339632" w14:textId="77777777" w:rsidR="007854A9" w:rsidRPr="007005F4" w:rsidRDefault="007854A9" w:rsidP="003D4ACC">
            <w:pPr>
              <w:jc w:val="right"/>
              <w:rPr>
                <w:rFonts w:ascii="Arial" w:hAnsi="Arial" w:cs="Arial"/>
                <w:b/>
              </w:rPr>
            </w:pPr>
            <w:r w:rsidRPr="00F9390C">
              <w:rPr>
                <w:rFonts w:ascii="Arial" w:hAnsi="Arial" w:cs="Arial"/>
                <w:b/>
              </w:rPr>
              <w:t>2,274</w:t>
            </w:r>
          </w:p>
        </w:tc>
        <w:tc>
          <w:tcPr>
            <w:tcW w:w="1802" w:type="dxa"/>
            <w:tcBorders>
              <w:top w:val="single" w:sz="4" w:space="0" w:color="auto"/>
              <w:left w:val="nil"/>
              <w:bottom w:val="single" w:sz="4" w:space="0" w:color="auto"/>
              <w:right w:val="nil"/>
            </w:tcBorders>
            <w:vAlign w:val="center"/>
          </w:tcPr>
          <w:p w14:paraId="2F15D58E" w14:textId="77777777" w:rsidR="007854A9" w:rsidRPr="0088653C" w:rsidRDefault="007854A9" w:rsidP="003D4ACC">
            <w:pPr>
              <w:jc w:val="right"/>
              <w:rPr>
                <w:rFonts w:ascii="Arial" w:hAnsi="Arial" w:cs="Arial"/>
                <w:bCs/>
              </w:rPr>
            </w:pPr>
            <w:r w:rsidRPr="0088653C">
              <w:rPr>
                <w:rFonts w:ascii="Arial" w:hAnsi="Arial" w:cs="Arial"/>
                <w:bCs/>
              </w:rPr>
              <w:t>1,572</w:t>
            </w:r>
          </w:p>
        </w:tc>
      </w:tr>
      <w:tr w:rsidR="007854A9" w:rsidRPr="00364F7A" w14:paraId="6F4AA861" w14:textId="77777777" w:rsidTr="003D4ACC">
        <w:trPr>
          <w:trHeight w:val="266"/>
        </w:trPr>
        <w:tc>
          <w:tcPr>
            <w:tcW w:w="5455" w:type="dxa"/>
            <w:tcBorders>
              <w:top w:val="single" w:sz="4" w:space="0" w:color="auto"/>
              <w:left w:val="nil"/>
              <w:bottom w:val="single" w:sz="4" w:space="0" w:color="auto"/>
              <w:right w:val="nil"/>
            </w:tcBorders>
            <w:shd w:val="clear" w:color="auto" w:fill="auto"/>
            <w:vAlign w:val="center"/>
            <w:hideMark/>
          </w:tcPr>
          <w:p w14:paraId="0710D552" w14:textId="77777777" w:rsidR="007854A9" w:rsidRPr="00CA42F6" w:rsidRDefault="007854A9" w:rsidP="003D4ACC">
            <w:pPr>
              <w:jc w:val="left"/>
              <w:rPr>
                <w:rFonts w:ascii="Arial" w:hAnsi="Arial" w:cs="Arial"/>
                <w:b/>
              </w:rPr>
            </w:pPr>
            <w:r w:rsidRPr="00CA42F6">
              <w:rPr>
                <w:rFonts w:ascii="Arial" w:hAnsi="Arial" w:cs="Arial"/>
                <w:b/>
              </w:rPr>
              <w:t>Net debt to EBITDA</w:t>
            </w:r>
          </w:p>
        </w:tc>
        <w:tc>
          <w:tcPr>
            <w:tcW w:w="2947" w:type="dxa"/>
            <w:tcBorders>
              <w:top w:val="single" w:sz="4" w:space="0" w:color="auto"/>
              <w:left w:val="nil"/>
              <w:bottom w:val="single" w:sz="4" w:space="0" w:color="auto"/>
              <w:right w:val="nil"/>
            </w:tcBorders>
            <w:shd w:val="clear" w:color="auto" w:fill="auto"/>
            <w:vAlign w:val="center"/>
          </w:tcPr>
          <w:p w14:paraId="2BD4507B" w14:textId="77777777" w:rsidR="007854A9" w:rsidRPr="007005F4" w:rsidRDefault="007854A9" w:rsidP="003D4ACC">
            <w:pPr>
              <w:jc w:val="right"/>
              <w:rPr>
                <w:rFonts w:ascii="Arial" w:hAnsi="Arial" w:cs="Arial"/>
                <w:b/>
              </w:rPr>
            </w:pPr>
            <w:r w:rsidRPr="007005F4">
              <w:rPr>
                <w:rFonts w:ascii="Arial" w:hAnsi="Arial" w:cs="Arial"/>
                <w:b/>
              </w:rPr>
              <w:t>1.6</w:t>
            </w:r>
          </w:p>
        </w:tc>
        <w:tc>
          <w:tcPr>
            <w:tcW w:w="1802" w:type="dxa"/>
            <w:tcBorders>
              <w:top w:val="single" w:sz="4" w:space="0" w:color="auto"/>
              <w:left w:val="nil"/>
              <w:bottom w:val="single" w:sz="4" w:space="0" w:color="auto"/>
              <w:right w:val="nil"/>
            </w:tcBorders>
            <w:vAlign w:val="center"/>
          </w:tcPr>
          <w:p w14:paraId="0B20402D" w14:textId="77777777" w:rsidR="007854A9" w:rsidRPr="0088653C" w:rsidRDefault="007854A9" w:rsidP="003D4ACC">
            <w:pPr>
              <w:tabs>
                <w:tab w:val="center" w:pos="671"/>
                <w:tab w:val="right" w:pos="1343"/>
              </w:tabs>
              <w:jc w:val="right"/>
              <w:rPr>
                <w:rFonts w:ascii="Arial" w:hAnsi="Arial" w:cs="Arial"/>
                <w:bCs/>
              </w:rPr>
            </w:pPr>
            <w:r w:rsidRPr="0088653C">
              <w:rPr>
                <w:rFonts w:ascii="Arial" w:hAnsi="Arial" w:cs="Arial"/>
                <w:bCs/>
              </w:rPr>
              <w:t>1.0</w:t>
            </w:r>
          </w:p>
        </w:tc>
      </w:tr>
    </w:tbl>
    <w:p w14:paraId="1E2A8D9F" w14:textId="77777777" w:rsidR="007854A9" w:rsidRDefault="007854A9" w:rsidP="007854A9">
      <w:pPr>
        <w:jc w:val="left"/>
        <w:rPr>
          <w:rFonts w:ascii="Arial" w:hAnsi="Arial" w:cs="Arial"/>
        </w:rPr>
      </w:pPr>
    </w:p>
    <w:p w14:paraId="6187D451" w14:textId="77777777" w:rsidR="007854A9" w:rsidRDefault="007854A9" w:rsidP="007854A9">
      <w:pPr>
        <w:jc w:val="left"/>
        <w:rPr>
          <w:rFonts w:ascii="Arial" w:hAnsi="Arial" w:cs="Arial"/>
          <w:szCs w:val="24"/>
        </w:rPr>
      </w:pPr>
      <w:r>
        <w:rPr>
          <w:rFonts w:ascii="Arial" w:hAnsi="Arial" w:cs="Arial"/>
          <w:szCs w:val="24"/>
          <w:u w:val="single"/>
        </w:rPr>
        <w:t>Credit ratings</w:t>
      </w:r>
    </w:p>
    <w:p w14:paraId="32E9132C" w14:textId="77777777" w:rsidR="007854A9" w:rsidRDefault="007854A9" w:rsidP="007854A9">
      <w:pPr>
        <w:jc w:val="left"/>
        <w:rPr>
          <w:rFonts w:ascii="Arial" w:hAnsi="Arial" w:cs="Arial"/>
        </w:rPr>
      </w:pPr>
      <w:r w:rsidRPr="00364F7A">
        <w:rPr>
          <w:rFonts w:ascii="Arial" w:hAnsi="Arial" w:cs="Arial"/>
        </w:rPr>
        <w:t xml:space="preserve">Kingfisher holds a BBB credit rating with </w:t>
      </w:r>
      <w:r w:rsidRPr="00244E5A">
        <w:rPr>
          <w:rFonts w:ascii="Arial" w:hAnsi="Arial" w:cs="Arial"/>
        </w:rPr>
        <w:t xml:space="preserve">Fitch, (P) Baa2 rating with Moody’s, and a BBB rating with Standard and </w:t>
      </w:r>
      <w:r w:rsidRPr="001877BC">
        <w:rPr>
          <w:rFonts w:ascii="Arial" w:hAnsi="Arial" w:cs="Arial"/>
        </w:rPr>
        <w:t>Poor’s</w:t>
      </w:r>
      <w:r>
        <w:rPr>
          <w:rFonts w:ascii="Arial" w:hAnsi="Arial" w:cs="Arial"/>
        </w:rPr>
        <w:t>. The Outlook is Stable across all three agencies.</w:t>
      </w:r>
    </w:p>
    <w:p w14:paraId="32916078" w14:textId="77777777" w:rsidR="007854A9" w:rsidRDefault="007854A9" w:rsidP="007854A9">
      <w:pPr>
        <w:jc w:val="left"/>
        <w:rPr>
          <w:rFonts w:ascii="Arial" w:hAnsi="Arial" w:cs="Arial"/>
        </w:rPr>
      </w:pPr>
    </w:p>
    <w:p w14:paraId="0E2E9B23" w14:textId="77777777" w:rsidR="007854A9" w:rsidRPr="00726D3A" w:rsidRDefault="007854A9" w:rsidP="007854A9">
      <w:pPr>
        <w:jc w:val="left"/>
        <w:rPr>
          <w:rFonts w:ascii="Arial" w:hAnsi="Arial" w:cs="Arial"/>
          <w:u w:val="single"/>
        </w:rPr>
      </w:pPr>
      <w:r w:rsidRPr="00726D3A">
        <w:rPr>
          <w:rFonts w:ascii="Arial" w:hAnsi="Arial" w:cs="Arial"/>
          <w:u w:val="single"/>
        </w:rPr>
        <w:t>Revolving credit facility</w:t>
      </w:r>
    </w:p>
    <w:p w14:paraId="2D024264" w14:textId="7870903E" w:rsidR="007854A9" w:rsidRDefault="007854A9" w:rsidP="007854A9">
      <w:pPr>
        <w:jc w:val="left"/>
        <w:rPr>
          <w:rFonts w:ascii="Arial" w:hAnsi="Arial" w:cs="Arial"/>
        </w:rPr>
      </w:pPr>
      <w:r>
        <w:rPr>
          <w:rFonts w:ascii="Arial" w:hAnsi="Arial" w:cs="Arial"/>
          <w:bCs/>
        </w:rPr>
        <w:t>T</w:t>
      </w:r>
      <w:r w:rsidRPr="00726D3A">
        <w:rPr>
          <w:rFonts w:ascii="Arial" w:hAnsi="Arial" w:cs="Arial"/>
          <w:bCs/>
        </w:rPr>
        <w:t xml:space="preserve">he Group </w:t>
      </w:r>
      <w:r>
        <w:rPr>
          <w:rFonts w:ascii="Arial" w:hAnsi="Arial" w:cs="Arial"/>
          <w:bCs/>
        </w:rPr>
        <w:t>has</w:t>
      </w:r>
      <w:r w:rsidRPr="00726D3A">
        <w:rPr>
          <w:rFonts w:ascii="Arial" w:hAnsi="Arial" w:cs="Arial"/>
          <w:bCs/>
        </w:rPr>
        <w:t xml:space="preserve"> a £550m </w:t>
      </w:r>
      <w:r w:rsidRPr="00726D3A">
        <w:rPr>
          <w:rFonts w:ascii="Arial" w:hAnsi="Arial" w:cs="Arial"/>
        </w:rPr>
        <w:t>revolving credit facility</w:t>
      </w:r>
      <w:r w:rsidRPr="00726D3A">
        <w:rPr>
          <w:rFonts w:ascii="Arial" w:hAnsi="Arial" w:cs="Arial"/>
          <w:bCs/>
        </w:rPr>
        <w:t xml:space="preserve"> (RCF) agreement </w:t>
      </w:r>
      <w:r>
        <w:rPr>
          <w:rFonts w:ascii="Arial" w:hAnsi="Arial" w:cs="Arial"/>
          <w:bCs/>
        </w:rPr>
        <w:t xml:space="preserve">in place </w:t>
      </w:r>
      <w:r w:rsidRPr="00726D3A">
        <w:rPr>
          <w:rFonts w:ascii="Arial" w:hAnsi="Arial" w:cs="Arial"/>
          <w:bCs/>
        </w:rPr>
        <w:t>with a group of its relationship banks, linked to sustainability and community-based targets</w:t>
      </w:r>
      <w:r>
        <w:rPr>
          <w:rFonts w:ascii="Arial" w:hAnsi="Arial" w:cs="Arial"/>
          <w:bCs/>
        </w:rPr>
        <w:t xml:space="preserve">, which </w:t>
      </w:r>
      <w:r w:rsidRPr="006957EC">
        <w:rPr>
          <w:rFonts w:ascii="Arial" w:hAnsi="Arial" w:cs="Arial"/>
        </w:rPr>
        <w:t>expires in May 202</w:t>
      </w:r>
      <w:r>
        <w:rPr>
          <w:rFonts w:ascii="Arial" w:hAnsi="Arial" w:cs="Arial"/>
        </w:rPr>
        <w:t>5.</w:t>
      </w:r>
      <w:r w:rsidRPr="00726D3A">
        <w:rPr>
          <w:rFonts w:ascii="Arial" w:hAnsi="Arial" w:cs="Arial"/>
        </w:rPr>
        <w:t xml:space="preserve"> As of 31 J</w:t>
      </w:r>
      <w:r>
        <w:rPr>
          <w:rFonts w:ascii="Arial" w:hAnsi="Arial" w:cs="Arial"/>
        </w:rPr>
        <w:t>anuary</w:t>
      </w:r>
      <w:r w:rsidRPr="0065352A">
        <w:rPr>
          <w:rFonts w:ascii="Arial" w:hAnsi="Arial" w:cs="Arial"/>
        </w:rPr>
        <w:t xml:space="preserve"> 202</w:t>
      </w:r>
      <w:r>
        <w:rPr>
          <w:rFonts w:ascii="Arial" w:hAnsi="Arial" w:cs="Arial"/>
        </w:rPr>
        <w:t>3,</w:t>
      </w:r>
      <w:r w:rsidRPr="0065352A">
        <w:rPr>
          <w:rFonts w:ascii="Arial" w:hAnsi="Arial" w:cs="Arial"/>
        </w:rPr>
        <w:t xml:space="preserve"> this RCF was undrawn.</w:t>
      </w:r>
    </w:p>
    <w:p w14:paraId="4AB9C467" w14:textId="77777777" w:rsidR="007854A9" w:rsidRPr="0065352A" w:rsidRDefault="007854A9" w:rsidP="007854A9">
      <w:pPr>
        <w:jc w:val="left"/>
        <w:rPr>
          <w:rFonts w:ascii="Arial" w:hAnsi="Arial" w:cs="Arial"/>
        </w:rPr>
      </w:pPr>
    </w:p>
    <w:p w14:paraId="53B08799" w14:textId="77777777" w:rsidR="007854A9" w:rsidRPr="0065352A" w:rsidRDefault="007854A9" w:rsidP="007854A9">
      <w:pPr>
        <w:jc w:val="left"/>
        <w:rPr>
          <w:rFonts w:ascii="Arial" w:hAnsi="Arial" w:cs="Arial"/>
        </w:rPr>
      </w:pPr>
      <w:r>
        <w:rPr>
          <w:rFonts w:ascii="Arial" w:hAnsi="Arial" w:cs="Arial"/>
          <w:u w:val="single"/>
        </w:rPr>
        <w:t>Term loans</w:t>
      </w:r>
    </w:p>
    <w:p w14:paraId="364ECCCD" w14:textId="77777777" w:rsidR="007854A9" w:rsidRPr="0065352A" w:rsidRDefault="007854A9" w:rsidP="007854A9">
      <w:pPr>
        <w:jc w:val="left"/>
        <w:rPr>
          <w:rFonts w:ascii="Arial" w:hAnsi="Arial" w:cs="Arial"/>
        </w:rPr>
      </w:pPr>
      <w:r>
        <w:rPr>
          <w:rFonts w:ascii="Arial" w:hAnsi="Arial" w:cs="Arial"/>
        </w:rPr>
        <w:t>In FY 21/22, t</w:t>
      </w:r>
      <w:r w:rsidRPr="0065352A">
        <w:rPr>
          <w:rFonts w:ascii="Arial" w:hAnsi="Arial" w:cs="Arial"/>
        </w:rPr>
        <w:t>he Group repaid its €50</w:t>
      </w:r>
      <w:r>
        <w:rPr>
          <w:rFonts w:ascii="Arial" w:hAnsi="Arial" w:cs="Arial"/>
        </w:rPr>
        <w:t>m</w:t>
      </w:r>
      <w:r w:rsidRPr="0065352A">
        <w:rPr>
          <w:rFonts w:ascii="Arial" w:hAnsi="Arial" w:cs="Arial"/>
        </w:rPr>
        <w:t xml:space="preserve"> and £50</w:t>
      </w:r>
      <w:r>
        <w:rPr>
          <w:rFonts w:ascii="Arial" w:hAnsi="Arial" w:cs="Arial"/>
        </w:rPr>
        <w:t>m</w:t>
      </w:r>
      <w:r w:rsidRPr="0065352A">
        <w:rPr>
          <w:rFonts w:ascii="Arial" w:hAnsi="Arial" w:cs="Arial"/>
        </w:rPr>
        <w:t xml:space="preserve"> fixed term loans at maturity in September 2021 and December 2021 respectively. </w:t>
      </w:r>
      <w:r>
        <w:rPr>
          <w:rFonts w:ascii="Arial" w:hAnsi="Arial" w:cs="Arial"/>
        </w:rPr>
        <w:t xml:space="preserve">During FY 22/23, the Group entered into two new fixed term loans: £50m </w:t>
      </w:r>
      <w:r>
        <w:rPr>
          <w:rFonts w:ascii="Arial" w:hAnsi="Arial" w:cs="Arial"/>
        </w:rPr>
        <w:lastRenderedPageBreak/>
        <w:t>maturing in December 2024 and £50m maturing in January 2025, with the latter linked to the Group’s sustainability and community-based targets.</w:t>
      </w:r>
    </w:p>
    <w:p w14:paraId="0813B49C" w14:textId="77777777" w:rsidR="007854A9" w:rsidRDefault="007854A9" w:rsidP="007854A9">
      <w:pPr>
        <w:jc w:val="left"/>
        <w:rPr>
          <w:rFonts w:ascii="Arial" w:hAnsi="Arial" w:cs="Arial"/>
        </w:rPr>
      </w:pPr>
    </w:p>
    <w:p w14:paraId="770479DE" w14:textId="77777777" w:rsidR="007854A9" w:rsidRPr="0065352A" w:rsidRDefault="007854A9" w:rsidP="007854A9">
      <w:pPr>
        <w:jc w:val="left"/>
        <w:rPr>
          <w:rFonts w:ascii="Arial" w:hAnsi="Arial" w:cs="Arial"/>
        </w:rPr>
      </w:pPr>
      <w:r w:rsidRPr="0065352A">
        <w:rPr>
          <w:rFonts w:ascii="Arial" w:hAnsi="Arial" w:cs="Arial"/>
          <w:u w:val="single"/>
        </w:rPr>
        <w:t>Covenants</w:t>
      </w:r>
    </w:p>
    <w:p w14:paraId="01C43882" w14:textId="148F237E" w:rsidR="007854A9" w:rsidRPr="0065352A" w:rsidRDefault="007854A9" w:rsidP="007854A9">
      <w:pPr>
        <w:jc w:val="left"/>
        <w:rPr>
          <w:rFonts w:ascii="Arial" w:hAnsi="Arial" w:cs="Arial"/>
        </w:rPr>
      </w:pPr>
      <w:r w:rsidRPr="0065352A">
        <w:rPr>
          <w:rFonts w:ascii="Arial" w:hAnsi="Arial" w:cs="Arial"/>
        </w:rPr>
        <w:t xml:space="preserve">The terms of the committed RCF </w:t>
      </w:r>
      <w:r>
        <w:rPr>
          <w:rFonts w:ascii="Arial" w:hAnsi="Arial" w:cs="Arial"/>
        </w:rPr>
        <w:t xml:space="preserve">and both term loans </w:t>
      </w:r>
      <w:r w:rsidRPr="0065352A">
        <w:rPr>
          <w:rFonts w:ascii="Arial" w:hAnsi="Arial" w:cs="Arial"/>
        </w:rPr>
        <w:t xml:space="preserve">require that the ratio of Group operating profit (excluding adjusting items) to net interest payable (excluding interest on IFRS 16 lease liabilities) must be no less than 3:1 for the preceding 12 months as at the half and full year-ends. As of 31 </w:t>
      </w:r>
      <w:r>
        <w:rPr>
          <w:rFonts w:ascii="Arial" w:hAnsi="Arial" w:cs="Arial"/>
        </w:rPr>
        <w:t>January</w:t>
      </w:r>
      <w:r w:rsidRPr="0065352A">
        <w:rPr>
          <w:rFonts w:ascii="Arial" w:hAnsi="Arial" w:cs="Arial"/>
        </w:rPr>
        <w:t xml:space="preserve"> 202</w:t>
      </w:r>
      <w:r>
        <w:rPr>
          <w:rFonts w:ascii="Arial" w:hAnsi="Arial" w:cs="Arial"/>
        </w:rPr>
        <w:t>3</w:t>
      </w:r>
      <w:r w:rsidRPr="00BF5CB1">
        <w:rPr>
          <w:rFonts w:ascii="Arial" w:hAnsi="Arial" w:cs="Arial"/>
        </w:rPr>
        <w:t>, Kingfisher</w:t>
      </w:r>
      <w:r w:rsidR="00BB12E6">
        <w:rPr>
          <w:rFonts w:ascii="Arial" w:hAnsi="Arial" w:cs="Arial"/>
        </w:rPr>
        <w:t xml:space="preserve"> </w:t>
      </w:r>
      <w:r w:rsidRPr="00BF5CB1">
        <w:rPr>
          <w:rFonts w:ascii="Arial" w:hAnsi="Arial" w:cs="Arial"/>
        </w:rPr>
        <w:t xml:space="preserve">was </w:t>
      </w:r>
      <w:r w:rsidR="00BB12E6" w:rsidRPr="00BB12E6">
        <w:rPr>
          <w:rFonts w:ascii="Arial" w:hAnsi="Arial" w:cs="Arial"/>
        </w:rPr>
        <w:t xml:space="preserve">in compliance with </w:t>
      </w:r>
      <w:r w:rsidRPr="00BF5CB1">
        <w:rPr>
          <w:rFonts w:ascii="Arial" w:hAnsi="Arial" w:cs="Arial"/>
        </w:rPr>
        <w:t>this requirement.</w:t>
      </w:r>
    </w:p>
    <w:p w14:paraId="5FB87445" w14:textId="77777777" w:rsidR="007854A9" w:rsidRPr="00CC3104" w:rsidRDefault="007854A9" w:rsidP="007854A9">
      <w:pPr>
        <w:jc w:val="left"/>
        <w:rPr>
          <w:rFonts w:ascii="Arial" w:hAnsi="Arial" w:cs="Arial"/>
        </w:rPr>
      </w:pPr>
    </w:p>
    <w:p w14:paraId="425158E1" w14:textId="77777777" w:rsidR="007854A9" w:rsidRPr="00CC3104" w:rsidRDefault="007854A9" w:rsidP="007854A9">
      <w:pPr>
        <w:jc w:val="left"/>
        <w:rPr>
          <w:rFonts w:ascii="Arial" w:hAnsi="Arial" w:cs="Arial"/>
          <w:bCs/>
          <w:u w:val="single"/>
        </w:rPr>
      </w:pPr>
      <w:bookmarkStart w:id="72" w:name="_Hlk128586317"/>
      <w:r w:rsidRPr="00CC3104">
        <w:rPr>
          <w:rFonts w:ascii="Arial" w:hAnsi="Arial" w:cs="Arial"/>
          <w:bCs/>
          <w:u w:val="single"/>
        </w:rPr>
        <w:t>Total liquidity</w:t>
      </w:r>
    </w:p>
    <w:p w14:paraId="45CB8A1A" w14:textId="77777777" w:rsidR="007854A9" w:rsidRPr="0093206F" w:rsidRDefault="007854A9" w:rsidP="007854A9">
      <w:pPr>
        <w:jc w:val="left"/>
        <w:rPr>
          <w:rFonts w:ascii="Arial" w:hAnsi="Arial" w:cs="Arial"/>
        </w:rPr>
      </w:pPr>
      <w:r w:rsidRPr="00CC3104">
        <w:rPr>
          <w:rFonts w:ascii="Arial" w:eastAsia="Times New Roman" w:hAnsi="Arial" w:cs="Arial"/>
        </w:rPr>
        <w:t>As of 31 J</w:t>
      </w:r>
      <w:r>
        <w:rPr>
          <w:rFonts w:ascii="Arial" w:eastAsia="Times New Roman" w:hAnsi="Arial" w:cs="Arial"/>
        </w:rPr>
        <w:t>anuar</w:t>
      </w:r>
      <w:r w:rsidRPr="00CC3104">
        <w:rPr>
          <w:rFonts w:ascii="Arial" w:eastAsia="Times New Roman" w:hAnsi="Arial" w:cs="Arial"/>
        </w:rPr>
        <w:t>y 202</w:t>
      </w:r>
      <w:r>
        <w:rPr>
          <w:rFonts w:ascii="Arial" w:eastAsia="Times New Roman" w:hAnsi="Arial" w:cs="Arial"/>
        </w:rPr>
        <w:t>3</w:t>
      </w:r>
      <w:r w:rsidRPr="00CC3104">
        <w:rPr>
          <w:rFonts w:ascii="Arial" w:eastAsia="Times New Roman" w:hAnsi="Arial" w:cs="Arial"/>
        </w:rPr>
        <w:t>, the Group had access to over £</w:t>
      </w:r>
      <w:r>
        <w:rPr>
          <w:rFonts w:ascii="Arial" w:eastAsia="Times New Roman" w:hAnsi="Arial" w:cs="Arial"/>
        </w:rPr>
        <w:t>800m</w:t>
      </w:r>
      <w:r w:rsidRPr="00CC3104">
        <w:rPr>
          <w:rFonts w:ascii="Arial" w:eastAsia="Times New Roman" w:hAnsi="Arial" w:cs="Arial"/>
        </w:rPr>
        <w:t xml:space="preserve"> in total liquidity, including cash and cash equivalents </w:t>
      </w:r>
      <w:r w:rsidRPr="00F25EDD">
        <w:rPr>
          <w:rFonts w:ascii="Arial" w:eastAsia="Times New Roman" w:hAnsi="Arial" w:cs="Arial"/>
        </w:rPr>
        <w:t>of £270m</w:t>
      </w:r>
      <w:r w:rsidRPr="00CC3104">
        <w:rPr>
          <w:rFonts w:ascii="Arial" w:eastAsia="Times New Roman" w:hAnsi="Arial" w:cs="Arial"/>
        </w:rPr>
        <w:t xml:space="preserve"> </w:t>
      </w:r>
      <w:r w:rsidRPr="00CC3104">
        <w:rPr>
          <w:rFonts w:ascii="Arial" w:hAnsi="Arial" w:cs="Arial"/>
          <w:bCs/>
        </w:rPr>
        <w:t>and access to a £550</w:t>
      </w:r>
      <w:r w:rsidRPr="00CC3104">
        <w:rPr>
          <w:rFonts w:ascii="Arial" w:eastAsia="Times New Roman" w:hAnsi="Arial" w:cs="Arial"/>
        </w:rPr>
        <w:t>m</w:t>
      </w:r>
      <w:r w:rsidRPr="00CC3104">
        <w:rPr>
          <w:rFonts w:ascii="Arial" w:hAnsi="Arial" w:cs="Arial"/>
          <w:bCs/>
        </w:rPr>
        <w:t xml:space="preserve"> RCF.</w:t>
      </w:r>
      <w:r w:rsidRPr="00CC3104">
        <w:rPr>
          <w:rFonts w:ascii="Arial" w:hAnsi="Arial" w:cs="Arial"/>
        </w:rPr>
        <w:t xml:space="preserve"> Further detail on Kingfisher’s debt and facilities can be found </w:t>
      </w:r>
      <w:r w:rsidRPr="0093206F">
        <w:rPr>
          <w:rFonts w:ascii="Arial" w:hAnsi="Arial" w:cs="Arial"/>
        </w:rPr>
        <w:t xml:space="preserve">at </w:t>
      </w:r>
      <w:hyperlink r:id="rId18" w:history="1">
        <w:r w:rsidRPr="00BD3974">
          <w:rPr>
            <w:rStyle w:val="Hyperlink"/>
            <w:rFonts w:ascii="Arial" w:hAnsi="Arial" w:cs="Arial"/>
          </w:rPr>
          <w:t>www.kingfisher.com</w:t>
        </w:r>
      </w:hyperlink>
      <w:r w:rsidRPr="0093206F">
        <w:rPr>
          <w:rFonts w:ascii="Arial" w:hAnsi="Arial" w:cs="Arial"/>
        </w:rPr>
        <w:t>.</w:t>
      </w:r>
    </w:p>
    <w:bookmarkEnd w:id="72"/>
    <w:p w14:paraId="2C7DE389" w14:textId="77777777" w:rsidR="007854A9" w:rsidRPr="00CC3104" w:rsidRDefault="007854A9" w:rsidP="007854A9">
      <w:pPr>
        <w:jc w:val="left"/>
        <w:rPr>
          <w:rFonts w:ascii="Arial" w:hAnsi="Arial" w:cs="Arial"/>
        </w:rPr>
      </w:pPr>
    </w:p>
    <w:p w14:paraId="748EBB4F" w14:textId="77777777" w:rsidR="007854A9" w:rsidRPr="00DE0F31" w:rsidRDefault="007854A9" w:rsidP="007854A9">
      <w:pPr>
        <w:jc w:val="left"/>
        <w:rPr>
          <w:rFonts w:ascii="Arial" w:hAnsi="Arial" w:cs="Arial"/>
          <w:bCs/>
        </w:rPr>
      </w:pPr>
      <w:bookmarkStart w:id="73" w:name="_Hlk96689259"/>
      <w:r w:rsidRPr="00DE0F31">
        <w:rPr>
          <w:rFonts w:ascii="Arial" w:hAnsi="Arial" w:cs="Arial"/>
          <w:b/>
        </w:rPr>
        <w:t xml:space="preserve">Free cash flow </w:t>
      </w:r>
    </w:p>
    <w:p w14:paraId="22B4BCEA" w14:textId="77777777" w:rsidR="007854A9" w:rsidRDefault="007854A9" w:rsidP="007854A9">
      <w:pPr>
        <w:jc w:val="left"/>
        <w:rPr>
          <w:rFonts w:ascii="Arial" w:hAnsi="Arial" w:cs="Arial"/>
        </w:rPr>
      </w:pPr>
      <w:r w:rsidRPr="00DE0F31">
        <w:rPr>
          <w:rFonts w:ascii="Arial" w:hAnsi="Arial" w:cs="Arial"/>
        </w:rPr>
        <w:t>A reconciliation of free cash flow is set out below:</w:t>
      </w:r>
    </w:p>
    <w:p w14:paraId="0AC01030" w14:textId="77777777" w:rsidR="007854A9" w:rsidRPr="00DE0F31" w:rsidRDefault="007854A9" w:rsidP="007854A9">
      <w:pPr>
        <w:jc w:val="left"/>
        <w:rPr>
          <w:rFonts w:ascii="Arial" w:hAnsi="Arial" w:cs="Arial"/>
          <w:bCs/>
        </w:rPr>
      </w:pPr>
    </w:p>
    <w:tbl>
      <w:tblPr>
        <w:tblW w:w="5000" w:type="pct"/>
        <w:tblLayout w:type="fixed"/>
        <w:tblLook w:val="0000" w:firstRow="0" w:lastRow="0" w:firstColumn="0" w:lastColumn="0" w:noHBand="0" w:noVBand="0"/>
      </w:tblPr>
      <w:tblGrid>
        <w:gridCol w:w="7429"/>
        <w:gridCol w:w="1444"/>
        <w:gridCol w:w="1445"/>
      </w:tblGrid>
      <w:tr w:rsidR="007854A9" w:rsidRPr="00DE0F31" w14:paraId="3A15439C" w14:textId="77777777" w:rsidTr="003D4ACC">
        <w:trPr>
          <w:trHeight w:val="520"/>
        </w:trPr>
        <w:tc>
          <w:tcPr>
            <w:tcW w:w="7347" w:type="dxa"/>
            <w:shd w:val="clear" w:color="auto" w:fill="auto"/>
            <w:vAlign w:val="center"/>
          </w:tcPr>
          <w:p w14:paraId="0539B73D" w14:textId="77777777" w:rsidR="007854A9" w:rsidRPr="00DE0F31" w:rsidRDefault="007854A9" w:rsidP="003D4ACC">
            <w:pPr>
              <w:jc w:val="left"/>
              <w:rPr>
                <w:rFonts w:ascii="Arial" w:hAnsi="Arial" w:cs="Arial"/>
                <w:b/>
              </w:rPr>
            </w:pPr>
          </w:p>
        </w:tc>
        <w:tc>
          <w:tcPr>
            <w:tcW w:w="1428" w:type="dxa"/>
            <w:vAlign w:val="center"/>
          </w:tcPr>
          <w:p w14:paraId="123762AC" w14:textId="77777777" w:rsidR="007854A9" w:rsidRPr="00DE0F31" w:rsidRDefault="007854A9" w:rsidP="003D4ACC">
            <w:pPr>
              <w:jc w:val="right"/>
              <w:rPr>
                <w:rFonts w:ascii="Arial" w:hAnsi="Arial" w:cs="Arial"/>
                <w:b/>
              </w:rPr>
            </w:pPr>
            <w:r w:rsidRPr="00DE0F31">
              <w:rPr>
                <w:rFonts w:ascii="Arial" w:hAnsi="Arial" w:cs="Arial"/>
                <w:b/>
              </w:rPr>
              <w:t>202</w:t>
            </w:r>
            <w:r>
              <w:rPr>
                <w:rFonts w:ascii="Arial" w:hAnsi="Arial" w:cs="Arial"/>
                <w:b/>
              </w:rPr>
              <w:t>2</w:t>
            </w:r>
            <w:r w:rsidRPr="00DE0F31">
              <w:rPr>
                <w:rFonts w:ascii="Arial" w:hAnsi="Arial" w:cs="Arial"/>
                <w:b/>
              </w:rPr>
              <w:t>/2</w:t>
            </w:r>
            <w:r>
              <w:rPr>
                <w:rFonts w:ascii="Arial" w:hAnsi="Arial" w:cs="Arial"/>
                <w:b/>
              </w:rPr>
              <w:t>3</w:t>
            </w:r>
          </w:p>
          <w:p w14:paraId="71D12D35" w14:textId="77777777" w:rsidR="007854A9" w:rsidRPr="00DE0F31" w:rsidRDefault="007854A9" w:rsidP="003D4ACC">
            <w:pPr>
              <w:jc w:val="right"/>
              <w:rPr>
                <w:rFonts w:ascii="Arial" w:hAnsi="Arial" w:cs="Arial"/>
                <w:b/>
              </w:rPr>
            </w:pPr>
            <w:r w:rsidRPr="00DE0F31">
              <w:rPr>
                <w:rFonts w:ascii="Arial" w:hAnsi="Arial" w:cs="Arial"/>
                <w:b/>
              </w:rPr>
              <w:t>£m</w:t>
            </w:r>
          </w:p>
        </w:tc>
        <w:tc>
          <w:tcPr>
            <w:tcW w:w="1429" w:type="dxa"/>
            <w:vAlign w:val="center"/>
          </w:tcPr>
          <w:p w14:paraId="00C04A76" w14:textId="77777777" w:rsidR="007854A9" w:rsidRPr="00DE0F31" w:rsidRDefault="007854A9" w:rsidP="003D4ACC">
            <w:pPr>
              <w:jc w:val="right"/>
              <w:rPr>
                <w:rFonts w:ascii="Arial" w:hAnsi="Arial" w:cs="Arial"/>
              </w:rPr>
            </w:pPr>
            <w:r w:rsidRPr="00DE0F31">
              <w:rPr>
                <w:rFonts w:ascii="Arial" w:hAnsi="Arial" w:cs="Arial"/>
              </w:rPr>
              <w:t>202</w:t>
            </w:r>
            <w:r>
              <w:rPr>
                <w:rFonts w:ascii="Arial" w:hAnsi="Arial" w:cs="Arial"/>
              </w:rPr>
              <w:t>1</w:t>
            </w:r>
            <w:r w:rsidRPr="00DE0F31">
              <w:rPr>
                <w:rFonts w:ascii="Arial" w:hAnsi="Arial" w:cs="Arial"/>
              </w:rPr>
              <w:t>/2</w:t>
            </w:r>
            <w:r>
              <w:rPr>
                <w:rFonts w:ascii="Arial" w:hAnsi="Arial" w:cs="Arial"/>
              </w:rPr>
              <w:t>2</w:t>
            </w:r>
          </w:p>
          <w:p w14:paraId="6BF53C40" w14:textId="77777777" w:rsidR="007854A9" w:rsidRPr="00DE0F31" w:rsidRDefault="007854A9" w:rsidP="003D4ACC">
            <w:pPr>
              <w:jc w:val="right"/>
              <w:rPr>
                <w:rFonts w:ascii="Arial" w:hAnsi="Arial" w:cs="Arial"/>
                <w:bCs/>
              </w:rPr>
            </w:pPr>
            <w:r w:rsidRPr="00DE0F31">
              <w:rPr>
                <w:rFonts w:ascii="Arial" w:hAnsi="Arial" w:cs="Arial"/>
              </w:rPr>
              <w:t>£m</w:t>
            </w:r>
          </w:p>
        </w:tc>
      </w:tr>
      <w:tr w:rsidR="007854A9" w:rsidRPr="008B4CC2" w14:paraId="2A30DFCE" w14:textId="77777777" w:rsidTr="003D4ACC">
        <w:trPr>
          <w:trHeight w:val="266"/>
        </w:trPr>
        <w:tc>
          <w:tcPr>
            <w:tcW w:w="7347" w:type="dxa"/>
            <w:tcBorders>
              <w:top w:val="single" w:sz="4" w:space="0" w:color="auto"/>
            </w:tcBorders>
            <w:shd w:val="clear" w:color="auto" w:fill="auto"/>
            <w:vAlign w:val="center"/>
          </w:tcPr>
          <w:p w14:paraId="5CCF8D50" w14:textId="77777777" w:rsidR="007854A9" w:rsidRPr="00DE0F31" w:rsidRDefault="007854A9" w:rsidP="003D4ACC">
            <w:pPr>
              <w:jc w:val="left"/>
              <w:rPr>
                <w:rFonts w:ascii="Arial" w:hAnsi="Arial" w:cs="Arial"/>
                <w:b/>
              </w:rPr>
            </w:pPr>
            <w:r w:rsidRPr="00DE0F31">
              <w:rPr>
                <w:rFonts w:ascii="Arial" w:hAnsi="Arial" w:cs="Arial"/>
                <w:b/>
              </w:rPr>
              <w:t xml:space="preserve">Operating profit </w:t>
            </w:r>
          </w:p>
        </w:tc>
        <w:tc>
          <w:tcPr>
            <w:tcW w:w="1428" w:type="dxa"/>
            <w:tcBorders>
              <w:top w:val="single" w:sz="4" w:space="0" w:color="auto"/>
            </w:tcBorders>
            <w:vAlign w:val="center"/>
          </w:tcPr>
          <w:p w14:paraId="216D2782" w14:textId="5811CFCE" w:rsidR="007854A9" w:rsidRPr="00BD3974" w:rsidRDefault="005A4671" w:rsidP="003D4ACC">
            <w:pPr>
              <w:jc w:val="right"/>
              <w:rPr>
                <w:rFonts w:ascii="Arial" w:hAnsi="Arial" w:cs="Arial"/>
                <w:b/>
              </w:rPr>
            </w:pPr>
            <w:r>
              <w:rPr>
                <w:rFonts w:ascii="Arial" w:hAnsi="Arial" w:cs="Arial"/>
                <w:b/>
              </w:rPr>
              <w:t>723</w:t>
            </w:r>
          </w:p>
        </w:tc>
        <w:tc>
          <w:tcPr>
            <w:tcW w:w="1429" w:type="dxa"/>
            <w:tcBorders>
              <w:top w:val="single" w:sz="4" w:space="0" w:color="auto"/>
            </w:tcBorders>
            <w:vAlign w:val="center"/>
          </w:tcPr>
          <w:p w14:paraId="739159D9" w14:textId="77777777" w:rsidR="007854A9" w:rsidRPr="000E189C" w:rsidRDefault="007854A9" w:rsidP="003D4ACC">
            <w:pPr>
              <w:jc w:val="right"/>
              <w:rPr>
                <w:rFonts w:ascii="Arial" w:hAnsi="Arial" w:cs="Arial"/>
                <w:bCs/>
              </w:rPr>
            </w:pPr>
            <w:r w:rsidRPr="000E189C">
              <w:rPr>
                <w:rFonts w:ascii="Arial" w:hAnsi="Arial" w:cs="Arial"/>
                <w:bCs/>
              </w:rPr>
              <w:t>1,144</w:t>
            </w:r>
          </w:p>
        </w:tc>
      </w:tr>
      <w:tr w:rsidR="007854A9" w:rsidRPr="008B4CC2" w14:paraId="55F0B675" w14:textId="77777777" w:rsidTr="003D4ACC">
        <w:trPr>
          <w:trHeight w:val="266"/>
        </w:trPr>
        <w:tc>
          <w:tcPr>
            <w:tcW w:w="7347" w:type="dxa"/>
            <w:shd w:val="clear" w:color="auto" w:fill="auto"/>
            <w:vAlign w:val="center"/>
          </w:tcPr>
          <w:p w14:paraId="3006B2FC" w14:textId="77777777" w:rsidR="007854A9" w:rsidRPr="00DE0F31" w:rsidRDefault="007854A9" w:rsidP="003D4ACC">
            <w:pPr>
              <w:jc w:val="left"/>
              <w:rPr>
                <w:rFonts w:ascii="Arial" w:hAnsi="Arial" w:cs="Arial"/>
              </w:rPr>
            </w:pPr>
            <w:r w:rsidRPr="00DE0F31">
              <w:rPr>
                <w:rFonts w:ascii="Arial" w:hAnsi="Arial" w:cs="Arial"/>
              </w:rPr>
              <w:t>Adjusting items</w:t>
            </w:r>
          </w:p>
        </w:tc>
        <w:tc>
          <w:tcPr>
            <w:tcW w:w="1428" w:type="dxa"/>
            <w:vAlign w:val="center"/>
          </w:tcPr>
          <w:p w14:paraId="0C0D3C86" w14:textId="34DC355F" w:rsidR="007854A9" w:rsidRPr="00BD3974" w:rsidRDefault="005A4671" w:rsidP="003D4ACC">
            <w:pPr>
              <w:jc w:val="right"/>
              <w:rPr>
                <w:rFonts w:ascii="Arial" w:hAnsi="Arial" w:cs="Arial"/>
                <w:b/>
              </w:rPr>
            </w:pPr>
            <w:r w:rsidRPr="00BD3974">
              <w:rPr>
                <w:rFonts w:ascii="Arial" w:hAnsi="Arial" w:cs="Arial"/>
                <w:b/>
              </w:rPr>
              <w:t>1</w:t>
            </w:r>
            <w:r>
              <w:rPr>
                <w:rFonts w:ascii="Arial" w:hAnsi="Arial" w:cs="Arial"/>
                <w:b/>
              </w:rPr>
              <w:t>47</w:t>
            </w:r>
          </w:p>
        </w:tc>
        <w:tc>
          <w:tcPr>
            <w:tcW w:w="1429" w:type="dxa"/>
            <w:vAlign w:val="center"/>
          </w:tcPr>
          <w:p w14:paraId="72D7A563" w14:textId="77777777" w:rsidR="007854A9" w:rsidRPr="000E189C" w:rsidRDefault="007854A9" w:rsidP="003D4ACC">
            <w:pPr>
              <w:jc w:val="right"/>
              <w:rPr>
                <w:rFonts w:ascii="Arial" w:hAnsi="Arial" w:cs="Arial"/>
                <w:bCs/>
              </w:rPr>
            </w:pPr>
            <w:r w:rsidRPr="000E189C">
              <w:rPr>
                <w:rFonts w:ascii="Arial" w:hAnsi="Arial" w:cs="Arial"/>
                <w:bCs/>
              </w:rPr>
              <w:t>(58)</w:t>
            </w:r>
          </w:p>
        </w:tc>
      </w:tr>
      <w:tr w:rsidR="007854A9" w:rsidRPr="008B4CC2" w14:paraId="66CD9A97" w14:textId="77777777" w:rsidTr="003D4ACC">
        <w:trPr>
          <w:trHeight w:val="266"/>
        </w:trPr>
        <w:tc>
          <w:tcPr>
            <w:tcW w:w="7347" w:type="dxa"/>
            <w:tcBorders>
              <w:top w:val="single" w:sz="4" w:space="0" w:color="auto"/>
            </w:tcBorders>
            <w:shd w:val="clear" w:color="auto" w:fill="auto"/>
            <w:vAlign w:val="center"/>
          </w:tcPr>
          <w:p w14:paraId="0E948B23" w14:textId="77777777" w:rsidR="007854A9" w:rsidRPr="00DE0F31" w:rsidRDefault="007854A9" w:rsidP="003D4ACC">
            <w:pPr>
              <w:jc w:val="left"/>
              <w:rPr>
                <w:rFonts w:ascii="Arial" w:hAnsi="Arial" w:cs="Arial"/>
              </w:rPr>
            </w:pPr>
            <w:r w:rsidRPr="00DE0F31">
              <w:rPr>
                <w:rFonts w:ascii="Arial" w:hAnsi="Arial" w:cs="Arial"/>
                <w:b/>
              </w:rPr>
              <w:t>Operating profit (before adjusting items)</w:t>
            </w:r>
          </w:p>
        </w:tc>
        <w:tc>
          <w:tcPr>
            <w:tcW w:w="1428" w:type="dxa"/>
            <w:tcBorders>
              <w:top w:val="single" w:sz="4" w:space="0" w:color="auto"/>
            </w:tcBorders>
            <w:vAlign w:val="center"/>
          </w:tcPr>
          <w:p w14:paraId="73AA6F04" w14:textId="77777777" w:rsidR="007854A9" w:rsidRPr="00367A93" w:rsidRDefault="007854A9" w:rsidP="003D4ACC">
            <w:pPr>
              <w:jc w:val="right"/>
              <w:rPr>
                <w:rFonts w:ascii="Arial" w:hAnsi="Arial" w:cs="Arial"/>
                <w:b/>
              </w:rPr>
            </w:pPr>
            <w:r w:rsidRPr="00367A93">
              <w:rPr>
                <w:rFonts w:ascii="Arial" w:hAnsi="Arial" w:cs="Arial"/>
                <w:b/>
              </w:rPr>
              <w:t>8</w:t>
            </w:r>
            <w:r>
              <w:rPr>
                <w:rFonts w:ascii="Arial" w:hAnsi="Arial" w:cs="Arial"/>
                <w:b/>
              </w:rPr>
              <w:t>70</w:t>
            </w:r>
          </w:p>
        </w:tc>
        <w:tc>
          <w:tcPr>
            <w:tcW w:w="1429" w:type="dxa"/>
            <w:tcBorders>
              <w:top w:val="single" w:sz="4" w:space="0" w:color="auto"/>
            </w:tcBorders>
            <w:vAlign w:val="center"/>
          </w:tcPr>
          <w:p w14:paraId="6C71DA38" w14:textId="77777777" w:rsidR="007854A9" w:rsidRPr="000E189C" w:rsidRDefault="007854A9" w:rsidP="003D4ACC">
            <w:pPr>
              <w:jc w:val="right"/>
              <w:rPr>
                <w:rFonts w:ascii="Arial" w:hAnsi="Arial" w:cs="Arial"/>
                <w:bCs/>
              </w:rPr>
            </w:pPr>
            <w:r w:rsidRPr="000E189C">
              <w:rPr>
                <w:rFonts w:ascii="Arial" w:hAnsi="Arial" w:cs="Arial"/>
                <w:bCs/>
              </w:rPr>
              <w:t>1,086</w:t>
            </w:r>
          </w:p>
        </w:tc>
      </w:tr>
      <w:tr w:rsidR="007854A9" w:rsidRPr="008B4CC2" w14:paraId="6678491F" w14:textId="77777777" w:rsidTr="003D4ACC">
        <w:trPr>
          <w:trHeight w:val="266"/>
        </w:trPr>
        <w:tc>
          <w:tcPr>
            <w:tcW w:w="7347" w:type="dxa"/>
            <w:shd w:val="clear" w:color="auto" w:fill="auto"/>
            <w:vAlign w:val="center"/>
          </w:tcPr>
          <w:p w14:paraId="78B0839F" w14:textId="77777777" w:rsidR="007854A9" w:rsidRPr="00DE0F31" w:rsidRDefault="007854A9" w:rsidP="003D4ACC">
            <w:pPr>
              <w:jc w:val="left"/>
              <w:rPr>
                <w:rFonts w:ascii="Arial" w:hAnsi="Arial" w:cs="Arial"/>
              </w:rPr>
            </w:pPr>
            <w:r w:rsidRPr="00DE0F31">
              <w:rPr>
                <w:rFonts w:ascii="Arial" w:hAnsi="Arial" w:cs="Arial"/>
              </w:rPr>
              <w:t>Other non-cash items</w:t>
            </w:r>
            <w:r w:rsidRPr="00DE0F31">
              <w:rPr>
                <w:rFonts w:ascii="Arial" w:hAnsi="Arial" w:cs="Arial"/>
                <w:vertAlign w:val="superscript"/>
              </w:rPr>
              <w:t>(1)</w:t>
            </w:r>
          </w:p>
        </w:tc>
        <w:tc>
          <w:tcPr>
            <w:tcW w:w="1428" w:type="dxa"/>
            <w:vAlign w:val="center"/>
          </w:tcPr>
          <w:p w14:paraId="26B652C4" w14:textId="77777777" w:rsidR="007854A9" w:rsidRPr="007005F4" w:rsidRDefault="007854A9" w:rsidP="003D4ACC">
            <w:pPr>
              <w:jc w:val="right"/>
              <w:rPr>
                <w:rFonts w:ascii="Arial" w:hAnsi="Arial" w:cs="Arial"/>
                <w:b/>
              </w:rPr>
            </w:pPr>
            <w:r w:rsidRPr="007005F4">
              <w:rPr>
                <w:rFonts w:ascii="Arial" w:hAnsi="Arial" w:cs="Arial"/>
                <w:b/>
              </w:rPr>
              <w:t>612</w:t>
            </w:r>
          </w:p>
        </w:tc>
        <w:tc>
          <w:tcPr>
            <w:tcW w:w="1429" w:type="dxa"/>
            <w:vAlign w:val="center"/>
          </w:tcPr>
          <w:p w14:paraId="3B91E12D" w14:textId="77777777" w:rsidR="007854A9" w:rsidRPr="000E189C" w:rsidRDefault="007854A9" w:rsidP="003D4ACC">
            <w:pPr>
              <w:jc w:val="right"/>
              <w:rPr>
                <w:rFonts w:ascii="Arial" w:hAnsi="Arial" w:cs="Arial"/>
                <w:bCs/>
              </w:rPr>
            </w:pPr>
            <w:r w:rsidRPr="000E189C">
              <w:rPr>
                <w:rFonts w:ascii="Arial" w:hAnsi="Arial" w:cs="Arial"/>
                <w:bCs/>
              </w:rPr>
              <w:t>595</w:t>
            </w:r>
          </w:p>
        </w:tc>
      </w:tr>
      <w:tr w:rsidR="007854A9" w:rsidRPr="008B4CC2" w14:paraId="45B0B87A" w14:textId="77777777" w:rsidTr="003D4ACC">
        <w:trPr>
          <w:trHeight w:val="266"/>
        </w:trPr>
        <w:tc>
          <w:tcPr>
            <w:tcW w:w="7347" w:type="dxa"/>
            <w:shd w:val="clear" w:color="auto" w:fill="auto"/>
            <w:vAlign w:val="center"/>
          </w:tcPr>
          <w:p w14:paraId="2F9A18EF" w14:textId="77777777" w:rsidR="007854A9" w:rsidRPr="00DE0F31" w:rsidRDefault="007854A9" w:rsidP="003D4ACC">
            <w:pPr>
              <w:jc w:val="left"/>
              <w:rPr>
                <w:rFonts w:ascii="Arial" w:hAnsi="Arial" w:cs="Arial"/>
              </w:rPr>
            </w:pPr>
            <w:r w:rsidRPr="00DE0F31">
              <w:rPr>
                <w:rFonts w:ascii="Arial" w:hAnsi="Arial" w:cs="Arial"/>
              </w:rPr>
              <w:t>Change in working capital</w:t>
            </w:r>
          </w:p>
        </w:tc>
        <w:tc>
          <w:tcPr>
            <w:tcW w:w="1428" w:type="dxa"/>
            <w:vAlign w:val="center"/>
          </w:tcPr>
          <w:p w14:paraId="45BB472A" w14:textId="2BD16043" w:rsidR="007854A9" w:rsidRPr="00367A93" w:rsidRDefault="007854A9" w:rsidP="003D4ACC">
            <w:pPr>
              <w:jc w:val="right"/>
              <w:rPr>
                <w:rFonts w:ascii="Arial" w:hAnsi="Arial" w:cs="Arial"/>
                <w:b/>
              </w:rPr>
            </w:pPr>
            <w:r w:rsidRPr="00367A93">
              <w:rPr>
                <w:rFonts w:ascii="Arial" w:hAnsi="Arial" w:cs="Arial"/>
                <w:b/>
              </w:rPr>
              <w:t>(4</w:t>
            </w:r>
            <w:r w:rsidR="00392A94">
              <w:rPr>
                <w:rFonts w:ascii="Arial" w:hAnsi="Arial" w:cs="Arial"/>
                <w:b/>
              </w:rPr>
              <w:t>69</w:t>
            </w:r>
            <w:r w:rsidRPr="00367A93">
              <w:rPr>
                <w:rFonts w:ascii="Arial" w:hAnsi="Arial" w:cs="Arial"/>
                <w:b/>
              </w:rPr>
              <w:t>)</w:t>
            </w:r>
          </w:p>
        </w:tc>
        <w:tc>
          <w:tcPr>
            <w:tcW w:w="1429" w:type="dxa"/>
            <w:vAlign w:val="center"/>
          </w:tcPr>
          <w:p w14:paraId="3CA5F4E5" w14:textId="77777777" w:rsidR="007854A9" w:rsidRPr="0004094A" w:rsidRDefault="007854A9" w:rsidP="003D4ACC">
            <w:pPr>
              <w:jc w:val="right"/>
              <w:rPr>
                <w:rFonts w:ascii="Arial" w:hAnsi="Arial" w:cs="Arial"/>
                <w:bCs/>
              </w:rPr>
            </w:pPr>
            <w:r w:rsidRPr="0004094A">
              <w:rPr>
                <w:rFonts w:ascii="Arial" w:hAnsi="Arial" w:cs="Arial"/>
                <w:bCs/>
              </w:rPr>
              <w:t>(215)</w:t>
            </w:r>
          </w:p>
        </w:tc>
      </w:tr>
      <w:tr w:rsidR="007854A9" w:rsidRPr="008B4CC2" w14:paraId="02DC522A" w14:textId="77777777" w:rsidTr="003D4ACC">
        <w:trPr>
          <w:trHeight w:val="266"/>
        </w:trPr>
        <w:tc>
          <w:tcPr>
            <w:tcW w:w="7347" w:type="dxa"/>
            <w:shd w:val="clear" w:color="auto" w:fill="auto"/>
            <w:vAlign w:val="center"/>
          </w:tcPr>
          <w:p w14:paraId="27A1FE82" w14:textId="77777777" w:rsidR="007854A9" w:rsidRPr="00DE0F31" w:rsidRDefault="007854A9" w:rsidP="003D4ACC">
            <w:pPr>
              <w:jc w:val="left"/>
              <w:rPr>
                <w:rFonts w:ascii="Arial" w:hAnsi="Arial" w:cs="Arial"/>
              </w:rPr>
            </w:pPr>
            <w:r w:rsidRPr="00DE0F31">
              <w:rPr>
                <w:rFonts w:ascii="Arial" w:hAnsi="Arial" w:cs="Arial"/>
              </w:rPr>
              <w:t>Pensions and provisions</w:t>
            </w:r>
          </w:p>
        </w:tc>
        <w:tc>
          <w:tcPr>
            <w:tcW w:w="1428" w:type="dxa"/>
            <w:vAlign w:val="center"/>
          </w:tcPr>
          <w:p w14:paraId="0CAD8112" w14:textId="1A66B319" w:rsidR="007854A9" w:rsidRPr="007005F4" w:rsidRDefault="007854A9" w:rsidP="003D4ACC">
            <w:pPr>
              <w:jc w:val="right"/>
              <w:rPr>
                <w:rFonts w:ascii="Arial" w:hAnsi="Arial" w:cs="Arial"/>
                <w:b/>
              </w:rPr>
            </w:pPr>
            <w:r w:rsidRPr="007005F4">
              <w:rPr>
                <w:rFonts w:ascii="Arial" w:hAnsi="Arial" w:cs="Arial"/>
                <w:b/>
              </w:rPr>
              <w:t>(</w:t>
            </w:r>
            <w:r w:rsidR="00392A94">
              <w:rPr>
                <w:rFonts w:ascii="Arial" w:hAnsi="Arial" w:cs="Arial"/>
                <w:b/>
              </w:rPr>
              <w:t>20</w:t>
            </w:r>
            <w:r w:rsidRPr="007005F4">
              <w:rPr>
                <w:rFonts w:ascii="Arial" w:hAnsi="Arial" w:cs="Arial"/>
                <w:b/>
              </w:rPr>
              <w:t>)</w:t>
            </w:r>
          </w:p>
        </w:tc>
        <w:tc>
          <w:tcPr>
            <w:tcW w:w="1429" w:type="dxa"/>
            <w:vAlign w:val="center"/>
          </w:tcPr>
          <w:p w14:paraId="773D39B8" w14:textId="77777777" w:rsidR="007854A9" w:rsidRPr="000E189C" w:rsidRDefault="007854A9" w:rsidP="003D4ACC">
            <w:pPr>
              <w:jc w:val="right"/>
              <w:rPr>
                <w:rFonts w:ascii="Arial" w:hAnsi="Arial" w:cs="Arial"/>
                <w:bCs/>
              </w:rPr>
            </w:pPr>
            <w:r w:rsidRPr="000E189C">
              <w:rPr>
                <w:rFonts w:ascii="Arial" w:hAnsi="Arial" w:cs="Arial"/>
                <w:bCs/>
              </w:rPr>
              <w:t>(31)</w:t>
            </w:r>
          </w:p>
        </w:tc>
      </w:tr>
      <w:tr w:rsidR="007854A9" w:rsidRPr="008B4CC2" w14:paraId="4784A003" w14:textId="77777777" w:rsidTr="003D4ACC">
        <w:trPr>
          <w:trHeight w:val="266"/>
        </w:trPr>
        <w:tc>
          <w:tcPr>
            <w:tcW w:w="7347" w:type="dxa"/>
            <w:tcBorders>
              <w:bottom w:val="single" w:sz="4" w:space="0" w:color="auto"/>
            </w:tcBorders>
            <w:shd w:val="clear" w:color="auto" w:fill="auto"/>
            <w:vAlign w:val="center"/>
          </w:tcPr>
          <w:p w14:paraId="5948D4B9" w14:textId="77777777" w:rsidR="007854A9" w:rsidRPr="00DE0F31" w:rsidRDefault="007854A9" w:rsidP="003D4ACC">
            <w:pPr>
              <w:jc w:val="left"/>
              <w:rPr>
                <w:rFonts w:ascii="Arial" w:hAnsi="Arial" w:cs="Arial"/>
              </w:rPr>
            </w:pPr>
            <w:r w:rsidRPr="00DE0F31">
              <w:rPr>
                <w:rFonts w:ascii="Arial" w:hAnsi="Arial" w:cs="Arial"/>
              </w:rPr>
              <w:t>Net rent paid</w:t>
            </w:r>
          </w:p>
        </w:tc>
        <w:tc>
          <w:tcPr>
            <w:tcW w:w="1428" w:type="dxa"/>
            <w:tcBorders>
              <w:bottom w:val="single" w:sz="4" w:space="0" w:color="auto"/>
            </w:tcBorders>
            <w:vAlign w:val="center"/>
          </w:tcPr>
          <w:p w14:paraId="5A159147" w14:textId="77777777" w:rsidR="007854A9" w:rsidRPr="007005F4" w:rsidRDefault="007854A9" w:rsidP="003D4ACC">
            <w:pPr>
              <w:jc w:val="right"/>
              <w:rPr>
                <w:rFonts w:ascii="Arial" w:hAnsi="Arial" w:cs="Arial"/>
                <w:b/>
              </w:rPr>
            </w:pPr>
            <w:r w:rsidRPr="007005F4">
              <w:rPr>
                <w:rFonts w:ascii="Arial" w:hAnsi="Arial" w:cs="Arial"/>
                <w:b/>
              </w:rPr>
              <w:t>(454)</w:t>
            </w:r>
          </w:p>
        </w:tc>
        <w:tc>
          <w:tcPr>
            <w:tcW w:w="1429" w:type="dxa"/>
            <w:tcBorders>
              <w:bottom w:val="single" w:sz="4" w:space="0" w:color="auto"/>
            </w:tcBorders>
            <w:vAlign w:val="center"/>
          </w:tcPr>
          <w:p w14:paraId="087339FF" w14:textId="77777777" w:rsidR="007854A9" w:rsidRPr="000E189C" w:rsidRDefault="007854A9" w:rsidP="003D4ACC">
            <w:pPr>
              <w:jc w:val="right"/>
              <w:rPr>
                <w:rFonts w:ascii="Arial" w:hAnsi="Arial" w:cs="Arial"/>
                <w:bCs/>
              </w:rPr>
            </w:pPr>
            <w:r w:rsidRPr="000E189C">
              <w:rPr>
                <w:rFonts w:ascii="Arial" w:hAnsi="Arial" w:cs="Arial"/>
                <w:bCs/>
              </w:rPr>
              <w:t>(480)</w:t>
            </w:r>
          </w:p>
        </w:tc>
      </w:tr>
      <w:tr w:rsidR="007854A9" w:rsidRPr="008B4CC2" w14:paraId="5948F8CD" w14:textId="77777777" w:rsidTr="003D4ACC">
        <w:trPr>
          <w:trHeight w:val="266"/>
        </w:trPr>
        <w:tc>
          <w:tcPr>
            <w:tcW w:w="7347" w:type="dxa"/>
            <w:tcBorders>
              <w:top w:val="single" w:sz="4" w:space="0" w:color="auto"/>
            </w:tcBorders>
            <w:shd w:val="clear" w:color="auto" w:fill="auto"/>
            <w:vAlign w:val="center"/>
          </w:tcPr>
          <w:p w14:paraId="45FB6BA8" w14:textId="77777777" w:rsidR="007854A9" w:rsidRPr="00DE0F31" w:rsidRDefault="007854A9" w:rsidP="003D4ACC">
            <w:pPr>
              <w:jc w:val="left"/>
              <w:rPr>
                <w:rFonts w:ascii="Arial" w:hAnsi="Arial" w:cs="Arial"/>
                <w:b/>
                <w:bCs/>
              </w:rPr>
            </w:pPr>
            <w:r w:rsidRPr="00DE0F31">
              <w:rPr>
                <w:rFonts w:ascii="Arial" w:hAnsi="Arial" w:cs="Arial"/>
                <w:b/>
                <w:bCs/>
              </w:rPr>
              <w:t>Operating cash flow</w:t>
            </w:r>
          </w:p>
        </w:tc>
        <w:tc>
          <w:tcPr>
            <w:tcW w:w="1428" w:type="dxa"/>
            <w:tcBorders>
              <w:top w:val="single" w:sz="4" w:space="0" w:color="auto"/>
            </w:tcBorders>
            <w:vAlign w:val="center"/>
          </w:tcPr>
          <w:p w14:paraId="595DDA55" w14:textId="77777777" w:rsidR="007854A9" w:rsidRPr="007005F4" w:rsidRDefault="007854A9" w:rsidP="003D4ACC">
            <w:pPr>
              <w:jc w:val="right"/>
              <w:rPr>
                <w:rFonts w:ascii="Arial" w:hAnsi="Arial" w:cs="Arial"/>
                <w:b/>
                <w:bCs/>
              </w:rPr>
            </w:pPr>
            <w:r w:rsidRPr="007005F4">
              <w:rPr>
                <w:rFonts w:ascii="Arial" w:hAnsi="Arial" w:cs="Arial"/>
                <w:b/>
                <w:bCs/>
              </w:rPr>
              <w:t>539</w:t>
            </w:r>
          </w:p>
        </w:tc>
        <w:tc>
          <w:tcPr>
            <w:tcW w:w="1429" w:type="dxa"/>
            <w:tcBorders>
              <w:top w:val="single" w:sz="4" w:space="0" w:color="auto"/>
            </w:tcBorders>
            <w:vAlign w:val="center"/>
          </w:tcPr>
          <w:p w14:paraId="008DC19B" w14:textId="77777777" w:rsidR="007854A9" w:rsidRPr="000E189C" w:rsidRDefault="007854A9" w:rsidP="003D4ACC">
            <w:pPr>
              <w:jc w:val="right"/>
              <w:rPr>
                <w:rFonts w:ascii="Arial" w:hAnsi="Arial" w:cs="Arial"/>
                <w:bCs/>
              </w:rPr>
            </w:pPr>
            <w:r w:rsidRPr="000E189C">
              <w:rPr>
                <w:rFonts w:ascii="Arial" w:hAnsi="Arial" w:cs="Arial"/>
                <w:bCs/>
              </w:rPr>
              <w:t>955</w:t>
            </w:r>
          </w:p>
        </w:tc>
      </w:tr>
      <w:tr w:rsidR="007854A9" w:rsidRPr="008B4CC2" w14:paraId="2F385C96" w14:textId="77777777" w:rsidTr="003D4ACC">
        <w:trPr>
          <w:trHeight w:val="266"/>
        </w:trPr>
        <w:tc>
          <w:tcPr>
            <w:tcW w:w="7347" w:type="dxa"/>
            <w:shd w:val="clear" w:color="auto" w:fill="auto"/>
            <w:vAlign w:val="center"/>
          </w:tcPr>
          <w:p w14:paraId="5F7DB1BB" w14:textId="77777777" w:rsidR="007854A9" w:rsidRPr="00DE0F31" w:rsidRDefault="007854A9" w:rsidP="003D4ACC">
            <w:pPr>
              <w:jc w:val="left"/>
              <w:rPr>
                <w:rFonts w:ascii="Arial" w:hAnsi="Arial" w:cs="Arial"/>
              </w:rPr>
            </w:pPr>
            <w:r w:rsidRPr="00DE0F31">
              <w:rPr>
                <w:rFonts w:ascii="Arial" w:hAnsi="Arial" w:cs="Arial"/>
              </w:rPr>
              <w:t>Net interest paid</w:t>
            </w:r>
          </w:p>
        </w:tc>
        <w:tc>
          <w:tcPr>
            <w:tcW w:w="1428" w:type="dxa"/>
            <w:vAlign w:val="center"/>
          </w:tcPr>
          <w:p w14:paraId="74182F64" w14:textId="77777777" w:rsidR="007854A9" w:rsidRPr="007005F4" w:rsidRDefault="007854A9" w:rsidP="003D4ACC">
            <w:pPr>
              <w:jc w:val="right"/>
              <w:rPr>
                <w:rFonts w:ascii="Arial" w:hAnsi="Arial" w:cs="Arial"/>
                <w:b/>
              </w:rPr>
            </w:pPr>
            <w:r w:rsidRPr="007005F4">
              <w:rPr>
                <w:rFonts w:ascii="Arial" w:hAnsi="Arial" w:cs="Arial"/>
                <w:b/>
              </w:rPr>
              <w:t>-</w:t>
            </w:r>
          </w:p>
        </w:tc>
        <w:tc>
          <w:tcPr>
            <w:tcW w:w="1429" w:type="dxa"/>
            <w:vAlign w:val="center"/>
          </w:tcPr>
          <w:p w14:paraId="5EDF1513" w14:textId="77777777" w:rsidR="007854A9" w:rsidRPr="000E189C" w:rsidRDefault="007854A9" w:rsidP="003D4ACC">
            <w:pPr>
              <w:jc w:val="right"/>
              <w:rPr>
                <w:rFonts w:ascii="Arial" w:hAnsi="Arial" w:cs="Arial"/>
                <w:bCs/>
              </w:rPr>
            </w:pPr>
            <w:r w:rsidRPr="000E189C">
              <w:rPr>
                <w:rFonts w:ascii="Arial" w:hAnsi="Arial" w:cs="Arial"/>
                <w:bCs/>
              </w:rPr>
              <w:t>(4)</w:t>
            </w:r>
          </w:p>
        </w:tc>
      </w:tr>
      <w:tr w:rsidR="007854A9" w:rsidRPr="008B4CC2" w14:paraId="0BE5645C" w14:textId="77777777" w:rsidTr="003D4ACC">
        <w:trPr>
          <w:trHeight w:val="266"/>
        </w:trPr>
        <w:tc>
          <w:tcPr>
            <w:tcW w:w="7347" w:type="dxa"/>
            <w:shd w:val="clear" w:color="auto" w:fill="auto"/>
            <w:vAlign w:val="center"/>
          </w:tcPr>
          <w:p w14:paraId="2044A270" w14:textId="77777777" w:rsidR="007854A9" w:rsidRPr="00DE0F31" w:rsidRDefault="007854A9" w:rsidP="003D4ACC">
            <w:pPr>
              <w:jc w:val="left"/>
              <w:rPr>
                <w:rFonts w:ascii="Arial" w:hAnsi="Arial" w:cs="Arial"/>
              </w:rPr>
            </w:pPr>
            <w:r w:rsidRPr="00DE0F31">
              <w:rPr>
                <w:rFonts w:ascii="Arial" w:hAnsi="Arial" w:cs="Arial"/>
              </w:rPr>
              <w:t>Tax paid</w:t>
            </w:r>
          </w:p>
        </w:tc>
        <w:tc>
          <w:tcPr>
            <w:tcW w:w="1428" w:type="dxa"/>
            <w:vAlign w:val="center"/>
          </w:tcPr>
          <w:p w14:paraId="04186228" w14:textId="77777777" w:rsidR="007854A9" w:rsidRPr="007005F4" w:rsidRDefault="007854A9" w:rsidP="003D4ACC">
            <w:pPr>
              <w:jc w:val="right"/>
              <w:rPr>
                <w:rFonts w:ascii="Arial" w:hAnsi="Arial" w:cs="Arial"/>
                <w:b/>
              </w:rPr>
            </w:pPr>
            <w:r w:rsidRPr="007005F4">
              <w:rPr>
                <w:rFonts w:ascii="Arial" w:hAnsi="Arial" w:cs="Arial"/>
                <w:b/>
              </w:rPr>
              <w:t>(130)</w:t>
            </w:r>
          </w:p>
        </w:tc>
        <w:tc>
          <w:tcPr>
            <w:tcW w:w="1429" w:type="dxa"/>
            <w:vAlign w:val="center"/>
          </w:tcPr>
          <w:p w14:paraId="367A463D" w14:textId="77777777" w:rsidR="007854A9" w:rsidRPr="000E189C" w:rsidRDefault="007854A9" w:rsidP="003D4ACC">
            <w:pPr>
              <w:jc w:val="right"/>
              <w:rPr>
                <w:rFonts w:ascii="Arial" w:hAnsi="Arial" w:cs="Arial"/>
                <w:bCs/>
              </w:rPr>
            </w:pPr>
            <w:r w:rsidRPr="000E189C">
              <w:rPr>
                <w:rFonts w:ascii="Arial" w:hAnsi="Arial" w:cs="Arial"/>
                <w:bCs/>
              </w:rPr>
              <w:t>(169)</w:t>
            </w:r>
          </w:p>
        </w:tc>
      </w:tr>
      <w:tr w:rsidR="007854A9" w:rsidRPr="008B4CC2" w14:paraId="01028AEF" w14:textId="77777777" w:rsidTr="003D4ACC">
        <w:trPr>
          <w:trHeight w:val="266"/>
        </w:trPr>
        <w:tc>
          <w:tcPr>
            <w:tcW w:w="7347" w:type="dxa"/>
            <w:shd w:val="clear" w:color="auto" w:fill="auto"/>
            <w:vAlign w:val="center"/>
          </w:tcPr>
          <w:p w14:paraId="7A47DADC" w14:textId="77777777" w:rsidR="007854A9" w:rsidRPr="00DE0F31" w:rsidRDefault="007854A9" w:rsidP="003D4ACC">
            <w:pPr>
              <w:jc w:val="left"/>
              <w:rPr>
                <w:rFonts w:ascii="Arial" w:hAnsi="Arial" w:cs="Arial"/>
              </w:rPr>
            </w:pPr>
            <w:r w:rsidRPr="00DE0F31">
              <w:rPr>
                <w:rFonts w:ascii="Arial" w:hAnsi="Arial" w:cs="Arial"/>
              </w:rPr>
              <w:t xml:space="preserve">Gross capital expenditure </w:t>
            </w:r>
          </w:p>
        </w:tc>
        <w:tc>
          <w:tcPr>
            <w:tcW w:w="1428" w:type="dxa"/>
            <w:vAlign w:val="center"/>
          </w:tcPr>
          <w:p w14:paraId="31A42807" w14:textId="77777777" w:rsidR="007854A9" w:rsidRPr="007005F4" w:rsidRDefault="007854A9" w:rsidP="003D4ACC">
            <w:pPr>
              <w:jc w:val="right"/>
              <w:rPr>
                <w:rFonts w:ascii="Arial" w:hAnsi="Arial" w:cs="Arial"/>
                <w:b/>
              </w:rPr>
            </w:pPr>
            <w:r w:rsidRPr="00367A93">
              <w:rPr>
                <w:rFonts w:ascii="Arial" w:hAnsi="Arial" w:cs="Arial"/>
                <w:b/>
              </w:rPr>
              <w:t>(449)</w:t>
            </w:r>
          </w:p>
        </w:tc>
        <w:tc>
          <w:tcPr>
            <w:tcW w:w="1429" w:type="dxa"/>
            <w:vAlign w:val="center"/>
          </w:tcPr>
          <w:p w14:paraId="01A062FF" w14:textId="77777777" w:rsidR="007854A9" w:rsidRPr="000E189C" w:rsidRDefault="007854A9" w:rsidP="003D4ACC">
            <w:pPr>
              <w:jc w:val="right"/>
              <w:rPr>
                <w:rFonts w:ascii="Arial" w:hAnsi="Arial" w:cs="Arial"/>
                <w:bCs/>
              </w:rPr>
            </w:pPr>
            <w:r w:rsidRPr="000E189C">
              <w:rPr>
                <w:rFonts w:ascii="Arial" w:hAnsi="Arial" w:cs="Arial"/>
                <w:bCs/>
              </w:rPr>
              <w:t>(397)</w:t>
            </w:r>
          </w:p>
        </w:tc>
      </w:tr>
      <w:tr w:rsidR="007854A9" w:rsidRPr="008B4CC2" w14:paraId="379DD9CF" w14:textId="77777777" w:rsidTr="003D4ACC">
        <w:trPr>
          <w:trHeight w:val="266"/>
        </w:trPr>
        <w:tc>
          <w:tcPr>
            <w:tcW w:w="7347" w:type="dxa"/>
            <w:tcBorders>
              <w:top w:val="single" w:sz="4" w:space="0" w:color="auto"/>
            </w:tcBorders>
            <w:shd w:val="clear" w:color="auto" w:fill="auto"/>
            <w:vAlign w:val="center"/>
          </w:tcPr>
          <w:p w14:paraId="5998B270" w14:textId="77777777" w:rsidR="007854A9" w:rsidRPr="00DE0F31" w:rsidRDefault="007854A9" w:rsidP="003D4ACC">
            <w:pPr>
              <w:jc w:val="left"/>
              <w:rPr>
                <w:rFonts w:ascii="Arial" w:hAnsi="Arial" w:cs="Arial"/>
                <w:b/>
              </w:rPr>
            </w:pPr>
            <w:r w:rsidRPr="00DE0F31">
              <w:rPr>
                <w:rFonts w:ascii="Arial" w:hAnsi="Arial" w:cs="Arial"/>
                <w:b/>
              </w:rPr>
              <w:t>Free cash flow</w:t>
            </w:r>
          </w:p>
        </w:tc>
        <w:tc>
          <w:tcPr>
            <w:tcW w:w="1428" w:type="dxa"/>
            <w:tcBorders>
              <w:top w:val="single" w:sz="4" w:space="0" w:color="auto"/>
            </w:tcBorders>
            <w:vAlign w:val="center"/>
          </w:tcPr>
          <w:p w14:paraId="52026031" w14:textId="77777777" w:rsidR="007854A9" w:rsidRPr="000E189C" w:rsidRDefault="007854A9" w:rsidP="003D4ACC">
            <w:pPr>
              <w:jc w:val="right"/>
              <w:rPr>
                <w:rFonts w:ascii="Arial" w:hAnsi="Arial" w:cs="Arial"/>
                <w:b/>
                <w:highlight w:val="yellow"/>
              </w:rPr>
            </w:pPr>
            <w:r w:rsidRPr="00BD3974">
              <w:rPr>
                <w:rFonts w:ascii="Arial" w:hAnsi="Arial" w:cs="Arial"/>
                <w:b/>
              </w:rPr>
              <w:t>(4</w:t>
            </w:r>
            <w:r>
              <w:rPr>
                <w:rFonts w:ascii="Arial" w:hAnsi="Arial" w:cs="Arial"/>
                <w:b/>
              </w:rPr>
              <w:t>0</w:t>
            </w:r>
            <w:r w:rsidRPr="00BD3974">
              <w:rPr>
                <w:rFonts w:ascii="Arial" w:hAnsi="Arial" w:cs="Arial"/>
                <w:b/>
              </w:rPr>
              <w:t>)</w:t>
            </w:r>
          </w:p>
        </w:tc>
        <w:tc>
          <w:tcPr>
            <w:tcW w:w="1429" w:type="dxa"/>
            <w:tcBorders>
              <w:top w:val="single" w:sz="4" w:space="0" w:color="auto"/>
            </w:tcBorders>
            <w:vAlign w:val="center"/>
          </w:tcPr>
          <w:p w14:paraId="40311FCD" w14:textId="77777777" w:rsidR="007854A9" w:rsidRPr="000E189C" w:rsidRDefault="007854A9" w:rsidP="003D4ACC">
            <w:pPr>
              <w:jc w:val="right"/>
              <w:rPr>
                <w:rFonts w:ascii="Arial" w:hAnsi="Arial" w:cs="Arial"/>
                <w:bCs/>
              </w:rPr>
            </w:pPr>
            <w:r w:rsidRPr="000E189C">
              <w:rPr>
                <w:rFonts w:ascii="Arial" w:hAnsi="Arial" w:cs="Arial"/>
                <w:bCs/>
              </w:rPr>
              <w:t>385</w:t>
            </w:r>
          </w:p>
        </w:tc>
      </w:tr>
      <w:tr w:rsidR="007854A9" w:rsidRPr="008B4CC2" w14:paraId="68B51F26" w14:textId="77777777" w:rsidTr="003D4ACC">
        <w:trPr>
          <w:trHeight w:val="266"/>
        </w:trPr>
        <w:tc>
          <w:tcPr>
            <w:tcW w:w="7347" w:type="dxa"/>
            <w:shd w:val="clear" w:color="auto" w:fill="auto"/>
            <w:vAlign w:val="center"/>
          </w:tcPr>
          <w:p w14:paraId="3DB9A7FA" w14:textId="77777777" w:rsidR="007854A9" w:rsidRPr="00DE0F31" w:rsidRDefault="007854A9" w:rsidP="003D4ACC">
            <w:pPr>
              <w:jc w:val="left"/>
              <w:rPr>
                <w:rFonts w:ascii="Arial" w:hAnsi="Arial" w:cs="Arial"/>
              </w:rPr>
            </w:pPr>
            <w:r w:rsidRPr="00DE0F31">
              <w:rPr>
                <w:rFonts w:ascii="Arial" w:hAnsi="Arial" w:cs="Arial"/>
              </w:rPr>
              <w:t>Ordinary dividends paid</w:t>
            </w:r>
          </w:p>
        </w:tc>
        <w:tc>
          <w:tcPr>
            <w:tcW w:w="1428" w:type="dxa"/>
            <w:shd w:val="clear" w:color="auto" w:fill="auto"/>
            <w:vAlign w:val="center"/>
          </w:tcPr>
          <w:p w14:paraId="166DEA21" w14:textId="77777777" w:rsidR="007854A9" w:rsidRPr="00BD3974" w:rsidRDefault="007854A9" w:rsidP="003D4ACC">
            <w:pPr>
              <w:jc w:val="right"/>
              <w:rPr>
                <w:rFonts w:ascii="Arial" w:hAnsi="Arial" w:cs="Arial"/>
                <w:b/>
              </w:rPr>
            </w:pPr>
            <w:r w:rsidRPr="00BD3974">
              <w:rPr>
                <w:rFonts w:ascii="Arial" w:hAnsi="Arial" w:cs="Arial"/>
                <w:b/>
              </w:rPr>
              <w:t>(246)</w:t>
            </w:r>
          </w:p>
        </w:tc>
        <w:tc>
          <w:tcPr>
            <w:tcW w:w="1429" w:type="dxa"/>
            <w:vAlign w:val="center"/>
          </w:tcPr>
          <w:p w14:paraId="11BBB255" w14:textId="77777777" w:rsidR="007854A9" w:rsidRPr="000E189C" w:rsidRDefault="007854A9" w:rsidP="003D4ACC">
            <w:pPr>
              <w:jc w:val="right"/>
              <w:rPr>
                <w:rFonts w:ascii="Arial" w:hAnsi="Arial" w:cs="Arial"/>
                <w:bCs/>
              </w:rPr>
            </w:pPr>
            <w:r w:rsidRPr="000E189C">
              <w:rPr>
                <w:rFonts w:ascii="Arial" w:hAnsi="Arial" w:cs="Arial"/>
                <w:bCs/>
              </w:rPr>
              <w:t>(254)</w:t>
            </w:r>
          </w:p>
        </w:tc>
      </w:tr>
      <w:tr w:rsidR="007854A9" w:rsidRPr="00DE0F31" w14:paraId="22DF479C" w14:textId="77777777" w:rsidTr="003D4ACC">
        <w:trPr>
          <w:trHeight w:val="266"/>
        </w:trPr>
        <w:tc>
          <w:tcPr>
            <w:tcW w:w="7347" w:type="dxa"/>
            <w:shd w:val="clear" w:color="auto" w:fill="auto"/>
            <w:vAlign w:val="center"/>
          </w:tcPr>
          <w:p w14:paraId="0778DE75" w14:textId="77777777" w:rsidR="007854A9" w:rsidRPr="00DE0F31" w:rsidRDefault="007854A9" w:rsidP="003D4ACC">
            <w:pPr>
              <w:jc w:val="left"/>
              <w:rPr>
                <w:rFonts w:ascii="Arial" w:hAnsi="Arial" w:cs="Arial"/>
              </w:rPr>
            </w:pPr>
            <w:r w:rsidRPr="00DE0F31">
              <w:rPr>
                <w:rFonts w:ascii="Arial" w:hAnsi="Arial" w:cs="Arial"/>
              </w:rPr>
              <w:t>Share buybacks</w:t>
            </w:r>
          </w:p>
        </w:tc>
        <w:tc>
          <w:tcPr>
            <w:tcW w:w="1428" w:type="dxa"/>
            <w:shd w:val="clear" w:color="auto" w:fill="auto"/>
            <w:vAlign w:val="center"/>
          </w:tcPr>
          <w:p w14:paraId="42FAE653" w14:textId="77777777" w:rsidR="007854A9" w:rsidRPr="00BD3974" w:rsidRDefault="007854A9" w:rsidP="003D4ACC">
            <w:pPr>
              <w:jc w:val="right"/>
              <w:rPr>
                <w:rFonts w:ascii="Arial" w:hAnsi="Arial" w:cs="Arial"/>
                <w:b/>
              </w:rPr>
            </w:pPr>
            <w:r w:rsidRPr="00BD3974">
              <w:rPr>
                <w:rFonts w:ascii="Arial" w:hAnsi="Arial" w:cs="Arial"/>
                <w:b/>
              </w:rPr>
              <w:t>(337)</w:t>
            </w:r>
          </w:p>
        </w:tc>
        <w:tc>
          <w:tcPr>
            <w:tcW w:w="1429" w:type="dxa"/>
            <w:vAlign w:val="center"/>
          </w:tcPr>
          <w:p w14:paraId="2E62E45B" w14:textId="77777777" w:rsidR="007854A9" w:rsidRPr="000E189C" w:rsidRDefault="007854A9" w:rsidP="003D4ACC">
            <w:pPr>
              <w:jc w:val="right"/>
              <w:rPr>
                <w:rFonts w:ascii="Arial" w:hAnsi="Arial" w:cs="Arial"/>
                <w:bCs/>
              </w:rPr>
            </w:pPr>
            <w:r w:rsidRPr="000E189C">
              <w:rPr>
                <w:rFonts w:ascii="Arial" w:hAnsi="Arial" w:cs="Arial"/>
                <w:bCs/>
              </w:rPr>
              <w:t>(157)</w:t>
            </w:r>
          </w:p>
        </w:tc>
      </w:tr>
      <w:tr w:rsidR="007854A9" w:rsidRPr="008B4CC2" w14:paraId="5C0C7296" w14:textId="77777777" w:rsidTr="003D4ACC">
        <w:trPr>
          <w:trHeight w:val="266"/>
        </w:trPr>
        <w:tc>
          <w:tcPr>
            <w:tcW w:w="7347" w:type="dxa"/>
            <w:shd w:val="clear" w:color="auto" w:fill="auto"/>
            <w:vAlign w:val="center"/>
          </w:tcPr>
          <w:p w14:paraId="6ACAE943" w14:textId="77777777" w:rsidR="007854A9" w:rsidRPr="00DE0F31" w:rsidRDefault="007854A9" w:rsidP="003D4ACC">
            <w:pPr>
              <w:jc w:val="left"/>
              <w:rPr>
                <w:rFonts w:ascii="Arial" w:hAnsi="Arial" w:cs="Arial"/>
              </w:rPr>
            </w:pPr>
            <w:r w:rsidRPr="00DE0F31">
              <w:rPr>
                <w:rFonts w:ascii="Arial" w:hAnsi="Arial" w:cs="Arial"/>
              </w:rPr>
              <w:t>Share purchase for employee incentive schemes</w:t>
            </w:r>
          </w:p>
        </w:tc>
        <w:tc>
          <w:tcPr>
            <w:tcW w:w="1428" w:type="dxa"/>
            <w:vAlign w:val="center"/>
          </w:tcPr>
          <w:p w14:paraId="05639505" w14:textId="77777777" w:rsidR="007854A9" w:rsidRPr="007005F4" w:rsidRDefault="007854A9" w:rsidP="003D4ACC">
            <w:pPr>
              <w:jc w:val="right"/>
              <w:rPr>
                <w:rFonts w:ascii="Arial" w:hAnsi="Arial" w:cs="Arial"/>
                <w:b/>
              </w:rPr>
            </w:pPr>
            <w:r w:rsidRPr="007005F4">
              <w:rPr>
                <w:rFonts w:ascii="Arial" w:hAnsi="Arial" w:cs="Arial"/>
                <w:b/>
              </w:rPr>
              <w:t>(9)</w:t>
            </w:r>
          </w:p>
        </w:tc>
        <w:tc>
          <w:tcPr>
            <w:tcW w:w="1429" w:type="dxa"/>
            <w:vAlign w:val="center"/>
          </w:tcPr>
          <w:p w14:paraId="5858A706" w14:textId="77777777" w:rsidR="007854A9" w:rsidRPr="000E189C" w:rsidRDefault="007854A9" w:rsidP="003D4ACC">
            <w:pPr>
              <w:jc w:val="right"/>
              <w:rPr>
                <w:rFonts w:ascii="Arial" w:hAnsi="Arial" w:cs="Arial"/>
                <w:bCs/>
              </w:rPr>
            </w:pPr>
            <w:r w:rsidRPr="000E189C">
              <w:rPr>
                <w:rFonts w:ascii="Arial" w:hAnsi="Arial" w:cs="Arial"/>
                <w:bCs/>
              </w:rPr>
              <w:t>(29)</w:t>
            </w:r>
          </w:p>
        </w:tc>
      </w:tr>
      <w:tr w:rsidR="007854A9" w:rsidRPr="00DE0F31" w14:paraId="3E1BA90D" w14:textId="77777777" w:rsidTr="003D4ACC">
        <w:trPr>
          <w:trHeight w:val="266"/>
        </w:trPr>
        <w:tc>
          <w:tcPr>
            <w:tcW w:w="7347" w:type="dxa"/>
            <w:shd w:val="clear" w:color="auto" w:fill="auto"/>
            <w:vAlign w:val="center"/>
          </w:tcPr>
          <w:p w14:paraId="6494C36D" w14:textId="157FA99E" w:rsidR="007854A9" w:rsidRPr="00381DC7" w:rsidRDefault="007854A9" w:rsidP="003D4ACC">
            <w:pPr>
              <w:jc w:val="left"/>
              <w:rPr>
                <w:rFonts w:ascii="Arial" w:hAnsi="Arial" w:cs="Arial"/>
              </w:rPr>
            </w:pPr>
            <w:r w:rsidRPr="00DE0F31">
              <w:rPr>
                <w:rFonts w:ascii="Arial" w:hAnsi="Arial" w:cs="Arial"/>
              </w:rPr>
              <w:t>Disposal of Castorama Russia</w:t>
            </w:r>
          </w:p>
        </w:tc>
        <w:tc>
          <w:tcPr>
            <w:tcW w:w="1428" w:type="dxa"/>
            <w:vAlign w:val="center"/>
          </w:tcPr>
          <w:p w14:paraId="3A1A0BC2" w14:textId="77777777" w:rsidR="007854A9" w:rsidRPr="007005F4" w:rsidRDefault="007854A9" w:rsidP="003D4ACC">
            <w:pPr>
              <w:jc w:val="right"/>
              <w:rPr>
                <w:rFonts w:ascii="Arial" w:hAnsi="Arial" w:cs="Arial"/>
                <w:b/>
              </w:rPr>
            </w:pPr>
            <w:r w:rsidRPr="007005F4">
              <w:rPr>
                <w:rFonts w:ascii="Arial" w:hAnsi="Arial" w:cs="Arial"/>
                <w:b/>
              </w:rPr>
              <w:t>8</w:t>
            </w:r>
          </w:p>
        </w:tc>
        <w:tc>
          <w:tcPr>
            <w:tcW w:w="1429" w:type="dxa"/>
            <w:shd w:val="clear" w:color="auto" w:fill="auto"/>
            <w:vAlign w:val="center"/>
          </w:tcPr>
          <w:p w14:paraId="1441DF2E" w14:textId="77777777" w:rsidR="007854A9" w:rsidRPr="000E189C" w:rsidRDefault="007854A9" w:rsidP="003D4ACC">
            <w:pPr>
              <w:jc w:val="right"/>
              <w:rPr>
                <w:rFonts w:ascii="Arial" w:hAnsi="Arial" w:cs="Arial"/>
                <w:bCs/>
              </w:rPr>
            </w:pPr>
            <w:r w:rsidRPr="000E189C">
              <w:rPr>
                <w:rFonts w:ascii="Arial" w:hAnsi="Arial" w:cs="Arial"/>
                <w:bCs/>
              </w:rPr>
              <w:t>7</w:t>
            </w:r>
          </w:p>
        </w:tc>
      </w:tr>
      <w:tr w:rsidR="007854A9" w:rsidRPr="00DE0F31" w14:paraId="3889F426" w14:textId="77777777" w:rsidTr="003D4ACC">
        <w:trPr>
          <w:trHeight w:val="266"/>
        </w:trPr>
        <w:tc>
          <w:tcPr>
            <w:tcW w:w="7347" w:type="dxa"/>
            <w:shd w:val="clear" w:color="auto" w:fill="auto"/>
            <w:vAlign w:val="center"/>
          </w:tcPr>
          <w:p w14:paraId="46311A2F" w14:textId="77777777" w:rsidR="007854A9" w:rsidRPr="00DE0F31" w:rsidRDefault="007854A9" w:rsidP="003D4ACC">
            <w:pPr>
              <w:jc w:val="left"/>
              <w:rPr>
                <w:rFonts w:ascii="Arial" w:hAnsi="Arial" w:cs="Arial"/>
              </w:rPr>
            </w:pPr>
            <w:r w:rsidRPr="00381DC7">
              <w:rPr>
                <w:rFonts w:ascii="Arial" w:hAnsi="Arial" w:cs="Arial"/>
              </w:rPr>
              <w:t>French tax authority payment</w:t>
            </w:r>
            <w:r w:rsidRPr="00DE0F31">
              <w:rPr>
                <w:rFonts w:ascii="Arial" w:hAnsi="Arial" w:cs="Arial"/>
                <w:vertAlign w:val="superscript"/>
              </w:rPr>
              <w:t>(2)</w:t>
            </w:r>
          </w:p>
        </w:tc>
        <w:tc>
          <w:tcPr>
            <w:tcW w:w="1428" w:type="dxa"/>
            <w:vAlign w:val="center"/>
          </w:tcPr>
          <w:p w14:paraId="64C65B55" w14:textId="77777777" w:rsidR="007854A9" w:rsidRPr="007005F4" w:rsidRDefault="007854A9" w:rsidP="003D4ACC">
            <w:pPr>
              <w:jc w:val="right"/>
              <w:rPr>
                <w:rFonts w:ascii="Arial" w:hAnsi="Arial" w:cs="Arial"/>
                <w:b/>
              </w:rPr>
            </w:pPr>
            <w:r w:rsidRPr="00367A93">
              <w:rPr>
                <w:rFonts w:ascii="Arial" w:hAnsi="Arial" w:cs="Arial"/>
                <w:b/>
              </w:rPr>
              <w:t>(34)</w:t>
            </w:r>
          </w:p>
        </w:tc>
        <w:tc>
          <w:tcPr>
            <w:tcW w:w="1429" w:type="dxa"/>
            <w:shd w:val="clear" w:color="auto" w:fill="auto"/>
            <w:vAlign w:val="center"/>
          </w:tcPr>
          <w:p w14:paraId="28AAB90D" w14:textId="77777777" w:rsidR="007854A9" w:rsidRPr="008D02CA" w:rsidRDefault="007854A9" w:rsidP="003D4ACC">
            <w:pPr>
              <w:jc w:val="right"/>
              <w:rPr>
                <w:rFonts w:ascii="Arial" w:hAnsi="Arial" w:cs="Arial"/>
                <w:bCs/>
              </w:rPr>
            </w:pPr>
            <w:r w:rsidRPr="008D02CA">
              <w:rPr>
                <w:rFonts w:ascii="Arial" w:hAnsi="Arial" w:cs="Arial"/>
                <w:bCs/>
              </w:rPr>
              <w:t>-</w:t>
            </w:r>
          </w:p>
        </w:tc>
      </w:tr>
      <w:tr w:rsidR="007854A9" w:rsidRPr="00DE0F31" w14:paraId="2729EE49" w14:textId="77777777" w:rsidTr="003D4ACC">
        <w:trPr>
          <w:trHeight w:val="266"/>
        </w:trPr>
        <w:tc>
          <w:tcPr>
            <w:tcW w:w="7347" w:type="dxa"/>
            <w:shd w:val="clear" w:color="auto" w:fill="auto"/>
            <w:vAlign w:val="center"/>
          </w:tcPr>
          <w:p w14:paraId="1F683A23" w14:textId="77777777" w:rsidR="007854A9" w:rsidRPr="00DE0F31" w:rsidRDefault="007854A9" w:rsidP="003D4ACC">
            <w:pPr>
              <w:jc w:val="left"/>
              <w:rPr>
                <w:rFonts w:ascii="Arial" w:hAnsi="Arial" w:cs="Arial"/>
              </w:rPr>
            </w:pPr>
            <w:r w:rsidRPr="00DE0F31">
              <w:rPr>
                <w:rFonts w:ascii="Arial" w:hAnsi="Arial" w:cs="Arial"/>
              </w:rPr>
              <w:t>Other tax authority payment</w:t>
            </w:r>
            <w:r w:rsidRPr="00DE0F31">
              <w:rPr>
                <w:rFonts w:ascii="Arial" w:hAnsi="Arial" w:cs="Arial"/>
                <w:vertAlign w:val="superscript"/>
              </w:rPr>
              <w:t>(</w:t>
            </w:r>
            <w:r>
              <w:rPr>
                <w:rFonts w:ascii="Arial" w:hAnsi="Arial" w:cs="Arial"/>
                <w:vertAlign w:val="superscript"/>
              </w:rPr>
              <w:t>3</w:t>
            </w:r>
            <w:r w:rsidRPr="00DE0F31">
              <w:rPr>
                <w:rFonts w:ascii="Arial" w:hAnsi="Arial" w:cs="Arial"/>
                <w:vertAlign w:val="superscript"/>
              </w:rPr>
              <w:t>)</w:t>
            </w:r>
          </w:p>
        </w:tc>
        <w:tc>
          <w:tcPr>
            <w:tcW w:w="1428" w:type="dxa"/>
            <w:vAlign w:val="center"/>
          </w:tcPr>
          <w:p w14:paraId="7C8B0C81" w14:textId="77777777" w:rsidR="007854A9" w:rsidRPr="007005F4" w:rsidRDefault="007854A9" w:rsidP="003D4ACC">
            <w:pPr>
              <w:jc w:val="right"/>
              <w:rPr>
                <w:rFonts w:ascii="Arial" w:hAnsi="Arial" w:cs="Arial"/>
                <w:b/>
              </w:rPr>
            </w:pPr>
            <w:r w:rsidRPr="007005F4">
              <w:rPr>
                <w:rFonts w:ascii="Arial" w:hAnsi="Arial" w:cs="Arial"/>
                <w:b/>
              </w:rPr>
              <w:t>-</w:t>
            </w:r>
          </w:p>
        </w:tc>
        <w:tc>
          <w:tcPr>
            <w:tcW w:w="1429" w:type="dxa"/>
            <w:vAlign w:val="center"/>
          </w:tcPr>
          <w:p w14:paraId="7D6BAF1D" w14:textId="77777777" w:rsidR="007854A9" w:rsidRPr="000E189C" w:rsidRDefault="007854A9" w:rsidP="003D4ACC">
            <w:pPr>
              <w:jc w:val="right"/>
              <w:rPr>
                <w:rFonts w:ascii="Arial" w:hAnsi="Arial" w:cs="Arial"/>
                <w:bCs/>
              </w:rPr>
            </w:pPr>
            <w:r w:rsidRPr="000E189C">
              <w:rPr>
                <w:rFonts w:ascii="Arial" w:hAnsi="Arial" w:cs="Arial"/>
                <w:bCs/>
              </w:rPr>
              <w:t>(64)</w:t>
            </w:r>
          </w:p>
        </w:tc>
      </w:tr>
      <w:tr w:rsidR="007854A9" w:rsidRPr="00DE0F31" w14:paraId="6A2FB9BF" w14:textId="77777777" w:rsidTr="003D4ACC">
        <w:trPr>
          <w:trHeight w:val="266"/>
        </w:trPr>
        <w:tc>
          <w:tcPr>
            <w:tcW w:w="7347" w:type="dxa"/>
            <w:shd w:val="clear" w:color="auto" w:fill="auto"/>
            <w:vAlign w:val="center"/>
          </w:tcPr>
          <w:p w14:paraId="0EA73F03" w14:textId="77777777" w:rsidR="007854A9" w:rsidRPr="00DE0F31" w:rsidRDefault="007854A9" w:rsidP="003D4ACC">
            <w:pPr>
              <w:jc w:val="left"/>
              <w:rPr>
                <w:rFonts w:ascii="Arial" w:hAnsi="Arial" w:cs="Arial"/>
              </w:rPr>
            </w:pPr>
            <w:r w:rsidRPr="00DE0F31">
              <w:rPr>
                <w:rFonts w:ascii="Arial" w:hAnsi="Arial" w:cs="Arial"/>
              </w:rPr>
              <w:t>Disposal of assets and other</w:t>
            </w:r>
            <w:r w:rsidRPr="00DE0F31">
              <w:rPr>
                <w:rFonts w:ascii="Arial" w:hAnsi="Arial" w:cs="Arial"/>
                <w:vertAlign w:val="superscript"/>
              </w:rPr>
              <w:t>(</w:t>
            </w:r>
            <w:r>
              <w:rPr>
                <w:rFonts w:ascii="Arial" w:hAnsi="Arial" w:cs="Arial"/>
                <w:vertAlign w:val="superscript"/>
              </w:rPr>
              <w:t>4</w:t>
            </w:r>
            <w:r w:rsidRPr="00DE0F31">
              <w:rPr>
                <w:rFonts w:ascii="Arial" w:hAnsi="Arial" w:cs="Arial"/>
                <w:vertAlign w:val="superscript"/>
              </w:rPr>
              <w:t>)</w:t>
            </w:r>
          </w:p>
        </w:tc>
        <w:tc>
          <w:tcPr>
            <w:tcW w:w="1428" w:type="dxa"/>
            <w:vAlign w:val="center"/>
          </w:tcPr>
          <w:p w14:paraId="41291D6C" w14:textId="77777777" w:rsidR="007854A9" w:rsidRPr="007005F4" w:rsidRDefault="007854A9" w:rsidP="003D4ACC">
            <w:pPr>
              <w:jc w:val="right"/>
              <w:rPr>
                <w:rFonts w:ascii="Arial" w:hAnsi="Arial" w:cs="Arial"/>
                <w:b/>
              </w:rPr>
            </w:pPr>
            <w:r>
              <w:rPr>
                <w:rFonts w:ascii="Arial" w:hAnsi="Arial" w:cs="Arial"/>
                <w:b/>
              </w:rPr>
              <w:t>4</w:t>
            </w:r>
          </w:p>
        </w:tc>
        <w:tc>
          <w:tcPr>
            <w:tcW w:w="1429" w:type="dxa"/>
            <w:vAlign w:val="center"/>
          </w:tcPr>
          <w:p w14:paraId="615A8F13" w14:textId="77777777" w:rsidR="007854A9" w:rsidRPr="000E189C" w:rsidRDefault="007854A9" w:rsidP="003D4ACC">
            <w:pPr>
              <w:jc w:val="right"/>
              <w:rPr>
                <w:rFonts w:ascii="Arial" w:hAnsi="Arial" w:cs="Arial"/>
                <w:bCs/>
              </w:rPr>
            </w:pPr>
            <w:r w:rsidRPr="000E189C">
              <w:rPr>
                <w:rFonts w:ascii="Arial" w:hAnsi="Arial" w:cs="Arial"/>
                <w:bCs/>
              </w:rPr>
              <w:t>(28)</w:t>
            </w:r>
          </w:p>
        </w:tc>
      </w:tr>
      <w:tr w:rsidR="007854A9" w:rsidRPr="008B4CC2" w14:paraId="4D6AB056" w14:textId="77777777" w:rsidTr="003D4ACC">
        <w:trPr>
          <w:trHeight w:val="266"/>
        </w:trPr>
        <w:tc>
          <w:tcPr>
            <w:tcW w:w="7347" w:type="dxa"/>
            <w:tcBorders>
              <w:top w:val="single" w:sz="4" w:space="0" w:color="auto"/>
            </w:tcBorders>
            <w:shd w:val="clear" w:color="auto" w:fill="auto"/>
            <w:vAlign w:val="center"/>
          </w:tcPr>
          <w:p w14:paraId="43F5B92A" w14:textId="77777777" w:rsidR="007854A9" w:rsidRPr="00DE0F31" w:rsidRDefault="007854A9" w:rsidP="003D4ACC">
            <w:pPr>
              <w:jc w:val="left"/>
              <w:rPr>
                <w:rFonts w:ascii="Arial" w:hAnsi="Arial" w:cs="Arial"/>
                <w:b/>
              </w:rPr>
            </w:pPr>
            <w:r w:rsidRPr="00DE0F31">
              <w:rPr>
                <w:rFonts w:ascii="Arial" w:hAnsi="Arial" w:cs="Arial"/>
                <w:b/>
              </w:rPr>
              <w:t>Net cash flow*</w:t>
            </w:r>
          </w:p>
        </w:tc>
        <w:tc>
          <w:tcPr>
            <w:tcW w:w="1428" w:type="dxa"/>
            <w:tcBorders>
              <w:top w:val="single" w:sz="4" w:space="0" w:color="auto"/>
            </w:tcBorders>
            <w:vAlign w:val="center"/>
          </w:tcPr>
          <w:p w14:paraId="44CD65DC" w14:textId="77777777" w:rsidR="007854A9" w:rsidRPr="007005F4" w:rsidRDefault="007854A9" w:rsidP="003D4ACC">
            <w:pPr>
              <w:jc w:val="right"/>
              <w:rPr>
                <w:rFonts w:ascii="Arial" w:hAnsi="Arial" w:cs="Arial"/>
                <w:b/>
              </w:rPr>
            </w:pPr>
            <w:r w:rsidRPr="007005F4">
              <w:rPr>
                <w:rFonts w:ascii="Arial" w:hAnsi="Arial" w:cs="Arial"/>
                <w:b/>
              </w:rPr>
              <w:t>(654)</w:t>
            </w:r>
          </w:p>
        </w:tc>
        <w:tc>
          <w:tcPr>
            <w:tcW w:w="1429" w:type="dxa"/>
            <w:tcBorders>
              <w:top w:val="single" w:sz="4" w:space="0" w:color="auto"/>
            </w:tcBorders>
            <w:vAlign w:val="center"/>
          </w:tcPr>
          <w:p w14:paraId="16C98E74" w14:textId="77777777" w:rsidR="007854A9" w:rsidRPr="000E189C" w:rsidRDefault="007854A9" w:rsidP="003D4ACC">
            <w:pPr>
              <w:jc w:val="right"/>
              <w:rPr>
                <w:rFonts w:ascii="Arial" w:hAnsi="Arial" w:cs="Arial"/>
                <w:bCs/>
              </w:rPr>
            </w:pPr>
            <w:r w:rsidRPr="000E189C">
              <w:rPr>
                <w:rFonts w:ascii="Arial" w:hAnsi="Arial" w:cs="Arial"/>
                <w:bCs/>
              </w:rPr>
              <w:t>(140)</w:t>
            </w:r>
          </w:p>
        </w:tc>
      </w:tr>
      <w:tr w:rsidR="007854A9" w:rsidRPr="008B4CC2" w14:paraId="73CBFCEF" w14:textId="77777777" w:rsidTr="003D4ACC">
        <w:trPr>
          <w:trHeight w:val="266"/>
        </w:trPr>
        <w:tc>
          <w:tcPr>
            <w:tcW w:w="7347" w:type="dxa"/>
            <w:shd w:val="clear" w:color="auto" w:fill="auto"/>
            <w:vAlign w:val="center"/>
          </w:tcPr>
          <w:p w14:paraId="10FBB5ED" w14:textId="77777777" w:rsidR="007854A9" w:rsidRPr="00DE0F31" w:rsidRDefault="007854A9" w:rsidP="003D4ACC">
            <w:pPr>
              <w:jc w:val="left"/>
              <w:rPr>
                <w:rFonts w:ascii="Arial" w:hAnsi="Arial" w:cs="Arial"/>
              </w:rPr>
            </w:pPr>
            <w:r w:rsidRPr="00DE0F31">
              <w:rPr>
                <w:rFonts w:ascii="Arial" w:hAnsi="Arial" w:cs="Arial"/>
              </w:rPr>
              <w:t>Opening net debt</w:t>
            </w:r>
          </w:p>
        </w:tc>
        <w:tc>
          <w:tcPr>
            <w:tcW w:w="1428" w:type="dxa"/>
            <w:vAlign w:val="center"/>
          </w:tcPr>
          <w:p w14:paraId="237F010B" w14:textId="77777777" w:rsidR="007854A9" w:rsidRPr="007005F4" w:rsidRDefault="007854A9" w:rsidP="003D4ACC">
            <w:pPr>
              <w:jc w:val="right"/>
              <w:rPr>
                <w:rFonts w:ascii="Arial" w:hAnsi="Arial" w:cs="Arial"/>
                <w:b/>
              </w:rPr>
            </w:pPr>
            <w:r w:rsidRPr="00367A93">
              <w:rPr>
                <w:rFonts w:ascii="Arial" w:hAnsi="Arial" w:cs="Arial"/>
                <w:b/>
              </w:rPr>
              <w:t>(1,572)</w:t>
            </w:r>
          </w:p>
        </w:tc>
        <w:tc>
          <w:tcPr>
            <w:tcW w:w="1429" w:type="dxa"/>
            <w:vAlign w:val="center"/>
          </w:tcPr>
          <w:p w14:paraId="5A57C276" w14:textId="77777777" w:rsidR="007854A9" w:rsidRPr="000E189C" w:rsidRDefault="007854A9" w:rsidP="003D4ACC">
            <w:pPr>
              <w:jc w:val="right"/>
              <w:rPr>
                <w:rFonts w:ascii="Arial" w:hAnsi="Arial" w:cs="Arial"/>
                <w:bCs/>
              </w:rPr>
            </w:pPr>
            <w:r w:rsidRPr="000E189C">
              <w:rPr>
                <w:rFonts w:ascii="Arial" w:hAnsi="Arial" w:cs="Arial"/>
                <w:bCs/>
              </w:rPr>
              <w:t>(1,394)</w:t>
            </w:r>
          </w:p>
        </w:tc>
      </w:tr>
      <w:tr w:rsidR="007854A9" w:rsidRPr="008B4CC2" w14:paraId="5801D9D1" w14:textId="77777777" w:rsidTr="003D4ACC">
        <w:trPr>
          <w:trHeight w:val="266"/>
        </w:trPr>
        <w:tc>
          <w:tcPr>
            <w:tcW w:w="7347" w:type="dxa"/>
            <w:shd w:val="clear" w:color="auto" w:fill="auto"/>
            <w:vAlign w:val="center"/>
          </w:tcPr>
          <w:p w14:paraId="73B35562" w14:textId="77777777" w:rsidR="007854A9" w:rsidRPr="00DE0F31" w:rsidRDefault="007854A9" w:rsidP="003D4ACC">
            <w:pPr>
              <w:jc w:val="left"/>
              <w:rPr>
                <w:rFonts w:ascii="Arial" w:hAnsi="Arial" w:cs="Arial"/>
              </w:rPr>
            </w:pPr>
            <w:r w:rsidRPr="00DE0F31">
              <w:rPr>
                <w:rFonts w:ascii="Arial" w:hAnsi="Arial" w:cs="Arial"/>
              </w:rPr>
              <w:t>Movements in lease liabilities</w:t>
            </w:r>
          </w:p>
        </w:tc>
        <w:tc>
          <w:tcPr>
            <w:tcW w:w="1428" w:type="dxa"/>
            <w:vAlign w:val="center"/>
          </w:tcPr>
          <w:p w14:paraId="41DF747B" w14:textId="77777777" w:rsidR="007854A9" w:rsidRPr="007005F4" w:rsidRDefault="007854A9" w:rsidP="003D4ACC">
            <w:pPr>
              <w:jc w:val="right"/>
              <w:rPr>
                <w:rFonts w:ascii="Arial" w:hAnsi="Arial" w:cs="Arial"/>
                <w:b/>
              </w:rPr>
            </w:pPr>
            <w:r>
              <w:rPr>
                <w:rFonts w:ascii="Arial" w:hAnsi="Arial" w:cs="Arial"/>
                <w:b/>
              </w:rPr>
              <w:t>(</w:t>
            </w:r>
            <w:r w:rsidRPr="007005F4">
              <w:rPr>
                <w:rFonts w:ascii="Arial" w:hAnsi="Arial" w:cs="Arial"/>
                <w:b/>
              </w:rPr>
              <w:t>41</w:t>
            </w:r>
            <w:r>
              <w:rPr>
                <w:rFonts w:ascii="Arial" w:hAnsi="Arial" w:cs="Arial"/>
                <w:b/>
              </w:rPr>
              <w:t>)</w:t>
            </w:r>
          </w:p>
        </w:tc>
        <w:tc>
          <w:tcPr>
            <w:tcW w:w="1429" w:type="dxa"/>
            <w:vAlign w:val="center"/>
          </w:tcPr>
          <w:p w14:paraId="34847178" w14:textId="77777777" w:rsidR="007854A9" w:rsidRPr="000E189C" w:rsidRDefault="007854A9" w:rsidP="003D4ACC">
            <w:pPr>
              <w:jc w:val="right"/>
              <w:rPr>
                <w:rFonts w:ascii="Arial" w:hAnsi="Arial" w:cs="Arial"/>
                <w:bCs/>
              </w:rPr>
            </w:pPr>
            <w:r w:rsidRPr="000E189C">
              <w:rPr>
                <w:rFonts w:ascii="Arial" w:hAnsi="Arial" w:cs="Arial"/>
                <w:bCs/>
              </w:rPr>
              <w:t>7</w:t>
            </w:r>
          </w:p>
        </w:tc>
      </w:tr>
      <w:tr w:rsidR="007854A9" w:rsidRPr="008B4CC2" w14:paraId="2F1814E3" w14:textId="77777777" w:rsidTr="003D4ACC">
        <w:trPr>
          <w:trHeight w:val="266"/>
        </w:trPr>
        <w:tc>
          <w:tcPr>
            <w:tcW w:w="7347" w:type="dxa"/>
            <w:tcBorders>
              <w:bottom w:val="single" w:sz="4" w:space="0" w:color="auto"/>
            </w:tcBorders>
            <w:shd w:val="clear" w:color="auto" w:fill="auto"/>
            <w:vAlign w:val="center"/>
          </w:tcPr>
          <w:p w14:paraId="5A0DFCDE" w14:textId="77777777" w:rsidR="007854A9" w:rsidRPr="00DE0F31" w:rsidRDefault="007854A9" w:rsidP="003D4ACC">
            <w:pPr>
              <w:jc w:val="left"/>
              <w:rPr>
                <w:rFonts w:ascii="Arial" w:hAnsi="Arial" w:cs="Arial"/>
              </w:rPr>
            </w:pPr>
            <w:r w:rsidRPr="00DE0F31">
              <w:rPr>
                <w:rFonts w:ascii="Arial" w:hAnsi="Arial" w:cs="Arial"/>
              </w:rPr>
              <w:t>Other movement including foreign exchange</w:t>
            </w:r>
          </w:p>
        </w:tc>
        <w:tc>
          <w:tcPr>
            <w:tcW w:w="1428" w:type="dxa"/>
            <w:tcBorders>
              <w:bottom w:val="single" w:sz="4" w:space="0" w:color="auto"/>
            </w:tcBorders>
            <w:vAlign w:val="center"/>
          </w:tcPr>
          <w:p w14:paraId="65AAB799" w14:textId="77777777" w:rsidR="007854A9" w:rsidRPr="007005F4" w:rsidRDefault="007854A9" w:rsidP="003D4ACC">
            <w:pPr>
              <w:jc w:val="right"/>
              <w:rPr>
                <w:rFonts w:ascii="Arial" w:hAnsi="Arial" w:cs="Arial"/>
                <w:b/>
              </w:rPr>
            </w:pPr>
            <w:r w:rsidRPr="007005F4">
              <w:rPr>
                <w:rFonts w:ascii="Arial" w:hAnsi="Arial" w:cs="Arial"/>
                <w:b/>
              </w:rPr>
              <w:t>(7)</w:t>
            </w:r>
          </w:p>
        </w:tc>
        <w:tc>
          <w:tcPr>
            <w:tcW w:w="1429" w:type="dxa"/>
            <w:tcBorders>
              <w:bottom w:val="single" w:sz="4" w:space="0" w:color="auto"/>
            </w:tcBorders>
            <w:vAlign w:val="center"/>
          </w:tcPr>
          <w:p w14:paraId="61525873" w14:textId="77777777" w:rsidR="007854A9" w:rsidRPr="000E189C" w:rsidRDefault="007854A9" w:rsidP="003D4ACC">
            <w:pPr>
              <w:jc w:val="right"/>
              <w:rPr>
                <w:rFonts w:ascii="Arial" w:hAnsi="Arial" w:cs="Arial"/>
                <w:bCs/>
              </w:rPr>
            </w:pPr>
            <w:r w:rsidRPr="000E189C">
              <w:rPr>
                <w:rFonts w:ascii="Arial" w:hAnsi="Arial" w:cs="Arial"/>
                <w:bCs/>
              </w:rPr>
              <w:t>(45)</w:t>
            </w:r>
          </w:p>
        </w:tc>
      </w:tr>
      <w:tr w:rsidR="007854A9" w:rsidRPr="008B4CC2" w14:paraId="1623997C" w14:textId="77777777" w:rsidTr="003D4ACC">
        <w:trPr>
          <w:trHeight w:val="266"/>
        </w:trPr>
        <w:tc>
          <w:tcPr>
            <w:tcW w:w="7347" w:type="dxa"/>
            <w:tcBorders>
              <w:top w:val="single" w:sz="4" w:space="0" w:color="auto"/>
              <w:bottom w:val="single" w:sz="4" w:space="0" w:color="auto"/>
            </w:tcBorders>
            <w:shd w:val="clear" w:color="auto" w:fill="auto"/>
            <w:vAlign w:val="center"/>
          </w:tcPr>
          <w:p w14:paraId="49E60B86" w14:textId="77777777" w:rsidR="007854A9" w:rsidRPr="00DE0F31" w:rsidRDefault="007854A9" w:rsidP="003D4ACC">
            <w:pPr>
              <w:jc w:val="left"/>
              <w:rPr>
                <w:rFonts w:ascii="Arial" w:hAnsi="Arial" w:cs="Arial"/>
                <w:b/>
              </w:rPr>
            </w:pPr>
            <w:r w:rsidRPr="00DE0F31">
              <w:rPr>
                <w:rFonts w:ascii="Arial" w:hAnsi="Arial" w:cs="Arial"/>
                <w:b/>
              </w:rPr>
              <w:t>Closing net debt</w:t>
            </w:r>
          </w:p>
        </w:tc>
        <w:tc>
          <w:tcPr>
            <w:tcW w:w="1428" w:type="dxa"/>
            <w:tcBorders>
              <w:top w:val="single" w:sz="4" w:space="0" w:color="auto"/>
              <w:bottom w:val="single" w:sz="4" w:space="0" w:color="auto"/>
            </w:tcBorders>
            <w:vAlign w:val="center"/>
          </w:tcPr>
          <w:p w14:paraId="19550353" w14:textId="77777777" w:rsidR="007854A9" w:rsidRPr="00367A93" w:rsidRDefault="007854A9" w:rsidP="003D4ACC">
            <w:pPr>
              <w:jc w:val="right"/>
              <w:rPr>
                <w:rFonts w:ascii="Arial" w:hAnsi="Arial" w:cs="Arial"/>
                <w:b/>
              </w:rPr>
            </w:pPr>
            <w:r w:rsidRPr="00367A93">
              <w:rPr>
                <w:rFonts w:ascii="Arial" w:hAnsi="Arial" w:cs="Arial"/>
                <w:b/>
              </w:rPr>
              <w:t>(2,274)</w:t>
            </w:r>
          </w:p>
        </w:tc>
        <w:tc>
          <w:tcPr>
            <w:tcW w:w="1429" w:type="dxa"/>
            <w:tcBorders>
              <w:top w:val="single" w:sz="4" w:space="0" w:color="auto"/>
              <w:bottom w:val="single" w:sz="4" w:space="0" w:color="auto"/>
            </w:tcBorders>
            <w:vAlign w:val="center"/>
          </w:tcPr>
          <w:p w14:paraId="6D6D535A" w14:textId="77777777" w:rsidR="007854A9" w:rsidRPr="004377F5" w:rsidRDefault="007854A9" w:rsidP="003D4ACC">
            <w:pPr>
              <w:jc w:val="right"/>
              <w:rPr>
                <w:rFonts w:ascii="Arial" w:hAnsi="Arial" w:cs="Arial"/>
                <w:bCs/>
              </w:rPr>
            </w:pPr>
            <w:r w:rsidRPr="004377F5">
              <w:rPr>
                <w:rFonts w:ascii="Arial" w:hAnsi="Arial" w:cs="Arial"/>
                <w:bCs/>
              </w:rPr>
              <w:t>(1,572)</w:t>
            </w:r>
          </w:p>
        </w:tc>
      </w:tr>
    </w:tbl>
    <w:p w14:paraId="6EC3F233" w14:textId="77777777" w:rsidR="007854A9" w:rsidRPr="00DE0F31" w:rsidRDefault="007854A9" w:rsidP="007854A9">
      <w:pPr>
        <w:jc w:val="left"/>
        <w:rPr>
          <w:rFonts w:ascii="Arial" w:hAnsi="Arial" w:cs="Arial"/>
          <w:sz w:val="18"/>
          <w:szCs w:val="18"/>
        </w:rPr>
      </w:pPr>
    </w:p>
    <w:bookmarkEnd w:id="73"/>
    <w:p w14:paraId="6E2F8BA8" w14:textId="77777777" w:rsidR="007854A9" w:rsidRDefault="007854A9" w:rsidP="007854A9">
      <w:pPr>
        <w:jc w:val="left"/>
        <w:rPr>
          <w:rFonts w:ascii="Arial" w:hAnsi="Arial" w:cs="Arial"/>
          <w:sz w:val="18"/>
          <w:szCs w:val="18"/>
        </w:rPr>
      </w:pPr>
      <w:r w:rsidRPr="00337BFB">
        <w:rPr>
          <w:rFonts w:ascii="Arial" w:hAnsi="Arial" w:cs="Arial"/>
          <w:bCs/>
          <w:sz w:val="18"/>
          <w:szCs w:val="18"/>
          <w:vertAlign w:val="superscript"/>
        </w:rPr>
        <w:t>(1)</w:t>
      </w:r>
      <w:r w:rsidRPr="00337BFB">
        <w:rPr>
          <w:rFonts w:ascii="Arial" w:hAnsi="Arial" w:cs="Arial"/>
          <w:sz w:val="18"/>
          <w:szCs w:val="18"/>
        </w:rPr>
        <w:t xml:space="preserve"> Includes principally depreciation and amortisation, share-based compensation charge and pension operating cost. </w:t>
      </w:r>
    </w:p>
    <w:p w14:paraId="310D930F" w14:textId="77777777" w:rsidR="007854A9" w:rsidRPr="00337BFB" w:rsidRDefault="007854A9" w:rsidP="007854A9">
      <w:pPr>
        <w:jc w:val="left"/>
        <w:rPr>
          <w:rFonts w:ascii="Arial" w:hAnsi="Arial" w:cs="Arial"/>
          <w:sz w:val="18"/>
          <w:szCs w:val="18"/>
        </w:rPr>
      </w:pPr>
      <w:r w:rsidRPr="00337BFB">
        <w:rPr>
          <w:rFonts w:ascii="Arial" w:hAnsi="Arial" w:cs="Arial"/>
          <w:bCs/>
          <w:sz w:val="18"/>
          <w:szCs w:val="18"/>
          <w:vertAlign w:val="superscript"/>
        </w:rPr>
        <w:t>(2)</w:t>
      </w:r>
      <w:r w:rsidRPr="00337BFB">
        <w:rPr>
          <w:rFonts w:ascii="Arial" w:hAnsi="Arial" w:cs="Arial"/>
          <w:sz w:val="18"/>
          <w:szCs w:val="18"/>
        </w:rPr>
        <w:t xml:space="preserve"> </w:t>
      </w:r>
      <w:r w:rsidRPr="00DB7957">
        <w:rPr>
          <w:rFonts w:ascii="Arial" w:hAnsi="Arial" w:cs="Arial"/>
          <w:sz w:val="18"/>
          <w:szCs w:val="18"/>
        </w:rPr>
        <w:t>Payment</w:t>
      </w:r>
      <w:r>
        <w:rPr>
          <w:rFonts w:ascii="Arial" w:hAnsi="Arial" w:cs="Arial"/>
          <w:sz w:val="18"/>
          <w:szCs w:val="18"/>
        </w:rPr>
        <w:t>s</w:t>
      </w:r>
      <w:r w:rsidRPr="00DB7957">
        <w:rPr>
          <w:rFonts w:ascii="Arial" w:hAnsi="Arial" w:cs="Arial"/>
          <w:sz w:val="18"/>
          <w:szCs w:val="18"/>
        </w:rPr>
        <w:t xml:space="preserve"> made in relation to French tax authorit</w:t>
      </w:r>
      <w:r>
        <w:rPr>
          <w:rFonts w:ascii="Arial" w:hAnsi="Arial" w:cs="Arial"/>
          <w:sz w:val="18"/>
          <w:szCs w:val="18"/>
        </w:rPr>
        <w:t>y</w:t>
      </w:r>
      <w:r w:rsidRPr="00DB7957">
        <w:rPr>
          <w:rFonts w:ascii="Arial" w:hAnsi="Arial" w:cs="Arial"/>
          <w:sz w:val="18"/>
          <w:szCs w:val="18"/>
        </w:rPr>
        <w:t xml:space="preserve"> settlement (refer to the Taxation section above for further details)</w:t>
      </w:r>
      <w:r w:rsidRPr="00337BFB">
        <w:rPr>
          <w:rFonts w:ascii="Arial" w:hAnsi="Arial" w:cs="Arial"/>
          <w:sz w:val="18"/>
          <w:szCs w:val="18"/>
        </w:rPr>
        <w:t>.</w:t>
      </w:r>
    </w:p>
    <w:p w14:paraId="70CF76FF" w14:textId="77777777" w:rsidR="007854A9" w:rsidRPr="00337BFB" w:rsidRDefault="007854A9" w:rsidP="007854A9">
      <w:pPr>
        <w:jc w:val="left"/>
        <w:rPr>
          <w:rFonts w:ascii="Arial" w:hAnsi="Arial" w:cs="Arial"/>
          <w:sz w:val="18"/>
          <w:szCs w:val="18"/>
        </w:rPr>
      </w:pPr>
      <w:r w:rsidRPr="00337BFB">
        <w:rPr>
          <w:rFonts w:ascii="Arial" w:hAnsi="Arial" w:cs="Arial"/>
          <w:bCs/>
          <w:sz w:val="18"/>
          <w:szCs w:val="18"/>
          <w:vertAlign w:val="superscript"/>
        </w:rPr>
        <w:t>(</w:t>
      </w:r>
      <w:r>
        <w:rPr>
          <w:rFonts w:ascii="Arial" w:hAnsi="Arial" w:cs="Arial"/>
          <w:bCs/>
          <w:sz w:val="18"/>
          <w:szCs w:val="18"/>
          <w:vertAlign w:val="superscript"/>
        </w:rPr>
        <w:t>3</w:t>
      </w:r>
      <w:r w:rsidRPr="00337BFB">
        <w:rPr>
          <w:rFonts w:ascii="Arial" w:hAnsi="Arial" w:cs="Arial"/>
          <w:bCs/>
          <w:sz w:val="18"/>
          <w:szCs w:val="18"/>
          <w:vertAlign w:val="superscript"/>
        </w:rPr>
        <w:t>)</w:t>
      </w:r>
      <w:r w:rsidRPr="00337BFB">
        <w:rPr>
          <w:rFonts w:ascii="Arial" w:hAnsi="Arial" w:cs="Arial"/>
          <w:sz w:val="18"/>
          <w:szCs w:val="18"/>
        </w:rPr>
        <w:t xml:space="preserve"> Payments made in relation to the EC state aid challenge (refer to the Taxation section above for further details).</w:t>
      </w:r>
    </w:p>
    <w:p w14:paraId="6214F897" w14:textId="7E9CC752" w:rsidR="007854A9" w:rsidRPr="00337BFB" w:rsidRDefault="007854A9" w:rsidP="007854A9">
      <w:pPr>
        <w:jc w:val="left"/>
        <w:rPr>
          <w:rFonts w:ascii="Arial" w:hAnsi="Arial" w:cs="Arial"/>
          <w:sz w:val="18"/>
          <w:szCs w:val="18"/>
        </w:rPr>
      </w:pPr>
      <w:r w:rsidRPr="00F52002">
        <w:rPr>
          <w:rFonts w:ascii="Arial" w:hAnsi="Arial" w:cs="Arial"/>
          <w:bCs/>
          <w:sz w:val="18"/>
          <w:szCs w:val="18"/>
          <w:vertAlign w:val="superscript"/>
        </w:rPr>
        <w:t>(</w:t>
      </w:r>
      <w:r>
        <w:rPr>
          <w:rFonts w:ascii="Arial" w:hAnsi="Arial" w:cs="Arial"/>
          <w:bCs/>
          <w:sz w:val="18"/>
          <w:szCs w:val="18"/>
          <w:vertAlign w:val="superscript"/>
        </w:rPr>
        <w:t>4</w:t>
      </w:r>
      <w:r w:rsidRPr="00F52002">
        <w:rPr>
          <w:rFonts w:ascii="Arial" w:hAnsi="Arial" w:cs="Arial"/>
          <w:bCs/>
          <w:sz w:val="18"/>
          <w:szCs w:val="18"/>
          <w:vertAlign w:val="superscript"/>
        </w:rPr>
        <w:t>)</w:t>
      </w:r>
      <w:r w:rsidRPr="00F52002">
        <w:rPr>
          <w:rFonts w:ascii="Arial" w:hAnsi="Arial" w:cs="Arial"/>
          <w:sz w:val="18"/>
          <w:szCs w:val="18"/>
        </w:rPr>
        <w:t xml:space="preserve"> Includes </w:t>
      </w:r>
      <w:r w:rsidR="00F16BB6" w:rsidRPr="00F16BB6">
        <w:rPr>
          <w:rFonts w:ascii="Arial" w:hAnsi="Arial" w:cs="Arial"/>
          <w:sz w:val="18"/>
          <w:szCs w:val="18"/>
        </w:rPr>
        <w:t>proceeds from the issue of new shares, dividends from joint ventures and associates</w:t>
      </w:r>
      <w:r w:rsidR="00F16BB6">
        <w:rPr>
          <w:rFonts w:ascii="Arial" w:hAnsi="Arial" w:cs="Arial"/>
          <w:sz w:val="18"/>
          <w:szCs w:val="18"/>
        </w:rPr>
        <w:t>,</w:t>
      </w:r>
      <w:r w:rsidR="00F16BB6" w:rsidRPr="00F16BB6">
        <w:rPr>
          <w:rFonts w:ascii="Arial" w:hAnsi="Arial" w:cs="Arial"/>
          <w:sz w:val="18"/>
          <w:szCs w:val="18"/>
        </w:rPr>
        <w:t xml:space="preserve"> and disposal of assets</w:t>
      </w:r>
      <w:r w:rsidR="004447E6">
        <w:rPr>
          <w:rFonts w:ascii="Arial" w:hAnsi="Arial" w:cs="Arial"/>
          <w:sz w:val="18"/>
          <w:szCs w:val="18"/>
        </w:rPr>
        <w:t xml:space="preserve">; </w:t>
      </w:r>
      <w:r w:rsidR="00F16BB6" w:rsidRPr="00F16BB6">
        <w:rPr>
          <w:rFonts w:ascii="Arial" w:hAnsi="Arial" w:cs="Arial"/>
          <w:sz w:val="18"/>
          <w:szCs w:val="18"/>
        </w:rPr>
        <w:t>part</w:t>
      </w:r>
      <w:r w:rsidR="00F16BB6">
        <w:rPr>
          <w:rFonts w:ascii="Arial" w:hAnsi="Arial" w:cs="Arial"/>
          <w:sz w:val="18"/>
          <w:szCs w:val="18"/>
        </w:rPr>
        <w:t>i</w:t>
      </w:r>
      <w:r w:rsidR="00F16BB6" w:rsidRPr="00F16BB6">
        <w:rPr>
          <w:rFonts w:ascii="Arial" w:hAnsi="Arial" w:cs="Arial"/>
          <w:sz w:val="18"/>
          <w:szCs w:val="18"/>
        </w:rPr>
        <w:t xml:space="preserve">ally offset by </w:t>
      </w:r>
      <w:r w:rsidRPr="00F52002">
        <w:rPr>
          <w:rFonts w:ascii="Arial" w:hAnsi="Arial" w:cs="Arial"/>
          <w:sz w:val="18"/>
          <w:szCs w:val="18"/>
        </w:rPr>
        <w:t>adjusting cash flow items</w:t>
      </w:r>
      <w:r w:rsidR="00F44ABA">
        <w:rPr>
          <w:rFonts w:ascii="Arial" w:hAnsi="Arial" w:cs="Arial"/>
          <w:sz w:val="18"/>
          <w:szCs w:val="18"/>
        </w:rPr>
        <w:t xml:space="preserve"> (</w:t>
      </w:r>
      <w:r w:rsidRPr="00F52002">
        <w:rPr>
          <w:rFonts w:ascii="Arial" w:hAnsi="Arial" w:cs="Arial"/>
          <w:sz w:val="18"/>
          <w:szCs w:val="18"/>
        </w:rPr>
        <w:t>principally comprising restructuring costs</w:t>
      </w:r>
      <w:r w:rsidR="00F44ABA">
        <w:rPr>
          <w:rFonts w:ascii="Arial" w:hAnsi="Arial" w:cs="Arial"/>
          <w:sz w:val="18"/>
          <w:szCs w:val="18"/>
        </w:rPr>
        <w:t>)</w:t>
      </w:r>
      <w:r w:rsidRPr="007005F4">
        <w:rPr>
          <w:rFonts w:ascii="Arial" w:hAnsi="Arial" w:cs="Arial"/>
          <w:sz w:val="18"/>
          <w:szCs w:val="18"/>
        </w:rPr>
        <w:t>.</w:t>
      </w:r>
    </w:p>
    <w:p w14:paraId="59919EAF" w14:textId="77777777" w:rsidR="007854A9" w:rsidRPr="00337BFB" w:rsidRDefault="007854A9" w:rsidP="007854A9">
      <w:pPr>
        <w:ind w:right="-368"/>
        <w:jc w:val="left"/>
        <w:rPr>
          <w:rFonts w:ascii="Arial" w:hAnsi="Arial" w:cs="Arial"/>
          <w:bCs/>
        </w:rPr>
      </w:pPr>
    </w:p>
    <w:p w14:paraId="428173A5" w14:textId="77777777" w:rsidR="007854A9" w:rsidRDefault="007854A9" w:rsidP="007854A9">
      <w:pPr>
        <w:jc w:val="left"/>
        <w:rPr>
          <w:rFonts w:ascii="Arial" w:hAnsi="Arial" w:cs="Arial"/>
        </w:rPr>
      </w:pPr>
      <w:r w:rsidRPr="00337BFB">
        <w:rPr>
          <w:rFonts w:ascii="Arial" w:hAnsi="Arial" w:cs="Arial"/>
        </w:rPr>
        <w:t>Operating profit (before adjusting items) was £</w:t>
      </w:r>
      <w:r w:rsidRPr="00BD3974">
        <w:rPr>
          <w:rFonts w:ascii="Arial" w:hAnsi="Arial" w:cs="Arial"/>
        </w:rPr>
        <w:t>21</w:t>
      </w:r>
      <w:r w:rsidRPr="00CE7878">
        <w:rPr>
          <w:rFonts w:ascii="Arial" w:hAnsi="Arial" w:cs="Arial"/>
        </w:rPr>
        <w:t>6</w:t>
      </w:r>
      <w:r w:rsidRPr="00337BFB">
        <w:rPr>
          <w:rFonts w:ascii="Arial" w:hAnsi="Arial" w:cs="Arial"/>
        </w:rPr>
        <w:t xml:space="preserve">m </w:t>
      </w:r>
      <w:r>
        <w:rPr>
          <w:rFonts w:ascii="Arial" w:hAnsi="Arial" w:cs="Arial"/>
        </w:rPr>
        <w:t>lower</w:t>
      </w:r>
      <w:r w:rsidRPr="00337BFB">
        <w:rPr>
          <w:rFonts w:ascii="Arial" w:hAnsi="Arial" w:cs="Arial"/>
        </w:rPr>
        <w:t xml:space="preserve"> than last yea</w:t>
      </w:r>
      <w:r w:rsidRPr="008662A6">
        <w:rPr>
          <w:rFonts w:ascii="Arial" w:hAnsi="Arial" w:cs="Arial"/>
        </w:rPr>
        <w:t>r, largely reflecting lower profits in the UK &amp; Ireland</w:t>
      </w:r>
      <w:r w:rsidRPr="00BD3974">
        <w:rPr>
          <w:rFonts w:ascii="Arial" w:hAnsi="Arial" w:cs="Arial"/>
        </w:rPr>
        <w:t xml:space="preserve"> and France.</w:t>
      </w:r>
    </w:p>
    <w:p w14:paraId="7B3E5322" w14:textId="77777777" w:rsidR="007854A9" w:rsidRDefault="007854A9" w:rsidP="007854A9">
      <w:pPr>
        <w:jc w:val="left"/>
        <w:rPr>
          <w:rFonts w:ascii="Arial" w:hAnsi="Arial" w:cs="Arial"/>
        </w:rPr>
      </w:pPr>
    </w:p>
    <w:p w14:paraId="21084986" w14:textId="3F0B0EAF" w:rsidR="007854A9" w:rsidRPr="003722C8" w:rsidRDefault="007854A9" w:rsidP="007854A9">
      <w:pPr>
        <w:jc w:val="left"/>
        <w:rPr>
          <w:rFonts w:ascii="Arial" w:hAnsi="Arial"/>
        </w:rPr>
      </w:pPr>
      <w:r w:rsidRPr="00480D23">
        <w:rPr>
          <w:rFonts w:ascii="Arial" w:hAnsi="Arial" w:cs="Arial"/>
        </w:rPr>
        <w:t xml:space="preserve">The working capital </w:t>
      </w:r>
      <w:r w:rsidRPr="009323E0">
        <w:rPr>
          <w:rFonts w:ascii="Arial" w:hAnsi="Arial" w:cs="Arial"/>
        </w:rPr>
        <w:t>outflow of £</w:t>
      </w:r>
      <w:r w:rsidRPr="00BD3974">
        <w:rPr>
          <w:rFonts w:ascii="Arial" w:hAnsi="Arial" w:cs="Arial"/>
        </w:rPr>
        <w:t>4</w:t>
      </w:r>
      <w:r w:rsidR="00392A94">
        <w:rPr>
          <w:rFonts w:ascii="Arial" w:hAnsi="Arial" w:cs="Arial"/>
        </w:rPr>
        <w:t>69</w:t>
      </w:r>
      <w:r w:rsidRPr="009323E0">
        <w:rPr>
          <w:rFonts w:ascii="Arial" w:hAnsi="Arial" w:cs="Arial"/>
        </w:rPr>
        <w:t xml:space="preserve">m was </w:t>
      </w:r>
      <w:r>
        <w:rPr>
          <w:rFonts w:ascii="Arial" w:hAnsi="Arial" w:cs="Arial"/>
        </w:rPr>
        <w:t xml:space="preserve">partly </w:t>
      </w:r>
      <w:r w:rsidRPr="009323E0">
        <w:rPr>
          <w:rFonts w:ascii="Arial" w:hAnsi="Arial" w:cs="Arial"/>
        </w:rPr>
        <w:t xml:space="preserve">driven by an increase </w:t>
      </w:r>
      <w:r w:rsidRPr="009323E0">
        <w:rPr>
          <w:rFonts w:ascii="Arial" w:hAnsi="Arial"/>
        </w:rPr>
        <w:t>in net inventory of £</w:t>
      </w:r>
      <w:r w:rsidRPr="00BD3974">
        <w:rPr>
          <w:rFonts w:ascii="Arial" w:hAnsi="Arial"/>
        </w:rPr>
        <w:t>23</w:t>
      </w:r>
      <w:r>
        <w:rPr>
          <w:rFonts w:ascii="Arial" w:hAnsi="Arial"/>
        </w:rPr>
        <w:t>4</w:t>
      </w:r>
      <w:r w:rsidRPr="009323E0">
        <w:rPr>
          <w:rFonts w:ascii="Arial" w:hAnsi="Arial"/>
        </w:rPr>
        <w:t xml:space="preserve">m. </w:t>
      </w:r>
      <w:r w:rsidRPr="00EB53AD">
        <w:rPr>
          <w:rFonts w:ascii="Arial" w:hAnsi="Arial" w:cs="Arial"/>
        </w:rPr>
        <w:t>Over 100% of this increase was driven by higher product purchase prices, alongside increases related to higher levels of ‘carry</w:t>
      </w:r>
      <w:r>
        <w:rPr>
          <w:rFonts w:ascii="Arial" w:hAnsi="Arial" w:cs="Arial"/>
        </w:rPr>
        <w:t>-</w:t>
      </w:r>
      <w:r w:rsidRPr="00EB53AD">
        <w:rPr>
          <w:rFonts w:ascii="Arial" w:hAnsi="Arial" w:cs="Arial"/>
        </w:rPr>
        <w:t xml:space="preserve">over’ seasonal items </w:t>
      </w:r>
      <w:r>
        <w:rPr>
          <w:rFonts w:ascii="Arial" w:hAnsi="Arial" w:cs="Arial"/>
        </w:rPr>
        <w:t xml:space="preserve">(which we decided to proactively purchase ahead of forecast cost price increases), </w:t>
      </w:r>
      <w:r w:rsidRPr="00EB53AD">
        <w:rPr>
          <w:rFonts w:ascii="Arial" w:hAnsi="Arial" w:cs="Arial"/>
        </w:rPr>
        <w:t>and stock to support our store expansion programme. The increase was partially offset by lower purchases and our strategic actions to reduce inventory.</w:t>
      </w:r>
      <w:r w:rsidRPr="007C274F">
        <w:rPr>
          <w:rFonts w:ascii="Arial" w:hAnsi="Arial" w:cs="Arial"/>
        </w:rPr>
        <w:t xml:space="preserve"> </w:t>
      </w:r>
      <w:r>
        <w:rPr>
          <w:rFonts w:ascii="Arial" w:hAnsi="Arial"/>
        </w:rPr>
        <w:t xml:space="preserve">Payables </w:t>
      </w:r>
      <w:r>
        <w:rPr>
          <w:rFonts w:ascii="Arial" w:hAnsi="Arial" w:cs="Arial"/>
        </w:rPr>
        <w:t>de</w:t>
      </w:r>
      <w:r w:rsidRPr="004030EE">
        <w:rPr>
          <w:rFonts w:ascii="Arial" w:hAnsi="Arial" w:cs="Arial"/>
        </w:rPr>
        <w:t>crease</w:t>
      </w:r>
      <w:r>
        <w:rPr>
          <w:rFonts w:ascii="Arial" w:hAnsi="Arial" w:cs="Arial"/>
        </w:rPr>
        <w:t>d</w:t>
      </w:r>
      <w:r w:rsidRPr="004030EE">
        <w:rPr>
          <w:rFonts w:ascii="Arial" w:hAnsi="Arial" w:cs="Arial"/>
        </w:rPr>
        <w:t xml:space="preserve"> </w:t>
      </w:r>
      <w:r>
        <w:rPr>
          <w:rFonts w:ascii="Arial" w:hAnsi="Arial" w:cs="Arial"/>
        </w:rPr>
        <w:t xml:space="preserve">by </w:t>
      </w:r>
      <w:r w:rsidRPr="004030EE">
        <w:rPr>
          <w:rFonts w:ascii="Arial" w:hAnsi="Arial" w:cs="Arial"/>
        </w:rPr>
        <w:t>£</w:t>
      </w:r>
      <w:r>
        <w:rPr>
          <w:rFonts w:ascii="Arial" w:hAnsi="Arial" w:cs="Arial"/>
        </w:rPr>
        <w:t>19</w:t>
      </w:r>
      <w:r w:rsidR="00392A94">
        <w:rPr>
          <w:rFonts w:ascii="Arial" w:hAnsi="Arial" w:cs="Arial"/>
        </w:rPr>
        <w:t>1</w:t>
      </w:r>
      <w:r w:rsidRPr="004030EE">
        <w:rPr>
          <w:rFonts w:ascii="Arial" w:hAnsi="Arial" w:cs="Arial"/>
        </w:rPr>
        <w:t>m</w:t>
      </w:r>
      <w:r>
        <w:rPr>
          <w:rFonts w:ascii="Arial" w:hAnsi="Arial" w:cs="Arial"/>
        </w:rPr>
        <w:t>,</w:t>
      </w:r>
      <w:r w:rsidRPr="004030EE">
        <w:rPr>
          <w:rFonts w:ascii="Arial" w:hAnsi="Arial" w:cs="Arial"/>
        </w:rPr>
        <w:t xml:space="preserve"> </w:t>
      </w:r>
      <w:r w:rsidRPr="007C274F">
        <w:rPr>
          <w:rFonts w:ascii="Arial" w:hAnsi="Arial" w:cs="Arial"/>
        </w:rPr>
        <w:t xml:space="preserve">largely </w:t>
      </w:r>
      <w:r w:rsidRPr="007C274F">
        <w:rPr>
          <w:rFonts w:ascii="Arial" w:hAnsi="Arial" w:cs="Arial"/>
        </w:rPr>
        <w:lastRenderedPageBreak/>
        <w:t xml:space="preserve">reflecting </w:t>
      </w:r>
      <w:r>
        <w:rPr>
          <w:rFonts w:ascii="Arial" w:hAnsi="Arial" w:cs="Arial"/>
        </w:rPr>
        <w:t xml:space="preserve">higher inventory purchases in the prior year to </w:t>
      </w:r>
      <w:r w:rsidRPr="00831085">
        <w:rPr>
          <w:rFonts w:ascii="Arial" w:hAnsi="Arial" w:cs="Arial"/>
        </w:rPr>
        <w:t>rebuild product availability, build seasonal and ‘buffer’ stock</w:t>
      </w:r>
      <w:r>
        <w:rPr>
          <w:rFonts w:ascii="Arial" w:hAnsi="Arial" w:cs="Arial"/>
        </w:rPr>
        <w:t>,</w:t>
      </w:r>
      <w:r w:rsidRPr="00831085">
        <w:rPr>
          <w:rFonts w:ascii="Arial" w:hAnsi="Arial" w:cs="Arial"/>
        </w:rPr>
        <w:t xml:space="preserve"> and secure lower cost stock</w:t>
      </w:r>
      <w:r>
        <w:rPr>
          <w:rFonts w:ascii="Arial" w:hAnsi="Arial" w:cs="Arial"/>
        </w:rPr>
        <w:t>. R</w:t>
      </w:r>
      <w:r w:rsidRPr="004030EE">
        <w:rPr>
          <w:rFonts w:ascii="Arial" w:hAnsi="Arial" w:cs="Arial"/>
        </w:rPr>
        <w:t xml:space="preserve">eceivables </w:t>
      </w:r>
      <w:r>
        <w:rPr>
          <w:rFonts w:ascii="Arial" w:hAnsi="Arial" w:cs="Arial"/>
        </w:rPr>
        <w:t>increased by £44m</w:t>
      </w:r>
      <w:bookmarkStart w:id="74" w:name="_Hlk97018249"/>
      <w:r>
        <w:rPr>
          <w:rFonts w:ascii="Arial" w:hAnsi="Arial" w:cs="Arial"/>
        </w:rPr>
        <w:t>.</w:t>
      </w:r>
    </w:p>
    <w:p w14:paraId="55F94B0E" w14:textId="77777777" w:rsidR="007854A9" w:rsidRDefault="007854A9" w:rsidP="007854A9">
      <w:pPr>
        <w:jc w:val="left"/>
        <w:rPr>
          <w:rFonts w:ascii="Arial" w:hAnsi="Arial" w:cs="Arial"/>
        </w:rPr>
      </w:pPr>
    </w:p>
    <w:p w14:paraId="57C14CD3" w14:textId="77777777" w:rsidR="007854A9" w:rsidRPr="002C73CA" w:rsidRDefault="007854A9" w:rsidP="007854A9">
      <w:pPr>
        <w:jc w:val="left"/>
        <w:rPr>
          <w:rFonts w:ascii="Arial" w:hAnsi="Arial" w:cs="Arial"/>
        </w:rPr>
      </w:pPr>
      <w:r w:rsidRPr="0049013C">
        <w:rPr>
          <w:rFonts w:ascii="Arial" w:hAnsi="Arial" w:cs="Arial"/>
        </w:rPr>
        <w:t xml:space="preserve">Gross capital expenditure in </w:t>
      </w:r>
      <w:r>
        <w:rPr>
          <w:rFonts w:ascii="Arial" w:hAnsi="Arial" w:cs="Arial"/>
        </w:rPr>
        <w:t>the year</w:t>
      </w:r>
      <w:r w:rsidRPr="0049013C">
        <w:rPr>
          <w:rFonts w:ascii="Arial" w:hAnsi="Arial" w:cs="Arial"/>
        </w:rPr>
        <w:t xml:space="preserve"> was £</w:t>
      </w:r>
      <w:r>
        <w:rPr>
          <w:rFonts w:ascii="Arial" w:hAnsi="Arial" w:cs="Arial"/>
        </w:rPr>
        <w:t>449</w:t>
      </w:r>
      <w:r w:rsidRPr="0049013C">
        <w:rPr>
          <w:rFonts w:ascii="Arial" w:hAnsi="Arial" w:cs="Arial"/>
        </w:rPr>
        <w:t xml:space="preserve">m, increasing by 13% (FY 21/22: £397m). Of this expenditure, 33% was invested in refreshing, maintaining and adapting existing stores (including renewable energy initiatives), </w:t>
      </w:r>
      <w:r w:rsidRPr="00E00F3B">
        <w:rPr>
          <w:rFonts w:ascii="Arial" w:hAnsi="Arial" w:cs="Arial"/>
        </w:rPr>
        <w:t>13</w:t>
      </w:r>
      <w:r w:rsidRPr="0049013C">
        <w:rPr>
          <w:rFonts w:ascii="Arial" w:hAnsi="Arial" w:cs="Arial"/>
        </w:rPr>
        <w:t xml:space="preserve">% on new stores, 39% on technology and digital development, 5% on range reviews and </w:t>
      </w:r>
      <w:r w:rsidRPr="00E00F3B">
        <w:rPr>
          <w:rFonts w:ascii="Arial" w:hAnsi="Arial" w:cs="Arial"/>
        </w:rPr>
        <w:t>1</w:t>
      </w:r>
      <w:r w:rsidRPr="0049013C">
        <w:rPr>
          <w:rFonts w:ascii="Arial" w:hAnsi="Arial" w:cs="Arial"/>
        </w:rPr>
        <w:t>0% on other areas including supply chain investment.</w:t>
      </w:r>
    </w:p>
    <w:bookmarkEnd w:id="74"/>
    <w:p w14:paraId="2DAD1458" w14:textId="77777777" w:rsidR="007854A9" w:rsidRDefault="007854A9" w:rsidP="007854A9">
      <w:pPr>
        <w:jc w:val="left"/>
        <w:rPr>
          <w:rFonts w:ascii="Arial" w:hAnsi="Arial" w:cs="Arial"/>
        </w:rPr>
      </w:pPr>
    </w:p>
    <w:p w14:paraId="63F237B4" w14:textId="52516653" w:rsidR="007854A9" w:rsidRPr="002C63EC" w:rsidRDefault="007854A9" w:rsidP="007854A9">
      <w:pPr>
        <w:jc w:val="left"/>
        <w:rPr>
          <w:rFonts w:ascii="Arial" w:hAnsi="Arial" w:cs="Arial"/>
        </w:rPr>
      </w:pPr>
      <w:r w:rsidRPr="004D4BAA">
        <w:rPr>
          <w:rFonts w:ascii="Arial" w:hAnsi="Arial" w:cs="Arial"/>
        </w:rPr>
        <w:t xml:space="preserve">Overall, free cash flow </w:t>
      </w:r>
      <w:r>
        <w:rPr>
          <w:rFonts w:ascii="Arial" w:hAnsi="Arial" w:cs="Arial"/>
        </w:rPr>
        <w:t xml:space="preserve">for the year </w:t>
      </w:r>
      <w:r w:rsidRPr="003B53B4">
        <w:rPr>
          <w:rFonts w:ascii="Arial" w:hAnsi="Arial" w:cs="Arial"/>
        </w:rPr>
        <w:t xml:space="preserve">was </w:t>
      </w:r>
      <w:r w:rsidRPr="0055749D">
        <w:rPr>
          <w:rFonts w:ascii="Arial" w:hAnsi="Arial" w:cs="Arial"/>
        </w:rPr>
        <w:t>£</w:t>
      </w:r>
      <w:r w:rsidRPr="00BD3974">
        <w:rPr>
          <w:rFonts w:ascii="Arial" w:hAnsi="Arial" w:cs="Arial"/>
        </w:rPr>
        <w:t>(4</w:t>
      </w:r>
      <w:r w:rsidR="00715011">
        <w:rPr>
          <w:rFonts w:ascii="Arial" w:hAnsi="Arial" w:cs="Arial"/>
        </w:rPr>
        <w:t>0</w:t>
      </w:r>
      <w:r w:rsidRPr="00BD3974">
        <w:rPr>
          <w:rFonts w:ascii="Arial" w:hAnsi="Arial" w:cs="Arial"/>
        </w:rPr>
        <w:t>)</w:t>
      </w:r>
      <w:r w:rsidRPr="0055749D">
        <w:rPr>
          <w:rFonts w:ascii="Arial" w:hAnsi="Arial" w:cs="Arial"/>
        </w:rPr>
        <w:t>m (FY 21</w:t>
      </w:r>
      <w:r w:rsidRPr="003B53B4">
        <w:rPr>
          <w:rFonts w:ascii="Arial" w:hAnsi="Arial" w:cs="Arial"/>
        </w:rPr>
        <w:t>/22</w:t>
      </w:r>
      <w:r w:rsidRPr="004D4BAA">
        <w:rPr>
          <w:rFonts w:ascii="Arial" w:hAnsi="Arial" w:cs="Arial"/>
        </w:rPr>
        <w:t xml:space="preserve">: </w:t>
      </w:r>
      <w:r w:rsidRPr="008D4CD3">
        <w:rPr>
          <w:rFonts w:ascii="Arial" w:hAnsi="Arial" w:cs="Arial"/>
        </w:rPr>
        <w:t>£</w:t>
      </w:r>
      <w:r>
        <w:rPr>
          <w:rFonts w:ascii="Arial" w:hAnsi="Arial" w:cs="Arial"/>
        </w:rPr>
        <w:t>385</w:t>
      </w:r>
      <w:r w:rsidRPr="008D4CD3">
        <w:rPr>
          <w:rFonts w:ascii="Arial" w:hAnsi="Arial" w:cs="Arial"/>
        </w:rPr>
        <w:t>m</w:t>
      </w:r>
      <w:r w:rsidRPr="004D4BAA">
        <w:rPr>
          <w:rFonts w:ascii="Arial" w:hAnsi="Arial" w:cs="Arial"/>
        </w:rPr>
        <w:t>)</w:t>
      </w:r>
      <w:r>
        <w:rPr>
          <w:rFonts w:ascii="Arial" w:hAnsi="Arial" w:cs="Arial"/>
        </w:rPr>
        <w:t>.</w:t>
      </w:r>
    </w:p>
    <w:p w14:paraId="5E4FD605" w14:textId="77777777" w:rsidR="007854A9" w:rsidRPr="002C63EC" w:rsidRDefault="007854A9" w:rsidP="007854A9">
      <w:pPr>
        <w:jc w:val="left"/>
        <w:rPr>
          <w:rFonts w:ascii="Arial" w:hAnsi="Arial" w:cs="Arial"/>
        </w:rPr>
      </w:pPr>
    </w:p>
    <w:p w14:paraId="37D271A8" w14:textId="17CF57EB" w:rsidR="007854A9" w:rsidRDefault="007854A9" w:rsidP="007854A9">
      <w:pPr>
        <w:jc w:val="left"/>
        <w:rPr>
          <w:rFonts w:ascii="Arial" w:hAnsi="Arial" w:cs="Arial"/>
        </w:rPr>
      </w:pPr>
      <w:r w:rsidRPr="002C63EC">
        <w:rPr>
          <w:rFonts w:ascii="Arial" w:hAnsi="Arial" w:cs="Arial"/>
        </w:rPr>
        <w:t xml:space="preserve">Net debt (including IFRS 16 lease liabilities) as </w:t>
      </w:r>
      <w:r>
        <w:rPr>
          <w:rFonts w:ascii="Arial" w:hAnsi="Arial" w:cs="Arial"/>
        </w:rPr>
        <w:t xml:space="preserve">of 31 January </w:t>
      </w:r>
      <w:r w:rsidRPr="009303CB">
        <w:rPr>
          <w:rFonts w:ascii="Arial" w:hAnsi="Arial" w:cs="Arial"/>
        </w:rPr>
        <w:t>202</w:t>
      </w:r>
      <w:r>
        <w:rPr>
          <w:rFonts w:ascii="Arial" w:hAnsi="Arial" w:cs="Arial"/>
        </w:rPr>
        <w:t>3</w:t>
      </w:r>
      <w:r w:rsidRPr="009303CB">
        <w:rPr>
          <w:rFonts w:ascii="Arial" w:hAnsi="Arial" w:cs="Arial"/>
        </w:rPr>
        <w:t xml:space="preserve"> </w:t>
      </w:r>
      <w:r w:rsidRPr="0055749D">
        <w:rPr>
          <w:rFonts w:ascii="Arial" w:hAnsi="Arial" w:cs="Arial"/>
        </w:rPr>
        <w:t>was £</w:t>
      </w:r>
      <w:r w:rsidRPr="00BD3974">
        <w:rPr>
          <w:rFonts w:ascii="Arial" w:hAnsi="Arial" w:cs="Arial"/>
        </w:rPr>
        <w:t>2,27</w:t>
      </w:r>
      <w:r w:rsidR="00643021">
        <w:rPr>
          <w:rFonts w:ascii="Arial" w:hAnsi="Arial" w:cs="Arial"/>
        </w:rPr>
        <w:t>4</w:t>
      </w:r>
      <w:r w:rsidRPr="0055749D">
        <w:rPr>
          <w:rFonts w:ascii="Arial" w:hAnsi="Arial" w:cs="Arial"/>
        </w:rPr>
        <w:t>m (FY 21/22: £1,572m)</w:t>
      </w:r>
      <w:r>
        <w:rPr>
          <w:rFonts w:ascii="Arial" w:hAnsi="Arial" w:cs="Arial"/>
        </w:rPr>
        <w:t>.</w:t>
      </w:r>
    </w:p>
    <w:p w14:paraId="1F5F0CD4" w14:textId="77777777" w:rsidR="007854A9" w:rsidRDefault="007854A9" w:rsidP="007854A9">
      <w:pPr>
        <w:jc w:val="left"/>
        <w:rPr>
          <w:rFonts w:ascii="Arial" w:hAnsi="Arial" w:cs="Arial"/>
        </w:rPr>
      </w:pPr>
    </w:p>
    <w:p w14:paraId="1C7BEFD8" w14:textId="77777777" w:rsidR="007854A9" w:rsidRDefault="007854A9" w:rsidP="007854A9">
      <w:pPr>
        <w:jc w:val="left"/>
        <w:rPr>
          <w:rFonts w:ascii="Arial" w:hAnsi="Arial" w:cs="Arial"/>
        </w:rPr>
      </w:pPr>
      <w:r w:rsidRPr="00337BFB">
        <w:rPr>
          <w:rFonts w:ascii="Arial" w:hAnsi="Arial" w:cs="Arial"/>
        </w:rPr>
        <w:t>A reconciliation of free cash flow and net cash</w:t>
      </w:r>
      <w:r>
        <w:rPr>
          <w:rFonts w:ascii="Arial" w:hAnsi="Arial" w:cs="Arial"/>
        </w:rPr>
        <w:t xml:space="preserve"> </w:t>
      </w:r>
      <w:r w:rsidRPr="00337BFB">
        <w:rPr>
          <w:rFonts w:ascii="Arial" w:hAnsi="Arial" w:cs="Arial"/>
        </w:rPr>
        <w:t xml:space="preserve">flow to the statutory net </w:t>
      </w:r>
      <w:r>
        <w:rPr>
          <w:rFonts w:ascii="Arial" w:hAnsi="Arial" w:cs="Arial"/>
        </w:rPr>
        <w:t xml:space="preserve">movement </w:t>
      </w:r>
      <w:r w:rsidRPr="00337BFB">
        <w:rPr>
          <w:rFonts w:ascii="Arial" w:hAnsi="Arial" w:cs="Arial"/>
        </w:rPr>
        <w:t>in cash and cash equivalents and bank overdrafts is set out below:</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7"/>
        <w:gridCol w:w="1429"/>
        <w:gridCol w:w="1429"/>
      </w:tblGrid>
      <w:tr w:rsidR="007854A9" w14:paraId="5A9D20ED" w14:textId="77777777" w:rsidTr="003D4ACC">
        <w:tc>
          <w:tcPr>
            <w:tcW w:w="7347" w:type="dxa"/>
            <w:tcBorders>
              <w:bottom w:val="single" w:sz="4" w:space="0" w:color="auto"/>
            </w:tcBorders>
          </w:tcPr>
          <w:p w14:paraId="59ACE83D" w14:textId="77777777" w:rsidR="007854A9" w:rsidRDefault="007854A9" w:rsidP="003D4ACC">
            <w:pPr>
              <w:jc w:val="left"/>
              <w:rPr>
                <w:rFonts w:ascii="Arial" w:hAnsi="Arial" w:cs="Arial"/>
              </w:rPr>
            </w:pPr>
          </w:p>
        </w:tc>
        <w:tc>
          <w:tcPr>
            <w:tcW w:w="1429" w:type="dxa"/>
            <w:tcBorders>
              <w:bottom w:val="single" w:sz="4" w:space="0" w:color="auto"/>
            </w:tcBorders>
            <w:vAlign w:val="center"/>
          </w:tcPr>
          <w:p w14:paraId="595663E5" w14:textId="77777777" w:rsidR="007854A9" w:rsidRPr="0057373B" w:rsidRDefault="007854A9" w:rsidP="003D4ACC">
            <w:pPr>
              <w:jc w:val="right"/>
              <w:rPr>
                <w:rFonts w:ascii="Arial" w:hAnsi="Arial" w:cs="Arial"/>
                <w:b/>
                <w:sz w:val="22"/>
                <w:szCs w:val="22"/>
              </w:rPr>
            </w:pPr>
            <w:r w:rsidRPr="0057373B">
              <w:rPr>
                <w:rFonts w:ascii="Arial" w:hAnsi="Arial" w:cs="Arial"/>
                <w:b/>
                <w:sz w:val="22"/>
                <w:szCs w:val="22"/>
              </w:rPr>
              <w:t>2022/23</w:t>
            </w:r>
          </w:p>
          <w:p w14:paraId="62432C12" w14:textId="77777777" w:rsidR="007854A9" w:rsidRPr="0057373B" w:rsidRDefault="007854A9" w:rsidP="003D4ACC">
            <w:pPr>
              <w:jc w:val="right"/>
              <w:rPr>
                <w:rFonts w:ascii="Arial" w:hAnsi="Arial" w:cs="Arial"/>
                <w:sz w:val="22"/>
                <w:szCs w:val="22"/>
              </w:rPr>
            </w:pPr>
            <w:r w:rsidRPr="0057373B">
              <w:rPr>
                <w:rFonts w:ascii="Arial" w:hAnsi="Arial" w:cs="Arial"/>
                <w:b/>
                <w:sz w:val="22"/>
                <w:szCs w:val="22"/>
              </w:rPr>
              <w:t>£m</w:t>
            </w:r>
          </w:p>
        </w:tc>
        <w:tc>
          <w:tcPr>
            <w:tcW w:w="1429" w:type="dxa"/>
            <w:tcBorders>
              <w:bottom w:val="single" w:sz="4" w:space="0" w:color="auto"/>
            </w:tcBorders>
            <w:vAlign w:val="center"/>
          </w:tcPr>
          <w:p w14:paraId="45FE8D40" w14:textId="77777777" w:rsidR="007854A9" w:rsidRPr="0057373B" w:rsidRDefault="007854A9" w:rsidP="003D4ACC">
            <w:pPr>
              <w:jc w:val="right"/>
              <w:rPr>
                <w:rFonts w:ascii="Arial" w:hAnsi="Arial" w:cs="Arial"/>
                <w:sz w:val="22"/>
                <w:szCs w:val="22"/>
              </w:rPr>
            </w:pPr>
            <w:r w:rsidRPr="0057373B">
              <w:rPr>
                <w:rFonts w:ascii="Arial" w:hAnsi="Arial" w:cs="Arial"/>
                <w:sz w:val="22"/>
                <w:szCs w:val="22"/>
              </w:rPr>
              <w:t>2021/22</w:t>
            </w:r>
          </w:p>
          <w:p w14:paraId="517D9A81" w14:textId="77777777" w:rsidR="007854A9" w:rsidRPr="0057373B" w:rsidRDefault="007854A9" w:rsidP="003D4ACC">
            <w:pPr>
              <w:jc w:val="right"/>
              <w:rPr>
                <w:rFonts w:ascii="Arial" w:hAnsi="Arial" w:cs="Arial"/>
                <w:sz w:val="22"/>
                <w:szCs w:val="22"/>
              </w:rPr>
            </w:pPr>
            <w:r w:rsidRPr="0057373B">
              <w:rPr>
                <w:rFonts w:ascii="Arial" w:hAnsi="Arial" w:cs="Arial"/>
                <w:sz w:val="22"/>
                <w:szCs w:val="22"/>
              </w:rPr>
              <w:t>£m</w:t>
            </w:r>
          </w:p>
        </w:tc>
      </w:tr>
      <w:tr w:rsidR="007854A9" w14:paraId="3726F3C2" w14:textId="77777777" w:rsidTr="003D4ACC">
        <w:trPr>
          <w:trHeight w:val="266"/>
        </w:trPr>
        <w:tc>
          <w:tcPr>
            <w:tcW w:w="7347" w:type="dxa"/>
            <w:tcBorders>
              <w:top w:val="single" w:sz="4" w:space="0" w:color="auto"/>
            </w:tcBorders>
            <w:vAlign w:val="center"/>
          </w:tcPr>
          <w:p w14:paraId="59050AAC" w14:textId="77777777" w:rsidR="007854A9" w:rsidRPr="0057373B" w:rsidRDefault="007854A9" w:rsidP="003D4ACC">
            <w:pPr>
              <w:jc w:val="left"/>
              <w:rPr>
                <w:rFonts w:ascii="Arial" w:hAnsi="Arial" w:cs="Arial"/>
                <w:sz w:val="22"/>
                <w:szCs w:val="22"/>
              </w:rPr>
            </w:pPr>
            <w:r w:rsidRPr="0057373B">
              <w:rPr>
                <w:rFonts w:ascii="Arial" w:hAnsi="Arial" w:cs="Arial"/>
                <w:b/>
                <w:sz w:val="22"/>
                <w:szCs w:val="22"/>
              </w:rPr>
              <w:t xml:space="preserve">Free cash flow </w:t>
            </w:r>
          </w:p>
        </w:tc>
        <w:tc>
          <w:tcPr>
            <w:tcW w:w="1429" w:type="dxa"/>
            <w:tcBorders>
              <w:top w:val="single" w:sz="4" w:space="0" w:color="auto"/>
            </w:tcBorders>
            <w:vAlign w:val="center"/>
          </w:tcPr>
          <w:p w14:paraId="31775BE0" w14:textId="77777777" w:rsidR="007854A9" w:rsidRPr="00B84DF6" w:rsidRDefault="007854A9" w:rsidP="003D4ACC">
            <w:pPr>
              <w:jc w:val="right"/>
              <w:rPr>
                <w:rFonts w:ascii="Arial" w:hAnsi="Arial" w:cs="Arial"/>
                <w:sz w:val="22"/>
                <w:szCs w:val="22"/>
                <w:highlight w:val="yellow"/>
              </w:rPr>
            </w:pPr>
            <w:r w:rsidRPr="00B84DF6">
              <w:rPr>
                <w:rFonts w:ascii="Arial" w:hAnsi="Arial" w:cs="Arial"/>
                <w:b/>
                <w:sz w:val="22"/>
                <w:szCs w:val="22"/>
              </w:rPr>
              <w:t>(40)</w:t>
            </w:r>
          </w:p>
        </w:tc>
        <w:tc>
          <w:tcPr>
            <w:tcW w:w="1429" w:type="dxa"/>
            <w:tcBorders>
              <w:top w:val="single" w:sz="4" w:space="0" w:color="auto"/>
            </w:tcBorders>
            <w:vAlign w:val="center"/>
          </w:tcPr>
          <w:p w14:paraId="4B0C6FB9" w14:textId="77777777" w:rsidR="007854A9" w:rsidRPr="00B84DF6" w:rsidRDefault="007854A9" w:rsidP="003D4ACC">
            <w:pPr>
              <w:jc w:val="right"/>
              <w:rPr>
                <w:rFonts w:ascii="Arial" w:hAnsi="Arial" w:cs="Arial"/>
                <w:bCs/>
                <w:sz w:val="22"/>
                <w:szCs w:val="22"/>
              </w:rPr>
            </w:pPr>
            <w:r w:rsidRPr="00B84DF6">
              <w:rPr>
                <w:rFonts w:ascii="Arial" w:hAnsi="Arial" w:cs="Arial"/>
                <w:bCs/>
                <w:sz w:val="22"/>
                <w:szCs w:val="22"/>
              </w:rPr>
              <w:t>385</w:t>
            </w:r>
          </w:p>
        </w:tc>
      </w:tr>
      <w:tr w:rsidR="007854A9" w14:paraId="721EE705" w14:textId="77777777" w:rsidTr="003D4ACC">
        <w:trPr>
          <w:trHeight w:val="266"/>
        </w:trPr>
        <w:tc>
          <w:tcPr>
            <w:tcW w:w="7347" w:type="dxa"/>
            <w:vAlign w:val="center"/>
          </w:tcPr>
          <w:p w14:paraId="6C62345D" w14:textId="77777777" w:rsidR="007854A9" w:rsidRPr="0057373B" w:rsidRDefault="007854A9" w:rsidP="003D4ACC">
            <w:pPr>
              <w:jc w:val="left"/>
              <w:rPr>
                <w:rFonts w:ascii="Arial" w:hAnsi="Arial" w:cs="Arial"/>
                <w:sz w:val="22"/>
                <w:szCs w:val="22"/>
              </w:rPr>
            </w:pPr>
            <w:r w:rsidRPr="0057373B">
              <w:rPr>
                <w:rFonts w:ascii="Arial" w:hAnsi="Arial" w:cs="Arial"/>
                <w:sz w:val="22"/>
                <w:szCs w:val="22"/>
              </w:rPr>
              <w:t>Ordinary dividends paid</w:t>
            </w:r>
          </w:p>
        </w:tc>
        <w:tc>
          <w:tcPr>
            <w:tcW w:w="1429" w:type="dxa"/>
            <w:vAlign w:val="center"/>
          </w:tcPr>
          <w:p w14:paraId="0E7FBA4A" w14:textId="77777777" w:rsidR="007854A9" w:rsidRPr="00B84DF6" w:rsidRDefault="007854A9" w:rsidP="003D4ACC">
            <w:pPr>
              <w:jc w:val="right"/>
              <w:rPr>
                <w:rFonts w:ascii="Arial" w:hAnsi="Arial" w:cs="Arial"/>
                <w:sz w:val="22"/>
                <w:szCs w:val="22"/>
                <w:highlight w:val="yellow"/>
              </w:rPr>
            </w:pPr>
            <w:r w:rsidRPr="007005F4">
              <w:rPr>
                <w:rFonts w:ascii="Arial" w:hAnsi="Arial" w:cs="Arial"/>
                <w:b/>
                <w:sz w:val="22"/>
                <w:szCs w:val="22"/>
              </w:rPr>
              <w:t>(246)</w:t>
            </w:r>
          </w:p>
        </w:tc>
        <w:tc>
          <w:tcPr>
            <w:tcW w:w="1429" w:type="dxa"/>
            <w:vAlign w:val="center"/>
          </w:tcPr>
          <w:p w14:paraId="551A6EF1" w14:textId="77777777" w:rsidR="007854A9" w:rsidRPr="00B84DF6" w:rsidRDefault="007854A9" w:rsidP="003D4ACC">
            <w:pPr>
              <w:jc w:val="right"/>
              <w:rPr>
                <w:rFonts w:ascii="Arial" w:hAnsi="Arial" w:cs="Arial"/>
                <w:bCs/>
                <w:sz w:val="22"/>
                <w:szCs w:val="22"/>
              </w:rPr>
            </w:pPr>
            <w:r w:rsidRPr="00B84DF6">
              <w:rPr>
                <w:rFonts w:ascii="Arial" w:hAnsi="Arial" w:cs="Arial"/>
                <w:bCs/>
                <w:sz w:val="22"/>
                <w:szCs w:val="22"/>
              </w:rPr>
              <w:t>(254)</w:t>
            </w:r>
          </w:p>
        </w:tc>
      </w:tr>
      <w:tr w:rsidR="007854A9" w14:paraId="367640DE" w14:textId="77777777" w:rsidTr="003D4ACC">
        <w:trPr>
          <w:trHeight w:val="266"/>
        </w:trPr>
        <w:tc>
          <w:tcPr>
            <w:tcW w:w="7347" w:type="dxa"/>
            <w:vAlign w:val="center"/>
          </w:tcPr>
          <w:p w14:paraId="269191FF" w14:textId="77777777" w:rsidR="007854A9" w:rsidRPr="0057373B" w:rsidRDefault="007854A9" w:rsidP="003D4ACC">
            <w:pPr>
              <w:jc w:val="left"/>
              <w:rPr>
                <w:rFonts w:ascii="Arial" w:hAnsi="Arial" w:cs="Arial"/>
                <w:sz w:val="22"/>
                <w:szCs w:val="22"/>
              </w:rPr>
            </w:pPr>
            <w:r w:rsidRPr="0057373B">
              <w:rPr>
                <w:rFonts w:ascii="Arial" w:hAnsi="Arial" w:cs="Arial"/>
                <w:sz w:val="22"/>
                <w:szCs w:val="22"/>
              </w:rPr>
              <w:t>Share buybacks</w:t>
            </w:r>
          </w:p>
        </w:tc>
        <w:tc>
          <w:tcPr>
            <w:tcW w:w="1429" w:type="dxa"/>
            <w:vAlign w:val="center"/>
          </w:tcPr>
          <w:p w14:paraId="399A9BC2" w14:textId="77777777" w:rsidR="007854A9" w:rsidRPr="00B84DF6" w:rsidRDefault="007854A9" w:rsidP="003D4ACC">
            <w:pPr>
              <w:jc w:val="right"/>
              <w:rPr>
                <w:rFonts w:ascii="Arial" w:hAnsi="Arial" w:cs="Arial"/>
                <w:sz w:val="22"/>
                <w:szCs w:val="22"/>
                <w:highlight w:val="yellow"/>
              </w:rPr>
            </w:pPr>
            <w:r w:rsidRPr="007005F4">
              <w:rPr>
                <w:rFonts w:ascii="Arial" w:hAnsi="Arial" w:cs="Arial"/>
                <w:b/>
                <w:sz w:val="22"/>
                <w:szCs w:val="22"/>
              </w:rPr>
              <w:t>(337)</w:t>
            </w:r>
          </w:p>
        </w:tc>
        <w:tc>
          <w:tcPr>
            <w:tcW w:w="1429" w:type="dxa"/>
            <w:vAlign w:val="center"/>
          </w:tcPr>
          <w:p w14:paraId="7B563D2F" w14:textId="77777777" w:rsidR="007854A9" w:rsidRPr="00B84DF6" w:rsidRDefault="007854A9" w:rsidP="003D4ACC">
            <w:pPr>
              <w:jc w:val="right"/>
              <w:rPr>
                <w:rFonts w:ascii="Arial" w:hAnsi="Arial" w:cs="Arial"/>
                <w:bCs/>
                <w:sz w:val="22"/>
                <w:szCs w:val="22"/>
              </w:rPr>
            </w:pPr>
            <w:r w:rsidRPr="00B84DF6">
              <w:rPr>
                <w:rFonts w:ascii="Arial" w:hAnsi="Arial" w:cs="Arial"/>
                <w:bCs/>
                <w:sz w:val="22"/>
                <w:szCs w:val="22"/>
              </w:rPr>
              <w:t>(157)</w:t>
            </w:r>
          </w:p>
        </w:tc>
      </w:tr>
      <w:tr w:rsidR="007854A9" w14:paraId="571CF399" w14:textId="77777777" w:rsidTr="003D4ACC">
        <w:trPr>
          <w:trHeight w:val="266"/>
        </w:trPr>
        <w:tc>
          <w:tcPr>
            <w:tcW w:w="7347" w:type="dxa"/>
            <w:vAlign w:val="center"/>
          </w:tcPr>
          <w:p w14:paraId="71A343CF" w14:textId="77777777" w:rsidR="007854A9" w:rsidRPr="0057373B" w:rsidRDefault="007854A9" w:rsidP="003D4ACC">
            <w:pPr>
              <w:jc w:val="left"/>
              <w:rPr>
                <w:rFonts w:ascii="Arial" w:hAnsi="Arial" w:cs="Arial"/>
                <w:sz w:val="22"/>
                <w:szCs w:val="22"/>
              </w:rPr>
            </w:pPr>
            <w:r w:rsidRPr="0057373B">
              <w:rPr>
                <w:rFonts w:ascii="Arial" w:hAnsi="Arial" w:cs="Arial"/>
                <w:sz w:val="22"/>
                <w:szCs w:val="22"/>
              </w:rPr>
              <w:t>Share purchase for employee incentive schemes</w:t>
            </w:r>
          </w:p>
        </w:tc>
        <w:tc>
          <w:tcPr>
            <w:tcW w:w="1429" w:type="dxa"/>
            <w:vAlign w:val="center"/>
          </w:tcPr>
          <w:p w14:paraId="1F6D6120" w14:textId="77777777" w:rsidR="007854A9" w:rsidRPr="007005F4" w:rsidRDefault="007854A9" w:rsidP="003D4ACC">
            <w:pPr>
              <w:jc w:val="right"/>
              <w:rPr>
                <w:rFonts w:ascii="Arial" w:hAnsi="Arial" w:cs="Arial"/>
                <w:sz w:val="22"/>
                <w:szCs w:val="22"/>
              </w:rPr>
            </w:pPr>
            <w:r w:rsidRPr="007005F4">
              <w:rPr>
                <w:rFonts w:ascii="Arial" w:hAnsi="Arial" w:cs="Arial"/>
                <w:b/>
                <w:sz w:val="22"/>
                <w:szCs w:val="22"/>
              </w:rPr>
              <w:t>(9)</w:t>
            </w:r>
          </w:p>
        </w:tc>
        <w:tc>
          <w:tcPr>
            <w:tcW w:w="1429" w:type="dxa"/>
            <w:vAlign w:val="center"/>
          </w:tcPr>
          <w:p w14:paraId="4233C518" w14:textId="77777777" w:rsidR="007854A9" w:rsidRPr="00B84DF6" w:rsidRDefault="007854A9" w:rsidP="003D4ACC">
            <w:pPr>
              <w:jc w:val="right"/>
              <w:rPr>
                <w:rFonts w:ascii="Arial" w:hAnsi="Arial" w:cs="Arial"/>
                <w:bCs/>
                <w:sz w:val="22"/>
                <w:szCs w:val="22"/>
              </w:rPr>
            </w:pPr>
            <w:r w:rsidRPr="00B84DF6">
              <w:rPr>
                <w:rFonts w:ascii="Arial" w:hAnsi="Arial" w:cs="Arial"/>
                <w:bCs/>
                <w:sz w:val="22"/>
                <w:szCs w:val="22"/>
              </w:rPr>
              <w:t>(29)</w:t>
            </w:r>
          </w:p>
        </w:tc>
      </w:tr>
      <w:tr w:rsidR="007854A9" w14:paraId="08FF8DDA" w14:textId="77777777" w:rsidTr="003D4ACC">
        <w:trPr>
          <w:trHeight w:val="266"/>
        </w:trPr>
        <w:tc>
          <w:tcPr>
            <w:tcW w:w="7347" w:type="dxa"/>
            <w:vAlign w:val="center"/>
          </w:tcPr>
          <w:p w14:paraId="0CBA122C" w14:textId="5F979357" w:rsidR="007854A9" w:rsidRPr="007D140E" w:rsidRDefault="007854A9" w:rsidP="003D4ACC">
            <w:pPr>
              <w:jc w:val="left"/>
              <w:rPr>
                <w:rFonts w:ascii="Arial" w:hAnsi="Arial" w:cs="Arial"/>
                <w:sz w:val="22"/>
                <w:szCs w:val="22"/>
              </w:rPr>
            </w:pPr>
            <w:r w:rsidRPr="007D140E">
              <w:rPr>
                <w:rFonts w:ascii="Arial" w:hAnsi="Arial" w:cs="Arial"/>
                <w:sz w:val="22"/>
                <w:szCs w:val="22"/>
              </w:rPr>
              <w:t>Disposal of Castorama Russia</w:t>
            </w:r>
          </w:p>
        </w:tc>
        <w:tc>
          <w:tcPr>
            <w:tcW w:w="1429" w:type="dxa"/>
            <w:vAlign w:val="center"/>
          </w:tcPr>
          <w:p w14:paraId="5957D070" w14:textId="77777777" w:rsidR="007854A9" w:rsidRPr="007005F4" w:rsidRDefault="007854A9" w:rsidP="003D4ACC">
            <w:pPr>
              <w:jc w:val="right"/>
              <w:rPr>
                <w:rFonts w:ascii="Arial" w:hAnsi="Arial" w:cs="Arial"/>
                <w:b/>
                <w:sz w:val="22"/>
                <w:szCs w:val="22"/>
              </w:rPr>
            </w:pPr>
            <w:r w:rsidRPr="007005F4">
              <w:rPr>
                <w:rFonts w:ascii="Arial" w:hAnsi="Arial" w:cs="Arial"/>
                <w:b/>
                <w:sz w:val="22"/>
                <w:szCs w:val="22"/>
              </w:rPr>
              <w:t>8</w:t>
            </w:r>
          </w:p>
        </w:tc>
        <w:tc>
          <w:tcPr>
            <w:tcW w:w="1429" w:type="dxa"/>
            <w:vAlign w:val="center"/>
          </w:tcPr>
          <w:p w14:paraId="18E44A35" w14:textId="77777777" w:rsidR="007854A9" w:rsidRPr="00B84DF6" w:rsidRDefault="007854A9" w:rsidP="003D4ACC">
            <w:pPr>
              <w:jc w:val="right"/>
              <w:rPr>
                <w:rFonts w:ascii="Arial" w:hAnsi="Arial" w:cs="Arial"/>
                <w:bCs/>
                <w:sz w:val="22"/>
                <w:szCs w:val="22"/>
              </w:rPr>
            </w:pPr>
            <w:r w:rsidRPr="00B84DF6">
              <w:rPr>
                <w:rFonts w:ascii="Arial" w:hAnsi="Arial" w:cs="Arial"/>
                <w:bCs/>
                <w:sz w:val="22"/>
                <w:szCs w:val="22"/>
              </w:rPr>
              <w:t>7</w:t>
            </w:r>
          </w:p>
        </w:tc>
      </w:tr>
      <w:tr w:rsidR="007854A9" w14:paraId="7AB6766B" w14:textId="77777777" w:rsidTr="003D4ACC">
        <w:trPr>
          <w:trHeight w:val="266"/>
        </w:trPr>
        <w:tc>
          <w:tcPr>
            <w:tcW w:w="7347" w:type="dxa"/>
            <w:vAlign w:val="center"/>
          </w:tcPr>
          <w:p w14:paraId="4EF19952" w14:textId="77777777" w:rsidR="007854A9" w:rsidRPr="0057373B" w:rsidRDefault="007854A9" w:rsidP="003D4ACC">
            <w:pPr>
              <w:jc w:val="left"/>
              <w:rPr>
                <w:rFonts w:ascii="Arial" w:hAnsi="Arial" w:cs="Arial"/>
                <w:sz w:val="22"/>
                <w:szCs w:val="22"/>
              </w:rPr>
            </w:pPr>
            <w:r w:rsidRPr="00A61DE2">
              <w:rPr>
                <w:rFonts w:ascii="Arial" w:hAnsi="Arial" w:cs="Arial"/>
                <w:sz w:val="22"/>
                <w:szCs w:val="22"/>
              </w:rPr>
              <w:t>French tax authority payment</w:t>
            </w:r>
            <w:r w:rsidRPr="0057373B">
              <w:rPr>
                <w:rFonts w:ascii="Arial" w:hAnsi="Arial" w:cs="Arial"/>
                <w:sz w:val="22"/>
                <w:szCs w:val="22"/>
                <w:vertAlign w:val="superscript"/>
              </w:rPr>
              <w:t>(1)</w:t>
            </w:r>
          </w:p>
        </w:tc>
        <w:tc>
          <w:tcPr>
            <w:tcW w:w="1429" w:type="dxa"/>
            <w:vAlign w:val="center"/>
          </w:tcPr>
          <w:p w14:paraId="2593B050" w14:textId="77777777" w:rsidR="007854A9" w:rsidRPr="00B84DF6" w:rsidRDefault="007854A9" w:rsidP="003D4ACC">
            <w:pPr>
              <w:jc w:val="right"/>
              <w:rPr>
                <w:rFonts w:ascii="Arial" w:hAnsi="Arial" w:cs="Arial"/>
                <w:sz w:val="22"/>
                <w:szCs w:val="22"/>
              </w:rPr>
            </w:pPr>
            <w:r w:rsidRPr="00B84DF6">
              <w:rPr>
                <w:rFonts w:ascii="Arial" w:hAnsi="Arial" w:cs="Arial"/>
                <w:b/>
                <w:sz w:val="22"/>
                <w:szCs w:val="22"/>
              </w:rPr>
              <w:t>(34)</w:t>
            </w:r>
          </w:p>
        </w:tc>
        <w:tc>
          <w:tcPr>
            <w:tcW w:w="1429" w:type="dxa"/>
            <w:vAlign w:val="center"/>
          </w:tcPr>
          <w:p w14:paraId="2DDFB884" w14:textId="77777777" w:rsidR="007854A9" w:rsidRPr="00B84DF6" w:rsidRDefault="007854A9" w:rsidP="003D4ACC">
            <w:pPr>
              <w:jc w:val="right"/>
              <w:rPr>
                <w:rFonts w:ascii="Arial" w:hAnsi="Arial" w:cs="Arial"/>
                <w:bCs/>
                <w:sz w:val="22"/>
                <w:szCs w:val="22"/>
              </w:rPr>
            </w:pPr>
            <w:r w:rsidRPr="00B84DF6">
              <w:rPr>
                <w:rFonts w:ascii="Arial" w:hAnsi="Arial" w:cs="Arial"/>
                <w:bCs/>
                <w:sz w:val="22"/>
                <w:szCs w:val="22"/>
              </w:rPr>
              <w:t>-</w:t>
            </w:r>
          </w:p>
        </w:tc>
      </w:tr>
      <w:tr w:rsidR="007854A9" w14:paraId="252EF8B7" w14:textId="77777777" w:rsidTr="003D4ACC">
        <w:trPr>
          <w:trHeight w:val="266"/>
        </w:trPr>
        <w:tc>
          <w:tcPr>
            <w:tcW w:w="7347" w:type="dxa"/>
            <w:vAlign w:val="center"/>
          </w:tcPr>
          <w:p w14:paraId="44E9D83D" w14:textId="77777777" w:rsidR="007854A9" w:rsidRPr="0057373B" w:rsidRDefault="007854A9" w:rsidP="003D4ACC">
            <w:pPr>
              <w:jc w:val="left"/>
              <w:rPr>
                <w:rFonts w:ascii="Arial" w:hAnsi="Arial" w:cs="Arial"/>
                <w:sz w:val="22"/>
                <w:szCs w:val="22"/>
              </w:rPr>
            </w:pPr>
            <w:r w:rsidRPr="0057373B">
              <w:rPr>
                <w:rFonts w:ascii="Arial" w:hAnsi="Arial" w:cs="Arial"/>
                <w:sz w:val="22"/>
                <w:szCs w:val="22"/>
              </w:rPr>
              <w:t>Other tax authority payment</w:t>
            </w:r>
            <w:r w:rsidRPr="0057373B">
              <w:rPr>
                <w:rFonts w:ascii="Arial" w:hAnsi="Arial" w:cs="Arial"/>
                <w:sz w:val="22"/>
                <w:szCs w:val="22"/>
                <w:vertAlign w:val="superscript"/>
              </w:rPr>
              <w:t>(</w:t>
            </w:r>
            <w:r>
              <w:rPr>
                <w:rFonts w:ascii="Arial" w:hAnsi="Arial" w:cs="Arial"/>
                <w:sz w:val="22"/>
                <w:szCs w:val="22"/>
                <w:vertAlign w:val="superscript"/>
              </w:rPr>
              <w:t>2</w:t>
            </w:r>
            <w:r w:rsidRPr="0057373B">
              <w:rPr>
                <w:rFonts w:ascii="Arial" w:hAnsi="Arial" w:cs="Arial"/>
                <w:sz w:val="22"/>
                <w:szCs w:val="22"/>
                <w:vertAlign w:val="superscript"/>
              </w:rPr>
              <w:t>)</w:t>
            </w:r>
          </w:p>
        </w:tc>
        <w:tc>
          <w:tcPr>
            <w:tcW w:w="1429" w:type="dxa"/>
            <w:vAlign w:val="center"/>
          </w:tcPr>
          <w:p w14:paraId="5A196F41" w14:textId="77777777" w:rsidR="007854A9" w:rsidRPr="007005F4" w:rsidRDefault="007854A9" w:rsidP="003D4ACC">
            <w:pPr>
              <w:jc w:val="right"/>
              <w:rPr>
                <w:rFonts w:ascii="Arial" w:hAnsi="Arial" w:cs="Arial"/>
                <w:b/>
                <w:sz w:val="22"/>
                <w:szCs w:val="22"/>
              </w:rPr>
            </w:pPr>
            <w:r w:rsidRPr="007005F4">
              <w:rPr>
                <w:rFonts w:ascii="Arial" w:hAnsi="Arial" w:cs="Arial"/>
                <w:b/>
                <w:sz w:val="22"/>
                <w:szCs w:val="22"/>
              </w:rPr>
              <w:t>-</w:t>
            </w:r>
          </w:p>
        </w:tc>
        <w:tc>
          <w:tcPr>
            <w:tcW w:w="1429" w:type="dxa"/>
            <w:vAlign w:val="center"/>
          </w:tcPr>
          <w:p w14:paraId="1CCDFB50" w14:textId="77777777" w:rsidR="007854A9" w:rsidRPr="00B84DF6" w:rsidRDefault="007854A9" w:rsidP="003D4ACC">
            <w:pPr>
              <w:jc w:val="right"/>
              <w:rPr>
                <w:rFonts w:ascii="Arial" w:hAnsi="Arial" w:cs="Arial"/>
                <w:bCs/>
                <w:sz w:val="22"/>
                <w:szCs w:val="22"/>
              </w:rPr>
            </w:pPr>
            <w:r w:rsidRPr="00B84DF6">
              <w:rPr>
                <w:rFonts w:ascii="Arial" w:hAnsi="Arial" w:cs="Arial"/>
                <w:bCs/>
                <w:sz w:val="22"/>
                <w:szCs w:val="22"/>
              </w:rPr>
              <w:t>(64)</w:t>
            </w:r>
          </w:p>
        </w:tc>
      </w:tr>
      <w:tr w:rsidR="007854A9" w14:paraId="30E40058" w14:textId="77777777" w:rsidTr="003D4ACC">
        <w:trPr>
          <w:trHeight w:val="266"/>
        </w:trPr>
        <w:tc>
          <w:tcPr>
            <w:tcW w:w="7347" w:type="dxa"/>
            <w:tcBorders>
              <w:bottom w:val="single" w:sz="4" w:space="0" w:color="auto"/>
            </w:tcBorders>
            <w:vAlign w:val="center"/>
          </w:tcPr>
          <w:p w14:paraId="1608575B" w14:textId="77777777" w:rsidR="007854A9" w:rsidRPr="0057373B" w:rsidRDefault="007854A9" w:rsidP="003D4ACC">
            <w:pPr>
              <w:jc w:val="left"/>
              <w:rPr>
                <w:rFonts w:ascii="Arial" w:hAnsi="Arial" w:cs="Arial"/>
                <w:sz w:val="22"/>
                <w:szCs w:val="22"/>
              </w:rPr>
            </w:pPr>
            <w:r w:rsidRPr="0057373B">
              <w:rPr>
                <w:rFonts w:ascii="Arial" w:hAnsi="Arial" w:cs="Arial"/>
                <w:sz w:val="22"/>
                <w:szCs w:val="22"/>
              </w:rPr>
              <w:t>Disposal of assets and other</w:t>
            </w:r>
            <w:r w:rsidRPr="0057373B">
              <w:rPr>
                <w:rFonts w:ascii="Arial" w:hAnsi="Arial" w:cs="Arial"/>
                <w:sz w:val="22"/>
                <w:szCs w:val="22"/>
                <w:vertAlign w:val="superscript"/>
              </w:rPr>
              <w:t>(</w:t>
            </w:r>
            <w:r>
              <w:rPr>
                <w:rFonts w:ascii="Arial" w:hAnsi="Arial" w:cs="Arial"/>
                <w:sz w:val="22"/>
                <w:szCs w:val="22"/>
                <w:vertAlign w:val="superscript"/>
              </w:rPr>
              <w:t>3</w:t>
            </w:r>
            <w:r w:rsidRPr="0057373B">
              <w:rPr>
                <w:rFonts w:ascii="Arial" w:hAnsi="Arial" w:cs="Arial"/>
                <w:sz w:val="22"/>
                <w:szCs w:val="22"/>
                <w:vertAlign w:val="superscript"/>
              </w:rPr>
              <w:t>)</w:t>
            </w:r>
          </w:p>
        </w:tc>
        <w:tc>
          <w:tcPr>
            <w:tcW w:w="1429" w:type="dxa"/>
            <w:tcBorders>
              <w:bottom w:val="single" w:sz="4" w:space="0" w:color="auto"/>
            </w:tcBorders>
            <w:vAlign w:val="center"/>
          </w:tcPr>
          <w:p w14:paraId="590BED7D" w14:textId="77777777" w:rsidR="007854A9" w:rsidRPr="007005F4" w:rsidRDefault="007854A9" w:rsidP="003D4ACC">
            <w:pPr>
              <w:jc w:val="right"/>
              <w:rPr>
                <w:rFonts w:ascii="Arial" w:hAnsi="Arial" w:cs="Arial"/>
                <w:sz w:val="22"/>
                <w:szCs w:val="22"/>
              </w:rPr>
            </w:pPr>
            <w:r w:rsidRPr="007005F4">
              <w:rPr>
                <w:rFonts w:ascii="Arial" w:hAnsi="Arial" w:cs="Arial"/>
                <w:b/>
                <w:sz w:val="22"/>
                <w:szCs w:val="22"/>
              </w:rPr>
              <w:t>4</w:t>
            </w:r>
          </w:p>
        </w:tc>
        <w:tc>
          <w:tcPr>
            <w:tcW w:w="1429" w:type="dxa"/>
            <w:tcBorders>
              <w:bottom w:val="single" w:sz="4" w:space="0" w:color="auto"/>
            </w:tcBorders>
            <w:vAlign w:val="center"/>
          </w:tcPr>
          <w:p w14:paraId="39A2AD6D" w14:textId="77777777" w:rsidR="007854A9" w:rsidRPr="00B84DF6" w:rsidRDefault="007854A9" w:rsidP="003D4ACC">
            <w:pPr>
              <w:jc w:val="right"/>
              <w:rPr>
                <w:rFonts w:ascii="Arial" w:hAnsi="Arial" w:cs="Arial"/>
                <w:bCs/>
                <w:sz w:val="22"/>
                <w:szCs w:val="22"/>
              </w:rPr>
            </w:pPr>
            <w:r w:rsidRPr="00B84DF6">
              <w:rPr>
                <w:rFonts w:ascii="Arial" w:hAnsi="Arial" w:cs="Arial"/>
                <w:bCs/>
                <w:sz w:val="22"/>
                <w:szCs w:val="22"/>
              </w:rPr>
              <w:t>(28)</w:t>
            </w:r>
          </w:p>
        </w:tc>
      </w:tr>
      <w:tr w:rsidR="007854A9" w14:paraId="44096649" w14:textId="77777777" w:rsidTr="003D4ACC">
        <w:trPr>
          <w:trHeight w:val="266"/>
        </w:trPr>
        <w:tc>
          <w:tcPr>
            <w:tcW w:w="7347" w:type="dxa"/>
            <w:tcBorders>
              <w:top w:val="single" w:sz="4" w:space="0" w:color="auto"/>
            </w:tcBorders>
            <w:vAlign w:val="center"/>
          </w:tcPr>
          <w:p w14:paraId="35EE1054" w14:textId="77777777" w:rsidR="007854A9" w:rsidRPr="0057373B" w:rsidRDefault="007854A9" w:rsidP="003D4ACC">
            <w:pPr>
              <w:jc w:val="left"/>
              <w:rPr>
                <w:rFonts w:ascii="Arial" w:hAnsi="Arial" w:cs="Arial"/>
                <w:sz w:val="22"/>
                <w:szCs w:val="22"/>
              </w:rPr>
            </w:pPr>
            <w:r w:rsidRPr="0057373B">
              <w:rPr>
                <w:rFonts w:ascii="Arial" w:hAnsi="Arial" w:cs="Arial"/>
                <w:b/>
                <w:bCs/>
                <w:sz w:val="22"/>
                <w:szCs w:val="22"/>
              </w:rPr>
              <w:t>Net cash flow</w:t>
            </w:r>
          </w:p>
        </w:tc>
        <w:tc>
          <w:tcPr>
            <w:tcW w:w="1429" w:type="dxa"/>
            <w:tcBorders>
              <w:top w:val="single" w:sz="4" w:space="0" w:color="auto"/>
            </w:tcBorders>
            <w:vAlign w:val="center"/>
          </w:tcPr>
          <w:p w14:paraId="08F530A0" w14:textId="77777777" w:rsidR="007854A9" w:rsidRPr="007005F4" w:rsidRDefault="007854A9" w:rsidP="003D4ACC">
            <w:pPr>
              <w:jc w:val="right"/>
              <w:rPr>
                <w:rFonts w:ascii="Arial" w:hAnsi="Arial" w:cs="Arial"/>
                <w:sz w:val="22"/>
                <w:szCs w:val="22"/>
              </w:rPr>
            </w:pPr>
            <w:r w:rsidRPr="007005F4">
              <w:rPr>
                <w:rFonts w:ascii="Arial" w:hAnsi="Arial" w:cs="Arial"/>
                <w:b/>
                <w:bCs/>
                <w:sz w:val="22"/>
                <w:szCs w:val="22"/>
              </w:rPr>
              <w:t>(654)</w:t>
            </w:r>
          </w:p>
        </w:tc>
        <w:tc>
          <w:tcPr>
            <w:tcW w:w="1429" w:type="dxa"/>
            <w:tcBorders>
              <w:top w:val="single" w:sz="4" w:space="0" w:color="auto"/>
            </w:tcBorders>
            <w:vAlign w:val="center"/>
          </w:tcPr>
          <w:p w14:paraId="41570FE4" w14:textId="77777777" w:rsidR="007854A9" w:rsidRPr="00B84DF6" w:rsidRDefault="007854A9" w:rsidP="003D4ACC">
            <w:pPr>
              <w:jc w:val="right"/>
              <w:rPr>
                <w:rFonts w:ascii="Arial" w:hAnsi="Arial" w:cs="Arial"/>
                <w:bCs/>
                <w:sz w:val="22"/>
                <w:szCs w:val="22"/>
              </w:rPr>
            </w:pPr>
            <w:r w:rsidRPr="00B84DF6">
              <w:rPr>
                <w:rFonts w:ascii="Arial" w:hAnsi="Arial" w:cs="Arial"/>
                <w:bCs/>
                <w:sz w:val="22"/>
                <w:szCs w:val="22"/>
              </w:rPr>
              <w:t>(140)</w:t>
            </w:r>
          </w:p>
        </w:tc>
      </w:tr>
      <w:tr w:rsidR="00023521" w14:paraId="4C51A0B2" w14:textId="77777777" w:rsidTr="003D4ACC">
        <w:trPr>
          <w:trHeight w:val="266"/>
        </w:trPr>
        <w:tc>
          <w:tcPr>
            <w:tcW w:w="7347" w:type="dxa"/>
            <w:vAlign w:val="center"/>
          </w:tcPr>
          <w:p w14:paraId="37A5CACC" w14:textId="54FC68DD" w:rsidR="00023521" w:rsidRPr="0057373B" w:rsidRDefault="00023521" w:rsidP="00023521">
            <w:pPr>
              <w:jc w:val="left"/>
              <w:rPr>
                <w:rFonts w:ascii="Arial" w:hAnsi="Arial" w:cs="Arial"/>
              </w:rPr>
            </w:pPr>
            <w:r w:rsidRPr="007005F4">
              <w:rPr>
                <w:rFonts w:ascii="Arial" w:hAnsi="Arial" w:cs="Arial"/>
                <w:sz w:val="22"/>
                <w:szCs w:val="22"/>
              </w:rPr>
              <w:t xml:space="preserve">Issue of </w:t>
            </w:r>
            <w:r>
              <w:rPr>
                <w:rFonts w:ascii="Arial" w:hAnsi="Arial" w:cs="Arial"/>
                <w:sz w:val="22"/>
                <w:szCs w:val="22"/>
              </w:rPr>
              <w:t>fixed term debt</w:t>
            </w:r>
          </w:p>
        </w:tc>
        <w:tc>
          <w:tcPr>
            <w:tcW w:w="1429" w:type="dxa"/>
            <w:vAlign w:val="center"/>
          </w:tcPr>
          <w:p w14:paraId="6E61CA80" w14:textId="77777777" w:rsidR="00023521" w:rsidRPr="007005F4" w:rsidRDefault="00023521" w:rsidP="00023521">
            <w:pPr>
              <w:jc w:val="right"/>
              <w:rPr>
                <w:rFonts w:ascii="Arial" w:hAnsi="Arial" w:cs="Arial"/>
                <w:b/>
                <w:sz w:val="22"/>
                <w:szCs w:val="22"/>
              </w:rPr>
            </w:pPr>
            <w:r w:rsidRPr="007005F4">
              <w:rPr>
                <w:rFonts w:ascii="Arial" w:hAnsi="Arial" w:cs="Arial"/>
                <w:b/>
                <w:sz w:val="22"/>
                <w:szCs w:val="22"/>
              </w:rPr>
              <w:t>99</w:t>
            </w:r>
          </w:p>
        </w:tc>
        <w:tc>
          <w:tcPr>
            <w:tcW w:w="1429" w:type="dxa"/>
            <w:vAlign w:val="center"/>
          </w:tcPr>
          <w:p w14:paraId="38A27AE6" w14:textId="20D77ABB" w:rsidR="00023521" w:rsidRPr="007005F4" w:rsidRDefault="00023521" w:rsidP="00023521">
            <w:pPr>
              <w:jc w:val="right"/>
              <w:rPr>
                <w:rFonts w:ascii="Arial" w:hAnsi="Arial" w:cs="Arial"/>
                <w:bCs/>
                <w:sz w:val="22"/>
                <w:szCs w:val="22"/>
              </w:rPr>
            </w:pPr>
            <w:r w:rsidRPr="00B84DF6">
              <w:rPr>
                <w:rFonts w:ascii="Arial" w:hAnsi="Arial" w:cs="Arial"/>
                <w:bCs/>
                <w:sz w:val="22"/>
                <w:szCs w:val="22"/>
              </w:rPr>
              <w:t>-</w:t>
            </w:r>
          </w:p>
        </w:tc>
      </w:tr>
      <w:tr w:rsidR="007854A9" w14:paraId="703CEDBD" w14:textId="77777777" w:rsidTr="003D4ACC">
        <w:trPr>
          <w:trHeight w:val="266"/>
        </w:trPr>
        <w:tc>
          <w:tcPr>
            <w:tcW w:w="7347" w:type="dxa"/>
            <w:vAlign w:val="center"/>
          </w:tcPr>
          <w:p w14:paraId="728EB004" w14:textId="77777777" w:rsidR="007854A9" w:rsidRPr="0057373B" w:rsidRDefault="007854A9" w:rsidP="003D4ACC">
            <w:pPr>
              <w:jc w:val="left"/>
              <w:rPr>
                <w:rFonts w:ascii="Arial" w:hAnsi="Arial" w:cs="Arial"/>
                <w:sz w:val="22"/>
                <w:szCs w:val="22"/>
              </w:rPr>
            </w:pPr>
            <w:r w:rsidRPr="0057373B">
              <w:rPr>
                <w:rFonts w:ascii="Arial" w:hAnsi="Arial" w:cs="Arial"/>
                <w:sz w:val="22"/>
                <w:szCs w:val="22"/>
              </w:rPr>
              <w:t>Repayment of bank loans</w:t>
            </w:r>
          </w:p>
        </w:tc>
        <w:tc>
          <w:tcPr>
            <w:tcW w:w="1429" w:type="dxa"/>
            <w:vAlign w:val="center"/>
          </w:tcPr>
          <w:p w14:paraId="6703841C" w14:textId="77777777" w:rsidR="007854A9" w:rsidRPr="007005F4" w:rsidRDefault="007854A9" w:rsidP="003D4ACC">
            <w:pPr>
              <w:jc w:val="right"/>
              <w:rPr>
                <w:rFonts w:ascii="Arial" w:hAnsi="Arial" w:cs="Arial"/>
                <w:sz w:val="22"/>
                <w:szCs w:val="22"/>
              </w:rPr>
            </w:pPr>
            <w:r w:rsidRPr="007005F4">
              <w:rPr>
                <w:rFonts w:ascii="Arial" w:hAnsi="Arial" w:cs="Arial"/>
                <w:b/>
                <w:sz w:val="22"/>
                <w:szCs w:val="22"/>
              </w:rPr>
              <w:t>-</w:t>
            </w:r>
          </w:p>
        </w:tc>
        <w:tc>
          <w:tcPr>
            <w:tcW w:w="1429" w:type="dxa"/>
            <w:vAlign w:val="center"/>
          </w:tcPr>
          <w:p w14:paraId="0CF00D5A" w14:textId="77777777" w:rsidR="007854A9" w:rsidRPr="00B84DF6" w:rsidRDefault="007854A9" w:rsidP="003D4ACC">
            <w:pPr>
              <w:jc w:val="right"/>
              <w:rPr>
                <w:rFonts w:ascii="Arial" w:hAnsi="Arial" w:cs="Arial"/>
                <w:bCs/>
                <w:sz w:val="22"/>
                <w:szCs w:val="22"/>
              </w:rPr>
            </w:pPr>
            <w:r w:rsidRPr="00B84DF6">
              <w:rPr>
                <w:rFonts w:ascii="Arial" w:hAnsi="Arial" w:cs="Arial"/>
                <w:bCs/>
                <w:sz w:val="22"/>
                <w:szCs w:val="22"/>
              </w:rPr>
              <w:t>(2)</w:t>
            </w:r>
          </w:p>
        </w:tc>
      </w:tr>
      <w:tr w:rsidR="007854A9" w:rsidRPr="007D140E" w14:paraId="21FBFAE4" w14:textId="77777777" w:rsidTr="003D4ACC">
        <w:trPr>
          <w:trHeight w:val="266"/>
        </w:trPr>
        <w:tc>
          <w:tcPr>
            <w:tcW w:w="7347" w:type="dxa"/>
            <w:vAlign w:val="center"/>
          </w:tcPr>
          <w:p w14:paraId="6C7966C4" w14:textId="77777777" w:rsidR="007854A9" w:rsidRPr="007D140E" w:rsidRDefault="007854A9" w:rsidP="003D4ACC">
            <w:pPr>
              <w:jc w:val="left"/>
              <w:rPr>
                <w:rFonts w:ascii="Arial" w:hAnsi="Arial" w:cs="Arial"/>
                <w:sz w:val="22"/>
                <w:szCs w:val="22"/>
              </w:rPr>
            </w:pPr>
            <w:r w:rsidRPr="007D140E">
              <w:rPr>
                <w:rFonts w:ascii="Arial" w:hAnsi="Arial" w:cs="Arial"/>
                <w:sz w:val="22"/>
                <w:szCs w:val="22"/>
              </w:rPr>
              <w:t>Repayment of fixed term debt</w:t>
            </w:r>
          </w:p>
        </w:tc>
        <w:tc>
          <w:tcPr>
            <w:tcW w:w="1429" w:type="dxa"/>
            <w:vAlign w:val="center"/>
          </w:tcPr>
          <w:p w14:paraId="086857D4" w14:textId="77777777" w:rsidR="007854A9" w:rsidRPr="007005F4" w:rsidRDefault="007854A9" w:rsidP="003D4ACC">
            <w:pPr>
              <w:jc w:val="right"/>
              <w:rPr>
                <w:rFonts w:ascii="Arial" w:hAnsi="Arial" w:cs="Arial"/>
                <w:b/>
                <w:sz w:val="22"/>
                <w:szCs w:val="22"/>
              </w:rPr>
            </w:pPr>
            <w:r w:rsidRPr="007005F4">
              <w:rPr>
                <w:rFonts w:ascii="Arial" w:hAnsi="Arial" w:cs="Arial"/>
                <w:b/>
                <w:sz w:val="22"/>
                <w:szCs w:val="22"/>
              </w:rPr>
              <w:t>-</w:t>
            </w:r>
          </w:p>
        </w:tc>
        <w:tc>
          <w:tcPr>
            <w:tcW w:w="1429" w:type="dxa"/>
            <w:vAlign w:val="center"/>
          </w:tcPr>
          <w:p w14:paraId="25FE25C7" w14:textId="77777777" w:rsidR="007854A9" w:rsidRPr="00B84DF6" w:rsidRDefault="007854A9" w:rsidP="003D4ACC">
            <w:pPr>
              <w:jc w:val="right"/>
              <w:rPr>
                <w:rFonts w:ascii="Arial" w:hAnsi="Arial" w:cs="Arial"/>
                <w:bCs/>
                <w:sz w:val="22"/>
                <w:szCs w:val="22"/>
              </w:rPr>
            </w:pPr>
            <w:r w:rsidRPr="00B84DF6">
              <w:rPr>
                <w:rFonts w:ascii="Arial" w:hAnsi="Arial" w:cs="Arial"/>
                <w:bCs/>
                <w:sz w:val="22"/>
                <w:szCs w:val="22"/>
              </w:rPr>
              <w:t>(95)</w:t>
            </w:r>
          </w:p>
        </w:tc>
      </w:tr>
      <w:tr w:rsidR="007854A9" w14:paraId="5F004DD3" w14:textId="77777777" w:rsidTr="003D4ACC">
        <w:trPr>
          <w:trHeight w:val="266"/>
        </w:trPr>
        <w:tc>
          <w:tcPr>
            <w:tcW w:w="7347" w:type="dxa"/>
            <w:tcBorders>
              <w:top w:val="single" w:sz="4" w:space="0" w:color="auto"/>
              <w:bottom w:val="single" w:sz="4" w:space="0" w:color="auto"/>
            </w:tcBorders>
            <w:vAlign w:val="center"/>
          </w:tcPr>
          <w:p w14:paraId="5AD4CE20" w14:textId="035C816A" w:rsidR="007854A9" w:rsidRPr="0057373B" w:rsidRDefault="007854A9" w:rsidP="003D4ACC">
            <w:pPr>
              <w:jc w:val="left"/>
              <w:rPr>
                <w:rFonts w:ascii="Arial" w:hAnsi="Arial" w:cs="Arial"/>
                <w:sz w:val="22"/>
                <w:szCs w:val="22"/>
              </w:rPr>
            </w:pPr>
            <w:r w:rsidRPr="0057373B">
              <w:rPr>
                <w:rFonts w:ascii="Arial" w:hAnsi="Arial" w:cs="Arial"/>
                <w:b/>
                <w:sz w:val="22"/>
                <w:szCs w:val="22"/>
              </w:rPr>
              <w:t xml:space="preserve">Net decrease in cash and cash equivalents </w:t>
            </w:r>
            <w:r w:rsidRPr="0057373B">
              <w:rPr>
                <w:rFonts w:ascii="Arial" w:hAnsi="Arial" w:cs="Arial"/>
                <w:b/>
                <w:sz w:val="22"/>
                <w:szCs w:val="22"/>
              </w:rPr>
              <w:br/>
              <w:t>and bank overdrafts</w:t>
            </w:r>
          </w:p>
        </w:tc>
        <w:tc>
          <w:tcPr>
            <w:tcW w:w="1429" w:type="dxa"/>
            <w:tcBorders>
              <w:top w:val="single" w:sz="4" w:space="0" w:color="auto"/>
              <w:bottom w:val="single" w:sz="4" w:space="0" w:color="auto"/>
            </w:tcBorders>
            <w:vAlign w:val="center"/>
          </w:tcPr>
          <w:p w14:paraId="30F47E8A" w14:textId="77777777" w:rsidR="007854A9" w:rsidRPr="007005F4" w:rsidRDefault="007854A9" w:rsidP="003D4ACC">
            <w:pPr>
              <w:jc w:val="right"/>
              <w:rPr>
                <w:rFonts w:ascii="Arial" w:hAnsi="Arial" w:cs="Arial"/>
                <w:sz w:val="22"/>
                <w:szCs w:val="22"/>
              </w:rPr>
            </w:pPr>
            <w:r w:rsidRPr="007005F4">
              <w:rPr>
                <w:rFonts w:ascii="Arial" w:hAnsi="Arial" w:cs="Arial"/>
                <w:b/>
                <w:sz w:val="22"/>
                <w:szCs w:val="22"/>
              </w:rPr>
              <w:t>(555)</w:t>
            </w:r>
          </w:p>
        </w:tc>
        <w:tc>
          <w:tcPr>
            <w:tcW w:w="1429" w:type="dxa"/>
            <w:tcBorders>
              <w:top w:val="single" w:sz="4" w:space="0" w:color="auto"/>
              <w:bottom w:val="single" w:sz="4" w:space="0" w:color="auto"/>
            </w:tcBorders>
            <w:vAlign w:val="center"/>
          </w:tcPr>
          <w:p w14:paraId="2EA7309A" w14:textId="77777777" w:rsidR="007854A9" w:rsidRPr="00B84DF6" w:rsidRDefault="007854A9" w:rsidP="003D4ACC">
            <w:pPr>
              <w:jc w:val="right"/>
              <w:rPr>
                <w:rFonts w:ascii="Arial" w:hAnsi="Arial" w:cs="Arial"/>
                <w:bCs/>
                <w:sz w:val="22"/>
                <w:szCs w:val="22"/>
              </w:rPr>
            </w:pPr>
            <w:r w:rsidRPr="00B84DF6">
              <w:rPr>
                <w:rFonts w:ascii="Arial" w:hAnsi="Arial" w:cs="Arial"/>
                <w:bCs/>
                <w:sz w:val="22"/>
                <w:szCs w:val="22"/>
              </w:rPr>
              <w:t>(237)</w:t>
            </w:r>
          </w:p>
        </w:tc>
      </w:tr>
    </w:tbl>
    <w:p w14:paraId="29B6753D" w14:textId="77777777" w:rsidR="007854A9" w:rsidRPr="0057373B" w:rsidRDefault="007854A9" w:rsidP="007854A9">
      <w:pPr>
        <w:jc w:val="left"/>
        <w:rPr>
          <w:rFonts w:ascii="Arial" w:hAnsi="Arial" w:cs="Arial"/>
          <w:sz w:val="18"/>
          <w:szCs w:val="18"/>
        </w:rPr>
      </w:pPr>
    </w:p>
    <w:p w14:paraId="57BC79FA" w14:textId="77777777" w:rsidR="007854A9" w:rsidRDefault="007854A9" w:rsidP="007854A9">
      <w:pPr>
        <w:jc w:val="left"/>
        <w:rPr>
          <w:rFonts w:ascii="Arial" w:hAnsi="Arial" w:cs="Arial"/>
          <w:bCs/>
          <w:sz w:val="18"/>
          <w:szCs w:val="18"/>
          <w:vertAlign w:val="superscript"/>
        </w:rPr>
      </w:pPr>
      <w:r w:rsidRPr="00337BFB">
        <w:rPr>
          <w:rFonts w:ascii="Arial" w:hAnsi="Arial" w:cs="Arial"/>
          <w:bCs/>
          <w:sz w:val="18"/>
          <w:szCs w:val="18"/>
          <w:vertAlign w:val="superscript"/>
        </w:rPr>
        <w:t>(</w:t>
      </w:r>
      <w:r>
        <w:rPr>
          <w:rFonts w:ascii="Arial" w:hAnsi="Arial" w:cs="Arial"/>
          <w:bCs/>
          <w:sz w:val="18"/>
          <w:szCs w:val="18"/>
          <w:vertAlign w:val="superscript"/>
        </w:rPr>
        <w:t>1</w:t>
      </w:r>
      <w:r w:rsidRPr="00337BFB">
        <w:rPr>
          <w:rFonts w:ascii="Arial" w:hAnsi="Arial" w:cs="Arial"/>
          <w:bCs/>
          <w:sz w:val="18"/>
          <w:szCs w:val="18"/>
          <w:vertAlign w:val="superscript"/>
        </w:rPr>
        <w:t>)</w:t>
      </w:r>
      <w:r w:rsidRPr="00337BFB">
        <w:rPr>
          <w:rFonts w:ascii="Arial" w:hAnsi="Arial" w:cs="Arial"/>
          <w:sz w:val="18"/>
          <w:szCs w:val="18"/>
        </w:rPr>
        <w:t xml:space="preserve"> </w:t>
      </w:r>
      <w:r w:rsidRPr="00DB7957">
        <w:rPr>
          <w:rFonts w:ascii="Arial" w:hAnsi="Arial" w:cs="Arial"/>
          <w:sz w:val="18"/>
          <w:szCs w:val="18"/>
        </w:rPr>
        <w:t>Payment</w:t>
      </w:r>
      <w:r>
        <w:rPr>
          <w:rFonts w:ascii="Arial" w:hAnsi="Arial" w:cs="Arial"/>
          <w:sz w:val="18"/>
          <w:szCs w:val="18"/>
        </w:rPr>
        <w:t>s</w:t>
      </w:r>
      <w:r w:rsidRPr="00DB7957">
        <w:rPr>
          <w:rFonts w:ascii="Arial" w:hAnsi="Arial" w:cs="Arial"/>
          <w:sz w:val="18"/>
          <w:szCs w:val="18"/>
        </w:rPr>
        <w:t xml:space="preserve"> made in relation to French tax authorit</w:t>
      </w:r>
      <w:r>
        <w:rPr>
          <w:rFonts w:ascii="Arial" w:hAnsi="Arial" w:cs="Arial"/>
          <w:sz w:val="18"/>
          <w:szCs w:val="18"/>
        </w:rPr>
        <w:t>y</w:t>
      </w:r>
      <w:r w:rsidRPr="00DB7957">
        <w:rPr>
          <w:rFonts w:ascii="Arial" w:hAnsi="Arial" w:cs="Arial"/>
          <w:sz w:val="18"/>
          <w:szCs w:val="18"/>
        </w:rPr>
        <w:t xml:space="preserve"> settlement (refer to the Taxation section above for further details)</w:t>
      </w:r>
      <w:r w:rsidRPr="00337BFB">
        <w:rPr>
          <w:rFonts w:ascii="Arial" w:hAnsi="Arial" w:cs="Arial"/>
          <w:sz w:val="18"/>
          <w:szCs w:val="18"/>
        </w:rPr>
        <w:t>.</w:t>
      </w:r>
    </w:p>
    <w:p w14:paraId="74A05D55" w14:textId="77777777" w:rsidR="007854A9" w:rsidRPr="00337BFB" w:rsidRDefault="007854A9" w:rsidP="007854A9">
      <w:pPr>
        <w:jc w:val="left"/>
        <w:rPr>
          <w:rFonts w:ascii="Arial" w:hAnsi="Arial" w:cs="Arial"/>
        </w:rPr>
      </w:pPr>
      <w:r w:rsidRPr="00337BFB">
        <w:rPr>
          <w:rFonts w:ascii="Arial" w:hAnsi="Arial" w:cs="Arial"/>
          <w:bCs/>
          <w:sz w:val="18"/>
          <w:szCs w:val="18"/>
          <w:vertAlign w:val="superscript"/>
        </w:rPr>
        <w:t>(</w:t>
      </w:r>
      <w:r>
        <w:rPr>
          <w:rFonts w:ascii="Arial" w:hAnsi="Arial" w:cs="Arial"/>
          <w:bCs/>
          <w:sz w:val="18"/>
          <w:szCs w:val="18"/>
          <w:vertAlign w:val="superscript"/>
        </w:rPr>
        <w:t>2</w:t>
      </w:r>
      <w:r w:rsidRPr="00337BFB">
        <w:rPr>
          <w:rFonts w:ascii="Arial" w:hAnsi="Arial" w:cs="Arial"/>
          <w:bCs/>
          <w:sz w:val="18"/>
          <w:szCs w:val="18"/>
          <w:vertAlign w:val="superscript"/>
        </w:rPr>
        <w:t>)</w:t>
      </w:r>
      <w:r w:rsidRPr="00337BFB">
        <w:rPr>
          <w:rFonts w:ascii="Arial" w:hAnsi="Arial" w:cs="Arial"/>
          <w:color w:val="000000"/>
          <w:sz w:val="18"/>
          <w:szCs w:val="18"/>
        </w:rPr>
        <w:t xml:space="preserve"> </w:t>
      </w:r>
      <w:r w:rsidRPr="00337BFB">
        <w:rPr>
          <w:rFonts w:ascii="Arial" w:hAnsi="Arial" w:cs="Arial"/>
          <w:sz w:val="18"/>
          <w:szCs w:val="18"/>
        </w:rPr>
        <w:t>Payments made in relation to the EC state aid challenge (refer to the Taxation section above for further details).</w:t>
      </w:r>
    </w:p>
    <w:p w14:paraId="47298D33" w14:textId="1EA8662F" w:rsidR="007854A9" w:rsidRDefault="007854A9" w:rsidP="007854A9">
      <w:pPr>
        <w:jc w:val="left"/>
        <w:rPr>
          <w:rFonts w:ascii="Arial" w:hAnsi="Arial" w:cs="Arial"/>
          <w:sz w:val="18"/>
          <w:szCs w:val="18"/>
        </w:rPr>
      </w:pPr>
      <w:r w:rsidRPr="00337BFB">
        <w:rPr>
          <w:rFonts w:ascii="Arial" w:hAnsi="Arial" w:cs="Arial"/>
          <w:bCs/>
          <w:sz w:val="18"/>
          <w:szCs w:val="18"/>
          <w:vertAlign w:val="superscript"/>
        </w:rPr>
        <w:t>(</w:t>
      </w:r>
      <w:r>
        <w:rPr>
          <w:rFonts w:ascii="Arial" w:hAnsi="Arial" w:cs="Arial"/>
          <w:bCs/>
          <w:sz w:val="18"/>
          <w:szCs w:val="18"/>
          <w:vertAlign w:val="superscript"/>
        </w:rPr>
        <w:t>3</w:t>
      </w:r>
      <w:r w:rsidRPr="00337BFB">
        <w:rPr>
          <w:rFonts w:ascii="Arial" w:hAnsi="Arial" w:cs="Arial"/>
          <w:bCs/>
          <w:sz w:val="18"/>
          <w:szCs w:val="18"/>
          <w:vertAlign w:val="superscript"/>
        </w:rPr>
        <w:t>)</w:t>
      </w:r>
      <w:r w:rsidRPr="00337BFB">
        <w:rPr>
          <w:rFonts w:ascii="Arial" w:hAnsi="Arial" w:cs="Arial"/>
          <w:color w:val="000000"/>
          <w:sz w:val="18"/>
          <w:szCs w:val="18"/>
        </w:rPr>
        <w:t xml:space="preserve"> </w:t>
      </w:r>
      <w:r w:rsidR="00581D57" w:rsidRPr="00F52002">
        <w:rPr>
          <w:rFonts w:ascii="Arial" w:hAnsi="Arial" w:cs="Arial"/>
          <w:sz w:val="18"/>
          <w:szCs w:val="18"/>
        </w:rPr>
        <w:t xml:space="preserve">Includes </w:t>
      </w:r>
      <w:r w:rsidR="00581D57">
        <w:rPr>
          <w:rFonts w:ascii="Arial" w:hAnsi="Arial" w:cs="Arial"/>
          <w:sz w:val="18"/>
          <w:szCs w:val="18"/>
        </w:rPr>
        <w:t xml:space="preserve">proceeds from the issue of new shares, dividends from joint ventures and associates, and disposal of assets; partially offset by </w:t>
      </w:r>
      <w:r w:rsidR="00581D57" w:rsidRPr="00F52002">
        <w:rPr>
          <w:rFonts w:ascii="Arial" w:hAnsi="Arial" w:cs="Arial"/>
          <w:sz w:val="18"/>
          <w:szCs w:val="18"/>
        </w:rPr>
        <w:t>adjusting cash flow items</w:t>
      </w:r>
      <w:r w:rsidR="00581D57">
        <w:rPr>
          <w:rFonts w:ascii="Arial" w:hAnsi="Arial" w:cs="Arial"/>
          <w:sz w:val="18"/>
          <w:szCs w:val="18"/>
        </w:rPr>
        <w:t xml:space="preserve"> (</w:t>
      </w:r>
      <w:r w:rsidR="00581D57" w:rsidRPr="00F52002">
        <w:rPr>
          <w:rFonts w:ascii="Arial" w:hAnsi="Arial" w:cs="Arial"/>
          <w:sz w:val="18"/>
          <w:szCs w:val="18"/>
        </w:rPr>
        <w:t>principally comprising restructuring costs</w:t>
      </w:r>
      <w:r w:rsidR="00581D57">
        <w:rPr>
          <w:rFonts w:ascii="Arial" w:hAnsi="Arial" w:cs="Arial"/>
          <w:sz w:val="18"/>
          <w:szCs w:val="18"/>
        </w:rPr>
        <w:t>).</w:t>
      </w:r>
    </w:p>
    <w:p w14:paraId="201AB92B" w14:textId="77777777" w:rsidR="007854A9" w:rsidRPr="008F036B" w:rsidRDefault="007854A9" w:rsidP="007854A9">
      <w:pPr>
        <w:jc w:val="left"/>
        <w:rPr>
          <w:rFonts w:ascii="Arial" w:hAnsi="Arial" w:cs="Arial"/>
          <w:bCs/>
        </w:rPr>
      </w:pPr>
    </w:p>
    <w:p w14:paraId="3C3E5FB8" w14:textId="77777777" w:rsidR="007854A9" w:rsidRPr="00A845B7" w:rsidRDefault="007854A9" w:rsidP="007854A9">
      <w:pPr>
        <w:tabs>
          <w:tab w:val="right" w:pos="9356"/>
        </w:tabs>
        <w:jc w:val="left"/>
        <w:rPr>
          <w:rFonts w:ascii="Arial" w:hAnsi="Arial" w:cs="Arial"/>
          <w:b/>
        </w:rPr>
      </w:pPr>
      <w:bookmarkStart w:id="75" w:name="_Hlk111644944"/>
      <w:r>
        <w:rPr>
          <w:rFonts w:ascii="Arial" w:hAnsi="Arial" w:cs="Arial"/>
          <w:b/>
        </w:rPr>
        <w:t>R</w:t>
      </w:r>
      <w:r w:rsidRPr="00A845B7">
        <w:rPr>
          <w:rFonts w:ascii="Arial" w:hAnsi="Arial" w:cs="Arial"/>
          <w:b/>
        </w:rPr>
        <w:t>eturn on capital employed (ROCE</w:t>
      </w:r>
      <w:r>
        <w:rPr>
          <w:rFonts w:ascii="Arial" w:hAnsi="Arial" w:cs="Arial"/>
          <w:b/>
        </w:rPr>
        <w:t>*</w:t>
      </w:r>
      <w:r w:rsidRPr="00A845B7">
        <w:rPr>
          <w:rFonts w:ascii="Arial" w:hAnsi="Arial" w:cs="Arial"/>
          <w:b/>
        </w:rPr>
        <w:t>)</w:t>
      </w:r>
      <w:r w:rsidRPr="00A845B7">
        <w:rPr>
          <w:rFonts w:ascii="Arial" w:hAnsi="Arial" w:cs="Arial"/>
          <w:b/>
        </w:rPr>
        <w:tab/>
      </w:r>
    </w:p>
    <w:p w14:paraId="3FEAD90E" w14:textId="086C9D14" w:rsidR="007854A9" w:rsidRDefault="007854A9" w:rsidP="007854A9">
      <w:pPr>
        <w:jc w:val="left"/>
        <w:rPr>
          <w:rFonts w:ascii="Arial" w:hAnsi="Arial" w:cs="Arial"/>
        </w:rPr>
      </w:pPr>
      <w:r>
        <w:rPr>
          <w:rFonts w:ascii="Arial" w:hAnsi="Arial" w:cs="Arial"/>
        </w:rPr>
        <w:t xml:space="preserve">In FY 22/23, Kingfisher’s post-tax </w:t>
      </w:r>
      <w:r w:rsidRPr="00AF4503">
        <w:rPr>
          <w:rFonts w:ascii="Arial" w:hAnsi="Arial" w:cs="Arial"/>
        </w:rPr>
        <w:t xml:space="preserve">ROCE </w:t>
      </w:r>
      <w:r w:rsidRPr="00C7348E">
        <w:rPr>
          <w:rFonts w:ascii="Arial" w:hAnsi="Arial" w:cs="Arial"/>
        </w:rPr>
        <w:t xml:space="preserve">was </w:t>
      </w:r>
      <w:r w:rsidRPr="00BD3974">
        <w:rPr>
          <w:rFonts w:ascii="Arial" w:hAnsi="Arial" w:cs="Arial"/>
        </w:rPr>
        <w:t>10.</w:t>
      </w:r>
      <w:r w:rsidR="000A77E2">
        <w:rPr>
          <w:rFonts w:ascii="Arial" w:hAnsi="Arial" w:cs="Arial"/>
        </w:rPr>
        <w:t>9</w:t>
      </w:r>
      <w:r w:rsidRPr="00C7348E">
        <w:rPr>
          <w:rFonts w:ascii="Arial" w:hAnsi="Arial" w:cs="Arial"/>
        </w:rPr>
        <w:t>% (</w:t>
      </w:r>
      <w:r w:rsidRPr="00AF4503">
        <w:rPr>
          <w:rFonts w:ascii="Arial" w:hAnsi="Arial" w:cs="Arial"/>
        </w:rPr>
        <w:t>FY 2</w:t>
      </w:r>
      <w:r>
        <w:rPr>
          <w:rFonts w:ascii="Arial" w:hAnsi="Arial" w:cs="Arial"/>
        </w:rPr>
        <w:t>1</w:t>
      </w:r>
      <w:r w:rsidRPr="00AF4503">
        <w:rPr>
          <w:rFonts w:ascii="Arial" w:hAnsi="Arial" w:cs="Arial"/>
        </w:rPr>
        <w:t>/2</w:t>
      </w:r>
      <w:r>
        <w:rPr>
          <w:rFonts w:ascii="Arial" w:hAnsi="Arial" w:cs="Arial"/>
        </w:rPr>
        <w:t>2</w:t>
      </w:r>
      <w:r w:rsidRPr="00AF4503">
        <w:rPr>
          <w:rFonts w:ascii="Arial" w:hAnsi="Arial" w:cs="Arial"/>
        </w:rPr>
        <w:t>: 1</w:t>
      </w:r>
      <w:r>
        <w:rPr>
          <w:rFonts w:ascii="Arial" w:hAnsi="Arial" w:cs="Arial"/>
        </w:rPr>
        <w:t>4.6</w:t>
      </w:r>
      <w:r w:rsidRPr="00AF4503">
        <w:rPr>
          <w:rFonts w:ascii="Arial" w:hAnsi="Arial" w:cs="Arial"/>
        </w:rPr>
        <w:t xml:space="preserve">%). The </w:t>
      </w:r>
      <w:r>
        <w:rPr>
          <w:rFonts w:ascii="Arial" w:hAnsi="Arial" w:cs="Arial"/>
        </w:rPr>
        <w:t>de</w:t>
      </w:r>
      <w:r w:rsidRPr="00AF4503">
        <w:rPr>
          <w:rFonts w:ascii="Arial" w:hAnsi="Arial" w:cs="Arial"/>
        </w:rPr>
        <w:t xml:space="preserve">crease was mainly driven by </w:t>
      </w:r>
      <w:r>
        <w:rPr>
          <w:rFonts w:ascii="Arial" w:hAnsi="Arial" w:cs="Arial"/>
        </w:rPr>
        <w:t>lower</w:t>
      </w:r>
      <w:r w:rsidRPr="00AF4503">
        <w:rPr>
          <w:rFonts w:ascii="Arial" w:hAnsi="Arial" w:cs="Arial"/>
        </w:rPr>
        <w:t xml:space="preserve"> profit in the UK &amp; Ireland. Kingfisher’s weighted average</w:t>
      </w:r>
      <w:r w:rsidRPr="000F6848">
        <w:rPr>
          <w:rFonts w:ascii="Arial" w:hAnsi="Arial" w:cs="Arial"/>
        </w:rPr>
        <w:t xml:space="preserve"> cost of capital (WACC) </w:t>
      </w:r>
      <w:r w:rsidRPr="006F4BDD">
        <w:rPr>
          <w:rFonts w:ascii="Arial" w:hAnsi="Arial" w:cs="Arial"/>
        </w:rPr>
        <w:t xml:space="preserve">is </w:t>
      </w:r>
      <w:r w:rsidRPr="00E00F3B">
        <w:rPr>
          <w:rFonts w:ascii="Arial" w:hAnsi="Arial" w:cs="Arial"/>
        </w:rPr>
        <w:t>9.3%</w:t>
      </w:r>
      <w:r>
        <w:rPr>
          <w:rFonts w:ascii="Arial" w:hAnsi="Arial" w:cs="Arial"/>
        </w:rPr>
        <w:t xml:space="preserve"> (FY 21/22: 7.6%)</w:t>
      </w:r>
      <w:r w:rsidRPr="006F4BDD">
        <w:rPr>
          <w:rFonts w:ascii="Arial" w:hAnsi="Arial" w:cs="Arial"/>
        </w:rPr>
        <w:t>.</w:t>
      </w:r>
      <w:r w:rsidRPr="00045054">
        <w:rPr>
          <w:rFonts w:ascii="Arial" w:hAnsi="Arial" w:cs="Arial"/>
        </w:rPr>
        <w:t xml:space="preserve"> </w:t>
      </w:r>
    </w:p>
    <w:p w14:paraId="2F95C54E" w14:textId="77777777" w:rsidR="007854A9" w:rsidRDefault="007854A9" w:rsidP="007854A9">
      <w:pPr>
        <w:jc w:val="left"/>
        <w:rPr>
          <w:rFonts w:ascii="Arial" w:hAnsi="Arial" w:cs="Arial"/>
        </w:rPr>
      </w:pPr>
    </w:p>
    <w:p w14:paraId="1FBF054C" w14:textId="77777777" w:rsidR="007854A9" w:rsidRPr="00A90810" w:rsidRDefault="007854A9" w:rsidP="007854A9">
      <w:pPr>
        <w:jc w:val="left"/>
        <w:rPr>
          <w:rFonts w:ascii="Arial" w:hAnsi="Arial" w:cs="Arial"/>
        </w:rPr>
      </w:pPr>
      <w:r w:rsidRPr="00F74486">
        <w:rPr>
          <w:rFonts w:ascii="Arial" w:hAnsi="Arial" w:cs="Arial"/>
        </w:rPr>
        <w:t>ROC</w:t>
      </w:r>
      <w:r>
        <w:rPr>
          <w:rFonts w:ascii="Arial" w:hAnsi="Arial" w:cs="Arial"/>
        </w:rPr>
        <w:t>E b</w:t>
      </w:r>
      <w:r w:rsidRPr="00F74486">
        <w:rPr>
          <w:rFonts w:ascii="Arial" w:hAnsi="Arial" w:cs="Arial"/>
        </w:rPr>
        <w:t>y geographic division is analysed below</w:t>
      </w:r>
      <w:r>
        <w:rPr>
          <w:rFonts w:ascii="Arial" w:hAnsi="Arial" w:cs="Arial"/>
        </w:rPr>
        <w:t>:</w:t>
      </w:r>
      <w:r w:rsidRPr="00A90810">
        <w:rPr>
          <w:rFonts w:ascii="Arial" w:hAnsi="Arial" w:cs="Arial"/>
        </w:rPr>
        <w:t xml:space="preserve"> </w:t>
      </w:r>
    </w:p>
    <w:p w14:paraId="7E3B04C7" w14:textId="77777777" w:rsidR="007854A9" w:rsidRPr="00F74486" w:rsidRDefault="007854A9" w:rsidP="007854A9">
      <w:pPr>
        <w:jc w:val="left"/>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2"/>
        <w:gridCol w:w="1323"/>
        <w:gridCol w:w="1323"/>
        <w:gridCol w:w="1323"/>
        <w:gridCol w:w="1323"/>
        <w:gridCol w:w="1323"/>
        <w:gridCol w:w="1321"/>
      </w:tblGrid>
      <w:tr w:rsidR="007854A9" w:rsidRPr="006525D6" w14:paraId="3A908266" w14:textId="77777777" w:rsidTr="003D4ACC">
        <w:trPr>
          <w:trHeight w:val="555"/>
        </w:trPr>
        <w:tc>
          <w:tcPr>
            <w:tcW w:w="1155" w:type="pct"/>
            <w:tcBorders>
              <w:bottom w:val="single" w:sz="4" w:space="0" w:color="auto"/>
            </w:tcBorders>
            <w:vAlign w:val="center"/>
          </w:tcPr>
          <w:p w14:paraId="39335422" w14:textId="77777777" w:rsidR="007854A9" w:rsidRPr="006525D6" w:rsidRDefault="007854A9" w:rsidP="003D4ACC">
            <w:pPr>
              <w:jc w:val="left"/>
              <w:rPr>
                <w:rFonts w:ascii="Arial" w:hAnsi="Arial" w:cs="Arial"/>
                <w:sz w:val="22"/>
                <w:szCs w:val="22"/>
              </w:rPr>
            </w:pPr>
          </w:p>
          <w:p w14:paraId="012F705A" w14:textId="77777777" w:rsidR="007854A9" w:rsidRPr="006525D6" w:rsidRDefault="007854A9" w:rsidP="003D4ACC">
            <w:pPr>
              <w:jc w:val="left"/>
              <w:rPr>
                <w:rFonts w:ascii="Arial" w:hAnsi="Arial" w:cs="Arial"/>
                <w:sz w:val="22"/>
                <w:szCs w:val="22"/>
              </w:rPr>
            </w:pPr>
          </w:p>
        </w:tc>
        <w:tc>
          <w:tcPr>
            <w:tcW w:w="641" w:type="pct"/>
            <w:tcBorders>
              <w:bottom w:val="single" w:sz="4" w:space="0" w:color="auto"/>
            </w:tcBorders>
            <w:vAlign w:val="center"/>
          </w:tcPr>
          <w:p w14:paraId="13F5D190" w14:textId="77777777" w:rsidR="007854A9" w:rsidRPr="006525D6" w:rsidRDefault="007854A9" w:rsidP="003D4ACC">
            <w:pPr>
              <w:jc w:val="right"/>
              <w:rPr>
                <w:rFonts w:ascii="Arial" w:hAnsi="Arial" w:cs="Arial"/>
                <w:sz w:val="22"/>
                <w:szCs w:val="22"/>
              </w:rPr>
            </w:pPr>
          </w:p>
          <w:p w14:paraId="587542E0" w14:textId="77777777" w:rsidR="007854A9" w:rsidRDefault="007854A9" w:rsidP="003D4ACC">
            <w:pPr>
              <w:jc w:val="right"/>
              <w:rPr>
                <w:rFonts w:ascii="Arial" w:hAnsi="Arial" w:cs="Arial"/>
                <w:sz w:val="22"/>
                <w:szCs w:val="22"/>
              </w:rPr>
            </w:pPr>
            <w:r w:rsidRPr="006525D6">
              <w:rPr>
                <w:rFonts w:ascii="Arial" w:hAnsi="Arial" w:cs="Arial"/>
                <w:sz w:val="22"/>
                <w:szCs w:val="22"/>
              </w:rPr>
              <w:t xml:space="preserve">Sales </w:t>
            </w:r>
          </w:p>
          <w:p w14:paraId="25936E3F" w14:textId="77777777" w:rsidR="007854A9" w:rsidRPr="006525D6" w:rsidRDefault="007854A9" w:rsidP="003D4ACC">
            <w:pPr>
              <w:jc w:val="right"/>
              <w:rPr>
                <w:rFonts w:ascii="Arial" w:hAnsi="Arial" w:cs="Arial"/>
                <w:sz w:val="22"/>
                <w:szCs w:val="22"/>
              </w:rPr>
            </w:pPr>
            <w:r w:rsidRPr="006525D6">
              <w:rPr>
                <w:rFonts w:ascii="Arial" w:hAnsi="Arial" w:cs="Arial"/>
                <w:sz w:val="22"/>
                <w:szCs w:val="22"/>
              </w:rPr>
              <w:t>£bn</w:t>
            </w:r>
          </w:p>
        </w:tc>
        <w:tc>
          <w:tcPr>
            <w:tcW w:w="641" w:type="pct"/>
            <w:tcBorders>
              <w:bottom w:val="single" w:sz="4" w:space="0" w:color="auto"/>
            </w:tcBorders>
            <w:vAlign w:val="center"/>
          </w:tcPr>
          <w:p w14:paraId="23F92108" w14:textId="77777777" w:rsidR="007854A9" w:rsidRPr="006525D6" w:rsidRDefault="007854A9" w:rsidP="003D4ACC">
            <w:pPr>
              <w:jc w:val="right"/>
              <w:rPr>
                <w:rFonts w:ascii="Arial" w:hAnsi="Arial" w:cs="Arial"/>
                <w:sz w:val="22"/>
                <w:szCs w:val="22"/>
              </w:rPr>
            </w:pPr>
            <w:r w:rsidRPr="006525D6">
              <w:rPr>
                <w:rFonts w:ascii="Arial" w:hAnsi="Arial" w:cs="Arial"/>
                <w:sz w:val="22"/>
                <w:szCs w:val="22"/>
              </w:rPr>
              <w:t xml:space="preserve">Proportion of Group sales </w:t>
            </w:r>
          </w:p>
        </w:tc>
        <w:tc>
          <w:tcPr>
            <w:tcW w:w="641" w:type="pct"/>
            <w:tcBorders>
              <w:bottom w:val="single" w:sz="4" w:space="0" w:color="auto"/>
            </w:tcBorders>
            <w:vAlign w:val="center"/>
          </w:tcPr>
          <w:p w14:paraId="277507F3" w14:textId="77777777" w:rsidR="007854A9" w:rsidRPr="006525D6" w:rsidRDefault="007854A9" w:rsidP="003D4ACC">
            <w:pPr>
              <w:ind w:left="-12"/>
              <w:jc w:val="right"/>
              <w:rPr>
                <w:rFonts w:ascii="Arial" w:hAnsi="Arial" w:cs="Arial"/>
                <w:sz w:val="22"/>
                <w:szCs w:val="22"/>
              </w:rPr>
            </w:pPr>
            <w:r w:rsidRPr="006525D6">
              <w:rPr>
                <w:rFonts w:ascii="Arial" w:hAnsi="Arial" w:cs="Arial"/>
                <w:sz w:val="22"/>
                <w:szCs w:val="22"/>
              </w:rPr>
              <w:t xml:space="preserve">Capital </w:t>
            </w:r>
            <w:r>
              <w:rPr>
                <w:rFonts w:ascii="Arial" w:hAnsi="Arial" w:cs="Arial"/>
                <w:sz w:val="22"/>
                <w:szCs w:val="22"/>
              </w:rPr>
              <w:t>e</w:t>
            </w:r>
            <w:r w:rsidRPr="006525D6">
              <w:rPr>
                <w:rFonts w:ascii="Arial" w:hAnsi="Arial" w:cs="Arial"/>
                <w:sz w:val="22"/>
                <w:szCs w:val="22"/>
              </w:rPr>
              <w:t>mployed (CE) £bn</w:t>
            </w:r>
          </w:p>
        </w:tc>
        <w:tc>
          <w:tcPr>
            <w:tcW w:w="641" w:type="pct"/>
            <w:tcBorders>
              <w:bottom w:val="single" w:sz="4" w:space="0" w:color="auto"/>
            </w:tcBorders>
            <w:vAlign w:val="center"/>
          </w:tcPr>
          <w:p w14:paraId="4FBEB929" w14:textId="77777777" w:rsidR="007854A9" w:rsidRPr="006525D6" w:rsidRDefault="007854A9" w:rsidP="003D4ACC">
            <w:pPr>
              <w:jc w:val="right"/>
              <w:rPr>
                <w:rFonts w:ascii="Arial" w:hAnsi="Arial" w:cs="Arial"/>
                <w:sz w:val="22"/>
                <w:szCs w:val="22"/>
              </w:rPr>
            </w:pPr>
            <w:r w:rsidRPr="006525D6">
              <w:rPr>
                <w:rFonts w:ascii="Arial" w:hAnsi="Arial" w:cs="Arial"/>
                <w:sz w:val="22"/>
                <w:szCs w:val="22"/>
              </w:rPr>
              <w:t>Proportion of Group CE</w:t>
            </w:r>
          </w:p>
        </w:tc>
        <w:tc>
          <w:tcPr>
            <w:tcW w:w="641" w:type="pct"/>
            <w:tcBorders>
              <w:bottom w:val="single" w:sz="4" w:space="0" w:color="auto"/>
            </w:tcBorders>
            <w:vAlign w:val="center"/>
          </w:tcPr>
          <w:p w14:paraId="62D24976" w14:textId="77777777" w:rsidR="007854A9" w:rsidRPr="006525D6" w:rsidRDefault="007854A9" w:rsidP="003D4ACC">
            <w:pPr>
              <w:jc w:val="right"/>
              <w:rPr>
                <w:rFonts w:ascii="Arial" w:hAnsi="Arial" w:cs="Arial"/>
                <w:b/>
                <w:sz w:val="22"/>
                <w:szCs w:val="22"/>
              </w:rPr>
            </w:pPr>
          </w:p>
          <w:p w14:paraId="38591F77" w14:textId="77777777" w:rsidR="007854A9" w:rsidRPr="006525D6" w:rsidRDefault="007854A9" w:rsidP="003D4ACC">
            <w:pPr>
              <w:jc w:val="right"/>
              <w:rPr>
                <w:rFonts w:ascii="Arial" w:hAnsi="Arial" w:cs="Arial"/>
                <w:b/>
                <w:sz w:val="22"/>
                <w:szCs w:val="22"/>
              </w:rPr>
            </w:pPr>
            <w:r w:rsidRPr="006525D6">
              <w:rPr>
                <w:rFonts w:ascii="Arial" w:hAnsi="Arial" w:cs="Arial"/>
                <w:b/>
                <w:sz w:val="22"/>
                <w:szCs w:val="22"/>
              </w:rPr>
              <w:t>ROCE</w:t>
            </w:r>
          </w:p>
          <w:p w14:paraId="4E18EBC6" w14:textId="77777777" w:rsidR="007854A9" w:rsidRPr="006525D6" w:rsidRDefault="007854A9" w:rsidP="003D4ACC">
            <w:pPr>
              <w:jc w:val="right"/>
              <w:rPr>
                <w:rFonts w:ascii="Arial" w:hAnsi="Arial" w:cs="Arial"/>
                <w:b/>
                <w:sz w:val="22"/>
                <w:szCs w:val="22"/>
              </w:rPr>
            </w:pPr>
            <w:r w:rsidRPr="006525D6">
              <w:rPr>
                <w:rFonts w:ascii="Arial" w:hAnsi="Arial" w:cs="Arial"/>
                <w:b/>
                <w:sz w:val="22"/>
                <w:szCs w:val="22"/>
              </w:rPr>
              <w:t>20</w:t>
            </w:r>
            <w:r>
              <w:rPr>
                <w:rFonts w:ascii="Arial" w:hAnsi="Arial" w:cs="Arial"/>
                <w:b/>
                <w:sz w:val="22"/>
                <w:szCs w:val="22"/>
              </w:rPr>
              <w:t>22/23</w:t>
            </w:r>
          </w:p>
        </w:tc>
        <w:tc>
          <w:tcPr>
            <w:tcW w:w="640" w:type="pct"/>
            <w:tcBorders>
              <w:bottom w:val="single" w:sz="4" w:space="0" w:color="auto"/>
            </w:tcBorders>
            <w:vAlign w:val="center"/>
          </w:tcPr>
          <w:p w14:paraId="2D19F913" w14:textId="77777777" w:rsidR="007854A9" w:rsidRPr="006525D6" w:rsidRDefault="007854A9" w:rsidP="003D4ACC">
            <w:pPr>
              <w:jc w:val="right"/>
              <w:rPr>
                <w:rFonts w:ascii="Arial" w:hAnsi="Arial" w:cs="Arial"/>
                <w:sz w:val="22"/>
                <w:szCs w:val="22"/>
              </w:rPr>
            </w:pPr>
          </w:p>
          <w:p w14:paraId="58752831" w14:textId="77777777" w:rsidR="007854A9" w:rsidRPr="006525D6" w:rsidRDefault="007854A9" w:rsidP="003D4ACC">
            <w:pPr>
              <w:jc w:val="right"/>
              <w:rPr>
                <w:rFonts w:ascii="Arial" w:hAnsi="Arial" w:cs="Arial"/>
                <w:sz w:val="22"/>
                <w:szCs w:val="22"/>
              </w:rPr>
            </w:pPr>
            <w:r w:rsidRPr="006525D6">
              <w:rPr>
                <w:rFonts w:ascii="Arial" w:hAnsi="Arial" w:cs="Arial"/>
                <w:sz w:val="22"/>
                <w:szCs w:val="22"/>
              </w:rPr>
              <w:t>ROCE</w:t>
            </w:r>
          </w:p>
          <w:p w14:paraId="2193B4EC" w14:textId="77777777" w:rsidR="007854A9" w:rsidRPr="006525D6" w:rsidRDefault="007854A9" w:rsidP="003D4ACC">
            <w:pPr>
              <w:jc w:val="right"/>
              <w:rPr>
                <w:rFonts w:ascii="Arial" w:hAnsi="Arial" w:cs="Arial"/>
                <w:sz w:val="22"/>
                <w:szCs w:val="22"/>
              </w:rPr>
            </w:pPr>
            <w:r w:rsidRPr="006525D6">
              <w:rPr>
                <w:rFonts w:ascii="Arial" w:hAnsi="Arial" w:cs="Arial"/>
                <w:sz w:val="22"/>
                <w:szCs w:val="22"/>
              </w:rPr>
              <w:t>20</w:t>
            </w:r>
            <w:r>
              <w:rPr>
                <w:rFonts w:ascii="Arial" w:hAnsi="Arial" w:cs="Arial"/>
                <w:sz w:val="22"/>
                <w:szCs w:val="22"/>
              </w:rPr>
              <w:t>21/22</w:t>
            </w:r>
          </w:p>
        </w:tc>
      </w:tr>
      <w:tr w:rsidR="007854A9" w:rsidRPr="003523C1" w14:paraId="0BFADB97" w14:textId="77777777" w:rsidTr="003D4ACC">
        <w:tc>
          <w:tcPr>
            <w:tcW w:w="1155" w:type="pct"/>
            <w:vAlign w:val="center"/>
          </w:tcPr>
          <w:p w14:paraId="54E75387" w14:textId="77777777" w:rsidR="007854A9" w:rsidRPr="003523C1" w:rsidRDefault="007854A9" w:rsidP="003D4ACC">
            <w:pPr>
              <w:jc w:val="left"/>
              <w:rPr>
                <w:rFonts w:ascii="Arial" w:hAnsi="Arial" w:cs="Arial"/>
                <w:sz w:val="22"/>
                <w:szCs w:val="22"/>
              </w:rPr>
            </w:pPr>
            <w:r w:rsidRPr="003523C1">
              <w:rPr>
                <w:rFonts w:ascii="Arial" w:hAnsi="Arial" w:cs="Arial"/>
                <w:sz w:val="22"/>
                <w:szCs w:val="22"/>
              </w:rPr>
              <w:t>UK &amp; Ireland</w:t>
            </w:r>
          </w:p>
        </w:tc>
        <w:tc>
          <w:tcPr>
            <w:tcW w:w="641" w:type="pct"/>
            <w:shd w:val="clear" w:color="auto" w:fill="auto"/>
            <w:vAlign w:val="center"/>
          </w:tcPr>
          <w:p w14:paraId="497C3F07" w14:textId="77777777" w:rsidR="007854A9" w:rsidRPr="00C7348E" w:rsidRDefault="007854A9" w:rsidP="003D4ACC">
            <w:pPr>
              <w:jc w:val="right"/>
              <w:rPr>
                <w:rFonts w:ascii="Arial" w:hAnsi="Arial" w:cs="Arial"/>
                <w:sz w:val="22"/>
                <w:szCs w:val="22"/>
                <w:highlight w:val="yellow"/>
              </w:rPr>
            </w:pPr>
            <w:r w:rsidRPr="00BD3974">
              <w:rPr>
                <w:rFonts w:ascii="Arial" w:hAnsi="Arial" w:cs="Arial"/>
                <w:color w:val="000000"/>
                <w:sz w:val="22"/>
                <w:szCs w:val="22"/>
              </w:rPr>
              <w:t xml:space="preserve">6.2 </w:t>
            </w:r>
          </w:p>
        </w:tc>
        <w:tc>
          <w:tcPr>
            <w:tcW w:w="641" w:type="pct"/>
            <w:shd w:val="clear" w:color="auto" w:fill="auto"/>
            <w:vAlign w:val="center"/>
          </w:tcPr>
          <w:p w14:paraId="3E8AD958" w14:textId="77777777" w:rsidR="007854A9" w:rsidRPr="00C7348E" w:rsidRDefault="007854A9" w:rsidP="003D4ACC">
            <w:pPr>
              <w:jc w:val="right"/>
              <w:rPr>
                <w:rFonts w:ascii="Arial" w:hAnsi="Arial" w:cs="Arial"/>
                <w:sz w:val="22"/>
                <w:szCs w:val="22"/>
                <w:highlight w:val="yellow"/>
              </w:rPr>
            </w:pPr>
            <w:r w:rsidRPr="00BD3974">
              <w:rPr>
                <w:rFonts w:ascii="Arial" w:hAnsi="Arial" w:cs="Arial"/>
                <w:color w:val="000000"/>
                <w:sz w:val="22"/>
                <w:szCs w:val="22"/>
              </w:rPr>
              <w:t>47.5%</w:t>
            </w:r>
          </w:p>
        </w:tc>
        <w:tc>
          <w:tcPr>
            <w:tcW w:w="641" w:type="pct"/>
            <w:shd w:val="clear" w:color="auto" w:fill="auto"/>
            <w:vAlign w:val="center"/>
          </w:tcPr>
          <w:p w14:paraId="6FC0CAB9" w14:textId="77777777" w:rsidR="007854A9" w:rsidRPr="00C7348E" w:rsidRDefault="007854A9" w:rsidP="003D4ACC">
            <w:pPr>
              <w:jc w:val="right"/>
              <w:rPr>
                <w:rFonts w:ascii="Arial" w:hAnsi="Arial" w:cs="Arial"/>
                <w:sz w:val="22"/>
                <w:szCs w:val="22"/>
                <w:highlight w:val="yellow"/>
              </w:rPr>
            </w:pPr>
            <w:r w:rsidRPr="00BD3974">
              <w:rPr>
                <w:rFonts w:ascii="Arial" w:hAnsi="Arial" w:cs="Arial"/>
                <w:color w:val="000000"/>
                <w:sz w:val="22"/>
                <w:szCs w:val="22"/>
              </w:rPr>
              <w:t>3.</w:t>
            </w:r>
            <w:r>
              <w:rPr>
                <w:rFonts w:ascii="Arial" w:hAnsi="Arial" w:cs="Arial"/>
                <w:color w:val="000000"/>
                <w:sz w:val="22"/>
                <w:szCs w:val="22"/>
              </w:rPr>
              <w:t>0</w:t>
            </w:r>
            <w:r w:rsidRPr="00BD3974">
              <w:rPr>
                <w:rFonts w:ascii="Arial" w:hAnsi="Arial" w:cs="Arial"/>
                <w:color w:val="000000"/>
                <w:sz w:val="22"/>
                <w:szCs w:val="22"/>
              </w:rPr>
              <w:t xml:space="preserve"> </w:t>
            </w:r>
          </w:p>
        </w:tc>
        <w:tc>
          <w:tcPr>
            <w:tcW w:w="641" w:type="pct"/>
            <w:shd w:val="clear" w:color="auto" w:fill="auto"/>
            <w:vAlign w:val="center"/>
          </w:tcPr>
          <w:p w14:paraId="522E1F88" w14:textId="7823C8B5" w:rsidR="007854A9" w:rsidRPr="00C7348E" w:rsidRDefault="007854A9" w:rsidP="003D4ACC">
            <w:pPr>
              <w:jc w:val="right"/>
              <w:rPr>
                <w:rFonts w:ascii="Arial" w:hAnsi="Arial" w:cs="Arial"/>
                <w:sz w:val="22"/>
                <w:szCs w:val="22"/>
                <w:highlight w:val="yellow"/>
              </w:rPr>
            </w:pPr>
            <w:r w:rsidRPr="00BD3974">
              <w:rPr>
                <w:rFonts w:ascii="Arial" w:hAnsi="Arial" w:cs="Arial"/>
                <w:color w:val="000000"/>
                <w:sz w:val="22"/>
                <w:szCs w:val="22"/>
              </w:rPr>
              <w:t>4</w:t>
            </w:r>
            <w:r>
              <w:rPr>
                <w:rFonts w:ascii="Arial" w:hAnsi="Arial" w:cs="Arial"/>
                <w:color w:val="000000"/>
                <w:sz w:val="22"/>
                <w:szCs w:val="22"/>
              </w:rPr>
              <w:t>7</w:t>
            </w:r>
            <w:r w:rsidRPr="00BD3974">
              <w:rPr>
                <w:rFonts w:ascii="Arial" w:hAnsi="Arial" w:cs="Arial"/>
                <w:color w:val="000000"/>
                <w:sz w:val="22"/>
                <w:szCs w:val="22"/>
              </w:rPr>
              <w:t>.</w:t>
            </w:r>
            <w:r w:rsidR="00125C35">
              <w:rPr>
                <w:rFonts w:ascii="Arial" w:hAnsi="Arial" w:cs="Arial"/>
                <w:color w:val="000000"/>
                <w:sz w:val="22"/>
                <w:szCs w:val="22"/>
              </w:rPr>
              <w:t>8</w:t>
            </w:r>
            <w:r w:rsidRPr="00BD3974">
              <w:rPr>
                <w:rFonts w:ascii="Arial" w:hAnsi="Arial" w:cs="Arial"/>
                <w:color w:val="000000"/>
                <w:sz w:val="22"/>
                <w:szCs w:val="22"/>
              </w:rPr>
              <w:t>%</w:t>
            </w:r>
          </w:p>
        </w:tc>
        <w:tc>
          <w:tcPr>
            <w:tcW w:w="641" w:type="pct"/>
            <w:shd w:val="clear" w:color="auto" w:fill="auto"/>
            <w:vAlign w:val="center"/>
          </w:tcPr>
          <w:p w14:paraId="4E7C75DA" w14:textId="77777777" w:rsidR="007854A9" w:rsidRPr="00C7348E" w:rsidRDefault="007854A9" w:rsidP="003D4ACC">
            <w:pPr>
              <w:jc w:val="right"/>
              <w:rPr>
                <w:rFonts w:ascii="Arial" w:hAnsi="Arial" w:cs="Arial"/>
                <w:b/>
                <w:sz w:val="22"/>
                <w:szCs w:val="22"/>
                <w:highlight w:val="yellow"/>
              </w:rPr>
            </w:pPr>
            <w:r w:rsidRPr="00BD3974">
              <w:rPr>
                <w:rFonts w:ascii="Arial" w:hAnsi="Arial" w:cs="Arial"/>
                <w:color w:val="000000"/>
                <w:sz w:val="22"/>
                <w:szCs w:val="22"/>
              </w:rPr>
              <w:t>1</w:t>
            </w:r>
            <w:r>
              <w:rPr>
                <w:rFonts w:ascii="Arial" w:hAnsi="Arial" w:cs="Arial"/>
                <w:color w:val="000000"/>
                <w:sz w:val="22"/>
                <w:szCs w:val="22"/>
              </w:rPr>
              <w:t>6</w:t>
            </w:r>
            <w:r w:rsidRPr="00BD3974">
              <w:rPr>
                <w:rFonts w:ascii="Arial" w:hAnsi="Arial" w:cs="Arial"/>
                <w:color w:val="000000"/>
                <w:sz w:val="22"/>
                <w:szCs w:val="22"/>
              </w:rPr>
              <w:t>.</w:t>
            </w:r>
            <w:r>
              <w:rPr>
                <w:rFonts w:ascii="Arial" w:hAnsi="Arial" w:cs="Arial"/>
                <w:color w:val="000000"/>
                <w:sz w:val="22"/>
                <w:szCs w:val="22"/>
              </w:rPr>
              <w:t>4</w:t>
            </w:r>
            <w:r w:rsidRPr="00BD3974">
              <w:rPr>
                <w:rFonts w:ascii="Arial" w:hAnsi="Arial" w:cs="Arial"/>
                <w:color w:val="000000"/>
                <w:sz w:val="22"/>
                <w:szCs w:val="22"/>
              </w:rPr>
              <w:t>%</w:t>
            </w:r>
          </w:p>
        </w:tc>
        <w:tc>
          <w:tcPr>
            <w:tcW w:w="640" w:type="pct"/>
            <w:vAlign w:val="center"/>
          </w:tcPr>
          <w:p w14:paraId="17C2170C" w14:textId="77777777" w:rsidR="007854A9" w:rsidRPr="00C7348E" w:rsidRDefault="007854A9" w:rsidP="003D4ACC">
            <w:pPr>
              <w:jc w:val="right"/>
              <w:rPr>
                <w:rFonts w:ascii="Arial" w:hAnsi="Arial" w:cs="Arial"/>
                <w:bCs/>
                <w:sz w:val="22"/>
                <w:szCs w:val="22"/>
              </w:rPr>
            </w:pPr>
            <w:r w:rsidRPr="00BD3974">
              <w:rPr>
                <w:rFonts w:ascii="Arial" w:hAnsi="Arial" w:cs="Arial"/>
                <w:color w:val="000000"/>
                <w:sz w:val="22"/>
                <w:szCs w:val="22"/>
              </w:rPr>
              <w:t>22.6%</w:t>
            </w:r>
          </w:p>
        </w:tc>
      </w:tr>
      <w:tr w:rsidR="007854A9" w:rsidRPr="003523C1" w14:paraId="1179EEFE" w14:textId="77777777" w:rsidTr="003D4ACC">
        <w:tc>
          <w:tcPr>
            <w:tcW w:w="1155" w:type="pct"/>
            <w:vAlign w:val="center"/>
          </w:tcPr>
          <w:p w14:paraId="31C6D41F" w14:textId="77777777" w:rsidR="007854A9" w:rsidRPr="003523C1" w:rsidRDefault="007854A9" w:rsidP="003D4ACC">
            <w:pPr>
              <w:jc w:val="left"/>
              <w:rPr>
                <w:rFonts w:ascii="Arial" w:hAnsi="Arial" w:cs="Arial"/>
                <w:sz w:val="22"/>
                <w:szCs w:val="22"/>
              </w:rPr>
            </w:pPr>
            <w:r w:rsidRPr="003523C1">
              <w:rPr>
                <w:rFonts w:ascii="Arial" w:hAnsi="Arial" w:cs="Arial"/>
                <w:sz w:val="22"/>
                <w:szCs w:val="22"/>
              </w:rPr>
              <w:t xml:space="preserve">France </w:t>
            </w:r>
          </w:p>
        </w:tc>
        <w:tc>
          <w:tcPr>
            <w:tcW w:w="641" w:type="pct"/>
            <w:shd w:val="clear" w:color="auto" w:fill="auto"/>
            <w:vAlign w:val="center"/>
          </w:tcPr>
          <w:p w14:paraId="33C47FCE" w14:textId="77777777" w:rsidR="007854A9" w:rsidRPr="00C7348E" w:rsidRDefault="007854A9" w:rsidP="003D4ACC">
            <w:pPr>
              <w:jc w:val="right"/>
              <w:rPr>
                <w:rFonts w:ascii="Arial" w:hAnsi="Arial" w:cs="Arial"/>
                <w:sz w:val="22"/>
                <w:szCs w:val="22"/>
                <w:highlight w:val="yellow"/>
              </w:rPr>
            </w:pPr>
            <w:r w:rsidRPr="00BD3974">
              <w:rPr>
                <w:rFonts w:ascii="Arial" w:hAnsi="Arial" w:cs="Arial"/>
                <w:color w:val="000000"/>
                <w:sz w:val="22"/>
                <w:szCs w:val="22"/>
              </w:rPr>
              <w:t xml:space="preserve">4.5 </w:t>
            </w:r>
          </w:p>
        </w:tc>
        <w:tc>
          <w:tcPr>
            <w:tcW w:w="641" w:type="pct"/>
            <w:shd w:val="clear" w:color="auto" w:fill="auto"/>
            <w:vAlign w:val="center"/>
          </w:tcPr>
          <w:p w14:paraId="1467D3CF" w14:textId="77777777" w:rsidR="007854A9" w:rsidRPr="00C7348E" w:rsidRDefault="007854A9" w:rsidP="003D4ACC">
            <w:pPr>
              <w:jc w:val="right"/>
              <w:rPr>
                <w:rFonts w:ascii="Arial" w:hAnsi="Arial" w:cs="Arial"/>
                <w:sz w:val="22"/>
                <w:szCs w:val="22"/>
                <w:highlight w:val="yellow"/>
              </w:rPr>
            </w:pPr>
            <w:r w:rsidRPr="00BD3974">
              <w:rPr>
                <w:rFonts w:ascii="Arial" w:hAnsi="Arial" w:cs="Arial"/>
                <w:color w:val="000000"/>
                <w:sz w:val="22"/>
                <w:szCs w:val="22"/>
              </w:rPr>
              <w:t>34.1%</w:t>
            </w:r>
          </w:p>
        </w:tc>
        <w:tc>
          <w:tcPr>
            <w:tcW w:w="641" w:type="pct"/>
            <w:shd w:val="clear" w:color="auto" w:fill="auto"/>
            <w:vAlign w:val="center"/>
          </w:tcPr>
          <w:p w14:paraId="6E357B19" w14:textId="77777777" w:rsidR="007854A9" w:rsidRPr="00C7348E" w:rsidRDefault="007854A9" w:rsidP="003D4ACC">
            <w:pPr>
              <w:jc w:val="right"/>
              <w:rPr>
                <w:rFonts w:ascii="Arial" w:hAnsi="Arial" w:cs="Arial"/>
                <w:sz w:val="22"/>
                <w:szCs w:val="22"/>
                <w:highlight w:val="yellow"/>
              </w:rPr>
            </w:pPr>
            <w:r w:rsidRPr="00BD3974">
              <w:rPr>
                <w:rFonts w:ascii="Arial" w:hAnsi="Arial" w:cs="Arial"/>
                <w:color w:val="000000"/>
                <w:sz w:val="22"/>
                <w:szCs w:val="22"/>
              </w:rPr>
              <w:t xml:space="preserve">1.7 </w:t>
            </w:r>
          </w:p>
        </w:tc>
        <w:tc>
          <w:tcPr>
            <w:tcW w:w="641" w:type="pct"/>
            <w:shd w:val="clear" w:color="auto" w:fill="auto"/>
            <w:vAlign w:val="center"/>
          </w:tcPr>
          <w:p w14:paraId="14C05230" w14:textId="0FD7B84D" w:rsidR="007854A9" w:rsidRPr="00C7348E" w:rsidRDefault="007854A9" w:rsidP="003D4ACC">
            <w:pPr>
              <w:jc w:val="right"/>
              <w:rPr>
                <w:rFonts w:ascii="Arial" w:hAnsi="Arial" w:cs="Arial"/>
                <w:sz w:val="22"/>
                <w:szCs w:val="22"/>
                <w:highlight w:val="yellow"/>
              </w:rPr>
            </w:pPr>
            <w:r w:rsidRPr="00BD3974">
              <w:rPr>
                <w:rFonts w:ascii="Arial" w:hAnsi="Arial" w:cs="Arial"/>
                <w:color w:val="000000"/>
                <w:sz w:val="22"/>
                <w:szCs w:val="22"/>
              </w:rPr>
              <w:t>27.</w:t>
            </w:r>
            <w:r w:rsidR="00125C35">
              <w:rPr>
                <w:rFonts w:ascii="Arial" w:hAnsi="Arial" w:cs="Arial"/>
                <w:color w:val="000000"/>
                <w:sz w:val="22"/>
                <w:szCs w:val="22"/>
              </w:rPr>
              <w:t>3</w:t>
            </w:r>
            <w:r w:rsidRPr="00BD3974">
              <w:rPr>
                <w:rFonts w:ascii="Arial" w:hAnsi="Arial" w:cs="Arial"/>
                <w:color w:val="000000"/>
                <w:sz w:val="22"/>
                <w:szCs w:val="22"/>
              </w:rPr>
              <w:t>%</w:t>
            </w:r>
          </w:p>
        </w:tc>
        <w:tc>
          <w:tcPr>
            <w:tcW w:w="641" w:type="pct"/>
            <w:shd w:val="clear" w:color="auto" w:fill="auto"/>
            <w:vAlign w:val="center"/>
          </w:tcPr>
          <w:p w14:paraId="311DC8B1" w14:textId="77777777" w:rsidR="007854A9" w:rsidRPr="00C7348E" w:rsidDel="00E00BDF" w:rsidRDefault="007854A9" w:rsidP="003D4ACC">
            <w:pPr>
              <w:jc w:val="right"/>
              <w:rPr>
                <w:rFonts w:ascii="Arial" w:hAnsi="Arial" w:cs="Arial"/>
                <w:b/>
                <w:sz w:val="22"/>
                <w:szCs w:val="22"/>
                <w:highlight w:val="yellow"/>
              </w:rPr>
            </w:pPr>
            <w:r w:rsidRPr="00BD3974">
              <w:rPr>
                <w:rFonts w:ascii="Arial" w:hAnsi="Arial" w:cs="Arial"/>
                <w:color w:val="000000"/>
                <w:sz w:val="22"/>
                <w:szCs w:val="22"/>
              </w:rPr>
              <w:t>8.5%</w:t>
            </w:r>
          </w:p>
        </w:tc>
        <w:tc>
          <w:tcPr>
            <w:tcW w:w="640" w:type="pct"/>
            <w:vAlign w:val="center"/>
          </w:tcPr>
          <w:p w14:paraId="5EA8EC31" w14:textId="77777777" w:rsidR="007854A9" w:rsidRPr="00C7348E" w:rsidRDefault="007854A9" w:rsidP="003D4ACC">
            <w:pPr>
              <w:jc w:val="right"/>
              <w:rPr>
                <w:rFonts w:ascii="Arial" w:hAnsi="Arial" w:cs="Arial"/>
                <w:bCs/>
                <w:sz w:val="22"/>
                <w:szCs w:val="22"/>
              </w:rPr>
            </w:pPr>
            <w:r w:rsidRPr="00BD3974">
              <w:rPr>
                <w:rFonts w:ascii="Arial" w:hAnsi="Arial" w:cs="Arial"/>
                <w:color w:val="000000"/>
                <w:sz w:val="22"/>
                <w:szCs w:val="22"/>
              </w:rPr>
              <w:t>9.7%</w:t>
            </w:r>
          </w:p>
        </w:tc>
      </w:tr>
      <w:tr w:rsidR="007854A9" w:rsidRPr="003523C1" w14:paraId="7CC7C0EC" w14:textId="77777777" w:rsidTr="003D4ACC">
        <w:tc>
          <w:tcPr>
            <w:tcW w:w="1155" w:type="pct"/>
            <w:vAlign w:val="center"/>
          </w:tcPr>
          <w:p w14:paraId="0DD23BED" w14:textId="77777777" w:rsidR="007854A9" w:rsidRPr="003523C1" w:rsidRDefault="007854A9" w:rsidP="003D4ACC">
            <w:pPr>
              <w:jc w:val="left"/>
              <w:rPr>
                <w:rFonts w:ascii="Arial" w:hAnsi="Arial" w:cs="Arial"/>
                <w:sz w:val="22"/>
                <w:szCs w:val="22"/>
              </w:rPr>
            </w:pPr>
            <w:r w:rsidRPr="003523C1">
              <w:rPr>
                <w:rFonts w:ascii="Arial" w:hAnsi="Arial" w:cs="Arial"/>
                <w:sz w:val="22"/>
                <w:szCs w:val="22"/>
              </w:rPr>
              <w:t>Other International</w:t>
            </w:r>
          </w:p>
        </w:tc>
        <w:tc>
          <w:tcPr>
            <w:tcW w:w="641" w:type="pct"/>
            <w:shd w:val="clear" w:color="auto" w:fill="auto"/>
            <w:vAlign w:val="center"/>
          </w:tcPr>
          <w:p w14:paraId="5551A8AC" w14:textId="77777777" w:rsidR="007854A9" w:rsidRPr="00C7348E" w:rsidRDefault="007854A9" w:rsidP="003D4ACC">
            <w:pPr>
              <w:jc w:val="right"/>
              <w:rPr>
                <w:rFonts w:ascii="Arial" w:hAnsi="Arial" w:cs="Arial"/>
                <w:sz w:val="22"/>
                <w:szCs w:val="22"/>
                <w:highlight w:val="yellow"/>
              </w:rPr>
            </w:pPr>
            <w:r w:rsidRPr="00BD3974">
              <w:rPr>
                <w:rFonts w:ascii="Arial" w:hAnsi="Arial" w:cs="Arial"/>
                <w:color w:val="000000"/>
                <w:sz w:val="22"/>
                <w:szCs w:val="22"/>
              </w:rPr>
              <w:t xml:space="preserve">2.4 </w:t>
            </w:r>
          </w:p>
        </w:tc>
        <w:tc>
          <w:tcPr>
            <w:tcW w:w="641" w:type="pct"/>
            <w:shd w:val="clear" w:color="auto" w:fill="auto"/>
            <w:vAlign w:val="center"/>
          </w:tcPr>
          <w:p w14:paraId="38C0A374" w14:textId="77777777" w:rsidR="007854A9" w:rsidRPr="00C7348E" w:rsidRDefault="007854A9" w:rsidP="003D4ACC">
            <w:pPr>
              <w:jc w:val="right"/>
              <w:rPr>
                <w:rFonts w:ascii="Arial" w:hAnsi="Arial" w:cs="Arial"/>
                <w:sz w:val="22"/>
                <w:szCs w:val="22"/>
                <w:highlight w:val="yellow"/>
              </w:rPr>
            </w:pPr>
            <w:r w:rsidRPr="00BD3974">
              <w:rPr>
                <w:rFonts w:ascii="Arial" w:hAnsi="Arial" w:cs="Arial"/>
                <w:color w:val="000000"/>
                <w:sz w:val="22"/>
                <w:szCs w:val="22"/>
              </w:rPr>
              <w:t>18.4%</w:t>
            </w:r>
          </w:p>
        </w:tc>
        <w:tc>
          <w:tcPr>
            <w:tcW w:w="641" w:type="pct"/>
            <w:shd w:val="clear" w:color="auto" w:fill="auto"/>
            <w:vAlign w:val="center"/>
          </w:tcPr>
          <w:p w14:paraId="514B723B" w14:textId="77777777" w:rsidR="007854A9" w:rsidRPr="00C7348E" w:rsidRDefault="007854A9" w:rsidP="003D4ACC">
            <w:pPr>
              <w:jc w:val="right"/>
              <w:rPr>
                <w:rFonts w:ascii="Arial" w:hAnsi="Arial" w:cs="Arial"/>
                <w:sz w:val="22"/>
                <w:szCs w:val="22"/>
                <w:highlight w:val="yellow"/>
              </w:rPr>
            </w:pPr>
            <w:r w:rsidRPr="00BD3974">
              <w:rPr>
                <w:rFonts w:ascii="Arial" w:hAnsi="Arial" w:cs="Arial"/>
                <w:color w:val="000000"/>
                <w:sz w:val="22"/>
                <w:szCs w:val="22"/>
              </w:rPr>
              <w:t xml:space="preserve">1.3 </w:t>
            </w:r>
          </w:p>
        </w:tc>
        <w:tc>
          <w:tcPr>
            <w:tcW w:w="641" w:type="pct"/>
            <w:shd w:val="clear" w:color="auto" w:fill="auto"/>
            <w:vAlign w:val="center"/>
          </w:tcPr>
          <w:p w14:paraId="566A1A26" w14:textId="77777777" w:rsidR="007854A9" w:rsidRPr="00C7348E" w:rsidRDefault="007854A9" w:rsidP="003D4ACC">
            <w:pPr>
              <w:jc w:val="right"/>
              <w:rPr>
                <w:rFonts w:ascii="Arial" w:hAnsi="Arial" w:cs="Arial"/>
                <w:sz w:val="22"/>
                <w:szCs w:val="22"/>
                <w:highlight w:val="yellow"/>
              </w:rPr>
            </w:pPr>
            <w:r w:rsidRPr="00BD3974">
              <w:rPr>
                <w:rFonts w:ascii="Arial" w:hAnsi="Arial" w:cs="Arial"/>
                <w:color w:val="000000"/>
                <w:sz w:val="22"/>
                <w:szCs w:val="22"/>
              </w:rPr>
              <w:t>20.</w:t>
            </w:r>
            <w:r>
              <w:rPr>
                <w:rFonts w:ascii="Arial" w:hAnsi="Arial" w:cs="Arial"/>
                <w:color w:val="000000"/>
                <w:sz w:val="22"/>
                <w:szCs w:val="22"/>
              </w:rPr>
              <w:t>8</w:t>
            </w:r>
            <w:r w:rsidRPr="00BD3974">
              <w:rPr>
                <w:rFonts w:ascii="Arial" w:hAnsi="Arial" w:cs="Arial"/>
                <w:color w:val="000000"/>
                <w:sz w:val="22"/>
                <w:szCs w:val="22"/>
              </w:rPr>
              <w:t>%</w:t>
            </w:r>
          </w:p>
        </w:tc>
        <w:tc>
          <w:tcPr>
            <w:tcW w:w="641" w:type="pct"/>
            <w:shd w:val="clear" w:color="auto" w:fill="auto"/>
            <w:vAlign w:val="center"/>
          </w:tcPr>
          <w:p w14:paraId="3F7A000B" w14:textId="77777777" w:rsidR="007854A9" w:rsidRPr="00C7348E" w:rsidRDefault="007854A9" w:rsidP="003D4ACC">
            <w:pPr>
              <w:jc w:val="right"/>
              <w:rPr>
                <w:rFonts w:ascii="Arial" w:hAnsi="Arial" w:cs="Arial"/>
                <w:b/>
                <w:sz w:val="22"/>
                <w:szCs w:val="22"/>
                <w:highlight w:val="yellow"/>
              </w:rPr>
            </w:pPr>
            <w:r w:rsidRPr="00BD3974">
              <w:rPr>
                <w:rFonts w:ascii="Arial" w:hAnsi="Arial" w:cs="Arial"/>
                <w:color w:val="000000"/>
                <w:sz w:val="22"/>
                <w:szCs w:val="22"/>
              </w:rPr>
              <w:t>9.1%</w:t>
            </w:r>
          </w:p>
        </w:tc>
        <w:tc>
          <w:tcPr>
            <w:tcW w:w="640" w:type="pct"/>
            <w:vAlign w:val="center"/>
          </w:tcPr>
          <w:p w14:paraId="4660707A" w14:textId="77777777" w:rsidR="007854A9" w:rsidRPr="00C7348E" w:rsidRDefault="007854A9" w:rsidP="003D4ACC">
            <w:pPr>
              <w:jc w:val="right"/>
              <w:rPr>
                <w:rFonts w:ascii="Arial" w:hAnsi="Arial" w:cs="Arial"/>
                <w:bCs/>
                <w:sz w:val="22"/>
                <w:szCs w:val="22"/>
              </w:rPr>
            </w:pPr>
            <w:r w:rsidRPr="00BD3974">
              <w:rPr>
                <w:rFonts w:ascii="Arial" w:hAnsi="Arial" w:cs="Arial"/>
                <w:color w:val="000000"/>
                <w:sz w:val="22"/>
                <w:szCs w:val="22"/>
              </w:rPr>
              <w:t>9.3%</w:t>
            </w:r>
          </w:p>
        </w:tc>
      </w:tr>
      <w:tr w:rsidR="007854A9" w:rsidRPr="003523C1" w14:paraId="24D312DC" w14:textId="77777777" w:rsidTr="003D4ACC">
        <w:tc>
          <w:tcPr>
            <w:tcW w:w="1155" w:type="pct"/>
            <w:vAlign w:val="center"/>
          </w:tcPr>
          <w:p w14:paraId="16411E50" w14:textId="77777777" w:rsidR="007854A9" w:rsidRPr="003523C1" w:rsidRDefault="007854A9" w:rsidP="003D4ACC">
            <w:pPr>
              <w:jc w:val="left"/>
              <w:rPr>
                <w:rFonts w:ascii="Arial" w:hAnsi="Arial" w:cs="Arial"/>
                <w:sz w:val="22"/>
                <w:szCs w:val="22"/>
              </w:rPr>
            </w:pPr>
            <w:r w:rsidRPr="003523C1">
              <w:rPr>
                <w:rFonts w:ascii="Arial" w:hAnsi="Arial" w:cs="Arial"/>
                <w:sz w:val="22"/>
                <w:szCs w:val="22"/>
              </w:rPr>
              <w:t>Central</w:t>
            </w:r>
          </w:p>
        </w:tc>
        <w:tc>
          <w:tcPr>
            <w:tcW w:w="641" w:type="pct"/>
            <w:shd w:val="clear" w:color="auto" w:fill="auto"/>
            <w:vAlign w:val="center"/>
          </w:tcPr>
          <w:p w14:paraId="5B34B136" w14:textId="77777777" w:rsidR="007854A9" w:rsidRPr="00C7348E" w:rsidRDefault="007854A9" w:rsidP="003D4ACC">
            <w:pPr>
              <w:jc w:val="right"/>
              <w:rPr>
                <w:rFonts w:ascii="Arial" w:hAnsi="Arial" w:cs="Arial"/>
                <w:sz w:val="22"/>
                <w:szCs w:val="22"/>
                <w:highlight w:val="yellow"/>
              </w:rPr>
            </w:pPr>
            <w:r w:rsidRPr="00BD3974">
              <w:rPr>
                <w:rFonts w:ascii="Arial" w:hAnsi="Arial" w:cs="Arial"/>
                <w:color w:val="000000"/>
                <w:sz w:val="22"/>
                <w:szCs w:val="22"/>
              </w:rPr>
              <w:t> </w:t>
            </w:r>
          </w:p>
        </w:tc>
        <w:tc>
          <w:tcPr>
            <w:tcW w:w="641" w:type="pct"/>
            <w:shd w:val="clear" w:color="auto" w:fill="auto"/>
            <w:vAlign w:val="center"/>
          </w:tcPr>
          <w:p w14:paraId="0F7F4FC5" w14:textId="77777777" w:rsidR="007854A9" w:rsidRPr="00C7348E" w:rsidDel="00203EFD" w:rsidRDefault="007854A9" w:rsidP="003D4ACC">
            <w:pPr>
              <w:jc w:val="right"/>
              <w:rPr>
                <w:rFonts w:ascii="Arial" w:hAnsi="Arial" w:cs="Arial"/>
                <w:sz w:val="22"/>
                <w:szCs w:val="22"/>
                <w:highlight w:val="yellow"/>
              </w:rPr>
            </w:pPr>
            <w:r w:rsidRPr="00BD3974">
              <w:rPr>
                <w:rFonts w:ascii="Arial" w:hAnsi="Arial" w:cs="Arial"/>
                <w:color w:val="000000"/>
                <w:sz w:val="22"/>
                <w:szCs w:val="22"/>
              </w:rPr>
              <w:t> </w:t>
            </w:r>
          </w:p>
        </w:tc>
        <w:tc>
          <w:tcPr>
            <w:tcW w:w="641" w:type="pct"/>
            <w:shd w:val="clear" w:color="auto" w:fill="auto"/>
            <w:vAlign w:val="center"/>
          </w:tcPr>
          <w:p w14:paraId="2223E24E" w14:textId="77777777" w:rsidR="007854A9" w:rsidRPr="00C7348E" w:rsidDel="00203EFD" w:rsidRDefault="007854A9" w:rsidP="003D4ACC">
            <w:pPr>
              <w:jc w:val="right"/>
              <w:rPr>
                <w:rFonts w:ascii="Arial" w:hAnsi="Arial" w:cs="Arial"/>
                <w:sz w:val="22"/>
                <w:szCs w:val="22"/>
                <w:highlight w:val="yellow"/>
              </w:rPr>
            </w:pPr>
            <w:r w:rsidRPr="00BD3974">
              <w:rPr>
                <w:rFonts w:ascii="Arial" w:hAnsi="Arial" w:cs="Arial"/>
                <w:color w:val="000000"/>
                <w:sz w:val="22"/>
                <w:szCs w:val="22"/>
              </w:rPr>
              <w:t xml:space="preserve">0.2 </w:t>
            </w:r>
          </w:p>
        </w:tc>
        <w:tc>
          <w:tcPr>
            <w:tcW w:w="641" w:type="pct"/>
            <w:shd w:val="clear" w:color="auto" w:fill="auto"/>
            <w:vAlign w:val="center"/>
          </w:tcPr>
          <w:p w14:paraId="55AD847B" w14:textId="0634B9D5" w:rsidR="007854A9" w:rsidRPr="00C7348E" w:rsidRDefault="00125C35" w:rsidP="003D4ACC">
            <w:pPr>
              <w:jc w:val="right"/>
              <w:rPr>
                <w:rFonts w:ascii="Arial" w:hAnsi="Arial" w:cs="Arial"/>
                <w:sz w:val="22"/>
                <w:szCs w:val="22"/>
                <w:highlight w:val="yellow"/>
              </w:rPr>
            </w:pPr>
            <w:r>
              <w:rPr>
                <w:rFonts w:ascii="Arial" w:hAnsi="Arial" w:cs="Arial"/>
                <w:color w:val="000000"/>
                <w:sz w:val="22"/>
                <w:szCs w:val="22"/>
              </w:rPr>
              <w:t>4</w:t>
            </w:r>
            <w:r w:rsidR="007854A9" w:rsidRPr="00BD3974">
              <w:rPr>
                <w:rFonts w:ascii="Arial" w:hAnsi="Arial" w:cs="Arial"/>
                <w:color w:val="000000"/>
                <w:sz w:val="22"/>
                <w:szCs w:val="22"/>
              </w:rPr>
              <w:t>.</w:t>
            </w:r>
            <w:r>
              <w:rPr>
                <w:rFonts w:ascii="Arial" w:hAnsi="Arial" w:cs="Arial"/>
                <w:color w:val="000000"/>
                <w:sz w:val="22"/>
                <w:szCs w:val="22"/>
              </w:rPr>
              <w:t>1</w:t>
            </w:r>
            <w:r w:rsidR="007854A9" w:rsidRPr="00BD3974">
              <w:rPr>
                <w:rFonts w:ascii="Arial" w:hAnsi="Arial" w:cs="Arial"/>
                <w:color w:val="000000"/>
                <w:sz w:val="22"/>
                <w:szCs w:val="22"/>
              </w:rPr>
              <w:t>%</w:t>
            </w:r>
          </w:p>
        </w:tc>
        <w:tc>
          <w:tcPr>
            <w:tcW w:w="641" w:type="pct"/>
            <w:shd w:val="clear" w:color="auto" w:fill="auto"/>
            <w:vAlign w:val="center"/>
          </w:tcPr>
          <w:p w14:paraId="7CC03AB9" w14:textId="77777777" w:rsidR="007854A9" w:rsidRPr="00C7348E" w:rsidDel="00203EFD" w:rsidRDefault="007854A9" w:rsidP="003D4ACC">
            <w:pPr>
              <w:jc w:val="right"/>
              <w:rPr>
                <w:rFonts w:ascii="Arial" w:hAnsi="Arial" w:cs="Arial"/>
                <w:b/>
                <w:sz w:val="22"/>
                <w:szCs w:val="22"/>
                <w:highlight w:val="yellow"/>
              </w:rPr>
            </w:pPr>
            <w:r w:rsidRPr="00BD3974">
              <w:rPr>
                <w:rFonts w:ascii="Arial" w:hAnsi="Arial" w:cs="Arial"/>
                <w:color w:val="000000"/>
                <w:sz w:val="22"/>
                <w:szCs w:val="22"/>
              </w:rPr>
              <w:t> </w:t>
            </w:r>
          </w:p>
        </w:tc>
        <w:tc>
          <w:tcPr>
            <w:tcW w:w="640" w:type="pct"/>
            <w:vAlign w:val="center"/>
          </w:tcPr>
          <w:p w14:paraId="7599B574" w14:textId="77777777" w:rsidR="007854A9" w:rsidRPr="00C7348E" w:rsidRDefault="007854A9" w:rsidP="003D4ACC">
            <w:pPr>
              <w:jc w:val="right"/>
              <w:rPr>
                <w:rFonts w:ascii="Arial" w:hAnsi="Arial" w:cs="Arial"/>
                <w:bCs/>
                <w:sz w:val="22"/>
                <w:szCs w:val="22"/>
              </w:rPr>
            </w:pPr>
            <w:r w:rsidRPr="00BD3974">
              <w:rPr>
                <w:rFonts w:ascii="Arial" w:hAnsi="Arial" w:cs="Arial"/>
                <w:color w:val="000000"/>
                <w:sz w:val="22"/>
                <w:szCs w:val="22"/>
              </w:rPr>
              <w:t> </w:t>
            </w:r>
          </w:p>
        </w:tc>
      </w:tr>
      <w:tr w:rsidR="007854A9" w:rsidRPr="006525D6" w14:paraId="1019478B" w14:textId="77777777" w:rsidTr="003D4ACC">
        <w:tc>
          <w:tcPr>
            <w:tcW w:w="1155" w:type="pct"/>
            <w:tcBorders>
              <w:top w:val="single" w:sz="4" w:space="0" w:color="auto"/>
              <w:bottom w:val="single" w:sz="4" w:space="0" w:color="auto"/>
            </w:tcBorders>
            <w:vAlign w:val="center"/>
          </w:tcPr>
          <w:p w14:paraId="5087552B" w14:textId="77777777" w:rsidR="007854A9" w:rsidRPr="003523C1" w:rsidRDefault="007854A9" w:rsidP="003D4ACC">
            <w:pPr>
              <w:jc w:val="left"/>
              <w:rPr>
                <w:rFonts w:ascii="Arial" w:hAnsi="Arial" w:cs="Arial"/>
                <w:sz w:val="22"/>
                <w:szCs w:val="22"/>
              </w:rPr>
            </w:pPr>
            <w:r w:rsidRPr="003523C1">
              <w:rPr>
                <w:rFonts w:ascii="Arial" w:hAnsi="Arial" w:cs="Arial"/>
                <w:b/>
                <w:sz w:val="22"/>
                <w:szCs w:val="22"/>
              </w:rPr>
              <w:t>Total</w:t>
            </w:r>
          </w:p>
        </w:tc>
        <w:tc>
          <w:tcPr>
            <w:tcW w:w="641" w:type="pct"/>
            <w:tcBorders>
              <w:top w:val="single" w:sz="4" w:space="0" w:color="auto"/>
              <w:bottom w:val="single" w:sz="4" w:space="0" w:color="auto"/>
            </w:tcBorders>
            <w:shd w:val="clear" w:color="auto" w:fill="auto"/>
            <w:vAlign w:val="center"/>
          </w:tcPr>
          <w:p w14:paraId="72DB24E4" w14:textId="77777777" w:rsidR="007854A9" w:rsidRPr="00C7348E" w:rsidRDefault="007854A9" w:rsidP="003D4ACC">
            <w:pPr>
              <w:jc w:val="right"/>
              <w:rPr>
                <w:rFonts w:ascii="Arial" w:hAnsi="Arial" w:cs="Arial"/>
                <w:b/>
                <w:sz w:val="22"/>
                <w:szCs w:val="22"/>
                <w:highlight w:val="yellow"/>
              </w:rPr>
            </w:pPr>
            <w:r w:rsidRPr="00BD3974">
              <w:rPr>
                <w:rFonts w:ascii="Arial" w:hAnsi="Arial" w:cs="Arial"/>
                <w:b/>
                <w:bCs/>
                <w:color w:val="000000"/>
                <w:sz w:val="22"/>
                <w:szCs w:val="22"/>
              </w:rPr>
              <w:t xml:space="preserve">13.1 </w:t>
            </w:r>
          </w:p>
        </w:tc>
        <w:tc>
          <w:tcPr>
            <w:tcW w:w="641" w:type="pct"/>
            <w:tcBorders>
              <w:top w:val="single" w:sz="4" w:space="0" w:color="auto"/>
              <w:bottom w:val="single" w:sz="4" w:space="0" w:color="auto"/>
            </w:tcBorders>
            <w:shd w:val="clear" w:color="auto" w:fill="auto"/>
            <w:vAlign w:val="center"/>
          </w:tcPr>
          <w:p w14:paraId="5C232999" w14:textId="77777777" w:rsidR="007854A9" w:rsidRPr="00C7348E" w:rsidRDefault="007854A9" w:rsidP="003D4ACC">
            <w:pPr>
              <w:jc w:val="right"/>
              <w:rPr>
                <w:rFonts w:ascii="Arial" w:hAnsi="Arial" w:cs="Arial"/>
                <w:b/>
                <w:sz w:val="22"/>
                <w:szCs w:val="22"/>
                <w:highlight w:val="yellow"/>
              </w:rPr>
            </w:pPr>
            <w:r w:rsidRPr="00BD3974">
              <w:rPr>
                <w:rFonts w:ascii="Arial" w:hAnsi="Arial" w:cs="Arial"/>
                <w:b/>
                <w:bCs/>
                <w:color w:val="000000"/>
                <w:sz w:val="22"/>
                <w:szCs w:val="22"/>
              </w:rPr>
              <w:t> </w:t>
            </w:r>
          </w:p>
        </w:tc>
        <w:tc>
          <w:tcPr>
            <w:tcW w:w="641" w:type="pct"/>
            <w:tcBorders>
              <w:top w:val="single" w:sz="4" w:space="0" w:color="auto"/>
              <w:bottom w:val="single" w:sz="4" w:space="0" w:color="auto"/>
            </w:tcBorders>
            <w:shd w:val="clear" w:color="auto" w:fill="auto"/>
            <w:vAlign w:val="center"/>
          </w:tcPr>
          <w:p w14:paraId="4BFFCCA4" w14:textId="77777777" w:rsidR="007854A9" w:rsidRPr="00C7348E" w:rsidRDefault="007854A9" w:rsidP="003D4ACC">
            <w:pPr>
              <w:jc w:val="right"/>
              <w:rPr>
                <w:rFonts w:ascii="Arial" w:hAnsi="Arial" w:cs="Arial"/>
                <w:b/>
                <w:sz w:val="22"/>
                <w:szCs w:val="22"/>
                <w:highlight w:val="yellow"/>
              </w:rPr>
            </w:pPr>
            <w:r w:rsidRPr="00BD3974">
              <w:rPr>
                <w:rFonts w:ascii="Arial" w:hAnsi="Arial" w:cs="Arial"/>
                <w:b/>
                <w:bCs/>
                <w:color w:val="000000"/>
                <w:sz w:val="22"/>
                <w:szCs w:val="22"/>
              </w:rPr>
              <w:t>6.</w:t>
            </w:r>
            <w:r>
              <w:rPr>
                <w:rFonts w:ascii="Arial" w:hAnsi="Arial" w:cs="Arial"/>
                <w:b/>
                <w:bCs/>
                <w:color w:val="000000"/>
                <w:sz w:val="22"/>
                <w:szCs w:val="22"/>
              </w:rPr>
              <w:t>2</w:t>
            </w:r>
            <w:r w:rsidRPr="00BD3974">
              <w:rPr>
                <w:rFonts w:ascii="Arial" w:hAnsi="Arial" w:cs="Arial"/>
                <w:b/>
                <w:bCs/>
                <w:color w:val="000000"/>
                <w:sz w:val="22"/>
                <w:szCs w:val="22"/>
              </w:rPr>
              <w:t xml:space="preserve"> </w:t>
            </w:r>
          </w:p>
        </w:tc>
        <w:tc>
          <w:tcPr>
            <w:tcW w:w="641" w:type="pct"/>
            <w:tcBorders>
              <w:top w:val="single" w:sz="4" w:space="0" w:color="auto"/>
              <w:bottom w:val="single" w:sz="4" w:space="0" w:color="auto"/>
            </w:tcBorders>
            <w:shd w:val="clear" w:color="auto" w:fill="auto"/>
            <w:vAlign w:val="center"/>
          </w:tcPr>
          <w:p w14:paraId="2F5A854C" w14:textId="77777777" w:rsidR="007854A9" w:rsidRPr="00C7348E" w:rsidRDefault="007854A9" w:rsidP="003D4ACC">
            <w:pPr>
              <w:jc w:val="right"/>
              <w:rPr>
                <w:rFonts w:ascii="Arial" w:hAnsi="Arial" w:cs="Arial"/>
                <w:b/>
                <w:sz w:val="22"/>
                <w:szCs w:val="22"/>
                <w:highlight w:val="yellow"/>
              </w:rPr>
            </w:pPr>
            <w:r w:rsidRPr="00BD3974">
              <w:rPr>
                <w:rFonts w:ascii="Arial" w:hAnsi="Arial" w:cs="Arial"/>
                <w:b/>
                <w:bCs/>
                <w:color w:val="000000"/>
                <w:sz w:val="22"/>
                <w:szCs w:val="22"/>
              </w:rPr>
              <w:t> </w:t>
            </w:r>
          </w:p>
        </w:tc>
        <w:tc>
          <w:tcPr>
            <w:tcW w:w="641" w:type="pct"/>
            <w:tcBorders>
              <w:top w:val="single" w:sz="4" w:space="0" w:color="auto"/>
              <w:bottom w:val="single" w:sz="4" w:space="0" w:color="auto"/>
            </w:tcBorders>
            <w:shd w:val="clear" w:color="auto" w:fill="auto"/>
            <w:vAlign w:val="center"/>
          </w:tcPr>
          <w:p w14:paraId="3EB886A8" w14:textId="77777777" w:rsidR="007854A9" w:rsidRPr="00C7348E" w:rsidRDefault="007854A9" w:rsidP="003D4ACC">
            <w:pPr>
              <w:jc w:val="right"/>
              <w:rPr>
                <w:rFonts w:ascii="Arial" w:hAnsi="Arial" w:cs="Arial"/>
                <w:b/>
                <w:sz w:val="22"/>
                <w:szCs w:val="22"/>
                <w:highlight w:val="yellow"/>
              </w:rPr>
            </w:pPr>
            <w:r w:rsidRPr="00BD3974">
              <w:rPr>
                <w:rFonts w:ascii="Arial" w:hAnsi="Arial" w:cs="Arial"/>
                <w:b/>
                <w:bCs/>
                <w:color w:val="000000"/>
                <w:sz w:val="22"/>
                <w:szCs w:val="22"/>
              </w:rPr>
              <w:t>10.</w:t>
            </w:r>
            <w:r>
              <w:rPr>
                <w:rFonts w:ascii="Arial" w:hAnsi="Arial" w:cs="Arial"/>
                <w:b/>
                <w:bCs/>
                <w:color w:val="000000"/>
                <w:sz w:val="22"/>
                <w:szCs w:val="22"/>
              </w:rPr>
              <w:t>9</w:t>
            </w:r>
            <w:r w:rsidRPr="00BD3974">
              <w:rPr>
                <w:rFonts w:ascii="Arial" w:hAnsi="Arial" w:cs="Arial"/>
                <w:b/>
                <w:bCs/>
                <w:color w:val="000000"/>
                <w:sz w:val="22"/>
                <w:szCs w:val="22"/>
              </w:rPr>
              <w:t>%</w:t>
            </w:r>
          </w:p>
        </w:tc>
        <w:tc>
          <w:tcPr>
            <w:tcW w:w="640" w:type="pct"/>
            <w:tcBorders>
              <w:top w:val="single" w:sz="4" w:space="0" w:color="auto"/>
              <w:bottom w:val="single" w:sz="4" w:space="0" w:color="auto"/>
            </w:tcBorders>
            <w:vAlign w:val="center"/>
          </w:tcPr>
          <w:p w14:paraId="4812B0E6" w14:textId="77777777" w:rsidR="007854A9" w:rsidRPr="00C7348E" w:rsidRDefault="007854A9" w:rsidP="003D4ACC">
            <w:pPr>
              <w:jc w:val="right"/>
              <w:rPr>
                <w:rFonts w:ascii="Arial" w:hAnsi="Arial" w:cs="Arial"/>
                <w:bCs/>
                <w:sz w:val="22"/>
                <w:szCs w:val="22"/>
              </w:rPr>
            </w:pPr>
            <w:r w:rsidRPr="00BD3974">
              <w:rPr>
                <w:rFonts w:ascii="Arial" w:hAnsi="Arial" w:cs="Arial"/>
                <w:b/>
                <w:bCs/>
                <w:color w:val="000000"/>
                <w:sz w:val="22"/>
                <w:szCs w:val="22"/>
              </w:rPr>
              <w:t>14.6%</w:t>
            </w:r>
          </w:p>
        </w:tc>
      </w:tr>
    </w:tbl>
    <w:p w14:paraId="34DA46C2" w14:textId="3206A24D" w:rsidR="007854A9" w:rsidRDefault="007854A9" w:rsidP="007854A9">
      <w:pPr>
        <w:jc w:val="left"/>
        <w:rPr>
          <w:rFonts w:ascii="Arial" w:hAnsi="Arial" w:cs="Arial"/>
          <w:b/>
        </w:rPr>
      </w:pPr>
    </w:p>
    <w:p w14:paraId="438D29BB" w14:textId="051A8E48" w:rsidR="004A5541" w:rsidRDefault="004A5541" w:rsidP="005C535C">
      <w:pPr>
        <w:jc w:val="left"/>
        <w:rPr>
          <w:rFonts w:ascii="Arial" w:hAnsi="Arial" w:cs="Arial"/>
          <w:b/>
        </w:rPr>
      </w:pPr>
      <w:r>
        <w:rPr>
          <w:rFonts w:ascii="Arial" w:hAnsi="Arial" w:cs="Arial"/>
          <w:b/>
        </w:rPr>
        <w:br w:type="page"/>
      </w:r>
    </w:p>
    <w:p w14:paraId="34D96136" w14:textId="77777777" w:rsidR="007854A9" w:rsidRPr="00A845B7" w:rsidRDefault="007854A9" w:rsidP="007854A9">
      <w:pPr>
        <w:jc w:val="left"/>
        <w:rPr>
          <w:rFonts w:ascii="Arial" w:hAnsi="Arial" w:cs="Arial"/>
          <w:b/>
        </w:rPr>
      </w:pPr>
      <w:r w:rsidRPr="00A845B7">
        <w:rPr>
          <w:rFonts w:ascii="Arial" w:hAnsi="Arial" w:cs="Arial" w:hint="eastAsia"/>
          <w:b/>
        </w:rPr>
        <w:lastRenderedPageBreak/>
        <w:t>Property</w:t>
      </w:r>
    </w:p>
    <w:p w14:paraId="12731B34" w14:textId="3D64DD1C" w:rsidR="007854A9" w:rsidRPr="008F182D" w:rsidRDefault="007854A9" w:rsidP="007854A9">
      <w:pPr>
        <w:jc w:val="left"/>
        <w:rPr>
          <w:rFonts w:ascii="Arial" w:hAnsi="Arial" w:cs="Arial"/>
        </w:rPr>
      </w:pPr>
      <w:r w:rsidRPr="00342365">
        <w:rPr>
          <w:rFonts w:ascii="Arial" w:hAnsi="Arial" w:cs="Arial"/>
        </w:rPr>
        <w:t xml:space="preserve">Kingfisher owns a significant property portfolio, </w:t>
      </w:r>
      <w:r w:rsidRPr="0064743E">
        <w:rPr>
          <w:rFonts w:ascii="Arial" w:hAnsi="Arial" w:cs="Arial"/>
        </w:rPr>
        <w:t xml:space="preserve">almost all of which is used for trading purposes. A </w:t>
      </w:r>
      <w:r w:rsidR="000D3135">
        <w:rPr>
          <w:rFonts w:ascii="Arial" w:hAnsi="Arial" w:cs="Arial"/>
        </w:rPr>
        <w:t xml:space="preserve">formal </w:t>
      </w:r>
      <w:r w:rsidRPr="0064743E">
        <w:rPr>
          <w:rFonts w:ascii="Arial" w:hAnsi="Arial" w:cs="Arial"/>
        </w:rPr>
        <w:t xml:space="preserve">valuation </w:t>
      </w:r>
      <w:r w:rsidR="005318A0">
        <w:rPr>
          <w:rFonts w:ascii="Arial" w:hAnsi="Arial" w:cs="Arial"/>
        </w:rPr>
        <w:t xml:space="preserve">of the portfolio </w:t>
      </w:r>
      <w:r w:rsidRPr="0064743E">
        <w:rPr>
          <w:rFonts w:ascii="Arial" w:hAnsi="Arial" w:cs="Arial"/>
        </w:rPr>
        <w:t xml:space="preserve">was </w:t>
      </w:r>
      <w:r w:rsidR="000D3135">
        <w:rPr>
          <w:rFonts w:ascii="Arial" w:hAnsi="Arial" w:cs="Arial"/>
        </w:rPr>
        <w:t xml:space="preserve">undertaken by </w:t>
      </w:r>
      <w:r w:rsidR="000D3135" w:rsidRPr="0064743E">
        <w:rPr>
          <w:rFonts w:ascii="Arial" w:hAnsi="Arial" w:cs="Arial"/>
        </w:rPr>
        <w:t xml:space="preserve">external professional valuers </w:t>
      </w:r>
      <w:r w:rsidRPr="0064743E">
        <w:rPr>
          <w:rFonts w:ascii="Arial" w:hAnsi="Arial" w:cs="Arial"/>
        </w:rPr>
        <w:t xml:space="preserve">in </w:t>
      </w:r>
      <w:r w:rsidRPr="001C6AC2">
        <w:rPr>
          <w:rFonts w:ascii="Arial" w:hAnsi="Arial" w:cs="Arial"/>
        </w:rPr>
        <w:t>October 202</w:t>
      </w:r>
      <w:r w:rsidR="001B125A" w:rsidRPr="001C6AC2">
        <w:rPr>
          <w:rFonts w:ascii="Arial" w:hAnsi="Arial" w:cs="Arial"/>
        </w:rPr>
        <w:t>2</w:t>
      </w:r>
      <w:r w:rsidR="000D3135">
        <w:rPr>
          <w:rFonts w:ascii="Arial" w:hAnsi="Arial" w:cs="Arial"/>
        </w:rPr>
        <w:t>,</w:t>
      </w:r>
      <w:r w:rsidRPr="001B125A">
        <w:rPr>
          <w:rFonts w:ascii="Arial" w:hAnsi="Arial" w:cs="Arial"/>
        </w:rPr>
        <w:t xml:space="preserve"> with</w:t>
      </w:r>
      <w:r w:rsidRPr="0064743E">
        <w:rPr>
          <w:rFonts w:ascii="Arial" w:hAnsi="Arial" w:cs="Arial"/>
        </w:rPr>
        <w:t xml:space="preserve"> the </w:t>
      </w:r>
      <w:r w:rsidR="003F7D8A">
        <w:rPr>
          <w:rFonts w:ascii="Arial" w:hAnsi="Arial" w:cs="Arial"/>
        </w:rPr>
        <w:t>valuation</w:t>
      </w:r>
      <w:r w:rsidR="002B03F0">
        <w:rPr>
          <w:rFonts w:ascii="Arial" w:hAnsi="Arial" w:cs="Arial"/>
        </w:rPr>
        <w:t>s</w:t>
      </w:r>
      <w:r w:rsidR="003F7D8A">
        <w:rPr>
          <w:rFonts w:ascii="Arial" w:hAnsi="Arial" w:cs="Arial"/>
        </w:rPr>
        <w:t xml:space="preserve"> then </w:t>
      </w:r>
      <w:r w:rsidR="00386A24">
        <w:rPr>
          <w:rFonts w:ascii="Arial" w:hAnsi="Arial" w:cs="Arial"/>
        </w:rPr>
        <w:t xml:space="preserve">updated </w:t>
      </w:r>
      <w:r w:rsidR="003F7D8A">
        <w:rPr>
          <w:rFonts w:ascii="Arial" w:hAnsi="Arial" w:cs="Arial"/>
        </w:rPr>
        <w:t>to 31 January 2023</w:t>
      </w:r>
      <w:r w:rsidRPr="0064743E">
        <w:rPr>
          <w:rFonts w:ascii="Arial" w:hAnsi="Arial" w:cs="Arial"/>
        </w:rPr>
        <w:t xml:space="preserve">. Based on this </w:t>
      </w:r>
      <w:r w:rsidRPr="008F182D">
        <w:rPr>
          <w:rFonts w:ascii="Arial" w:hAnsi="Arial" w:cs="Arial"/>
        </w:rPr>
        <w:t xml:space="preserve">exercise, on a sale and leaseback basis with Kingfisher in occupancy, the value of </w:t>
      </w:r>
      <w:r w:rsidR="002B03F0">
        <w:rPr>
          <w:rFonts w:ascii="Arial" w:hAnsi="Arial" w:cs="Arial"/>
        </w:rPr>
        <w:t xml:space="preserve">the </w:t>
      </w:r>
      <w:r w:rsidRPr="008F182D">
        <w:rPr>
          <w:rFonts w:ascii="Arial" w:hAnsi="Arial" w:cs="Arial"/>
        </w:rPr>
        <w:t xml:space="preserve">property </w:t>
      </w:r>
      <w:r w:rsidR="002B03F0">
        <w:rPr>
          <w:rFonts w:ascii="Arial" w:hAnsi="Arial" w:cs="Arial"/>
        </w:rPr>
        <w:t>portfolio</w:t>
      </w:r>
      <w:r w:rsidR="00454A5E">
        <w:rPr>
          <w:rFonts w:ascii="Arial" w:hAnsi="Arial" w:cs="Arial"/>
        </w:rPr>
        <w:t xml:space="preserve"> </w:t>
      </w:r>
      <w:r w:rsidRPr="008F182D">
        <w:rPr>
          <w:rFonts w:ascii="Arial" w:hAnsi="Arial" w:cs="Arial"/>
        </w:rPr>
        <w:t>is £</w:t>
      </w:r>
      <w:r w:rsidR="005B2D8E" w:rsidRPr="008F182D">
        <w:rPr>
          <w:rFonts w:ascii="Arial" w:hAnsi="Arial" w:cs="Arial"/>
        </w:rPr>
        <w:t>2.8</w:t>
      </w:r>
      <w:r w:rsidRPr="008F182D">
        <w:rPr>
          <w:rFonts w:ascii="Arial" w:hAnsi="Arial" w:cs="Arial"/>
        </w:rPr>
        <w:t xml:space="preserve">bn as of 31 January 2023 (FY 21/22: £2.8bn). </w:t>
      </w:r>
    </w:p>
    <w:p w14:paraId="64E75169" w14:textId="77777777" w:rsidR="007854A9" w:rsidRPr="008F182D" w:rsidRDefault="007854A9" w:rsidP="007854A9">
      <w:pPr>
        <w:jc w:val="left"/>
        <w:rPr>
          <w:rFonts w:ascii="Arial" w:hAnsi="Arial" w:cs="Arial"/>
        </w:rPr>
      </w:pPr>
    </w:p>
    <w:tbl>
      <w:tblPr>
        <w:tblW w:w="5000" w:type="pct"/>
        <w:tblLook w:val="04A0" w:firstRow="1" w:lastRow="0" w:firstColumn="1" w:lastColumn="0" w:noHBand="0" w:noVBand="1"/>
      </w:tblPr>
      <w:tblGrid>
        <w:gridCol w:w="4822"/>
        <w:gridCol w:w="1374"/>
        <w:gridCol w:w="1374"/>
        <w:gridCol w:w="1374"/>
        <w:gridCol w:w="1374"/>
      </w:tblGrid>
      <w:tr w:rsidR="007854A9" w:rsidRPr="008F182D" w14:paraId="7810359F" w14:textId="77777777" w:rsidTr="003D4ACC">
        <w:trPr>
          <w:trHeight w:val="525"/>
        </w:trPr>
        <w:tc>
          <w:tcPr>
            <w:tcW w:w="2336" w:type="pct"/>
            <w:tcBorders>
              <w:top w:val="nil"/>
              <w:left w:val="nil"/>
              <w:bottom w:val="single" w:sz="4" w:space="0" w:color="auto"/>
              <w:right w:val="nil"/>
            </w:tcBorders>
            <w:vAlign w:val="bottom"/>
          </w:tcPr>
          <w:p w14:paraId="192B19D7" w14:textId="77777777" w:rsidR="007854A9" w:rsidRPr="008F182D" w:rsidRDefault="007854A9" w:rsidP="003D4ACC">
            <w:pPr>
              <w:jc w:val="left"/>
              <w:rPr>
                <w:rFonts w:ascii="Arial" w:hAnsi="Arial" w:cs="Arial"/>
                <w:bCs/>
              </w:rPr>
            </w:pPr>
          </w:p>
        </w:tc>
        <w:tc>
          <w:tcPr>
            <w:tcW w:w="666" w:type="pct"/>
            <w:tcBorders>
              <w:top w:val="nil"/>
              <w:left w:val="nil"/>
              <w:bottom w:val="single" w:sz="4" w:space="0" w:color="auto"/>
              <w:right w:val="nil"/>
            </w:tcBorders>
            <w:vAlign w:val="bottom"/>
            <w:hideMark/>
          </w:tcPr>
          <w:p w14:paraId="258B07C7" w14:textId="77777777" w:rsidR="007854A9" w:rsidRPr="008F182D" w:rsidRDefault="007854A9" w:rsidP="003D4ACC">
            <w:pPr>
              <w:jc w:val="right"/>
              <w:rPr>
                <w:rFonts w:ascii="Arial" w:hAnsi="Arial" w:cs="Arial"/>
                <w:b/>
                <w:bCs/>
              </w:rPr>
            </w:pPr>
            <w:r w:rsidRPr="008F182D">
              <w:rPr>
                <w:rFonts w:ascii="Arial" w:hAnsi="Arial" w:cs="Arial"/>
                <w:b/>
                <w:bCs/>
              </w:rPr>
              <w:t>2022/23</w:t>
            </w:r>
          </w:p>
          <w:p w14:paraId="61B61962" w14:textId="77777777" w:rsidR="007854A9" w:rsidRPr="008F182D" w:rsidRDefault="007854A9" w:rsidP="003D4ACC">
            <w:pPr>
              <w:jc w:val="right"/>
              <w:rPr>
                <w:rFonts w:ascii="Arial" w:hAnsi="Arial" w:cs="Arial"/>
                <w:b/>
                <w:bCs/>
              </w:rPr>
            </w:pPr>
            <w:r w:rsidRPr="008F182D">
              <w:rPr>
                <w:rFonts w:ascii="Arial" w:hAnsi="Arial" w:cs="Arial"/>
                <w:b/>
                <w:bCs/>
              </w:rPr>
              <w:t>£bn</w:t>
            </w:r>
          </w:p>
        </w:tc>
        <w:tc>
          <w:tcPr>
            <w:tcW w:w="666" w:type="pct"/>
            <w:tcBorders>
              <w:top w:val="nil"/>
              <w:left w:val="nil"/>
              <w:bottom w:val="single" w:sz="4" w:space="0" w:color="auto"/>
              <w:right w:val="nil"/>
            </w:tcBorders>
            <w:vAlign w:val="bottom"/>
            <w:hideMark/>
          </w:tcPr>
          <w:p w14:paraId="21F8B85E" w14:textId="77777777" w:rsidR="007854A9" w:rsidRPr="008F182D" w:rsidRDefault="007854A9" w:rsidP="003D4ACC">
            <w:pPr>
              <w:jc w:val="right"/>
              <w:rPr>
                <w:rFonts w:ascii="Arial" w:hAnsi="Arial" w:cs="Arial"/>
                <w:b/>
                <w:bCs/>
              </w:rPr>
            </w:pPr>
            <w:r w:rsidRPr="008F182D">
              <w:rPr>
                <w:rFonts w:ascii="Arial" w:hAnsi="Arial" w:cs="Arial"/>
                <w:b/>
                <w:bCs/>
              </w:rPr>
              <w:t>2022/23 Yields</w:t>
            </w:r>
          </w:p>
        </w:tc>
        <w:tc>
          <w:tcPr>
            <w:tcW w:w="666" w:type="pct"/>
            <w:tcBorders>
              <w:top w:val="nil"/>
              <w:left w:val="nil"/>
              <w:bottom w:val="single" w:sz="4" w:space="0" w:color="auto"/>
              <w:right w:val="nil"/>
            </w:tcBorders>
          </w:tcPr>
          <w:p w14:paraId="5DC5B9F9" w14:textId="77777777" w:rsidR="007854A9" w:rsidRPr="008F182D" w:rsidRDefault="007854A9" w:rsidP="003D4ACC">
            <w:pPr>
              <w:jc w:val="right"/>
              <w:rPr>
                <w:rFonts w:ascii="Arial" w:hAnsi="Arial" w:cs="Arial"/>
                <w:bCs/>
              </w:rPr>
            </w:pPr>
            <w:r w:rsidRPr="008F182D">
              <w:rPr>
                <w:rFonts w:ascii="Arial" w:hAnsi="Arial" w:cs="Arial"/>
                <w:bCs/>
              </w:rPr>
              <w:t>2021/22</w:t>
            </w:r>
          </w:p>
          <w:p w14:paraId="057C7EC5" w14:textId="77777777" w:rsidR="007854A9" w:rsidRPr="008F182D" w:rsidRDefault="007854A9" w:rsidP="003D4ACC">
            <w:pPr>
              <w:jc w:val="right"/>
              <w:rPr>
                <w:rFonts w:ascii="Arial" w:hAnsi="Arial" w:cs="Arial"/>
                <w:bCs/>
              </w:rPr>
            </w:pPr>
            <w:r w:rsidRPr="008F182D">
              <w:rPr>
                <w:rFonts w:ascii="Arial" w:hAnsi="Arial" w:cs="Arial"/>
                <w:bCs/>
              </w:rPr>
              <w:t>£bn</w:t>
            </w:r>
          </w:p>
        </w:tc>
        <w:tc>
          <w:tcPr>
            <w:tcW w:w="666" w:type="pct"/>
            <w:tcBorders>
              <w:top w:val="nil"/>
              <w:left w:val="nil"/>
              <w:bottom w:val="single" w:sz="4" w:space="0" w:color="auto"/>
              <w:right w:val="nil"/>
            </w:tcBorders>
          </w:tcPr>
          <w:p w14:paraId="141801F8" w14:textId="77777777" w:rsidR="007854A9" w:rsidRPr="008F182D" w:rsidRDefault="007854A9" w:rsidP="003D4ACC">
            <w:pPr>
              <w:jc w:val="right"/>
              <w:rPr>
                <w:rFonts w:ascii="Arial" w:hAnsi="Arial" w:cs="Arial"/>
                <w:bCs/>
              </w:rPr>
            </w:pPr>
            <w:r w:rsidRPr="008F182D">
              <w:rPr>
                <w:rFonts w:ascii="Arial" w:hAnsi="Arial" w:cs="Arial"/>
                <w:bCs/>
              </w:rPr>
              <w:t>2021/22 Yields</w:t>
            </w:r>
          </w:p>
        </w:tc>
      </w:tr>
      <w:tr w:rsidR="006F65CF" w:rsidRPr="008F182D" w14:paraId="1F7FD650" w14:textId="77777777" w:rsidTr="003D4ACC">
        <w:trPr>
          <w:trHeight w:val="266"/>
        </w:trPr>
        <w:tc>
          <w:tcPr>
            <w:tcW w:w="2336" w:type="pct"/>
            <w:tcBorders>
              <w:top w:val="single" w:sz="4" w:space="0" w:color="auto"/>
            </w:tcBorders>
            <w:vAlign w:val="bottom"/>
          </w:tcPr>
          <w:p w14:paraId="20E60D40" w14:textId="77777777" w:rsidR="006F65CF" w:rsidRPr="008F182D" w:rsidRDefault="006F65CF" w:rsidP="006F65CF">
            <w:pPr>
              <w:rPr>
                <w:rFonts w:ascii="Arial" w:hAnsi="Arial" w:cs="Arial"/>
              </w:rPr>
            </w:pPr>
            <w:r w:rsidRPr="008F182D">
              <w:rPr>
                <w:rFonts w:ascii="Arial" w:hAnsi="Arial" w:cs="Arial"/>
              </w:rPr>
              <w:t>France</w:t>
            </w:r>
          </w:p>
        </w:tc>
        <w:tc>
          <w:tcPr>
            <w:tcW w:w="666" w:type="pct"/>
            <w:tcBorders>
              <w:top w:val="single" w:sz="4" w:space="0" w:color="auto"/>
            </w:tcBorders>
            <w:vAlign w:val="bottom"/>
          </w:tcPr>
          <w:p w14:paraId="349706B9" w14:textId="70E791AB" w:rsidR="006F65CF" w:rsidRPr="001C6AC2" w:rsidRDefault="006F65CF" w:rsidP="006F65CF">
            <w:pPr>
              <w:jc w:val="right"/>
              <w:rPr>
                <w:rFonts w:ascii="Arial" w:hAnsi="Arial" w:cs="Arial"/>
                <w:b/>
              </w:rPr>
            </w:pPr>
            <w:r w:rsidRPr="008F182D">
              <w:rPr>
                <w:rFonts w:ascii="Arial" w:hAnsi="Arial" w:cs="Arial"/>
                <w:bCs/>
              </w:rPr>
              <w:t>1.4</w:t>
            </w:r>
          </w:p>
        </w:tc>
        <w:tc>
          <w:tcPr>
            <w:tcW w:w="666" w:type="pct"/>
            <w:tcBorders>
              <w:top w:val="single" w:sz="4" w:space="0" w:color="auto"/>
            </w:tcBorders>
            <w:vAlign w:val="bottom"/>
          </w:tcPr>
          <w:p w14:paraId="20E9C312" w14:textId="7ECC5018" w:rsidR="006F65CF" w:rsidRPr="001C6AC2" w:rsidRDefault="006F65CF" w:rsidP="006F65CF">
            <w:pPr>
              <w:jc w:val="right"/>
              <w:rPr>
                <w:rFonts w:ascii="Arial" w:hAnsi="Arial" w:cs="Arial"/>
                <w:b/>
              </w:rPr>
            </w:pPr>
            <w:r w:rsidRPr="008F182D">
              <w:rPr>
                <w:rFonts w:ascii="Arial" w:hAnsi="Arial" w:cs="Arial"/>
                <w:bCs/>
              </w:rPr>
              <w:t>8.1%</w:t>
            </w:r>
          </w:p>
        </w:tc>
        <w:tc>
          <w:tcPr>
            <w:tcW w:w="666" w:type="pct"/>
            <w:tcBorders>
              <w:top w:val="single" w:sz="4" w:space="0" w:color="auto"/>
            </w:tcBorders>
            <w:vAlign w:val="bottom"/>
          </w:tcPr>
          <w:p w14:paraId="42ED578A" w14:textId="77777777" w:rsidR="006F65CF" w:rsidRPr="008F182D" w:rsidRDefault="006F65CF" w:rsidP="006F65CF">
            <w:pPr>
              <w:jc w:val="right"/>
              <w:rPr>
                <w:rFonts w:ascii="Arial" w:hAnsi="Arial" w:cs="Arial"/>
                <w:bCs/>
              </w:rPr>
            </w:pPr>
            <w:r w:rsidRPr="008F182D">
              <w:rPr>
                <w:rFonts w:ascii="Arial" w:hAnsi="Arial" w:cs="Arial"/>
                <w:bCs/>
              </w:rPr>
              <w:t>1.3</w:t>
            </w:r>
          </w:p>
        </w:tc>
        <w:tc>
          <w:tcPr>
            <w:tcW w:w="666" w:type="pct"/>
            <w:tcBorders>
              <w:top w:val="single" w:sz="4" w:space="0" w:color="auto"/>
            </w:tcBorders>
            <w:vAlign w:val="bottom"/>
          </w:tcPr>
          <w:p w14:paraId="26442658" w14:textId="77777777" w:rsidR="006F65CF" w:rsidRPr="008F182D" w:rsidRDefault="006F65CF" w:rsidP="006F65CF">
            <w:pPr>
              <w:jc w:val="right"/>
              <w:rPr>
                <w:rFonts w:ascii="Arial" w:hAnsi="Arial" w:cs="Arial"/>
                <w:bCs/>
              </w:rPr>
            </w:pPr>
            <w:r w:rsidRPr="008F182D">
              <w:rPr>
                <w:rFonts w:ascii="Arial" w:hAnsi="Arial" w:cs="Arial"/>
                <w:bCs/>
              </w:rPr>
              <w:t>8.0%</w:t>
            </w:r>
          </w:p>
        </w:tc>
      </w:tr>
      <w:tr w:rsidR="006F65CF" w:rsidRPr="008F182D" w14:paraId="13934860" w14:textId="77777777" w:rsidTr="003D4ACC">
        <w:trPr>
          <w:trHeight w:val="266"/>
        </w:trPr>
        <w:tc>
          <w:tcPr>
            <w:tcW w:w="2336" w:type="pct"/>
            <w:tcBorders>
              <w:left w:val="nil"/>
              <w:bottom w:val="nil"/>
              <w:right w:val="nil"/>
            </w:tcBorders>
            <w:vAlign w:val="bottom"/>
          </w:tcPr>
          <w:p w14:paraId="064D7476" w14:textId="77777777" w:rsidR="006F65CF" w:rsidRPr="008F182D" w:rsidRDefault="006F65CF" w:rsidP="006F65CF">
            <w:pPr>
              <w:rPr>
                <w:rFonts w:ascii="Arial" w:hAnsi="Arial" w:cs="Arial"/>
              </w:rPr>
            </w:pPr>
            <w:r w:rsidRPr="008F182D">
              <w:rPr>
                <w:rFonts w:ascii="Arial" w:hAnsi="Arial" w:cs="Arial"/>
              </w:rPr>
              <w:t>UK</w:t>
            </w:r>
          </w:p>
        </w:tc>
        <w:tc>
          <w:tcPr>
            <w:tcW w:w="666" w:type="pct"/>
            <w:tcBorders>
              <w:left w:val="nil"/>
              <w:bottom w:val="nil"/>
              <w:right w:val="nil"/>
            </w:tcBorders>
            <w:vAlign w:val="bottom"/>
          </w:tcPr>
          <w:p w14:paraId="64798B96" w14:textId="7F299609" w:rsidR="006F65CF" w:rsidRPr="001C6AC2" w:rsidRDefault="006F65CF" w:rsidP="006F65CF">
            <w:pPr>
              <w:jc w:val="right"/>
              <w:rPr>
                <w:rFonts w:ascii="Arial" w:hAnsi="Arial" w:cs="Arial"/>
                <w:b/>
              </w:rPr>
            </w:pPr>
            <w:r w:rsidRPr="008F182D">
              <w:rPr>
                <w:rFonts w:ascii="Arial" w:hAnsi="Arial" w:cs="Arial"/>
                <w:bCs/>
              </w:rPr>
              <w:t>0.5</w:t>
            </w:r>
          </w:p>
        </w:tc>
        <w:tc>
          <w:tcPr>
            <w:tcW w:w="666" w:type="pct"/>
            <w:tcBorders>
              <w:left w:val="nil"/>
              <w:bottom w:val="nil"/>
              <w:right w:val="nil"/>
            </w:tcBorders>
            <w:vAlign w:val="bottom"/>
          </w:tcPr>
          <w:p w14:paraId="25ECE697" w14:textId="796DD811" w:rsidR="006F65CF" w:rsidRPr="001C6AC2" w:rsidRDefault="006F65CF" w:rsidP="006F65CF">
            <w:pPr>
              <w:jc w:val="right"/>
              <w:rPr>
                <w:rFonts w:ascii="Arial" w:hAnsi="Arial" w:cs="Arial"/>
                <w:b/>
              </w:rPr>
            </w:pPr>
            <w:r w:rsidRPr="008F182D">
              <w:rPr>
                <w:rFonts w:ascii="Arial" w:hAnsi="Arial" w:cs="Arial"/>
                <w:bCs/>
              </w:rPr>
              <w:t>7.2%</w:t>
            </w:r>
          </w:p>
        </w:tc>
        <w:tc>
          <w:tcPr>
            <w:tcW w:w="666" w:type="pct"/>
            <w:tcBorders>
              <w:left w:val="nil"/>
              <w:bottom w:val="nil"/>
              <w:right w:val="nil"/>
            </w:tcBorders>
            <w:vAlign w:val="bottom"/>
          </w:tcPr>
          <w:p w14:paraId="0C56F451" w14:textId="77777777" w:rsidR="006F65CF" w:rsidRPr="008F182D" w:rsidRDefault="006F65CF" w:rsidP="006F65CF">
            <w:pPr>
              <w:jc w:val="right"/>
              <w:rPr>
                <w:rFonts w:ascii="Arial" w:hAnsi="Arial" w:cs="Arial"/>
                <w:bCs/>
              </w:rPr>
            </w:pPr>
            <w:r w:rsidRPr="008F182D">
              <w:rPr>
                <w:rFonts w:ascii="Arial" w:hAnsi="Arial" w:cs="Arial"/>
                <w:bCs/>
              </w:rPr>
              <w:t>0.6</w:t>
            </w:r>
          </w:p>
        </w:tc>
        <w:tc>
          <w:tcPr>
            <w:tcW w:w="666" w:type="pct"/>
            <w:tcBorders>
              <w:left w:val="nil"/>
              <w:bottom w:val="nil"/>
              <w:right w:val="nil"/>
            </w:tcBorders>
            <w:vAlign w:val="bottom"/>
          </w:tcPr>
          <w:p w14:paraId="7EE78982" w14:textId="77777777" w:rsidR="006F65CF" w:rsidRPr="008F182D" w:rsidRDefault="006F65CF" w:rsidP="006F65CF">
            <w:pPr>
              <w:jc w:val="right"/>
              <w:rPr>
                <w:rFonts w:ascii="Arial" w:hAnsi="Arial" w:cs="Arial"/>
                <w:bCs/>
              </w:rPr>
            </w:pPr>
            <w:r w:rsidRPr="008F182D">
              <w:rPr>
                <w:rFonts w:ascii="Arial" w:hAnsi="Arial" w:cs="Arial"/>
                <w:bCs/>
              </w:rPr>
              <w:t>6.2%</w:t>
            </w:r>
          </w:p>
        </w:tc>
      </w:tr>
      <w:tr w:rsidR="006F65CF" w:rsidRPr="008F182D" w14:paraId="19B18645" w14:textId="77777777" w:rsidTr="003D4ACC">
        <w:trPr>
          <w:trHeight w:val="266"/>
        </w:trPr>
        <w:tc>
          <w:tcPr>
            <w:tcW w:w="2336" w:type="pct"/>
            <w:vAlign w:val="bottom"/>
          </w:tcPr>
          <w:p w14:paraId="144C4001" w14:textId="77777777" w:rsidR="006F65CF" w:rsidRPr="008F182D" w:rsidRDefault="006F65CF" w:rsidP="006F65CF">
            <w:pPr>
              <w:rPr>
                <w:rFonts w:ascii="Arial" w:hAnsi="Arial" w:cs="Arial"/>
              </w:rPr>
            </w:pPr>
            <w:r w:rsidRPr="008F182D">
              <w:rPr>
                <w:rFonts w:ascii="Arial" w:hAnsi="Arial" w:cs="Arial"/>
              </w:rPr>
              <w:t>Poland</w:t>
            </w:r>
          </w:p>
        </w:tc>
        <w:tc>
          <w:tcPr>
            <w:tcW w:w="666" w:type="pct"/>
            <w:vAlign w:val="bottom"/>
          </w:tcPr>
          <w:p w14:paraId="4C401186" w14:textId="06070DAC" w:rsidR="006F65CF" w:rsidRPr="001C6AC2" w:rsidRDefault="006F65CF" w:rsidP="006F65CF">
            <w:pPr>
              <w:jc w:val="right"/>
              <w:rPr>
                <w:rFonts w:ascii="Arial" w:hAnsi="Arial" w:cs="Arial"/>
                <w:b/>
              </w:rPr>
            </w:pPr>
            <w:r w:rsidRPr="008F182D">
              <w:rPr>
                <w:rFonts w:ascii="Arial" w:hAnsi="Arial" w:cs="Arial"/>
                <w:bCs/>
              </w:rPr>
              <w:t>0.7</w:t>
            </w:r>
          </w:p>
        </w:tc>
        <w:tc>
          <w:tcPr>
            <w:tcW w:w="666" w:type="pct"/>
            <w:vAlign w:val="bottom"/>
          </w:tcPr>
          <w:p w14:paraId="50ED0D22" w14:textId="57A43EF3" w:rsidR="006F65CF" w:rsidRPr="001C6AC2" w:rsidRDefault="006F65CF" w:rsidP="006F65CF">
            <w:pPr>
              <w:jc w:val="right"/>
              <w:rPr>
                <w:rFonts w:ascii="Arial" w:hAnsi="Arial" w:cs="Arial"/>
                <w:b/>
              </w:rPr>
            </w:pPr>
            <w:r w:rsidRPr="008F182D">
              <w:rPr>
                <w:rFonts w:ascii="Arial" w:hAnsi="Arial" w:cs="Arial"/>
                <w:bCs/>
              </w:rPr>
              <w:t>8.0%</w:t>
            </w:r>
          </w:p>
        </w:tc>
        <w:tc>
          <w:tcPr>
            <w:tcW w:w="666" w:type="pct"/>
            <w:vAlign w:val="bottom"/>
          </w:tcPr>
          <w:p w14:paraId="311DA7D2" w14:textId="77777777" w:rsidR="006F65CF" w:rsidRPr="008F182D" w:rsidRDefault="006F65CF" w:rsidP="006F65CF">
            <w:pPr>
              <w:jc w:val="right"/>
              <w:rPr>
                <w:rFonts w:ascii="Arial" w:hAnsi="Arial" w:cs="Arial"/>
                <w:bCs/>
              </w:rPr>
            </w:pPr>
            <w:r w:rsidRPr="008F182D">
              <w:rPr>
                <w:rFonts w:ascii="Arial" w:hAnsi="Arial" w:cs="Arial"/>
                <w:bCs/>
              </w:rPr>
              <w:t>0.7</w:t>
            </w:r>
          </w:p>
        </w:tc>
        <w:tc>
          <w:tcPr>
            <w:tcW w:w="666" w:type="pct"/>
            <w:vAlign w:val="bottom"/>
          </w:tcPr>
          <w:p w14:paraId="59BBEE4B" w14:textId="77777777" w:rsidR="006F65CF" w:rsidRPr="008F182D" w:rsidRDefault="006F65CF" w:rsidP="006F65CF">
            <w:pPr>
              <w:jc w:val="right"/>
              <w:rPr>
                <w:rFonts w:ascii="Arial" w:hAnsi="Arial" w:cs="Arial"/>
                <w:bCs/>
              </w:rPr>
            </w:pPr>
            <w:r w:rsidRPr="008F182D">
              <w:rPr>
                <w:rFonts w:ascii="Arial" w:hAnsi="Arial" w:cs="Arial"/>
                <w:bCs/>
              </w:rPr>
              <w:t>7.6%</w:t>
            </w:r>
          </w:p>
        </w:tc>
      </w:tr>
      <w:tr w:rsidR="006F65CF" w:rsidRPr="008F182D" w14:paraId="04D9616B" w14:textId="77777777" w:rsidTr="003D4ACC">
        <w:trPr>
          <w:trHeight w:val="266"/>
        </w:trPr>
        <w:tc>
          <w:tcPr>
            <w:tcW w:w="2336" w:type="pct"/>
            <w:tcBorders>
              <w:top w:val="nil"/>
              <w:left w:val="nil"/>
              <w:bottom w:val="single" w:sz="4" w:space="0" w:color="auto"/>
              <w:right w:val="nil"/>
            </w:tcBorders>
            <w:vAlign w:val="bottom"/>
          </w:tcPr>
          <w:p w14:paraId="4A78C26F" w14:textId="77777777" w:rsidR="006F65CF" w:rsidRPr="008F182D" w:rsidRDefault="006F65CF" w:rsidP="006F65CF">
            <w:pPr>
              <w:jc w:val="left"/>
              <w:rPr>
                <w:rFonts w:ascii="Arial" w:hAnsi="Arial" w:cs="Arial"/>
              </w:rPr>
            </w:pPr>
            <w:r w:rsidRPr="008F182D">
              <w:rPr>
                <w:rFonts w:ascii="Arial" w:hAnsi="Arial" w:cs="Arial"/>
              </w:rPr>
              <w:t>Other</w:t>
            </w:r>
          </w:p>
        </w:tc>
        <w:tc>
          <w:tcPr>
            <w:tcW w:w="666" w:type="pct"/>
            <w:tcBorders>
              <w:top w:val="nil"/>
              <w:left w:val="nil"/>
              <w:bottom w:val="single" w:sz="4" w:space="0" w:color="auto"/>
              <w:right w:val="nil"/>
            </w:tcBorders>
            <w:vAlign w:val="bottom"/>
          </w:tcPr>
          <w:p w14:paraId="15C7ED1A" w14:textId="530FC459" w:rsidR="006F65CF" w:rsidRPr="001C6AC2" w:rsidRDefault="006F65CF" w:rsidP="006F65CF">
            <w:pPr>
              <w:jc w:val="right"/>
              <w:rPr>
                <w:rFonts w:ascii="Arial" w:hAnsi="Arial" w:cs="Arial"/>
                <w:b/>
              </w:rPr>
            </w:pPr>
            <w:r w:rsidRPr="008F182D">
              <w:rPr>
                <w:rFonts w:ascii="Arial" w:hAnsi="Arial" w:cs="Arial"/>
                <w:bCs/>
              </w:rPr>
              <w:t>0.2</w:t>
            </w:r>
          </w:p>
        </w:tc>
        <w:tc>
          <w:tcPr>
            <w:tcW w:w="666" w:type="pct"/>
            <w:tcBorders>
              <w:top w:val="nil"/>
              <w:left w:val="nil"/>
              <w:bottom w:val="single" w:sz="4" w:space="0" w:color="auto"/>
              <w:right w:val="nil"/>
            </w:tcBorders>
            <w:vAlign w:val="bottom"/>
          </w:tcPr>
          <w:p w14:paraId="31DFAA94" w14:textId="1EEC5C88" w:rsidR="006F65CF" w:rsidRPr="001C6AC2" w:rsidRDefault="006F65CF" w:rsidP="006F65CF">
            <w:pPr>
              <w:jc w:val="right"/>
              <w:rPr>
                <w:rFonts w:ascii="Arial" w:hAnsi="Arial" w:cs="Arial"/>
                <w:b/>
              </w:rPr>
            </w:pPr>
            <w:r w:rsidRPr="008F182D">
              <w:rPr>
                <w:rFonts w:ascii="Arial" w:hAnsi="Arial" w:cs="Arial"/>
                <w:bCs/>
              </w:rPr>
              <w:t>n/a</w:t>
            </w:r>
          </w:p>
        </w:tc>
        <w:tc>
          <w:tcPr>
            <w:tcW w:w="666" w:type="pct"/>
            <w:tcBorders>
              <w:top w:val="nil"/>
              <w:left w:val="nil"/>
              <w:bottom w:val="single" w:sz="4" w:space="0" w:color="auto"/>
              <w:right w:val="nil"/>
            </w:tcBorders>
            <w:vAlign w:val="bottom"/>
          </w:tcPr>
          <w:p w14:paraId="6C9FC914" w14:textId="77777777" w:rsidR="006F65CF" w:rsidRPr="008F182D" w:rsidRDefault="006F65CF" w:rsidP="006F65CF">
            <w:pPr>
              <w:jc w:val="right"/>
              <w:rPr>
                <w:rFonts w:ascii="Arial" w:hAnsi="Arial" w:cs="Arial"/>
                <w:bCs/>
              </w:rPr>
            </w:pPr>
            <w:r w:rsidRPr="008F182D">
              <w:rPr>
                <w:rFonts w:ascii="Arial" w:hAnsi="Arial" w:cs="Arial"/>
                <w:bCs/>
              </w:rPr>
              <w:t>0.2</w:t>
            </w:r>
          </w:p>
        </w:tc>
        <w:tc>
          <w:tcPr>
            <w:tcW w:w="666" w:type="pct"/>
            <w:tcBorders>
              <w:top w:val="nil"/>
              <w:left w:val="nil"/>
              <w:bottom w:val="single" w:sz="4" w:space="0" w:color="auto"/>
              <w:right w:val="nil"/>
            </w:tcBorders>
            <w:vAlign w:val="bottom"/>
          </w:tcPr>
          <w:p w14:paraId="48F1F1E3" w14:textId="77777777" w:rsidR="006F65CF" w:rsidRPr="008F182D" w:rsidRDefault="006F65CF" w:rsidP="006F65CF">
            <w:pPr>
              <w:jc w:val="right"/>
              <w:rPr>
                <w:rFonts w:ascii="Arial" w:hAnsi="Arial" w:cs="Arial"/>
                <w:bCs/>
              </w:rPr>
            </w:pPr>
            <w:r w:rsidRPr="008F182D">
              <w:rPr>
                <w:rFonts w:ascii="Arial" w:hAnsi="Arial" w:cs="Arial"/>
                <w:bCs/>
              </w:rPr>
              <w:t>n/a</w:t>
            </w:r>
          </w:p>
        </w:tc>
      </w:tr>
      <w:tr w:rsidR="006F65CF" w:rsidRPr="008F182D" w14:paraId="3D10CE7A" w14:textId="77777777" w:rsidTr="003D4ACC">
        <w:trPr>
          <w:trHeight w:val="266"/>
        </w:trPr>
        <w:tc>
          <w:tcPr>
            <w:tcW w:w="2336" w:type="pct"/>
            <w:tcBorders>
              <w:top w:val="single" w:sz="4" w:space="0" w:color="auto"/>
              <w:left w:val="nil"/>
              <w:bottom w:val="single" w:sz="4" w:space="0" w:color="auto"/>
              <w:right w:val="nil"/>
            </w:tcBorders>
            <w:vAlign w:val="bottom"/>
          </w:tcPr>
          <w:p w14:paraId="227AF215" w14:textId="77777777" w:rsidR="006F65CF" w:rsidRPr="008F182D" w:rsidRDefault="006F65CF" w:rsidP="006F65CF">
            <w:pPr>
              <w:jc w:val="left"/>
              <w:rPr>
                <w:rFonts w:ascii="Arial" w:hAnsi="Arial" w:cs="Arial"/>
                <w:b/>
              </w:rPr>
            </w:pPr>
            <w:r w:rsidRPr="008F182D">
              <w:rPr>
                <w:rFonts w:ascii="Arial" w:hAnsi="Arial" w:cs="Arial"/>
                <w:b/>
              </w:rPr>
              <w:t>Total</w:t>
            </w:r>
          </w:p>
        </w:tc>
        <w:tc>
          <w:tcPr>
            <w:tcW w:w="666" w:type="pct"/>
            <w:tcBorders>
              <w:top w:val="single" w:sz="4" w:space="0" w:color="auto"/>
              <w:left w:val="nil"/>
              <w:bottom w:val="single" w:sz="4" w:space="0" w:color="auto"/>
              <w:right w:val="nil"/>
            </w:tcBorders>
            <w:vAlign w:val="bottom"/>
          </w:tcPr>
          <w:p w14:paraId="61A5C98C" w14:textId="6CA68AD8" w:rsidR="006F65CF" w:rsidRPr="001C6AC2" w:rsidRDefault="006F65CF" w:rsidP="006F65CF">
            <w:pPr>
              <w:jc w:val="right"/>
              <w:rPr>
                <w:rFonts w:ascii="Arial" w:hAnsi="Arial" w:cs="Arial"/>
                <w:b/>
              </w:rPr>
            </w:pPr>
            <w:r w:rsidRPr="008F182D">
              <w:rPr>
                <w:rFonts w:ascii="Arial" w:hAnsi="Arial" w:cs="Arial"/>
                <w:bCs/>
              </w:rPr>
              <w:t>2.8</w:t>
            </w:r>
          </w:p>
        </w:tc>
        <w:tc>
          <w:tcPr>
            <w:tcW w:w="666" w:type="pct"/>
            <w:tcBorders>
              <w:top w:val="single" w:sz="4" w:space="0" w:color="auto"/>
              <w:left w:val="nil"/>
              <w:bottom w:val="single" w:sz="4" w:space="0" w:color="auto"/>
              <w:right w:val="nil"/>
            </w:tcBorders>
            <w:vAlign w:val="bottom"/>
          </w:tcPr>
          <w:p w14:paraId="3031E95C" w14:textId="77777777" w:rsidR="006F65CF" w:rsidRPr="001C6AC2" w:rsidRDefault="006F65CF" w:rsidP="006F65CF">
            <w:pPr>
              <w:jc w:val="right"/>
              <w:rPr>
                <w:rFonts w:ascii="Arial" w:hAnsi="Arial" w:cs="Arial"/>
              </w:rPr>
            </w:pPr>
          </w:p>
        </w:tc>
        <w:tc>
          <w:tcPr>
            <w:tcW w:w="666" w:type="pct"/>
            <w:tcBorders>
              <w:top w:val="single" w:sz="4" w:space="0" w:color="auto"/>
              <w:left w:val="nil"/>
              <w:bottom w:val="single" w:sz="4" w:space="0" w:color="auto"/>
              <w:right w:val="nil"/>
            </w:tcBorders>
            <w:vAlign w:val="bottom"/>
          </w:tcPr>
          <w:p w14:paraId="05D23EAD" w14:textId="77777777" w:rsidR="006F65CF" w:rsidRPr="008F182D" w:rsidRDefault="006F65CF" w:rsidP="006F65CF">
            <w:pPr>
              <w:jc w:val="right"/>
              <w:rPr>
                <w:rFonts w:ascii="Arial" w:hAnsi="Arial" w:cs="Arial"/>
                <w:bCs/>
              </w:rPr>
            </w:pPr>
            <w:r w:rsidRPr="008F182D">
              <w:rPr>
                <w:rFonts w:ascii="Arial" w:hAnsi="Arial" w:cs="Arial"/>
                <w:bCs/>
              </w:rPr>
              <w:t>2.8</w:t>
            </w:r>
          </w:p>
        </w:tc>
        <w:tc>
          <w:tcPr>
            <w:tcW w:w="666" w:type="pct"/>
            <w:tcBorders>
              <w:top w:val="single" w:sz="4" w:space="0" w:color="auto"/>
              <w:left w:val="nil"/>
              <w:bottom w:val="single" w:sz="4" w:space="0" w:color="auto"/>
              <w:right w:val="nil"/>
            </w:tcBorders>
            <w:vAlign w:val="bottom"/>
          </w:tcPr>
          <w:p w14:paraId="6DBB1490" w14:textId="77777777" w:rsidR="006F65CF" w:rsidRPr="008F182D" w:rsidRDefault="006F65CF" w:rsidP="006F65CF">
            <w:pPr>
              <w:jc w:val="right"/>
              <w:rPr>
                <w:rFonts w:ascii="Arial" w:hAnsi="Arial" w:cs="Arial"/>
                <w:bCs/>
              </w:rPr>
            </w:pPr>
          </w:p>
        </w:tc>
      </w:tr>
    </w:tbl>
    <w:p w14:paraId="48CDE308" w14:textId="77777777" w:rsidR="007854A9" w:rsidRPr="008F182D" w:rsidRDefault="007854A9" w:rsidP="007854A9">
      <w:pPr>
        <w:jc w:val="left"/>
        <w:rPr>
          <w:rFonts w:ascii="Arial" w:hAnsi="Arial" w:cs="Arial"/>
        </w:rPr>
      </w:pPr>
    </w:p>
    <w:p w14:paraId="1D8B730A" w14:textId="4C297E93" w:rsidR="007854A9" w:rsidRDefault="007854A9" w:rsidP="007854A9">
      <w:pPr>
        <w:jc w:val="left"/>
        <w:rPr>
          <w:rFonts w:ascii="Arial" w:hAnsi="Arial" w:cs="Arial"/>
          <w:bCs/>
        </w:rPr>
      </w:pPr>
      <w:r w:rsidRPr="008F182D">
        <w:rPr>
          <w:rFonts w:ascii="Arial" w:hAnsi="Arial" w:cs="Arial"/>
        </w:rPr>
        <w:t>This is compared to the net book value of £</w:t>
      </w:r>
      <w:r w:rsidR="006F65CF" w:rsidRPr="008F182D">
        <w:rPr>
          <w:rFonts w:ascii="Arial" w:hAnsi="Arial" w:cs="Arial"/>
        </w:rPr>
        <w:t>2.2</w:t>
      </w:r>
      <w:r w:rsidRPr="008F182D">
        <w:rPr>
          <w:rFonts w:ascii="Arial" w:hAnsi="Arial" w:cs="Arial"/>
        </w:rPr>
        <w:t>bn (FY 21/22: £2.2bn) recorded in the financial statements (including investment property and property included</w:t>
      </w:r>
      <w:r>
        <w:rPr>
          <w:rFonts w:ascii="Arial" w:hAnsi="Arial" w:cs="Arial"/>
        </w:rPr>
        <w:t xml:space="preserve"> within assets</w:t>
      </w:r>
      <w:r w:rsidRPr="0068131D">
        <w:rPr>
          <w:rFonts w:ascii="Arial" w:hAnsi="Arial" w:cs="Arial"/>
        </w:rPr>
        <w:t xml:space="preserve"> held for sale). </w:t>
      </w:r>
      <w:r w:rsidRPr="0068131D">
        <w:rPr>
          <w:rFonts w:ascii="Arial" w:hAnsi="Arial" w:cs="Arial"/>
          <w:bCs/>
        </w:rPr>
        <w:t>Balance sheet values were frozen at 1 February 2004 on the transition to IFRS</w:t>
      </w:r>
      <w:r w:rsidRPr="00FC5F48">
        <w:rPr>
          <w:rFonts w:ascii="Arial" w:hAnsi="Arial" w:cs="Arial"/>
          <w:bCs/>
        </w:rPr>
        <w:t>.</w:t>
      </w:r>
    </w:p>
    <w:p w14:paraId="09C904E7" w14:textId="77777777" w:rsidR="007854A9" w:rsidRDefault="007854A9" w:rsidP="007854A9">
      <w:pPr>
        <w:jc w:val="left"/>
        <w:rPr>
          <w:rFonts w:ascii="Arial" w:hAnsi="Arial" w:cs="Arial"/>
          <w:b/>
          <w:bCs/>
        </w:rPr>
      </w:pPr>
    </w:p>
    <w:p w14:paraId="7FCDC338" w14:textId="77777777" w:rsidR="007854A9" w:rsidRPr="005C347E" w:rsidRDefault="007854A9" w:rsidP="007854A9">
      <w:pPr>
        <w:jc w:val="left"/>
        <w:rPr>
          <w:rFonts w:ascii="Arial" w:hAnsi="Arial" w:cs="Arial"/>
          <w:b/>
          <w:bCs/>
        </w:rPr>
      </w:pPr>
      <w:r w:rsidRPr="005C347E">
        <w:rPr>
          <w:rFonts w:ascii="Arial" w:hAnsi="Arial" w:cs="Arial"/>
          <w:b/>
          <w:bCs/>
        </w:rPr>
        <w:t>Pensions</w:t>
      </w:r>
    </w:p>
    <w:bookmarkEnd w:id="75"/>
    <w:p w14:paraId="13C7291E" w14:textId="312CB03F" w:rsidR="007854A9" w:rsidRPr="006549AB" w:rsidRDefault="007854A9" w:rsidP="007854A9">
      <w:pPr>
        <w:jc w:val="left"/>
        <w:rPr>
          <w:rFonts w:ascii="Arial" w:hAnsi="Arial" w:cs="Arial"/>
        </w:rPr>
      </w:pPr>
      <w:r w:rsidRPr="00813927">
        <w:rPr>
          <w:rFonts w:ascii="Arial" w:hAnsi="Arial" w:cs="Arial"/>
        </w:rPr>
        <w:t>As of 31 January 2023, the Group had a net surplus of £137m (FY 21/22: £410m net surplus) in relation to defined benefit pension arrangements, of which a £251m surplus (FY 21/22: £540m surplus) was in relation to the UK scheme. The decrease in net surplus is mainly due to significant increases in yields on UK government and corporate bonds which has caused reductions of around a third in both scheme liabilities and assets</w:t>
      </w:r>
      <w:r>
        <w:rPr>
          <w:rFonts w:ascii="Arial" w:hAnsi="Arial" w:cs="Arial"/>
        </w:rPr>
        <w:t>;</w:t>
      </w:r>
      <w:r w:rsidRPr="00813927">
        <w:rPr>
          <w:rFonts w:ascii="Arial" w:hAnsi="Arial" w:cs="Arial"/>
        </w:rPr>
        <w:t xml:space="preserve"> the latter reflecting the liability-matching investment strategy. Further actuarial losses arose due to updated membership data and demographic assumptions following the triennial funding valuation completed in the year. As part of the funding valuation exercise, the Trustee and Kingfisher have agreed to cease annual employer contributions during the period from August 2022 to July 2025. The accounting valuation is sensitive to a number of assumptions and market rates which are likely to fluctuate in the future. Refer to note </w:t>
      </w:r>
      <w:r w:rsidR="00DE15A1">
        <w:rPr>
          <w:rFonts w:ascii="Arial" w:hAnsi="Arial" w:cs="Arial"/>
        </w:rPr>
        <w:t>10</w:t>
      </w:r>
      <w:r w:rsidR="00DE15A1" w:rsidRPr="00813927">
        <w:rPr>
          <w:rFonts w:ascii="Arial" w:hAnsi="Arial" w:cs="Arial"/>
        </w:rPr>
        <w:t xml:space="preserve"> </w:t>
      </w:r>
      <w:r w:rsidRPr="00813927">
        <w:rPr>
          <w:rFonts w:ascii="Arial" w:hAnsi="Arial" w:cs="Arial"/>
        </w:rPr>
        <w:t>of the condensed financial statements.</w:t>
      </w:r>
    </w:p>
    <w:p w14:paraId="3498AEF4" w14:textId="2C6A2423" w:rsidR="0005557A" w:rsidRDefault="0005557A" w:rsidP="00CC3104">
      <w:pPr>
        <w:jc w:val="left"/>
        <w:rPr>
          <w:rFonts w:ascii="Arial" w:hAnsi="Arial" w:cs="Arial"/>
        </w:rPr>
      </w:pPr>
    </w:p>
    <w:p w14:paraId="7EF915C6" w14:textId="77777777" w:rsidR="0005557A" w:rsidRPr="0005557A" w:rsidRDefault="0005557A" w:rsidP="00CC3104">
      <w:pPr>
        <w:jc w:val="left"/>
        <w:rPr>
          <w:rFonts w:ascii="Arial" w:hAnsi="Arial" w:cs="Arial"/>
        </w:rPr>
      </w:pPr>
    </w:p>
    <w:p w14:paraId="6A5A3F76" w14:textId="1387BFE6" w:rsidR="00DC7C33" w:rsidRDefault="00DC7C33" w:rsidP="00DC7C33">
      <w:pPr>
        <w:jc w:val="left"/>
        <w:rPr>
          <w:rFonts w:ascii="Arial" w:hAnsi="Arial" w:cs="Arial"/>
        </w:rPr>
      </w:pPr>
      <w:r>
        <w:rPr>
          <w:rFonts w:ascii="Arial" w:hAnsi="Arial" w:cs="Arial"/>
        </w:rPr>
        <w:br w:type="page"/>
      </w:r>
    </w:p>
    <w:p w14:paraId="01FFD2B0" w14:textId="77777777" w:rsidR="00DC6019" w:rsidRPr="00EB4495" w:rsidRDefault="00DC6019" w:rsidP="00DC6019">
      <w:pPr>
        <w:pBdr>
          <w:top w:val="single" w:sz="4" w:space="1" w:color="auto"/>
          <w:left w:val="single" w:sz="4" w:space="4" w:color="auto"/>
          <w:bottom w:val="single" w:sz="4" w:space="1" w:color="auto"/>
          <w:right w:val="single" w:sz="4" w:space="4" w:color="auto"/>
        </w:pBdr>
        <w:shd w:val="clear" w:color="auto" w:fill="0070C0"/>
        <w:jc w:val="left"/>
        <w:rPr>
          <w:rFonts w:ascii="Arial" w:hAnsi="Arial" w:cs="Arial"/>
          <w:color w:val="FFFFFF" w:themeColor="background1"/>
        </w:rPr>
      </w:pPr>
      <w:r w:rsidRPr="00EB4495">
        <w:rPr>
          <w:rFonts w:ascii="Arial" w:hAnsi="Arial" w:cs="Arial"/>
          <w:b/>
          <w:bCs/>
          <w:color w:val="FFFFFF" w:themeColor="background1"/>
        </w:rPr>
        <w:lastRenderedPageBreak/>
        <w:t>Section 6: Glossary</w:t>
      </w:r>
    </w:p>
    <w:p w14:paraId="4E4253BF" w14:textId="77777777" w:rsidR="00DC6019" w:rsidRPr="00EB4495" w:rsidRDefault="00DC6019" w:rsidP="00DC6019">
      <w:pPr>
        <w:jc w:val="left"/>
        <w:rPr>
          <w:rFonts w:ascii="Arial" w:hAnsi="Arial" w:cs="Arial"/>
          <w:b/>
        </w:rPr>
      </w:pPr>
    </w:p>
    <w:p w14:paraId="6193ADDD" w14:textId="77777777" w:rsidR="00DC6019" w:rsidRPr="00472D44" w:rsidRDefault="00DC6019" w:rsidP="00DC6019">
      <w:pPr>
        <w:jc w:val="left"/>
        <w:rPr>
          <w:rFonts w:ascii="Arial" w:hAnsi="Arial" w:cs="Arial"/>
          <w:b/>
          <w:u w:val="single"/>
        </w:rPr>
      </w:pPr>
      <w:r w:rsidRPr="00472D44">
        <w:rPr>
          <w:rFonts w:ascii="Arial" w:hAnsi="Arial" w:cs="Arial"/>
          <w:b/>
          <w:bCs/>
          <w:u w:val="single"/>
        </w:rPr>
        <w:t>Alternative Performance Measures (APMs)</w:t>
      </w:r>
    </w:p>
    <w:p w14:paraId="7981E234" w14:textId="77777777" w:rsidR="00DC6019" w:rsidRPr="00EB4495" w:rsidRDefault="00DC6019" w:rsidP="00DC6019">
      <w:pPr>
        <w:jc w:val="left"/>
        <w:rPr>
          <w:rFonts w:ascii="Arial" w:hAnsi="Arial" w:cs="Arial"/>
          <w:bCs/>
        </w:rPr>
      </w:pPr>
      <w:r w:rsidRPr="00EB4495">
        <w:rPr>
          <w:rFonts w:ascii="Arial" w:hAnsi="Arial" w:cs="Arial"/>
          <w:bCs/>
        </w:rPr>
        <w:t>In the reporting of financial information, the Directors have adopted various Alternative Performance Measures (APMs), also known as non-GAAP measures, of historical or future financial performance, position or cash flows other than those defined or specified under International Financial Reporting Standards (IFRS). These measures are not defined by IFRS and therefore may not be directly comparable with other companies’ APMs, including those used by other retailers. APMs should be considered in addition to, and are not intended to be a substitute for, or superior to, IFRS measurements.</w:t>
      </w:r>
    </w:p>
    <w:p w14:paraId="06CFECD0" w14:textId="77777777" w:rsidR="00DC6019" w:rsidRPr="00EB4495" w:rsidRDefault="00DC6019" w:rsidP="00DC6019">
      <w:pPr>
        <w:jc w:val="left"/>
        <w:rPr>
          <w:rFonts w:ascii="Arial" w:hAnsi="Arial" w:cs="Arial"/>
          <w:bCs/>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329"/>
        <w:gridCol w:w="2353"/>
        <w:gridCol w:w="4937"/>
      </w:tblGrid>
      <w:tr w:rsidR="00DC6019" w:rsidRPr="00EB4495" w14:paraId="3156F9FA" w14:textId="77777777" w:rsidTr="007218A2">
        <w:trPr>
          <w:trHeight w:val="885"/>
          <w:tblHeader/>
        </w:trPr>
        <w:tc>
          <w:tcPr>
            <w:tcW w:w="1700" w:type="dxa"/>
            <w:tcBorders>
              <w:top w:val="single" w:sz="4" w:space="0" w:color="auto"/>
              <w:left w:val="single" w:sz="4" w:space="0" w:color="auto"/>
              <w:bottom w:val="single" w:sz="4" w:space="0" w:color="auto"/>
              <w:right w:val="single" w:sz="4" w:space="0" w:color="auto"/>
            </w:tcBorders>
            <w:vAlign w:val="bottom"/>
            <w:hideMark/>
          </w:tcPr>
          <w:p w14:paraId="71BCAE38" w14:textId="77777777" w:rsidR="00DC6019" w:rsidRPr="00EB4495" w:rsidRDefault="00DC6019" w:rsidP="00F42B07">
            <w:pPr>
              <w:jc w:val="left"/>
              <w:rPr>
                <w:rFonts w:ascii="Arial" w:eastAsia="Times New Roman" w:hAnsi="Arial" w:cs="Arial"/>
                <w:b/>
                <w:bCs/>
                <w:color w:val="000000"/>
                <w:lang w:eastAsia="en-US"/>
              </w:rPr>
            </w:pPr>
            <w:r w:rsidRPr="00EB4495">
              <w:rPr>
                <w:rFonts w:ascii="Arial" w:eastAsia="Times New Roman" w:hAnsi="Arial" w:cs="Arial"/>
                <w:b/>
                <w:bCs/>
                <w:color w:val="000000"/>
                <w:lang w:eastAsia="en-US"/>
              </w:rPr>
              <w:t xml:space="preserve">APM </w:t>
            </w:r>
          </w:p>
        </w:tc>
        <w:tc>
          <w:tcPr>
            <w:tcW w:w="1329" w:type="dxa"/>
            <w:tcBorders>
              <w:top w:val="single" w:sz="4" w:space="0" w:color="auto"/>
              <w:left w:val="single" w:sz="4" w:space="0" w:color="auto"/>
              <w:bottom w:val="single" w:sz="4" w:space="0" w:color="auto"/>
              <w:right w:val="single" w:sz="4" w:space="0" w:color="auto"/>
            </w:tcBorders>
            <w:vAlign w:val="bottom"/>
            <w:hideMark/>
          </w:tcPr>
          <w:p w14:paraId="6E747F32" w14:textId="77777777" w:rsidR="00DC6019" w:rsidRPr="00EB4495" w:rsidRDefault="00DC6019" w:rsidP="00F42B07">
            <w:pPr>
              <w:jc w:val="left"/>
              <w:rPr>
                <w:rFonts w:ascii="Arial" w:eastAsia="Times New Roman" w:hAnsi="Arial" w:cs="Arial"/>
                <w:b/>
                <w:bCs/>
                <w:color w:val="000000"/>
                <w:lang w:eastAsia="en-US"/>
              </w:rPr>
            </w:pPr>
            <w:r w:rsidRPr="00EB4495">
              <w:rPr>
                <w:rFonts w:ascii="Arial" w:eastAsia="Times New Roman" w:hAnsi="Arial" w:cs="Arial"/>
                <w:b/>
                <w:bCs/>
                <w:color w:val="000000"/>
                <w:lang w:eastAsia="en-US"/>
              </w:rPr>
              <w:t xml:space="preserve">Closest equivalent IFRS measure </w:t>
            </w:r>
          </w:p>
        </w:tc>
        <w:tc>
          <w:tcPr>
            <w:tcW w:w="2353" w:type="dxa"/>
            <w:tcBorders>
              <w:top w:val="single" w:sz="4" w:space="0" w:color="auto"/>
              <w:left w:val="single" w:sz="4" w:space="0" w:color="auto"/>
              <w:bottom w:val="single" w:sz="4" w:space="0" w:color="auto"/>
              <w:right w:val="single" w:sz="4" w:space="0" w:color="auto"/>
            </w:tcBorders>
            <w:vAlign w:val="bottom"/>
            <w:hideMark/>
          </w:tcPr>
          <w:p w14:paraId="06408DE4" w14:textId="77777777" w:rsidR="00DC6019" w:rsidRPr="00EB4495" w:rsidRDefault="00DC6019" w:rsidP="00F42B07">
            <w:pPr>
              <w:jc w:val="left"/>
              <w:rPr>
                <w:rFonts w:ascii="Arial" w:eastAsia="Times New Roman" w:hAnsi="Arial" w:cs="Arial"/>
                <w:b/>
                <w:bCs/>
                <w:color w:val="000000"/>
                <w:lang w:eastAsia="en-US"/>
              </w:rPr>
            </w:pPr>
            <w:r w:rsidRPr="00EB4495">
              <w:rPr>
                <w:rFonts w:ascii="Arial" w:eastAsia="Times New Roman" w:hAnsi="Arial" w:cs="Arial"/>
                <w:b/>
                <w:bCs/>
                <w:color w:val="000000"/>
                <w:lang w:eastAsia="en-US"/>
              </w:rPr>
              <w:t xml:space="preserve">Reconciling items to IFRS measure </w:t>
            </w:r>
          </w:p>
        </w:tc>
        <w:tc>
          <w:tcPr>
            <w:tcW w:w="4937" w:type="dxa"/>
            <w:tcBorders>
              <w:top w:val="single" w:sz="4" w:space="0" w:color="auto"/>
              <w:left w:val="single" w:sz="4" w:space="0" w:color="auto"/>
              <w:bottom w:val="single" w:sz="4" w:space="0" w:color="auto"/>
              <w:right w:val="single" w:sz="4" w:space="0" w:color="auto"/>
            </w:tcBorders>
            <w:vAlign w:val="bottom"/>
            <w:hideMark/>
          </w:tcPr>
          <w:p w14:paraId="75900684" w14:textId="77777777" w:rsidR="00DC6019" w:rsidRPr="00EB4495" w:rsidRDefault="00DC6019" w:rsidP="00F42B07">
            <w:pPr>
              <w:jc w:val="left"/>
              <w:rPr>
                <w:rFonts w:ascii="Arial" w:eastAsia="Times New Roman" w:hAnsi="Arial" w:cs="Arial"/>
                <w:b/>
                <w:bCs/>
                <w:color w:val="000000"/>
                <w:lang w:eastAsia="en-US"/>
              </w:rPr>
            </w:pPr>
            <w:r w:rsidRPr="00EB4495">
              <w:rPr>
                <w:rFonts w:ascii="Arial" w:eastAsia="Times New Roman" w:hAnsi="Arial" w:cs="Arial"/>
                <w:b/>
                <w:bCs/>
                <w:color w:val="000000"/>
                <w:lang w:eastAsia="en-US"/>
              </w:rPr>
              <w:t xml:space="preserve">Definition and purpose </w:t>
            </w:r>
          </w:p>
        </w:tc>
      </w:tr>
      <w:tr w:rsidR="00DC6019" w:rsidRPr="00EB4495" w14:paraId="35010EC9" w14:textId="77777777" w:rsidTr="007218A2">
        <w:trPr>
          <w:trHeight w:val="1305"/>
        </w:trPr>
        <w:tc>
          <w:tcPr>
            <w:tcW w:w="1700" w:type="dxa"/>
            <w:tcBorders>
              <w:top w:val="single" w:sz="4" w:space="0" w:color="auto"/>
              <w:left w:val="single" w:sz="4" w:space="0" w:color="auto"/>
              <w:bottom w:val="single" w:sz="4" w:space="0" w:color="auto"/>
              <w:right w:val="single" w:sz="4" w:space="0" w:color="auto"/>
            </w:tcBorders>
            <w:hideMark/>
          </w:tcPr>
          <w:p w14:paraId="70C0C7C1"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Adjusted basic earnings per share (EPS)</w:t>
            </w:r>
          </w:p>
        </w:tc>
        <w:tc>
          <w:tcPr>
            <w:tcW w:w="1329" w:type="dxa"/>
            <w:tcBorders>
              <w:top w:val="single" w:sz="4" w:space="0" w:color="auto"/>
              <w:left w:val="single" w:sz="4" w:space="0" w:color="auto"/>
              <w:bottom w:val="single" w:sz="4" w:space="0" w:color="auto"/>
              <w:right w:val="single" w:sz="4" w:space="0" w:color="auto"/>
            </w:tcBorders>
            <w:hideMark/>
          </w:tcPr>
          <w:p w14:paraId="2EBC3272"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Basic earnings per share</w:t>
            </w:r>
          </w:p>
        </w:tc>
        <w:tc>
          <w:tcPr>
            <w:tcW w:w="2353" w:type="dxa"/>
            <w:tcBorders>
              <w:top w:val="single" w:sz="4" w:space="0" w:color="auto"/>
              <w:left w:val="single" w:sz="4" w:space="0" w:color="auto"/>
              <w:bottom w:val="single" w:sz="4" w:space="0" w:color="auto"/>
              <w:right w:val="single" w:sz="4" w:space="0" w:color="auto"/>
            </w:tcBorders>
            <w:hideMark/>
          </w:tcPr>
          <w:p w14:paraId="04E818A8" w14:textId="2C0A1A52"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A reconciliation of adjusted basic earnings per share is included in the </w:t>
            </w:r>
            <w:r w:rsidRPr="00E27F19">
              <w:rPr>
                <w:rFonts w:ascii="Arial" w:hAnsi="Arial" w:cs="Arial"/>
                <w:color w:val="000000"/>
                <w:lang w:eastAsia="en-US"/>
              </w:rPr>
              <w:t xml:space="preserve">Financial Review (Section </w:t>
            </w:r>
            <w:r w:rsidRPr="00B2283F">
              <w:rPr>
                <w:rFonts w:ascii="Arial" w:hAnsi="Arial" w:cs="Arial"/>
                <w:color w:val="000000"/>
                <w:lang w:eastAsia="en-US"/>
              </w:rPr>
              <w:t xml:space="preserve">5) and </w:t>
            </w:r>
            <w:r w:rsidRPr="0007608C">
              <w:rPr>
                <w:rFonts w:ascii="Arial" w:hAnsi="Arial" w:cs="Arial"/>
                <w:color w:val="000000"/>
                <w:lang w:eastAsia="en-US"/>
              </w:rPr>
              <w:t xml:space="preserve">note </w:t>
            </w:r>
            <w:r w:rsidR="00531063">
              <w:rPr>
                <w:rFonts w:ascii="Arial" w:hAnsi="Arial"/>
                <w:color w:val="000000"/>
              </w:rPr>
              <w:t>8</w:t>
            </w:r>
            <w:r w:rsidR="00531063" w:rsidRPr="00B2283F">
              <w:rPr>
                <w:rFonts w:ascii="Arial" w:hAnsi="Arial" w:cs="Arial"/>
                <w:color w:val="000000"/>
                <w:lang w:eastAsia="en-US"/>
              </w:rPr>
              <w:t xml:space="preserve"> </w:t>
            </w:r>
            <w:r w:rsidRPr="00B2283F">
              <w:rPr>
                <w:rFonts w:ascii="Arial" w:eastAsia="Times New Roman" w:hAnsi="Arial" w:cs="Arial"/>
                <w:color w:val="000000"/>
                <w:lang w:eastAsia="en-US"/>
              </w:rPr>
              <w:t>of the co</w:t>
            </w:r>
            <w:r w:rsidRPr="00EB4495">
              <w:rPr>
                <w:rFonts w:ascii="Arial" w:eastAsia="Times New Roman" w:hAnsi="Arial" w:cs="Arial"/>
                <w:color w:val="000000"/>
                <w:lang w:eastAsia="en-US"/>
              </w:rPr>
              <w:t>ndensed financial statements</w:t>
            </w:r>
          </w:p>
        </w:tc>
        <w:tc>
          <w:tcPr>
            <w:tcW w:w="4937" w:type="dxa"/>
            <w:tcBorders>
              <w:top w:val="single" w:sz="4" w:space="0" w:color="auto"/>
              <w:left w:val="single" w:sz="4" w:space="0" w:color="auto"/>
              <w:bottom w:val="single" w:sz="4" w:space="0" w:color="auto"/>
              <w:right w:val="single" w:sz="4" w:space="0" w:color="auto"/>
            </w:tcBorders>
            <w:hideMark/>
          </w:tcPr>
          <w:p w14:paraId="5706A552" w14:textId="77777777" w:rsidR="00DC6019" w:rsidRPr="003B7D84" w:rsidRDefault="00DC6019" w:rsidP="00F42B07">
            <w:pPr>
              <w:jc w:val="left"/>
              <w:rPr>
                <w:rFonts w:ascii="Arial" w:eastAsia="Times New Roman" w:hAnsi="Arial" w:cs="Arial"/>
                <w:color w:val="000000"/>
                <w:lang w:eastAsia="en-US"/>
              </w:rPr>
            </w:pPr>
            <w:r w:rsidRPr="00EE21CA">
              <w:rPr>
                <w:rFonts w:ascii="Arial" w:eastAsia="Times New Roman" w:hAnsi="Arial" w:cs="Arial"/>
                <w:color w:val="000000"/>
              </w:rPr>
              <w:t xml:space="preserve">Adjusted basic earnings per share represents profit after tax attributable to the owners of the parent, before the impact of </w:t>
            </w:r>
            <w:r>
              <w:rPr>
                <w:rFonts w:ascii="Arial" w:eastAsia="Times New Roman" w:hAnsi="Arial" w:cs="Arial"/>
                <w:color w:val="000000"/>
              </w:rPr>
              <w:t>adjusting</w:t>
            </w:r>
            <w:r w:rsidRPr="00EE21CA">
              <w:rPr>
                <w:rFonts w:ascii="Arial" w:eastAsia="Times New Roman" w:hAnsi="Arial" w:cs="Arial"/>
                <w:color w:val="000000"/>
              </w:rPr>
              <w:t xml:space="preserve"> items</w:t>
            </w:r>
            <w:r>
              <w:rPr>
                <w:rFonts w:ascii="Arial" w:eastAsia="Times New Roman" w:hAnsi="Arial" w:cs="Arial"/>
                <w:color w:val="000000"/>
              </w:rPr>
              <w:t xml:space="preserve"> (see definition below), </w:t>
            </w:r>
            <w:r w:rsidRPr="00EE21CA">
              <w:rPr>
                <w:rFonts w:ascii="Arial" w:eastAsia="Times New Roman" w:hAnsi="Arial" w:cs="Arial"/>
                <w:color w:val="000000"/>
              </w:rPr>
              <w:t xml:space="preserve">divided by the weighted average number of shares in issue during the </w:t>
            </w:r>
            <w:r>
              <w:rPr>
                <w:rFonts w:ascii="Arial" w:eastAsia="Times New Roman" w:hAnsi="Arial" w:cs="Arial"/>
                <w:color w:val="000000"/>
              </w:rPr>
              <w:t>period</w:t>
            </w:r>
            <w:r w:rsidRPr="00EE21CA">
              <w:rPr>
                <w:rFonts w:ascii="Arial" w:eastAsia="Times New Roman" w:hAnsi="Arial" w:cs="Arial"/>
                <w:color w:val="000000"/>
              </w:rPr>
              <w:t xml:space="preserve">. The exclusion of </w:t>
            </w:r>
            <w:r>
              <w:rPr>
                <w:rFonts w:ascii="Arial" w:eastAsia="Times New Roman" w:hAnsi="Arial" w:cs="Arial"/>
                <w:color w:val="000000"/>
              </w:rPr>
              <w:t>adjusting</w:t>
            </w:r>
            <w:r w:rsidRPr="00EE21CA">
              <w:rPr>
                <w:rFonts w:ascii="Arial" w:eastAsia="Times New Roman" w:hAnsi="Arial" w:cs="Arial"/>
                <w:color w:val="000000"/>
              </w:rPr>
              <w:t xml:space="preserve"> items</w:t>
            </w:r>
            <w:bookmarkStart w:id="76" w:name="_Hlk80203380"/>
            <w:r w:rsidRPr="00EE21CA">
              <w:rPr>
                <w:rFonts w:ascii="Arial" w:eastAsia="Times New Roman" w:hAnsi="Arial" w:cs="Arial"/>
                <w:color w:val="000000"/>
              </w:rPr>
              <w:t xml:space="preserve"> </w:t>
            </w:r>
            <w:bookmarkEnd w:id="76"/>
            <w:r w:rsidRPr="00EE21CA">
              <w:rPr>
                <w:rFonts w:ascii="Arial" w:eastAsia="Times New Roman" w:hAnsi="Arial" w:cs="Arial"/>
                <w:color w:val="000000"/>
              </w:rPr>
              <w:t>helps provide an indication of the Group's ongoing business performance.</w:t>
            </w:r>
          </w:p>
        </w:tc>
      </w:tr>
      <w:tr w:rsidR="00DC6019" w:rsidRPr="00EB4495" w14:paraId="11C7E75B" w14:textId="77777777" w:rsidTr="007218A2">
        <w:trPr>
          <w:trHeight w:val="1425"/>
        </w:trPr>
        <w:tc>
          <w:tcPr>
            <w:tcW w:w="1700" w:type="dxa"/>
            <w:tcBorders>
              <w:top w:val="single" w:sz="4" w:space="0" w:color="auto"/>
              <w:left w:val="single" w:sz="4" w:space="0" w:color="auto"/>
              <w:bottom w:val="single" w:sz="4" w:space="0" w:color="auto"/>
              <w:right w:val="single" w:sz="4" w:space="0" w:color="auto"/>
            </w:tcBorders>
            <w:hideMark/>
          </w:tcPr>
          <w:p w14:paraId="04A10040"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Adjusted effective tax rate</w:t>
            </w:r>
          </w:p>
        </w:tc>
        <w:tc>
          <w:tcPr>
            <w:tcW w:w="1329" w:type="dxa"/>
            <w:tcBorders>
              <w:top w:val="single" w:sz="4" w:space="0" w:color="auto"/>
              <w:left w:val="single" w:sz="4" w:space="0" w:color="auto"/>
              <w:bottom w:val="single" w:sz="4" w:space="0" w:color="auto"/>
              <w:right w:val="single" w:sz="4" w:space="0" w:color="auto"/>
            </w:tcBorders>
            <w:hideMark/>
          </w:tcPr>
          <w:p w14:paraId="2F9358D0"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Effective tax rate</w:t>
            </w:r>
          </w:p>
        </w:tc>
        <w:tc>
          <w:tcPr>
            <w:tcW w:w="2353" w:type="dxa"/>
            <w:tcBorders>
              <w:top w:val="single" w:sz="4" w:space="0" w:color="auto"/>
              <w:left w:val="single" w:sz="4" w:space="0" w:color="auto"/>
              <w:bottom w:val="single" w:sz="4" w:space="0" w:color="auto"/>
              <w:right w:val="single" w:sz="4" w:space="0" w:color="auto"/>
            </w:tcBorders>
            <w:hideMark/>
          </w:tcPr>
          <w:p w14:paraId="42C2FAEE" w14:textId="77777777" w:rsidR="00DC6019" w:rsidRPr="00EB4495" w:rsidRDefault="00DC6019" w:rsidP="00F42B07">
            <w:pPr>
              <w:jc w:val="left"/>
              <w:rPr>
                <w:rFonts w:ascii="Arial" w:eastAsia="Times New Roman" w:hAnsi="Arial" w:cs="Arial"/>
                <w:color w:val="000000"/>
                <w:lang w:eastAsia="en-US"/>
              </w:rPr>
            </w:pPr>
            <w:r w:rsidRPr="00EE21CA">
              <w:rPr>
                <w:rFonts w:ascii="Arial" w:eastAsia="Times New Roman" w:hAnsi="Arial" w:cs="Arial"/>
                <w:color w:val="000000"/>
              </w:rPr>
              <w:t xml:space="preserve">A reconciliation to the </w:t>
            </w:r>
            <w:r>
              <w:rPr>
                <w:rFonts w:ascii="Arial" w:eastAsia="Times New Roman" w:hAnsi="Arial" w:cs="Arial"/>
                <w:color w:val="000000"/>
              </w:rPr>
              <w:t xml:space="preserve">statutory effective </w:t>
            </w:r>
            <w:r w:rsidRPr="00B244C4">
              <w:rPr>
                <w:rFonts w:ascii="Arial" w:eastAsia="Times New Roman" w:hAnsi="Arial" w:cs="Arial"/>
                <w:color w:val="000000"/>
              </w:rPr>
              <w:t xml:space="preserve">tax rate is set out in the </w:t>
            </w:r>
            <w:r w:rsidRPr="00981143">
              <w:rPr>
                <w:rFonts w:ascii="Arial" w:hAnsi="Arial"/>
                <w:color w:val="000000"/>
              </w:rPr>
              <w:t>Financial Review (Section 5)</w:t>
            </w:r>
          </w:p>
        </w:tc>
        <w:tc>
          <w:tcPr>
            <w:tcW w:w="4937" w:type="dxa"/>
            <w:tcBorders>
              <w:top w:val="single" w:sz="4" w:space="0" w:color="auto"/>
              <w:left w:val="single" w:sz="4" w:space="0" w:color="auto"/>
              <w:bottom w:val="single" w:sz="4" w:space="0" w:color="auto"/>
              <w:right w:val="single" w:sz="4" w:space="0" w:color="auto"/>
            </w:tcBorders>
            <w:hideMark/>
          </w:tcPr>
          <w:p w14:paraId="4D214E5B" w14:textId="77777777" w:rsidR="00DC6019" w:rsidRPr="00EB4495" w:rsidRDefault="00DC6019" w:rsidP="00F42B07">
            <w:pPr>
              <w:jc w:val="left"/>
              <w:rPr>
                <w:rFonts w:ascii="Arial" w:eastAsia="Times New Roman" w:hAnsi="Arial" w:cs="Arial"/>
                <w:color w:val="000000"/>
                <w:lang w:eastAsia="en-US"/>
              </w:rPr>
            </w:pPr>
            <w:r w:rsidRPr="00474809">
              <w:rPr>
                <w:rFonts w:ascii="Arial" w:eastAsia="Times New Roman" w:hAnsi="Arial" w:cs="Arial"/>
                <w:color w:val="000000"/>
              </w:rPr>
              <w:t xml:space="preserve">The adjusted effective tax rate is calculated as continuing income tax expense excluding tax </w:t>
            </w:r>
            <w:r>
              <w:rPr>
                <w:rFonts w:ascii="Arial" w:eastAsia="Times New Roman" w:hAnsi="Arial" w:cs="Arial"/>
                <w:color w:val="000000"/>
              </w:rPr>
              <w:t>adjustments in respect of prior years</w:t>
            </w:r>
            <w:r w:rsidRPr="00474809">
              <w:rPr>
                <w:rFonts w:ascii="Arial" w:eastAsia="Times New Roman" w:hAnsi="Arial" w:cs="Arial"/>
                <w:color w:val="000000"/>
              </w:rPr>
              <w:t xml:space="preserve"> </w:t>
            </w:r>
            <w:bookmarkStart w:id="77" w:name="_Hlk80254489"/>
            <w:r w:rsidRPr="00474809">
              <w:rPr>
                <w:rFonts w:ascii="Arial" w:eastAsia="Times New Roman" w:hAnsi="Arial" w:cs="Arial"/>
                <w:color w:val="000000"/>
              </w:rPr>
              <w:t>(including the impact of changes in tax rates on deferred tax), significant one-off tax settlements and provision charges/releases and the tax effects of adjusting items</w:t>
            </w:r>
            <w:bookmarkEnd w:id="77"/>
            <w:r w:rsidRPr="00474809">
              <w:rPr>
                <w:rFonts w:ascii="Arial" w:eastAsia="Times New Roman" w:hAnsi="Arial" w:cs="Arial"/>
                <w:color w:val="000000"/>
              </w:rPr>
              <w:t>, divided by continuing profit before taxation excluding adjusting items. Prior year tax items represent income statement tax relating to underlying items originally arising in prior years, including the impact of changes in tax rates on deferred tax. The exclusion of items relating to prior years, and those not in the ordinary course of business, helps provide a better indication of the Group’s ongoing rate of tax.</w:t>
            </w:r>
          </w:p>
        </w:tc>
      </w:tr>
      <w:tr w:rsidR="00DC6019" w:rsidRPr="00EB4495" w14:paraId="5E506AF2" w14:textId="77777777" w:rsidTr="007218A2">
        <w:trPr>
          <w:trHeight w:val="1200"/>
        </w:trPr>
        <w:tc>
          <w:tcPr>
            <w:tcW w:w="1700" w:type="dxa"/>
            <w:tcBorders>
              <w:top w:val="single" w:sz="4" w:space="0" w:color="auto"/>
              <w:left w:val="single" w:sz="4" w:space="0" w:color="auto"/>
              <w:bottom w:val="single" w:sz="4" w:space="0" w:color="auto"/>
              <w:right w:val="single" w:sz="4" w:space="0" w:color="auto"/>
            </w:tcBorders>
            <w:hideMark/>
          </w:tcPr>
          <w:p w14:paraId="3D034FEC"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Adjusted pre-tax profit </w:t>
            </w:r>
          </w:p>
        </w:tc>
        <w:tc>
          <w:tcPr>
            <w:tcW w:w="1329" w:type="dxa"/>
            <w:tcBorders>
              <w:top w:val="single" w:sz="4" w:space="0" w:color="auto"/>
              <w:left w:val="single" w:sz="4" w:space="0" w:color="auto"/>
              <w:bottom w:val="single" w:sz="4" w:space="0" w:color="auto"/>
              <w:right w:val="single" w:sz="4" w:space="0" w:color="auto"/>
            </w:tcBorders>
            <w:hideMark/>
          </w:tcPr>
          <w:p w14:paraId="431DDD9C"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Profit before taxation</w:t>
            </w:r>
          </w:p>
        </w:tc>
        <w:tc>
          <w:tcPr>
            <w:tcW w:w="2353" w:type="dxa"/>
            <w:tcBorders>
              <w:top w:val="single" w:sz="4" w:space="0" w:color="auto"/>
              <w:left w:val="single" w:sz="4" w:space="0" w:color="auto"/>
              <w:bottom w:val="single" w:sz="4" w:space="0" w:color="auto"/>
              <w:right w:val="single" w:sz="4" w:space="0" w:color="auto"/>
            </w:tcBorders>
            <w:hideMark/>
          </w:tcPr>
          <w:p w14:paraId="6BCB9172" w14:textId="77777777" w:rsidR="00DC6019" w:rsidRPr="00EB4495" w:rsidRDefault="00DC6019" w:rsidP="00F42B07">
            <w:pPr>
              <w:jc w:val="left"/>
              <w:rPr>
                <w:rFonts w:ascii="Arial" w:eastAsia="Times New Roman" w:hAnsi="Arial" w:cs="Arial"/>
                <w:color w:val="000000"/>
                <w:lang w:eastAsia="en-US"/>
              </w:rPr>
            </w:pPr>
            <w:r w:rsidRPr="00E22D86">
              <w:rPr>
                <w:rFonts w:ascii="Arial" w:eastAsia="Times New Roman" w:hAnsi="Arial" w:cs="Arial"/>
                <w:color w:val="000000"/>
              </w:rPr>
              <w:t xml:space="preserve">A reconciliation of adjusted pre-tax profit is </w:t>
            </w:r>
            <w:r w:rsidRPr="00B244C4">
              <w:rPr>
                <w:rFonts w:ascii="Arial" w:eastAsia="Times New Roman" w:hAnsi="Arial" w:cs="Arial"/>
                <w:color w:val="000000"/>
              </w:rPr>
              <w:t xml:space="preserve">set out in the </w:t>
            </w:r>
            <w:r w:rsidRPr="00981143">
              <w:rPr>
                <w:rFonts w:ascii="Arial" w:hAnsi="Arial"/>
                <w:color w:val="000000"/>
              </w:rPr>
              <w:t>Financial Review (Section 5)</w:t>
            </w:r>
            <w:r w:rsidRPr="00B244C4">
              <w:rPr>
                <w:rFonts w:ascii="Arial" w:eastAsia="Times New Roman" w:hAnsi="Arial" w:cs="Arial"/>
                <w:color w:val="000000"/>
              </w:rPr>
              <w:t xml:space="preserve"> </w:t>
            </w:r>
          </w:p>
        </w:tc>
        <w:tc>
          <w:tcPr>
            <w:tcW w:w="4937" w:type="dxa"/>
            <w:tcBorders>
              <w:top w:val="single" w:sz="4" w:space="0" w:color="auto"/>
              <w:left w:val="single" w:sz="4" w:space="0" w:color="auto"/>
              <w:bottom w:val="single" w:sz="4" w:space="0" w:color="auto"/>
              <w:right w:val="single" w:sz="4" w:space="0" w:color="auto"/>
            </w:tcBorders>
            <w:hideMark/>
          </w:tcPr>
          <w:p w14:paraId="059C7566" w14:textId="19E1A300" w:rsidR="00DC6019" w:rsidRPr="00EB4495" w:rsidRDefault="00DC6019" w:rsidP="00F42B07">
            <w:pPr>
              <w:jc w:val="left"/>
              <w:rPr>
                <w:rFonts w:ascii="Arial" w:eastAsia="Times New Roman" w:hAnsi="Arial" w:cs="Arial"/>
                <w:color w:val="000000"/>
              </w:rPr>
            </w:pPr>
            <w:r w:rsidRPr="00097A19">
              <w:rPr>
                <w:rFonts w:ascii="Arial" w:eastAsia="Times New Roman" w:hAnsi="Arial" w:cs="Arial"/>
                <w:color w:val="000000"/>
              </w:rPr>
              <w:t xml:space="preserve">Adjusted pre-tax profit is used to report the performance of the business at a Group level. This is stated before </w:t>
            </w:r>
            <w:r>
              <w:rPr>
                <w:rFonts w:ascii="Arial" w:eastAsia="Times New Roman" w:hAnsi="Arial" w:cs="Arial"/>
                <w:color w:val="000000"/>
              </w:rPr>
              <w:t>adjusting</w:t>
            </w:r>
            <w:r w:rsidRPr="00097A19">
              <w:rPr>
                <w:rFonts w:ascii="Arial" w:eastAsia="Times New Roman" w:hAnsi="Arial" w:cs="Arial"/>
                <w:color w:val="000000"/>
              </w:rPr>
              <w:t xml:space="preserve"> items. The exclusion of </w:t>
            </w:r>
            <w:r>
              <w:rPr>
                <w:rFonts w:ascii="Arial" w:eastAsia="Times New Roman" w:hAnsi="Arial" w:cs="Arial"/>
                <w:color w:val="000000"/>
              </w:rPr>
              <w:t>adjusting</w:t>
            </w:r>
            <w:r w:rsidRPr="00097A19">
              <w:rPr>
                <w:rFonts w:ascii="Arial" w:eastAsia="Times New Roman" w:hAnsi="Arial" w:cs="Arial"/>
                <w:color w:val="000000"/>
              </w:rPr>
              <w:t xml:space="preserve"> items helps provide an indication of the Group's ongoing business performance.</w:t>
            </w:r>
            <w:r>
              <w:rPr>
                <w:rFonts w:ascii="Arial" w:eastAsia="Times New Roman" w:hAnsi="Arial" w:cs="Arial"/>
                <w:color w:val="000000"/>
              </w:rPr>
              <w:t xml:space="preserve"> </w:t>
            </w:r>
          </w:p>
        </w:tc>
      </w:tr>
      <w:tr w:rsidR="00DC6019" w:rsidRPr="00EB4495" w14:paraId="016F3B1E" w14:textId="77777777" w:rsidTr="007218A2">
        <w:trPr>
          <w:trHeight w:val="505"/>
        </w:trPr>
        <w:tc>
          <w:tcPr>
            <w:tcW w:w="1700" w:type="dxa"/>
            <w:tcBorders>
              <w:top w:val="single" w:sz="4" w:space="0" w:color="auto"/>
              <w:left w:val="single" w:sz="4" w:space="0" w:color="auto"/>
              <w:bottom w:val="single" w:sz="4" w:space="0" w:color="auto"/>
              <w:right w:val="single" w:sz="4" w:space="0" w:color="auto"/>
            </w:tcBorders>
            <w:hideMark/>
          </w:tcPr>
          <w:p w14:paraId="4E23BC26"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Adjusted pre-tax profit margin %</w:t>
            </w:r>
          </w:p>
        </w:tc>
        <w:tc>
          <w:tcPr>
            <w:tcW w:w="1329" w:type="dxa"/>
            <w:tcBorders>
              <w:top w:val="single" w:sz="4" w:space="0" w:color="auto"/>
              <w:left w:val="single" w:sz="4" w:space="0" w:color="auto"/>
              <w:bottom w:val="single" w:sz="4" w:space="0" w:color="auto"/>
              <w:right w:val="single" w:sz="4" w:space="0" w:color="auto"/>
            </w:tcBorders>
            <w:hideMark/>
          </w:tcPr>
          <w:p w14:paraId="4BF5EFC5"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353" w:type="dxa"/>
            <w:tcBorders>
              <w:top w:val="single" w:sz="4" w:space="0" w:color="auto"/>
              <w:left w:val="single" w:sz="4" w:space="0" w:color="auto"/>
              <w:bottom w:val="single" w:sz="4" w:space="0" w:color="auto"/>
              <w:right w:val="single" w:sz="4" w:space="0" w:color="auto"/>
            </w:tcBorders>
            <w:hideMark/>
          </w:tcPr>
          <w:p w14:paraId="34FC3CF9"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Refer to definition </w:t>
            </w:r>
          </w:p>
        </w:tc>
        <w:tc>
          <w:tcPr>
            <w:tcW w:w="4937" w:type="dxa"/>
            <w:tcBorders>
              <w:top w:val="single" w:sz="4" w:space="0" w:color="auto"/>
              <w:left w:val="single" w:sz="4" w:space="0" w:color="auto"/>
              <w:bottom w:val="single" w:sz="4" w:space="0" w:color="auto"/>
              <w:right w:val="single" w:sz="4" w:space="0" w:color="auto"/>
            </w:tcBorders>
            <w:hideMark/>
          </w:tcPr>
          <w:p w14:paraId="4BBBDF38"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Adjusted pre-tax profit is used to report the performance of the business at a Group level and is separately defined. Adjusted pre-tax profit margin % represents adjusted pre-tax profit as a percentage of sales. It is a measure of overall business profitability.</w:t>
            </w:r>
          </w:p>
        </w:tc>
      </w:tr>
      <w:tr w:rsidR="00DC6019" w:rsidRPr="00EB4495" w14:paraId="590A943F" w14:textId="77777777" w:rsidTr="007218A2">
        <w:trPr>
          <w:trHeight w:val="680"/>
        </w:trPr>
        <w:tc>
          <w:tcPr>
            <w:tcW w:w="1700" w:type="dxa"/>
            <w:tcBorders>
              <w:top w:val="single" w:sz="4" w:space="0" w:color="auto"/>
              <w:left w:val="single" w:sz="4" w:space="0" w:color="auto"/>
              <w:bottom w:val="single" w:sz="4" w:space="0" w:color="auto"/>
              <w:right w:val="single" w:sz="4" w:space="0" w:color="auto"/>
            </w:tcBorders>
            <w:hideMark/>
          </w:tcPr>
          <w:p w14:paraId="233BA439"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Adjusted post-tax profit</w:t>
            </w:r>
          </w:p>
        </w:tc>
        <w:tc>
          <w:tcPr>
            <w:tcW w:w="1329" w:type="dxa"/>
            <w:tcBorders>
              <w:top w:val="single" w:sz="4" w:space="0" w:color="auto"/>
              <w:left w:val="single" w:sz="4" w:space="0" w:color="auto"/>
              <w:bottom w:val="single" w:sz="4" w:space="0" w:color="auto"/>
              <w:right w:val="single" w:sz="4" w:space="0" w:color="auto"/>
            </w:tcBorders>
            <w:hideMark/>
          </w:tcPr>
          <w:p w14:paraId="4217ECA2"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Profit after tax</w:t>
            </w:r>
          </w:p>
        </w:tc>
        <w:tc>
          <w:tcPr>
            <w:tcW w:w="2353" w:type="dxa"/>
            <w:tcBorders>
              <w:top w:val="single" w:sz="4" w:space="0" w:color="auto"/>
              <w:left w:val="single" w:sz="4" w:space="0" w:color="auto"/>
              <w:bottom w:val="single" w:sz="4" w:space="0" w:color="auto"/>
              <w:right w:val="single" w:sz="4" w:space="0" w:color="auto"/>
            </w:tcBorders>
            <w:hideMark/>
          </w:tcPr>
          <w:p w14:paraId="2ADDE499" w14:textId="1B294F3A"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A reconciliation of adjusted post-tax profit is set </w:t>
            </w:r>
            <w:r w:rsidRPr="00374A5E">
              <w:rPr>
                <w:rFonts w:ascii="Arial" w:eastAsia="Times New Roman" w:hAnsi="Arial" w:cs="Arial"/>
                <w:color w:val="000000"/>
                <w:lang w:eastAsia="en-US"/>
              </w:rPr>
              <w:t xml:space="preserve">out in the </w:t>
            </w:r>
            <w:r w:rsidRPr="00374A5E">
              <w:rPr>
                <w:rFonts w:ascii="Arial" w:hAnsi="Arial" w:cs="Arial"/>
                <w:color w:val="000000"/>
                <w:lang w:eastAsia="en-US"/>
              </w:rPr>
              <w:t>Financial Review (Section 5)</w:t>
            </w:r>
            <w:r w:rsidRPr="00374A5E">
              <w:rPr>
                <w:rFonts w:ascii="Arial" w:eastAsia="Times New Roman" w:hAnsi="Arial" w:cs="Arial"/>
                <w:color w:val="000000"/>
                <w:lang w:eastAsia="en-US"/>
              </w:rPr>
              <w:t xml:space="preserve"> and </w:t>
            </w:r>
            <w:r w:rsidRPr="0007608C">
              <w:rPr>
                <w:rFonts w:ascii="Arial" w:eastAsia="Times New Roman" w:hAnsi="Arial" w:cs="Arial"/>
                <w:color w:val="000000"/>
                <w:lang w:eastAsia="en-US"/>
              </w:rPr>
              <w:t xml:space="preserve">note </w:t>
            </w:r>
            <w:r w:rsidR="00F35932">
              <w:rPr>
                <w:rFonts w:ascii="Arial" w:hAnsi="Arial"/>
                <w:color w:val="000000"/>
              </w:rPr>
              <w:t>8</w:t>
            </w:r>
            <w:r w:rsidR="00F35932" w:rsidRPr="00374A5E">
              <w:rPr>
                <w:rFonts w:ascii="Arial" w:eastAsia="Times New Roman" w:hAnsi="Arial" w:cs="Arial"/>
                <w:color w:val="000000"/>
                <w:lang w:eastAsia="en-US"/>
              </w:rPr>
              <w:t xml:space="preserve"> </w:t>
            </w:r>
            <w:r w:rsidRPr="00374A5E">
              <w:rPr>
                <w:rFonts w:ascii="Arial" w:eastAsia="Times New Roman" w:hAnsi="Arial" w:cs="Arial"/>
                <w:color w:val="000000"/>
                <w:lang w:eastAsia="en-US"/>
              </w:rPr>
              <w:t>of the condensed</w:t>
            </w:r>
            <w:r w:rsidRPr="00EB4495">
              <w:rPr>
                <w:rFonts w:ascii="Arial" w:eastAsia="Times New Roman" w:hAnsi="Arial" w:cs="Arial"/>
                <w:color w:val="000000"/>
                <w:lang w:eastAsia="en-US"/>
              </w:rPr>
              <w:t xml:space="preserve"> financial statements</w:t>
            </w:r>
          </w:p>
        </w:tc>
        <w:tc>
          <w:tcPr>
            <w:tcW w:w="4937" w:type="dxa"/>
            <w:tcBorders>
              <w:top w:val="single" w:sz="4" w:space="0" w:color="auto"/>
              <w:left w:val="single" w:sz="4" w:space="0" w:color="auto"/>
              <w:bottom w:val="single" w:sz="4" w:space="0" w:color="auto"/>
              <w:right w:val="single" w:sz="4" w:space="0" w:color="auto"/>
            </w:tcBorders>
            <w:hideMark/>
          </w:tcPr>
          <w:p w14:paraId="1D97865E" w14:textId="77777777" w:rsidR="00DC6019" w:rsidRPr="00EB4495" w:rsidRDefault="00DC6019" w:rsidP="00F42B07">
            <w:pPr>
              <w:jc w:val="left"/>
              <w:rPr>
                <w:rFonts w:ascii="Arial" w:eastAsia="Times New Roman" w:hAnsi="Arial" w:cs="Arial"/>
                <w:color w:val="000000"/>
                <w:lang w:eastAsia="en-US"/>
              </w:rPr>
            </w:pPr>
            <w:r>
              <w:rPr>
                <w:rFonts w:ascii="Arial" w:eastAsia="Times New Roman" w:hAnsi="Arial" w:cs="Arial"/>
                <w:color w:val="000000"/>
              </w:rPr>
              <w:t xml:space="preserve">Adjusted post-tax profit is </w:t>
            </w:r>
            <w:r w:rsidRPr="00491096">
              <w:rPr>
                <w:rFonts w:ascii="Arial" w:eastAsia="Times New Roman" w:hAnsi="Arial" w:cs="Arial"/>
                <w:color w:val="000000"/>
              </w:rPr>
              <w:t>used to report the</w:t>
            </w:r>
            <w:r>
              <w:rPr>
                <w:rFonts w:ascii="Arial" w:eastAsia="Times New Roman" w:hAnsi="Arial" w:cs="Arial"/>
                <w:color w:val="000000"/>
              </w:rPr>
              <w:t xml:space="preserve"> after-tax </w:t>
            </w:r>
            <w:r w:rsidRPr="00491096">
              <w:rPr>
                <w:rFonts w:ascii="Arial" w:eastAsia="Times New Roman" w:hAnsi="Arial" w:cs="Arial"/>
                <w:color w:val="000000"/>
              </w:rPr>
              <w:t>performance of the business at a Group level</w:t>
            </w:r>
            <w:r>
              <w:rPr>
                <w:rFonts w:ascii="Arial" w:eastAsia="Times New Roman" w:hAnsi="Arial" w:cs="Arial"/>
                <w:color w:val="000000"/>
              </w:rPr>
              <w:t xml:space="preserve">. </w:t>
            </w:r>
            <w:r w:rsidRPr="00B75897">
              <w:rPr>
                <w:rFonts w:ascii="Arial" w:eastAsia="Times New Roman" w:hAnsi="Arial" w:cs="Arial"/>
                <w:color w:val="000000"/>
              </w:rPr>
              <w:t xml:space="preserve">This is stated before </w:t>
            </w:r>
            <w:r>
              <w:rPr>
                <w:rFonts w:ascii="Arial" w:eastAsia="Times New Roman" w:hAnsi="Arial" w:cs="Arial"/>
                <w:color w:val="000000"/>
              </w:rPr>
              <w:t>adjusting</w:t>
            </w:r>
            <w:r w:rsidRPr="00B75897">
              <w:rPr>
                <w:rFonts w:ascii="Arial" w:eastAsia="Times New Roman" w:hAnsi="Arial" w:cs="Arial"/>
                <w:color w:val="000000"/>
              </w:rPr>
              <w:t xml:space="preserve"> items</w:t>
            </w:r>
            <w:r>
              <w:rPr>
                <w:rFonts w:ascii="Arial" w:eastAsia="Times New Roman" w:hAnsi="Arial" w:cs="Arial"/>
                <w:color w:val="000000"/>
              </w:rPr>
              <w:t xml:space="preserve">. </w:t>
            </w:r>
            <w:r w:rsidRPr="00B75897">
              <w:rPr>
                <w:rFonts w:ascii="Arial" w:eastAsia="Times New Roman" w:hAnsi="Arial" w:cs="Arial"/>
                <w:color w:val="000000"/>
              </w:rPr>
              <w:t>The exclusion of</w:t>
            </w:r>
            <w:r>
              <w:rPr>
                <w:rFonts w:ascii="Arial" w:eastAsia="Times New Roman" w:hAnsi="Arial" w:cs="Arial"/>
                <w:color w:val="000000"/>
              </w:rPr>
              <w:t xml:space="preserve"> adjusting items</w:t>
            </w:r>
            <w:r w:rsidRPr="00B75897">
              <w:rPr>
                <w:rFonts w:ascii="Arial" w:eastAsia="Times New Roman" w:hAnsi="Arial" w:cs="Arial"/>
                <w:color w:val="000000"/>
              </w:rPr>
              <w:t xml:space="preserve"> helps provide a</w:t>
            </w:r>
            <w:r>
              <w:rPr>
                <w:rFonts w:ascii="Arial" w:eastAsia="Times New Roman" w:hAnsi="Arial" w:cs="Arial"/>
                <w:color w:val="000000"/>
              </w:rPr>
              <w:t>n</w:t>
            </w:r>
            <w:r w:rsidRPr="00B75897">
              <w:rPr>
                <w:rFonts w:ascii="Arial" w:eastAsia="Times New Roman" w:hAnsi="Arial" w:cs="Arial"/>
                <w:color w:val="000000"/>
              </w:rPr>
              <w:t xml:space="preserve"> indication of the Group's ongoing </w:t>
            </w:r>
            <w:r>
              <w:rPr>
                <w:rFonts w:ascii="Arial" w:eastAsia="Times New Roman" w:hAnsi="Arial" w:cs="Arial"/>
                <w:color w:val="000000"/>
              </w:rPr>
              <w:t>after-tax business performance.</w:t>
            </w:r>
            <w:r w:rsidRPr="00EB4495">
              <w:rPr>
                <w:rFonts w:ascii="Arial" w:eastAsia="Times New Roman" w:hAnsi="Arial" w:cs="Arial"/>
                <w:color w:val="000000"/>
                <w:lang w:eastAsia="en-US"/>
              </w:rPr>
              <w:t xml:space="preserve"> </w:t>
            </w:r>
          </w:p>
        </w:tc>
      </w:tr>
      <w:tr w:rsidR="00DC6019" w:rsidRPr="00EB4495" w14:paraId="733E0A63" w14:textId="77777777" w:rsidTr="007218A2">
        <w:trPr>
          <w:trHeight w:val="1200"/>
        </w:trPr>
        <w:tc>
          <w:tcPr>
            <w:tcW w:w="1700" w:type="dxa"/>
            <w:tcBorders>
              <w:top w:val="single" w:sz="4" w:space="0" w:color="auto"/>
              <w:left w:val="single" w:sz="4" w:space="0" w:color="auto"/>
              <w:bottom w:val="single" w:sz="4" w:space="0" w:color="auto"/>
              <w:right w:val="single" w:sz="4" w:space="0" w:color="auto"/>
            </w:tcBorders>
            <w:hideMark/>
          </w:tcPr>
          <w:p w14:paraId="05E61566"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lastRenderedPageBreak/>
              <w:t>Adjusting items</w:t>
            </w:r>
          </w:p>
        </w:tc>
        <w:tc>
          <w:tcPr>
            <w:tcW w:w="1329" w:type="dxa"/>
            <w:tcBorders>
              <w:top w:val="single" w:sz="4" w:space="0" w:color="auto"/>
              <w:left w:val="single" w:sz="4" w:space="0" w:color="auto"/>
              <w:bottom w:val="single" w:sz="4" w:space="0" w:color="auto"/>
              <w:right w:val="single" w:sz="4" w:space="0" w:color="auto"/>
            </w:tcBorders>
            <w:hideMark/>
          </w:tcPr>
          <w:p w14:paraId="66CF9BBB"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353" w:type="dxa"/>
            <w:tcBorders>
              <w:top w:val="single" w:sz="4" w:space="0" w:color="auto"/>
              <w:left w:val="single" w:sz="4" w:space="0" w:color="auto"/>
              <w:bottom w:val="single" w:sz="4" w:space="0" w:color="auto"/>
              <w:right w:val="single" w:sz="4" w:space="0" w:color="auto"/>
            </w:tcBorders>
            <w:hideMark/>
          </w:tcPr>
          <w:p w14:paraId="45963F2F"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Not applicable </w:t>
            </w:r>
          </w:p>
        </w:tc>
        <w:tc>
          <w:tcPr>
            <w:tcW w:w="4937" w:type="dxa"/>
            <w:tcBorders>
              <w:top w:val="single" w:sz="4" w:space="0" w:color="auto"/>
              <w:left w:val="single" w:sz="4" w:space="0" w:color="auto"/>
              <w:bottom w:val="single" w:sz="4" w:space="0" w:color="auto"/>
              <w:right w:val="single" w:sz="4" w:space="0" w:color="auto"/>
            </w:tcBorders>
            <w:hideMark/>
          </w:tcPr>
          <w:p w14:paraId="3002B748" w14:textId="597F6D5F" w:rsidR="00DC6019" w:rsidRPr="00EB4495" w:rsidRDefault="00DC6019" w:rsidP="00F42B07">
            <w:pPr>
              <w:jc w:val="left"/>
              <w:rPr>
                <w:rFonts w:ascii="Arial" w:eastAsia="Times New Roman" w:hAnsi="Arial" w:cs="Arial"/>
                <w:color w:val="000000"/>
                <w:lang w:eastAsia="en-US"/>
              </w:rPr>
            </w:pPr>
            <w:r w:rsidRPr="00E0494B">
              <w:rPr>
                <w:rFonts w:ascii="Arial" w:eastAsia="Times New Roman" w:hAnsi="Arial" w:cs="Arial"/>
                <w:color w:val="000000"/>
              </w:rPr>
              <w:t>Adjusting items, which are presented separately within their relevant income statement category, include items which by virtue of their size and/or nature, do not reflect the Group’s ongoing trading performance. Adjusting items may include, but are not limited to:</w:t>
            </w:r>
            <w:r>
              <w:rPr>
                <w:rFonts w:ascii="Arial" w:eastAsia="Times New Roman" w:hAnsi="Arial" w:cs="Arial"/>
                <w:color w:val="000000"/>
              </w:rPr>
              <w:t xml:space="preserve"> </w:t>
            </w:r>
            <w:r w:rsidRPr="00E0494B">
              <w:rPr>
                <w:rFonts w:ascii="Arial" w:eastAsia="Times New Roman" w:hAnsi="Arial" w:cs="Arial"/>
                <w:color w:val="000000"/>
              </w:rPr>
              <w:t>non-trading items included in operating profit such as profits and losses on the disposal, closure, exit or impairment of subsidiaries, joint ventures, associates and investments which do not form part of the Group’s ongoing trading activities;</w:t>
            </w:r>
            <w:r>
              <w:rPr>
                <w:rFonts w:ascii="Arial" w:eastAsia="Times New Roman" w:hAnsi="Arial" w:cs="Arial"/>
                <w:color w:val="000000"/>
              </w:rPr>
              <w:t xml:space="preserve"> </w:t>
            </w:r>
            <w:r w:rsidRPr="00E0494B">
              <w:rPr>
                <w:rFonts w:ascii="Arial" w:eastAsia="Times New Roman" w:hAnsi="Arial" w:cs="Arial"/>
                <w:color w:val="000000"/>
              </w:rPr>
              <w:t>the costs of significant restructuring and incremental acquisition integration costs;</w:t>
            </w:r>
            <w:r>
              <w:rPr>
                <w:rFonts w:ascii="Arial" w:eastAsia="Times New Roman" w:hAnsi="Arial" w:cs="Arial"/>
                <w:color w:val="000000"/>
              </w:rPr>
              <w:t xml:space="preserve"> </w:t>
            </w:r>
            <w:r w:rsidRPr="00E0494B">
              <w:rPr>
                <w:rFonts w:ascii="Arial" w:eastAsia="Times New Roman" w:hAnsi="Arial" w:cs="Arial"/>
                <w:color w:val="000000"/>
              </w:rPr>
              <w:t xml:space="preserve">profits and losses on the </w:t>
            </w:r>
            <w:r>
              <w:rPr>
                <w:rFonts w:ascii="Arial" w:eastAsia="Times New Roman" w:hAnsi="Arial" w:cs="Arial"/>
                <w:color w:val="000000"/>
              </w:rPr>
              <w:t xml:space="preserve">exit </w:t>
            </w:r>
            <w:r w:rsidRPr="00E0494B">
              <w:rPr>
                <w:rFonts w:ascii="Arial" w:eastAsia="Times New Roman" w:hAnsi="Arial" w:cs="Arial"/>
                <w:color w:val="000000"/>
              </w:rPr>
              <w:t>of properties, impairments of goodwill and significant impairments (or impairment reversals) of other non-current assets;</w:t>
            </w:r>
            <w:r>
              <w:rPr>
                <w:rFonts w:ascii="Arial" w:eastAsia="Times New Roman" w:hAnsi="Arial" w:cs="Arial"/>
                <w:color w:val="000000"/>
              </w:rPr>
              <w:t xml:space="preserve"> </w:t>
            </w:r>
            <w:r w:rsidRPr="00E0494B">
              <w:rPr>
                <w:rFonts w:ascii="Arial" w:eastAsia="Times New Roman" w:hAnsi="Arial" w:cs="Arial"/>
                <w:color w:val="000000"/>
              </w:rPr>
              <w:t>prior year tax items (including the impact of changes in tax rates on deferred tax), significant one-off tax settlements and provision charges/releases and the tax effects of other adjusting items;</w:t>
            </w:r>
            <w:r>
              <w:rPr>
                <w:rFonts w:ascii="Arial" w:eastAsia="Times New Roman" w:hAnsi="Arial" w:cs="Arial"/>
                <w:color w:val="000000"/>
              </w:rPr>
              <w:t xml:space="preserve"> f</w:t>
            </w:r>
            <w:r w:rsidRPr="00E0494B">
              <w:rPr>
                <w:rFonts w:ascii="Arial" w:eastAsia="Times New Roman" w:hAnsi="Arial" w:cs="Arial"/>
                <w:color w:val="000000"/>
              </w:rPr>
              <w:t>inancing fair value remeasurements i.e.</w:t>
            </w:r>
            <w:r w:rsidR="0081687D">
              <w:rPr>
                <w:rFonts w:ascii="Arial" w:eastAsia="Times New Roman" w:hAnsi="Arial" w:cs="Arial"/>
                <w:color w:val="000000"/>
              </w:rPr>
              <w:t>,</w:t>
            </w:r>
            <w:r w:rsidRPr="00E0494B">
              <w:rPr>
                <w:rFonts w:ascii="Arial" w:eastAsia="Times New Roman" w:hAnsi="Arial" w:cs="Arial"/>
                <w:color w:val="000000"/>
              </w:rPr>
              <w:t xml:space="preserve"> changes in the fair value of financing derivatives, excluding interest accruals, offset by fair value adjustments to the carrying amount of borrowings and other hedged items under fair value </w:t>
            </w:r>
            <w:r>
              <w:rPr>
                <w:rFonts w:ascii="Arial" w:eastAsia="Times New Roman" w:hAnsi="Arial" w:cs="Arial"/>
                <w:color w:val="000000"/>
              </w:rPr>
              <w:t xml:space="preserve">(or non-designated) </w:t>
            </w:r>
            <w:r w:rsidRPr="00E0494B">
              <w:rPr>
                <w:rFonts w:ascii="Arial" w:eastAsia="Times New Roman" w:hAnsi="Arial" w:cs="Arial"/>
                <w:color w:val="000000"/>
              </w:rPr>
              <w:t>hedge relationships. Financing derivatives are those that relate to hedged items of a financing nature.</w:t>
            </w:r>
          </w:p>
        </w:tc>
      </w:tr>
      <w:tr w:rsidR="00DC6019" w:rsidRPr="00EB4495" w14:paraId="3A665C03" w14:textId="77777777" w:rsidTr="007218A2">
        <w:trPr>
          <w:trHeight w:val="964"/>
        </w:trPr>
        <w:tc>
          <w:tcPr>
            <w:tcW w:w="1700" w:type="dxa"/>
            <w:tcBorders>
              <w:top w:val="single" w:sz="4" w:space="0" w:color="auto"/>
              <w:left w:val="single" w:sz="4" w:space="0" w:color="auto"/>
              <w:bottom w:val="single" w:sz="4" w:space="0" w:color="auto"/>
              <w:right w:val="single" w:sz="4" w:space="0" w:color="auto"/>
            </w:tcBorders>
            <w:hideMark/>
          </w:tcPr>
          <w:p w14:paraId="2E2171E0"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Central costs</w:t>
            </w:r>
          </w:p>
        </w:tc>
        <w:tc>
          <w:tcPr>
            <w:tcW w:w="1329" w:type="dxa"/>
            <w:tcBorders>
              <w:top w:val="single" w:sz="4" w:space="0" w:color="auto"/>
              <w:left w:val="single" w:sz="4" w:space="0" w:color="auto"/>
              <w:bottom w:val="single" w:sz="4" w:space="0" w:color="auto"/>
              <w:right w:val="single" w:sz="4" w:space="0" w:color="auto"/>
            </w:tcBorders>
            <w:hideMark/>
          </w:tcPr>
          <w:p w14:paraId="541A663B"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353" w:type="dxa"/>
            <w:tcBorders>
              <w:top w:val="single" w:sz="4" w:space="0" w:color="auto"/>
              <w:left w:val="single" w:sz="4" w:space="0" w:color="auto"/>
              <w:bottom w:val="single" w:sz="4" w:space="0" w:color="auto"/>
              <w:right w:val="single" w:sz="4" w:space="0" w:color="auto"/>
            </w:tcBorders>
            <w:hideMark/>
          </w:tcPr>
          <w:p w14:paraId="13D0C6B2"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Not applicable</w:t>
            </w:r>
          </w:p>
        </w:tc>
        <w:tc>
          <w:tcPr>
            <w:tcW w:w="4937" w:type="dxa"/>
            <w:tcBorders>
              <w:top w:val="single" w:sz="4" w:space="0" w:color="auto"/>
              <w:left w:val="single" w:sz="4" w:space="0" w:color="auto"/>
              <w:bottom w:val="single" w:sz="4" w:space="0" w:color="auto"/>
              <w:right w:val="single" w:sz="4" w:space="0" w:color="auto"/>
            </w:tcBorders>
            <w:hideMark/>
          </w:tcPr>
          <w:p w14:paraId="4B63454C"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Central costs principally comprise the costs of the Group’s head office before adjusting items. This helps provide an indication of the Group’s ongoing head office costs.</w:t>
            </w:r>
          </w:p>
        </w:tc>
      </w:tr>
      <w:tr w:rsidR="00DC6019" w:rsidRPr="00EB4495" w14:paraId="45293768" w14:textId="77777777" w:rsidTr="007218A2">
        <w:trPr>
          <w:trHeight w:val="505"/>
        </w:trPr>
        <w:tc>
          <w:tcPr>
            <w:tcW w:w="1700" w:type="dxa"/>
            <w:tcBorders>
              <w:top w:val="single" w:sz="4" w:space="0" w:color="auto"/>
              <w:left w:val="single" w:sz="4" w:space="0" w:color="auto"/>
              <w:bottom w:val="single" w:sz="4" w:space="0" w:color="auto"/>
              <w:right w:val="single" w:sz="4" w:space="0" w:color="auto"/>
            </w:tcBorders>
            <w:hideMark/>
          </w:tcPr>
          <w:p w14:paraId="03E4AC0C"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Constant currency</w:t>
            </w:r>
          </w:p>
        </w:tc>
        <w:tc>
          <w:tcPr>
            <w:tcW w:w="1329" w:type="dxa"/>
            <w:tcBorders>
              <w:top w:val="single" w:sz="4" w:space="0" w:color="auto"/>
              <w:left w:val="single" w:sz="4" w:space="0" w:color="auto"/>
              <w:bottom w:val="single" w:sz="4" w:space="0" w:color="auto"/>
              <w:right w:val="single" w:sz="4" w:space="0" w:color="auto"/>
            </w:tcBorders>
            <w:hideMark/>
          </w:tcPr>
          <w:p w14:paraId="76A8EA60"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353" w:type="dxa"/>
            <w:tcBorders>
              <w:top w:val="single" w:sz="4" w:space="0" w:color="auto"/>
              <w:left w:val="single" w:sz="4" w:space="0" w:color="auto"/>
              <w:bottom w:val="single" w:sz="4" w:space="0" w:color="auto"/>
              <w:right w:val="single" w:sz="4" w:space="0" w:color="auto"/>
            </w:tcBorders>
            <w:hideMark/>
          </w:tcPr>
          <w:p w14:paraId="4934508C"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Not applicable</w:t>
            </w:r>
          </w:p>
        </w:tc>
        <w:tc>
          <w:tcPr>
            <w:tcW w:w="4937" w:type="dxa"/>
            <w:tcBorders>
              <w:top w:val="single" w:sz="4" w:space="0" w:color="auto"/>
              <w:left w:val="single" w:sz="4" w:space="0" w:color="auto"/>
              <w:bottom w:val="single" w:sz="4" w:space="0" w:color="auto"/>
              <w:right w:val="single" w:sz="4" w:space="0" w:color="auto"/>
            </w:tcBorders>
            <w:hideMark/>
          </w:tcPr>
          <w:p w14:paraId="7702E572" w14:textId="77777777" w:rsidR="00DC6019" w:rsidRPr="00EB4495" w:rsidRDefault="00DC6019" w:rsidP="00F42B07">
            <w:pPr>
              <w:jc w:val="left"/>
              <w:rPr>
                <w:rFonts w:ascii="Arial" w:eastAsia="Times New Roman" w:hAnsi="Arial" w:cs="Arial"/>
                <w:color w:val="000000"/>
                <w:lang w:eastAsia="en-US"/>
              </w:rPr>
            </w:pPr>
            <w:r w:rsidRPr="001C7D4C">
              <w:rPr>
                <w:rFonts w:ascii="Arial" w:eastAsia="Times New Roman" w:hAnsi="Arial" w:cs="Arial"/>
                <w:color w:val="000000"/>
              </w:rPr>
              <w:t>Constant currency changes in total sales, LFL sales</w:t>
            </w:r>
            <w:r>
              <w:rPr>
                <w:rFonts w:ascii="Arial" w:eastAsia="Times New Roman" w:hAnsi="Arial" w:cs="Arial"/>
                <w:color w:val="000000"/>
              </w:rPr>
              <w:t>, gross profit, gross margin</w:t>
            </w:r>
            <w:r w:rsidRPr="001C7D4C">
              <w:rPr>
                <w:rFonts w:ascii="Arial" w:eastAsia="Times New Roman" w:hAnsi="Arial" w:cs="Arial"/>
                <w:color w:val="000000"/>
              </w:rPr>
              <w:t xml:space="preserve"> </w:t>
            </w:r>
            <w:r>
              <w:rPr>
                <w:rFonts w:ascii="Arial" w:eastAsia="Times New Roman" w:hAnsi="Arial" w:cs="Arial"/>
                <w:color w:val="000000"/>
              </w:rPr>
              <w:t xml:space="preserve">%, </w:t>
            </w:r>
            <w:r w:rsidRPr="001C7D4C">
              <w:rPr>
                <w:rFonts w:ascii="Arial" w:eastAsia="Times New Roman" w:hAnsi="Arial" w:cs="Arial"/>
                <w:color w:val="000000"/>
              </w:rPr>
              <w:t>retail profit</w:t>
            </w:r>
            <w:r>
              <w:rPr>
                <w:rFonts w:ascii="Arial" w:eastAsia="Times New Roman" w:hAnsi="Arial" w:cs="Arial"/>
                <w:color w:val="000000"/>
              </w:rPr>
              <w:t>, retail profit margin % and operating costs</w:t>
            </w:r>
            <w:r w:rsidRPr="001C7D4C">
              <w:rPr>
                <w:rFonts w:ascii="Arial" w:eastAsia="Times New Roman" w:hAnsi="Arial" w:cs="Arial"/>
                <w:color w:val="000000"/>
              </w:rPr>
              <w:t xml:space="preserve"> reflect the year-on-year movements after translating the prior year comparatives at the current year’s average exchange rates. These are presented to eliminate the effects of exchange rate fluctuation</w:t>
            </w:r>
            <w:r>
              <w:rPr>
                <w:rFonts w:ascii="Arial" w:eastAsia="Times New Roman" w:hAnsi="Arial" w:cs="Arial"/>
                <w:color w:val="000000"/>
              </w:rPr>
              <w:t>s</w:t>
            </w:r>
            <w:r w:rsidRPr="001C7D4C">
              <w:rPr>
                <w:rFonts w:ascii="Arial" w:eastAsia="Times New Roman" w:hAnsi="Arial" w:cs="Arial"/>
                <w:color w:val="000000"/>
              </w:rPr>
              <w:t xml:space="preserve"> on the reported results.</w:t>
            </w:r>
          </w:p>
        </w:tc>
      </w:tr>
      <w:tr w:rsidR="00DC6019" w:rsidRPr="00EB4495" w14:paraId="68BE2F37" w14:textId="77777777" w:rsidTr="007218A2">
        <w:trPr>
          <w:trHeight w:val="505"/>
        </w:trPr>
        <w:tc>
          <w:tcPr>
            <w:tcW w:w="1700" w:type="dxa"/>
            <w:tcBorders>
              <w:top w:val="single" w:sz="4" w:space="0" w:color="auto"/>
              <w:left w:val="single" w:sz="4" w:space="0" w:color="auto"/>
              <w:bottom w:val="single" w:sz="4" w:space="0" w:color="auto"/>
              <w:right w:val="single" w:sz="4" w:space="0" w:color="auto"/>
            </w:tcBorders>
            <w:hideMark/>
          </w:tcPr>
          <w:p w14:paraId="593F6752"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Dividend cover</w:t>
            </w:r>
          </w:p>
        </w:tc>
        <w:tc>
          <w:tcPr>
            <w:tcW w:w="1329" w:type="dxa"/>
            <w:tcBorders>
              <w:top w:val="single" w:sz="4" w:space="0" w:color="auto"/>
              <w:left w:val="single" w:sz="4" w:space="0" w:color="auto"/>
              <w:bottom w:val="single" w:sz="4" w:space="0" w:color="auto"/>
              <w:right w:val="single" w:sz="4" w:space="0" w:color="auto"/>
            </w:tcBorders>
            <w:hideMark/>
          </w:tcPr>
          <w:p w14:paraId="706BAD1F"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353" w:type="dxa"/>
            <w:tcBorders>
              <w:top w:val="single" w:sz="4" w:space="0" w:color="auto"/>
              <w:left w:val="single" w:sz="4" w:space="0" w:color="auto"/>
              <w:bottom w:val="single" w:sz="4" w:space="0" w:color="auto"/>
              <w:right w:val="single" w:sz="4" w:space="0" w:color="auto"/>
            </w:tcBorders>
            <w:hideMark/>
          </w:tcPr>
          <w:p w14:paraId="6DDD7386"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Not applicable</w:t>
            </w:r>
          </w:p>
        </w:tc>
        <w:tc>
          <w:tcPr>
            <w:tcW w:w="4937" w:type="dxa"/>
            <w:tcBorders>
              <w:top w:val="single" w:sz="4" w:space="0" w:color="auto"/>
              <w:left w:val="single" w:sz="4" w:space="0" w:color="auto"/>
              <w:bottom w:val="single" w:sz="4" w:space="0" w:color="auto"/>
              <w:right w:val="single" w:sz="4" w:space="0" w:color="auto"/>
            </w:tcBorders>
            <w:hideMark/>
          </w:tcPr>
          <w:p w14:paraId="63A5BFDB" w14:textId="77777777" w:rsidR="00DC6019" w:rsidRPr="00EB4495" w:rsidRDefault="00DC6019" w:rsidP="00F42B07">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Dividend cover represents the ratio of earnings to dividends. It is calculated as adjusted basic earnings per share divided by the total (full year) dividend per share. It is used as an indication of how sustainable dividend payments are. </w:t>
            </w:r>
          </w:p>
        </w:tc>
      </w:tr>
      <w:tr w:rsidR="008445AD" w:rsidRPr="00EB4495" w14:paraId="15B2F7D4" w14:textId="77777777" w:rsidTr="007218A2">
        <w:trPr>
          <w:trHeight w:val="505"/>
        </w:trPr>
        <w:tc>
          <w:tcPr>
            <w:tcW w:w="1700" w:type="dxa"/>
            <w:tcBorders>
              <w:top w:val="single" w:sz="4" w:space="0" w:color="auto"/>
              <w:left w:val="single" w:sz="4" w:space="0" w:color="auto"/>
              <w:bottom w:val="single" w:sz="4" w:space="0" w:color="auto"/>
              <w:right w:val="single" w:sz="4" w:space="0" w:color="auto"/>
            </w:tcBorders>
          </w:tcPr>
          <w:p w14:paraId="76350389" w14:textId="4AB4C747" w:rsidR="008445AD" w:rsidRPr="00EB4495" w:rsidRDefault="008445AD" w:rsidP="008445AD">
            <w:pPr>
              <w:jc w:val="left"/>
              <w:rPr>
                <w:rFonts w:ascii="Arial" w:eastAsia="Times New Roman" w:hAnsi="Arial" w:cs="Arial"/>
                <w:color w:val="000000"/>
                <w:lang w:eastAsia="en-US"/>
              </w:rPr>
            </w:pPr>
            <w:r w:rsidRPr="00A0172A">
              <w:rPr>
                <w:rFonts w:ascii="Arial" w:eastAsia="Times New Roman" w:hAnsi="Arial" w:cs="Arial"/>
                <w:color w:val="000000"/>
                <w:lang w:eastAsia="en-US"/>
              </w:rPr>
              <w:t>Digitally-enabled sales</w:t>
            </w:r>
            <w:r w:rsidR="00D174BA" w:rsidRPr="00EB4495">
              <w:rPr>
                <w:rFonts w:ascii="Arial" w:hAnsi="Arial" w:cs="Arial"/>
                <w:sz w:val="18"/>
                <w:szCs w:val="18"/>
                <w:vertAlign w:val="superscript"/>
              </w:rPr>
              <w:t>±</w:t>
            </w:r>
          </w:p>
        </w:tc>
        <w:tc>
          <w:tcPr>
            <w:tcW w:w="1329" w:type="dxa"/>
            <w:tcBorders>
              <w:top w:val="single" w:sz="4" w:space="0" w:color="auto"/>
              <w:left w:val="single" w:sz="4" w:space="0" w:color="auto"/>
              <w:bottom w:val="single" w:sz="4" w:space="0" w:color="auto"/>
              <w:right w:val="single" w:sz="4" w:space="0" w:color="auto"/>
            </w:tcBorders>
          </w:tcPr>
          <w:p w14:paraId="6AD596A7" w14:textId="35C43F58"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353" w:type="dxa"/>
            <w:tcBorders>
              <w:top w:val="single" w:sz="4" w:space="0" w:color="auto"/>
              <w:left w:val="single" w:sz="4" w:space="0" w:color="auto"/>
              <w:bottom w:val="single" w:sz="4" w:space="0" w:color="auto"/>
              <w:right w:val="single" w:sz="4" w:space="0" w:color="auto"/>
            </w:tcBorders>
          </w:tcPr>
          <w:p w14:paraId="1F01767D" w14:textId="44BEDB59"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Refer to definition </w:t>
            </w:r>
          </w:p>
        </w:tc>
        <w:tc>
          <w:tcPr>
            <w:tcW w:w="4937" w:type="dxa"/>
            <w:tcBorders>
              <w:top w:val="single" w:sz="4" w:space="0" w:color="auto"/>
              <w:left w:val="single" w:sz="4" w:space="0" w:color="auto"/>
              <w:bottom w:val="single" w:sz="4" w:space="0" w:color="auto"/>
              <w:right w:val="single" w:sz="4" w:space="0" w:color="auto"/>
            </w:tcBorders>
          </w:tcPr>
          <w:p w14:paraId="162B4998" w14:textId="1C433BF4" w:rsidR="008445AD" w:rsidRPr="00EB4495" w:rsidRDefault="00F32E54" w:rsidP="008445AD">
            <w:pPr>
              <w:jc w:val="left"/>
              <w:rPr>
                <w:rFonts w:ascii="Arial" w:eastAsia="Times New Roman" w:hAnsi="Arial" w:cs="Arial"/>
                <w:color w:val="000000"/>
                <w:lang w:eastAsia="en-US"/>
              </w:rPr>
            </w:pPr>
            <w:r w:rsidRPr="00F32E54">
              <w:rPr>
                <w:rFonts w:ascii="Arial" w:eastAsia="Times New Roman" w:hAnsi="Arial" w:cs="Arial"/>
                <w:color w:val="000000"/>
                <w:lang w:eastAsia="en-US"/>
              </w:rPr>
              <w:t>Digitally-enabled sales are e-commerce sales plus sales associated with customer orders placed in stores or via contact centres for collection from store or home delivery (via central home delivery or via store-to-home).</w:t>
            </w:r>
            <w:r w:rsidR="00467720">
              <w:rPr>
                <w:rFonts w:ascii="Arial" w:eastAsia="Times New Roman" w:hAnsi="Arial" w:cs="Arial"/>
                <w:color w:val="000000"/>
                <w:lang w:eastAsia="en-US"/>
              </w:rPr>
              <w:t xml:space="preserve"> </w:t>
            </w:r>
            <w:r w:rsidR="00A757B8">
              <w:rPr>
                <w:rFonts w:ascii="Arial" w:eastAsia="Times New Roman" w:hAnsi="Arial" w:cs="Arial"/>
                <w:color w:val="000000"/>
                <w:lang w:eastAsia="en-US"/>
              </w:rPr>
              <w:t>It is used to help track how well we are responding to changing customer behaviours.</w:t>
            </w:r>
          </w:p>
        </w:tc>
      </w:tr>
      <w:tr w:rsidR="008445AD" w:rsidRPr="00EB4495" w14:paraId="4E475AC8" w14:textId="77777777" w:rsidTr="007218A2">
        <w:trPr>
          <w:trHeight w:val="505"/>
        </w:trPr>
        <w:tc>
          <w:tcPr>
            <w:tcW w:w="1700" w:type="dxa"/>
            <w:tcBorders>
              <w:top w:val="single" w:sz="4" w:space="0" w:color="auto"/>
              <w:left w:val="single" w:sz="4" w:space="0" w:color="auto"/>
              <w:bottom w:val="single" w:sz="4" w:space="0" w:color="auto"/>
              <w:right w:val="single" w:sz="4" w:space="0" w:color="auto"/>
            </w:tcBorders>
          </w:tcPr>
          <w:p w14:paraId="122EE698" w14:textId="18BF228E" w:rsidR="008445AD" w:rsidRPr="00EB4495" w:rsidRDefault="008445AD" w:rsidP="008445AD">
            <w:pPr>
              <w:jc w:val="left"/>
              <w:rPr>
                <w:rFonts w:ascii="Arial" w:eastAsia="Times New Roman" w:hAnsi="Arial" w:cs="Arial"/>
                <w:color w:val="000000"/>
                <w:lang w:eastAsia="en-US"/>
              </w:rPr>
            </w:pPr>
            <w:r w:rsidRPr="00A0172A">
              <w:rPr>
                <w:rFonts w:ascii="Arial" w:eastAsia="Times New Roman" w:hAnsi="Arial" w:cs="Arial"/>
                <w:color w:val="000000"/>
                <w:lang w:eastAsia="en-US"/>
              </w:rPr>
              <w:lastRenderedPageBreak/>
              <w:t>E-commerce sales penetration %</w:t>
            </w:r>
            <w:r w:rsidR="00D174BA" w:rsidRPr="00EB4495">
              <w:rPr>
                <w:rFonts w:ascii="Arial" w:hAnsi="Arial" w:cs="Arial"/>
                <w:sz w:val="18"/>
                <w:szCs w:val="18"/>
                <w:vertAlign w:val="superscript"/>
              </w:rPr>
              <w:t>±</w:t>
            </w:r>
          </w:p>
        </w:tc>
        <w:tc>
          <w:tcPr>
            <w:tcW w:w="1329" w:type="dxa"/>
            <w:tcBorders>
              <w:top w:val="single" w:sz="4" w:space="0" w:color="auto"/>
              <w:left w:val="single" w:sz="4" w:space="0" w:color="auto"/>
              <w:bottom w:val="single" w:sz="4" w:space="0" w:color="auto"/>
              <w:right w:val="single" w:sz="4" w:space="0" w:color="auto"/>
            </w:tcBorders>
          </w:tcPr>
          <w:p w14:paraId="2C511BCD" w14:textId="0661A666"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353" w:type="dxa"/>
            <w:tcBorders>
              <w:top w:val="single" w:sz="4" w:space="0" w:color="auto"/>
              <w:left w:val="single" w:sz="4" w:space="0" w:color="auto"/>
              <w:bottom w:val="single" w:sz="4" w:space="0" w:color="auto"/>
              <w:right w:val="single" w:sz="4" w:space="0" w:color="auto"/>
            </w:tcBorders>
          </w:tcPr>
          <w:p w14:paraId="3EA4655C" w14:textId="6B394B0D"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Refer to definition </w:t>
            </w:r>
          </w:p>
        </w:tc>
        <w:tc>
          <w:tcPr>
            <w:tcW w:w="4937" w:type="dxa"/>
            <w:tcBorders>
              <w:top w:val="single" w:sz="4" w:space="0" w:color="auto"/>
              <w:left w:val="single" w:sz="4" w:space="0" w:color="auto"/>
              <w:bottom w:val="single" w:sz="4" w:space="0" w:color="auto"/>
              <w:right w:val="single" w:sz="4" w:space="0" w:color="auto"/>
            </w:tcBorders>
          </w:tcPr>
          <w:p w14:paraId="43D144C0" w14:textId="2771BE4C" w:rsidR="008445AD" w:rsidRPr="00EB4495" w:rsidRDefault="00F32E54" w:rsidP="008445AD">
            <w:pPr>
              <w:jc w:val="left"/>
              <w:rPr>
                <w:rFonts w:ascii="Arial" w:eastAsia="Times New Roman" w:hAnsi="Arial" w:cs="Arial"/>
                <w:color w:val="000000"/>
                <w:lang w:eastAsia="en-US"/>
              </w:rPr>
            </w:pPr>
            <w:r w:rsidRPr="00F32E54">
              <w:rPr>
                <w:rFonts w:ascii="Arial" w:eastAsia="Times New Roman" w:hAnsi="Arial" w:cs="Arial"/>
                <w:color w:val="000000"/>
                <w:lang w:eastAsia="en-US"/>
              </w:rPr>
              <w:t>E-commerce sales penetration % represent total e-commerce sales as a percentage of sales. For the purpose of this calculation only, sales are adjusted to replace marketplace net sales with marketplace gross sales.</w:t>
            </w:r>
            <w:r w:rsidR="00A757B8">
              <w:rPr>
                <w:rFonts w:ascii="Arial" w:eastAsia="Times New Roman" w:hAnsi="Arial" w:cs="Arial"/>
                <w:color w:val="000000"/>
                <w:lang w:eastAsia="en-US"/>
              </w:rPr>
              <w:t xml:space="preserve"> It is used </w:t>
            </w:r>
            <w:r w:rsidR="00BE5E9F">
              <w:rPr>
                <w:rFonts w:ascii="Arial" w:eastAsia="Times New Roman" w:hAnsi="Arial" w:cs="Arial"/>
                <w:color w:val="000000"/>
                <w:lang w:eastAsia="en-US"/>
              </w:rPr>
              <w:t>to track the success of our e-commerce strategy.</w:t>
            </w:r>
          </w:p>
        </w:tc>
      </w:tr>
      <w:tr w:rsidR="008445AD" w:rsidRPr="00EB4495" w14:paraId="59B9CEA5" w14:textId="77777777" w:rsidTr="007218A2">
        <w:trPr>
          <w:trHeight w:val="505"/>
        </w:trPr>
        <w:tc>
          <w:tcPr>
            <w:tcW w:w="1700" w:type="dxa"/>
            <w:tcBorders>
              <w:top w:val="single" w:sz="4" w:space="0" w:color="auto"/>
              <w:left w:val="single" w:sz="4" w:space="0" w:color="auto"/>
              <w:bottom w:val="single" w:sz="4" w:space="0" w:color="auto"/>
              <w:right w:val="single" w:sz="4" w:space="0" w:color="auto"/>
            </w:tcBorders>
          </w:tcPr>
          <w:p w14:paraId="22134644" w14:textId="2CCFD02D" w:rsidR="008445AD" w:rsidRPr="00EB4495" w:rsidRDefault="008445AD" w:rsidP="008445AD">
            <w:pPr>
              <w:jc w:val="left"/>
              <w:rPr>
                <w:rFonts w:ascii="Arial" w:eastAsia="Times New Roman" w:hAnsi="Arial" w:cs="Arial"/>
                <w:color w:val="000000"/>
                <w:lang w:eastAsia="en-US"/>
              </w:rPr>
            </w:pPr>
            <w:r w:rsidRPr="00A0172A">
              <w:rPr>
                <w:rFonts w:ascii="Arial" w:eastAsia="Times New Roman" w:hAnsi="Arial" w:cs="Arial"/>
                <w:color w:val="000000"/>
                <w:lang w:eastAsia="en-US"/>
              </w:rPr>
              <w:t>First-party e-commerce sales</w:t>
            </w:r>
            <w:r w:rsidR="00D174BA" w:rsidRPr="00EB4495">
              <w:rPr>
                <w:rFonts w:ascii="Arial" w:hAnsi="Arial" w:cs="Arial"/>
                <w:sz w:val="18"/>
                <w:szCs w:val="18"/>
                <w:vertAlign w:val="superscript"/>
              </w:rPr>
              <w:t>±</w:t>
            </w:r>
          </w:p>
        </w:tc>
        <w:tc>
          <w:tcPr>
            <w:tcW w:w="1329" w:type="dxa"/>
            <w:tcBorders>
              <w:top w:val="single" w:sz="4" w:space="0" w:color="auto"/>
              <w:left w:val="single" w:sz="4" w:space="0" w:color="auto"/>
              <w:bottom w:val="single" w:sz="4" w:space="0" w:color="auto"/>
              <w:right w:val="single" w:sz="4" w:space="0" w:color="auto"/>
            </w:tcBorders>
          </w:tcPr>
          <w:p w14:paraId="587B6103" w14:textId="121241DC"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353" w:type="dxa"/>
            <w:tcBorders>
              <w:top w:val="single" w:sz="4" w:space="0" w:color="auto"/>
              <w:left w:val="single" w:sz="4" w:space="0" w:color="auto"/>
              <w:bottom w:val="single" w:sz="4" w:space="0" w:color="auto"/>
              <w:right w:val="single" w:sz="4" w:space="0" w:color="auto"/>
            </w:tcBorders>
          </w:tcPr>
          <w:p w14:paraId="1045A6C8" w14:textId="61755FA0"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Refer to definition </w:t>
            </w:r>
          </w:p>
        </w:tc>
        <w:tc>
          <w:tcPr>
            <w:tcW w:w="4937" w:type="dxa"/>
            <w:tcBorders>
              <w:top w:val="single" w:sz="4" w:space="0" w:color="auto"/>
              <w:left w:val="single" w:sz="4" w:space="0" w:color="auto"/>
              <w:bottom w:val="single" w:sz="4" w:space="0" w:color="auto"/>
              <w:right w:val="single" w:sz="4" w:space="0" w:color="auto"/>
            </w:tcBorders>
          </w:tcPr>
          <w:p w14:paraId="5B1BEF57" w14:textId="6CF67528" w:rsidR="008445AD" w:rsidRPr="00EB4495" w:rsidRDefault="00F32E54" w:rsidP="008445AD">
            <w:pPr>
              <w:jc w:val="left"/>
              <w:rPr>
                <w:rFonts w:ascii="Arial" w:eastAsia="Times New Roman" w:hAnsi="Arial" w:cs="Arial"/>
                <w:color w:val="000000"/>
                <w:lang w:eastAsia="en-US"/>
              </w:rPr>
            </w:pPr>
            <w:r w:rsidRPr="00F32E54">
              <w:rPr>
                <w:rFonts w:ascii="Arial" w:eastAsia="Times New Roman" w:hAnsi="Arial" w:cs="Arial"/>
                <w:color w:val="000000"/>
                <w:lang w:eastAsia="en-US"/>
              </w:rPr>
              <w:t>First-party e-commerce sales are total first-party sales (excluding VAT) derived from online transactions, including click &amp; collect (C&amp;C). This includes sales transacted on any device, however not sales through a call centre. Sales (and related commissions/fees) from products supplied by third-party e-commerce marketplace vendors are excluded.</w:t>
            </w:r>
            <w:r w:rsidR="00C50A13">
              <w:rPr>
                <w:rFonts w:ascii="Arial" w:eastAsia="Times New Roman" w:hAnsi="Arial" w:cs="Arial"/>
                <w:color w:val="000000"/>
                <w:lang w:eastAsia="en-US"/>
              </w:rPr>
              <w:t xml:space="preserve"> </w:t>
            </w:r>
            <w:r w:rsidR="005A376E">
              <w:rPr>
                <w:rFonts w:ascii="Arial" w:eastAsia="Times New Roman" w:hAnsi="Arial" w:cs="Arial"/>
                <w:color w:val="000000"/>
                <w:lang w:eastAsia="en-US"/>
              </w:rPr>
              <w:t xml:space="preserve">It </w:t>
            </w:r>
            <w:r w:rsidR="005A376E" w:rsidRPr="004F69D8">
              <w:rPr>
                <w:rFonts w:ascii="Arial" w:eastAsia="Times New Roman" w:hAnsi="Arial" w:cs="Arial"/>
                <w:color w:val="000000"/>
                <w:lang w:eastAsia="en-US"/>
              </w:rPr>
              <w:t xml:space="preserve">is </w:t>
            </w:r>
            <w:r w:rsidR="005A376E">
              <w:rPr>
                <w:rFonts w:ascii="Arial" w:eastAsia="Times New Roman" w:hAnsi="Arial" w:cs="Arial"/>
                <w:color w:val="000000"/>
                <w:lang w:eastAsia="en-US"/>
              </w:rPr>
              <w:t xml:space="preserve">used to measure </w:t>
            </w:r>
            <w:r w:rsidR="005A376E" w:rsidRPr="004F69D8">
              <w:rPr>
                <w:rFonts w:ascii="Arial" w:eastAsia="Times New Roman" w:hAnsi="Arial" w:cs="Arial"/>
                <w:color w:val="000000"/>
                <w:lang w:eastAsia="en-US"/>
              </w:rPr>
              <w:t xml:space="preserve">the performance of our </w:t>
            </w:r>
            <w:r w:rsidR="00C169A7">
              <w:rPr>
                <w:rFonts w:ascii="Arial" w:eastAsia="Times New Roman" w:hAnsi="Arial" w:cs="Arial"/>
                <w:color w:val="000000"/>
                <w:lang w:eastAsia="en-US"/>
              </w:rPr>
              <w:t xml:space="preserve">first-party </w:t>
            </w:r>
            <w:r w:rsidR="005A376E">
              <w:rPr>
                <w:rFonts w:ascii="Arial" w:eastAsia="Times New Roman" w:hAnsi="Arial" w:cs="Arial"/>
                <w:color w:val="000000"/>
                <w:lang w:eastAsia="en-US"/>
              </w:rPr>
              <w:t xml:space="preserve">e-commerce </w:t>
            </w:r>
            <w:r w:rsidR="005A376E" w:rsidRPr="004F69D8">
              <w:rPr>
                <w:rFonts w:ascii="Arial" w:eastAsia="Times New Roman" w:hAnsi="Arial" w:cs="Arial"/>
                <w:color w:val="000000"/>
                <w:lang w:eastAsia="en-US"/>
              </w:rPr>
              <w:t>business</w:t>
            </w:r>
            <w:r w:rsidR="00C169A7">
              <w:rPr>
                <w:rFonts w:ascii="Arial" w:eastAsia="Times New Roman" w:hAnsi="Arial" w:cs="Arial"/>
                <w:color w:val="000000"/>
                <w:lang w:eastAsia="en-US"/>
              </w:rPr>
              <w:t xml:space="preserve"> across the Group</w:t>
            </w:r>
            <w:r w:rsidR="005A376E" w:rsidRPr="004F69D8">
              <w:rPr>
                <w:rFonts w:ascii="Arial" w:eastAsia="Times New Roman" w:hAnsi="Arial" w:cs="Arial"/>
                <w:color w:val="000000"/>
                <w:lang w:eastAsia="en-US"/>
              </w:rPr>
              <w:t>.</w:t>
            </w:r>
          </w:p>
        </w:tc>
      </w:tr>
      <w:tr w:rsidR="008445AD" w:rsidRPr="00EB4495" w14:paraId="04026E11" w14:textId="77777777" w:rsidTr="007218A2">
        <w:trPr>
          <w:trHeight w:val="505"/>
        </w:trPr>
        <w:tc>
          <w:tcPr>
            <w:tcW w:w="1700" w:type="dxa"/>
            <w:tcBorders>
              <w:top w:val="single" w:sz="4" w:space="0" w:color="auto"/>
              <w:left w:val="single" w:sz="4" w:space="0" w:color="auto"/>
              <w:bottom w:val="single" w:sz="4" w:space="0" w:color="auto"/>
              <w:right w:val="single" w:sz="4" w:space="0" w:color="auto"/>
            </w:tcBorders>
          </w:tcPr>
          <w:p w14:paraId="65300264" w14:textId="3D23167E" w:rsidR="008445AD" w:rsidRPr="00EB4495" w:rsidRDefault="008445AD" w:rsidP="008445AD">
            <w:pPr>
              <w:jc w:val="left"/>
              <w:rPr>
                <w:rFonts w:ascii="Arial" w:eastAsia="Times New Roman" w:hAnsi="Arial" w:cs="Arial"/>
                <w:color w:val="000000"/>
                <w:lang w:eastAsia="en-US"/>
              </w:rPr>
            </w:pPr>
            <w:r>
              <w:rPr>
                <w:rFonts w:ascii="Arial" w:eastAsia="Times New Roman" w:hAnsi="Arial" w:cs="Arial"/>
                <w:color w:val="000000"/>
                <w:lang w:eastAsia="en-US"/>
              </w:rPr>
              <w:t xml:space="preserve">Total </w:t>
            </w:r>
            <w:r w:rsidRPr="00A0172A">
              <w:rPr>
                <w:rFonts w:ascii="Arial" w:eastAsia="Times New Roman" w:hAnsi="Arial" w:cs="Arial"/>
                <w:color w:val="000000"/>
                <w:lang w:eastAsia="en-US"/>
              </w:rPr>
              <w:t>e-commerce sales</w:t>
            </w:r>
            <w:r w:rsidR="00D174BA" w:rsidRPr="00EB4495">
              <w:rPr>
                <w:rFonts w:ascii="Arial" w:hAnsi="Arial" w:cs="Arial"/>
                <w:sz w:val="18"/>
                <w:szCs w:val="18"/>
                <w:vertAlign w:val="superscript"/>
              </w:rPr>
              <w:t>±</w:t>
            </w:r>
          </w:p>
        </w:tc>
        <w:tc>
          <w:tcPr>
            <w:tcW w:w="1329" w:type="dxa"/>
            <w:tcBorders>
              <w:top w:val="single" w:sz="4" w:space="0" w:color="auto"/>
              <w:left w:val="single" w:sz="4" w:space="0" w:color="auto"/>
              <w:bottom w:val="single" w:sz="4" w:space="0" w:color="auto"/>
              <w:right w:val="single" w:sz="4" w:space="0" w:color="auto"/>
            </w:tcBorders>
          </w:tcPr>
          <w:p w14:paraId="7DD8AB70" w14:textId="4AD2847E"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353" w:type="dxa"/>
            <w:tcBorders>
              <w:top w:val="single" w:sz="4" w:space="0" w:color="auto"/>
              <w:left w:val="single" w:sz="4" w:space="0" w:color="auto"/>
              <w:bottom w:val="single" w:sz="4" w:space="0" w:color="auto"/>
              <w:right w:val="single" w:sz="4" w:space="0" w:color="auto"/>
            </w:tcBorders>
          </w:tcPr>
          <w:p w14:paraId="7C35E437" w14:textId="0931ABA5"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Refer to definition </w:t>
            </w:r>
          </w:p>
        </w:tc>
        <w:tc>
          <w:tcPr>
            <w:tcW w:w="4937" w:type="dxa"/>
            <w:tcBorders>
              <w:top w:val="single" w:sz="4" w:space="0" w:color="auto"/>
              <w:left w:val="single" w:sz="4" w:space="0" w:color="auto"/>
              <w:bottom w:val="single" w:sz="4" w:space="0" w:color="auto"/>
              <w:right w:val="single" w:sz="4" w:space="0" w:color="auto"/>
            </w:tcBorders>
          </w:tcPr>
          <w:p w14:paraId="3A810DFD" w14:textId="563610BB" w:rsidR="008445AD" w:rsidRPr="00EB4495" w:rsidRDefault="00F32E54" w:rsidP="008445AD">
            <w:pPr>
              <w:jc w:val="left"/>
              <w:rPr>
                <w:rFonts w:ascii="Arial" w:eastAsia="Times New Roman" w:hAnsi="Arial" w:cs="Arial"/>
                <w:color w:val="000000"/>
                <w:lang w:eastAsia="en-US"/>
              </w:rPr>
            </w:pPr>
            <w:r w:rsidRPr="00F32E54">
              <w:rPr>
                <w:rFonts w:ascii="Arial" w:eastAsia="Times New Roman" w:hAnsi="Arial" w:cs="Arial"/>
                <w:color w:val="000000"/>
                <w:lang w:eastAsia="en-US"/>
              </w:rPr>
              <w:t xml:space="preserve">Total e-commerce sales are first-party e-commerce sales plus marketplace gross sales. References to digital or e-commerce sales growth relates to growth </w:t>
            </w:r>
            <w:r w:rsidR="007D6994">
              <w:rPr>
                <w:rFonts w:ascii="Arial" w:eastAsia="Times New Roman" w:hAnsi="Arial" w:cs="Arial"/>
                <w:color w:val="000000"/>
                <w:lang w:eastAsia="en-US"/>
              </w:rPr>
              <w:t>in</w:t>
            </w:r>
            <w:r w:rsidR="007D6994" w:rsidRPr="00F32E54">
              <w:rPr>
                <w:rFonts w:ascii="Arial" w:eastAsia="Times New Roman" w:hAnsi="Arial" w:cs="Arial"/>
                <w:color w:val="000000"/>
                <w:lang w:eastAsia="en-US"/>
              </w:rPr>
              <w:t xml:space="preserve"> </w:t>
            </w:r>
            <w:r w:rsidRPr="00F32E54">
              <w:rPr>
                <w:rFonts w:ascii="Arial" w:eastAsia="Times New Roman" w:hAnsi="Arial" w:cs="Arial"/>
                <w:color w:val="000000"/>
                <w:lang w:eastAsia="en-US"/>
              </w:rPr>
              <w:t>constant currency.</w:t>
            </w:r>
            <w:r w:rsidR="00C169A7">
              <w:rPr>
                <w:rFonts w:ascii="Arial" w:eastAsia="Times New Roman" w:hAnsi="Arial" w:cs="Arial"/>
                <w:color w:val="000000"/>
                <w:lang w:eastAsia="en-US"/>
              </w:rPr>
              <w:t xml:space="preserve"> It </w:t>
            </w:r>
            <w:r w:rsidR="00C169A7" w:rsidRPr="004F69D8">
              <w:rPr>
                <w:rFonts w:ascii="Arial" w:eastAsia="Times New Roman" w:hAnsi="Arial" w:cs="Arial"/>
                <w:color w:val="000000"/>
                <w:lang w:eastAsia="en-US"/>
              </w:rPr>
              <w:t xml:space="preserve">is </w:t>
            </w:r>
            <w:r w:rsidR="00C169A7">
              <w:rPr>
                <w:rFonts w:ascii="Arial" w:eastAsia="Times New Roman" w:hAnsi="Arial" w:cs="Arial"/>
                <w:color w:val="000000"/>
                <w:lang w:eastAsia="en-US"/>
              </w:rPr>
              <w:t xml:space="preserve">used to measure </w:t>
            </w:r>
            <w:r w:rsidR="00C169A7" w:rsidRPr="004F69D8">
              <w:rPr>
                <w:rFonts w:ascii="Arial" w:eastAsia="Times New Roman" w:hAnsi="Arial" w:cs="Arial"/>
                <w:color w:val="000000"/>
                <w:lang w:eastAsia="en-US"/>
              </w:rPr>
              <w:t xml:space="preserve">the performance of </w:t>
            </w:r>
            <w:r w:rsidR="00C169A7">
              <w:rPr>
                <w:rFonts w:ascii="Arial" w:eastAsia="Times New Roman" w:hAnsi="Arial" w:cs="Arial"/>
                <w:color w:val="000000"/>
                <w:lang w:eastAsia="en-US"/>
              </w:rPr>
              <w:t xml:space="preserve">all e-commerce </w:t>
            </w:r>
            <w:r w:rsidR="00C169A7" w:rsidRPr="004F69D8">
              <w:rPr>
                <w:rFonts w:ascii="Arial" w:eastAsia="Times New Roman" w:hAnsi="Arial" w:cs="Arial"/>
                <w:color w:val="000000"/>
                <w:lang w:eastAsia="en-US"/>
              </w:rPr>
              <w:t>business</w:t>
            </w:r>
            <w:r w:rsidR="00C169A7">
              <w:rPr>
                <w:rFonts w:ascii="Arial" w:eastAsia="Times New Roman" w:hAnsi="Arial" w:cs="Arial"/>
                <w:color w:val="000000"/>
                <w:lang w:eastAsia="en-US"/>
              </w:rPr>
              <w:t xml:space="preserve"> (first-party and third-party) across the Group</w:t>
            </w:r>
            <w:r w:rsidR="00C169A7" w:rsidRPr="004F69D8">
              <w:rPr>
                <w:rFonts w:ascii="Arial" w:eastAsia="Times New Roman" w:hAnsi="Arial" w:cs="Arial"/>
                <w:color w:val="000000"/>
                <w:lang w:eastAsia="en-US"/>
              </w:rPr>
              <w:t>.</w:t>
            </w:r>
          </w:p>
        </w:tc>
      </w:tr>
      <w:tr w:rsidR="008445AD" w:rsidRPr="00EB4495" w14:paraId="762CAA74" w14:textId="77777777" w:rsidTr="007218A2">
        <w:trPr>
          <w:trHeight w:val="1200"/>
        </w:trPr>
        <w:tc>
          <w:tcPr>
            <w:tcW w:w="1700" w:type="dxa"/>
            <w:tcBorders>
              <w:top w:val="single" w:sz="4" w:space="0" w:color="auto"/>
              <w:left w:val="single" w:sz="4" w:space="0" w:color="auto"/>
              <w:bottom w:val="single" w:sz="4" w:space="0" w:color="auto"/>
              <w:right w:val="single" w:sz="4" w:space="0" w:color="auto"/>
            </w:tcBorders>
            <w:hideMark/>
          </w:tcPr>
          <w:p w14:paraId="63263814" w14:textId="77777777"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EBITDA</w:t>
            </w:r>
          </w:p>
        </w:tc>
        <w:tc>
          <w:tcPr>
            <w:tcW w:w="1329" w:type="dxa"/>
            <w:tcBorders>
              <w:top w:val="single" w:sz="4" w:space="0" w:color="auto"/>
              <w:left w:val="single" w:sz="4" w:space="0" w:color="auto"/>
              <w:bottom w:val="single" w:sz="4" w:space="0" w:color="auto"/>
              <w:right w:val="single" w:sz="4" w:space="0" w:color="auto"/>
            </w:tcBorders>
            <w:hideMark/>
          </w:tcPr>
          <w:p w14:paraId="4C425512" w14:textId="77777777"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Profit before taxation</w:t>
            </w:r>
          </w:p>
        </w:tc>
        <w:tc>
          <w:tcPr>
            <w:tcW w:w="2353" w:type="dxa"/>
            <w:tcBorders>
              <w:top w:val="single" w:sz="4" w:space="0" w:color="auto"/>
              <w:left w:val="single" w:sz="4" w:space="0" w:color="auto"/>
              <w:bottom w:val="single" w:sz="4" w:space="0" w:color="auto"/>
              <w:right w:val="single" w:sz="4" w:space="0" w:color="auto"/>
            </w:tcBorders>
            <w:hideMark/>
          </w:tcPr>
          <w:p w14:paraId="27C66C68" w14:textId="77777777"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A reconciliation of EBITDA is set out in the </w:t>
            </w:r>
            <w:r w:rsidRPr="00EB4495">
              <w:rPr>
                <w:rFonts w:ascii="Arial" w:hAnsi="Arial" w:cs="Arial"/>
                <w:color w:val="000000"/>
                <w:lang w:eastAsia="en-US"/>
              </w:rPr>
              <w:t xml:space="preserve">Financial Review (Section </w:t>
            </w:r>
            <w:r>
              <w:rPr>
                <w:rFonts w:ascii="Arial" w:hAnsi="Arial" w:cs="Arial"/>
                <w:color w:val="000000"/>
                <w:lang w:eastAsia="en-US"/>
              </w:rPr>
              <w:t>5</w:t>
            </w:r>
            <w:r w:rsidRPr="00EB4495">
              <w:rPr>
                <w:rFonts w:ascii="Arial" w:hAnsi="Arial" w:cs="Arial"/>
                <w:color w:val="000000"/>
                <w:lang w:eastAsia="en-US"/>
              </w:rPr>
              <w:t>)</w:t>
            </w:r>
          </w:p>
        </w:tc>
        <w:tc>
          <w:tcPr>
            <w:tcW w:w="4937" w:type="dxa"/>
            <w:tcBorders>
              <w:top w:val="single" w:sz="4" w:space="0" w:color="auto"/>
              <w:left w:val="single" w:sz="4" w:space="0" w:color="auto"/>
              <w:bottom w:val="single" w:sz="4" w:space="0" w:color="auto"/>
              <w:right w:val="single" w:sz="4" w:space="0" w:color="auto"/>
            </w:tcBorders>
            <w:hideMark/>
          </w:tcPr>
          <w:p w14:paraId="02399598" w14:textId="77777777"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EBITDA (earnings before interest, tax, depreciation and amortisation) is calculated as retail profit less central costs and before depreciation and amortisation. This measure is widely used in calculating the ratio of net debt to EBITDA, and is used to reflect the Group's leverage. </w:t>
            </w:r>
          </w:p>
        </w:tc>
      </w:tr>
      <w:tr w:rsidR="008445AD" w:rsidRPr="00EB4495" w14:paraId="3E542F23" w14:textId="77777777" w:rsidTr="007218A2">
        <w:trPr>
          <w:trHeight w:val="1350"/>
        </w:trPr>
        <w:tc>
          <w:tcPr>
            <w:tcW w:w="1700" w:type="dxa"/>
            <w:tcBorders>
              <w:top w:val="single" w:sz="4" w:space="0" w:color="auto"/>
              <w:left w:val="single" w:sz="4" w:space="0" w:color="auto"/>
              <w:bottom w:val="single" w:sz="4" w:space="0" w:color="auto"/>
              <w:right w:val="single" w:sz="4" w:space="0" w:color="auto"/>
            </w:tcBorders>
            <w:hideMark/>
          </w:tcPr>
          <w:p w14:paraId="5A030156" w14:textId="77777777"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Free cash flow</w:t>
            </w:r>
          </w:p>
        </w:tc>
        <w:tc>
          <w:tcPr>
            <w:tcW w:w="1329" w:type="dxa"/>
            <w:tcBorders>
              <w:top w:val="single" w:sz="4" w:space="0" w:color="auto"/>
              <w:left w:val="single" w:sz="4" w:space="0" w:color="auto"/>
              <w:bottom w:val="single" w:sz="4" w:space="0" w:color="auto"/>
              <w:right w:val="single" w:sz="4" w:space="0" w:color="auto"/>
            </w:tcBorders>
            <w:hideMark/>
          </w:tcPr>
          <w:p w14:paraId="40572F23" w14:textId="77777777" w:rsidR="008445AD" w:rsidRPr="00EB4495" w:rsidRDefault="008445AD" w:rsidP="008445AD">
            <w:pPr>
              <w:jc w:val="left"/>
              <w:rPr>
                <w:rFonts w:ascii="Arial" w:eastAsia="Times New Roman" w:hAnsi="Arial" w:cs="Arial"/>
                <w:color w:val="000000"/>
                <w:lang w:eastAsia="en-US"/>
              </w:rPr>
            </w:pPr>
            <w:r w:rsidRPr="00E551A1">
              <w:rPr>
                <w:rFonts w:ascii="Arial" w:eastAsia="Times New Roman" w:hAnsi="Arial" w:cs="Arial"/>
                <w:color w:val="000000"/>
              </w:rPr>
              <w:t>Net increase in cash and cash equivalents and bank overdrafts</w:t>
            </w:r>
          </w:p>
        </w:tc>
        <w:tc>
          <w:tcPr>
            <w:tcW w:w="2353" w:type="dxa"/>
            <w:tcBorders>
              <w:top w:val="single" w:sz="4" w:space="0" w:color="auto"/>
              <w:left w:val="single" w:sz="4" w:space="0" w:color="auto"/>
              <w:bottom w:val="single" w:sz="4" w:space="0" w:color="auto"/>
              <w:right w:val="single" w:sz="4" w:space="0" w:color="auto"/>
            </w:tcBorders>
            <w:hideMark/>
          </w:tcPr>
          <w:p w14:paraId="6BB824F5" w14:textId="77777777" w:rsidR="008445AD" w:rsidRPr="00E27F19" w:rsidRDefault="008445AD" w:rsidP="008445AD">
            <w:pPr>
              <w:jc w:val="left"/>
              <w:rPr>
                <w:rFonts w:ascii="Arial" w:eastAsia="Times New Roman" w:hAnsi="Arial" w:cs="Arial"/>
                <w:color w:val="000000"/>
                <w:lang w:eastAsia="en-US"/>
              </w:rPr>
            </w:pPr>
            <w:r w:rsidRPr="00E27F19">
              <w:rPr>
                <w:rFonts w:ascii="Arial" w:eastAsia="Times New Roman" w:hAnsi="Arial" w:cs="Arial"/>
                <w:color w:val="000000"/>
                <w:lang w:eastAsia="en-US"/>
              </w:rPr>
              <w:t xml:space="preserve">A reconciliation of free cash flow is set out in the </w:t>
            </w:r>
            <w:r w:rsidRPr="00E27F19">
              <w:rPr>
                <w:rFonts w:ascii="Arial" w:hAnsi="Arial" w:cs="Arial"/>
                <w:color w:val="000000"/>
                <w:lang w:eastAsia="en-US"/>
              </w:rPr>
              <w:t xml:space="preserve">Financial Review (Section </w:t>
            </w:r>
            <w:r>
              <w:rPr>
                <w:rFonts w:ascii="Arial" w:hAnsi="Arial" w:cs="Arial"/>
                <w:color w:val="000000"/>
                <w:lang w:eastAsia="en-US"/>
              </w:rPr>
              <w:t>5</w:t>
            </w:r>
            <w:r w:rsidRPr="00E27F19">
              <w:rPr>
                <w:rFonts w:ascii="Arial" w:hAnsi="Arial" w:cs="Arial"/>
                <w:color w:val="000000"/>
                <w:lang w:eastAsia="en-US"/>
              </w:rPr>
              <w:t>)</w:t>
            </w:r>
          </w:p>
        </w:tc>
        <w:tc>
          <w:tcPr>
            <w:tcW w:w="4937" w:type="dxa"/>
            <w:tcBorders>
              <w:top w:val="single" w:sz="4" w:space="0" w:color="auto"/>
              <w:left w:val="single" w:sz="4" w:space="0" w:color="auto"/>
              <w:bottom w:val="single" w:sz="4" w:space="0" w:color="auto"/>
              <w:right w:val="single" w:sz="4" w:space="0" w:color="auto"/>
            </w:tcBorders>
            <w:hideMark/>
          </w:tcPr>
          <w:p w14:paraId="126EC3A4" w14:textId="77777777" w:rsidR="008445AD" w:rsidRPr="00E27F19" w:rsidRDefault="008445AD" w:rsidP="008445AD">
            <w:pPr>
              <w:jc w:val="left"/>
              <w:rPr>
                <w:rFonts w:ascii="Arial" w:eastAsia="Times New Roman" w:hAnsi="Arial" w:cs="Arial"/>
                <w:color w:val="000000"/>
                <w:lang w:eastAsia="en-US"/>
              </w:rPr>
            </w:pPr>
            <w:r w:rsidRPr="00097A19">
              <w:rPr>
                <w:rFonts w:ascii="Arial" w:eastAsia="Times New Roman" w:hAnsi="Arial" w:cs="Arial"/>
                <w:color w:val="000000"/>
              </w:rPr>
              <w:t xml:space="preserve">Free cash flow represents the cash generated from operations (excluding </w:t>
            </w:r>
            <w:r>
              <w:rPr>
                <w:rFonts w:ascii="Arial" w:eastAsia="Times New Roman" w:hAnsi="Arial" w:cs="Arial"/>
                <w:color w:val="000000"/>
              </w:rPr>
              <w:t>adjusting</w:t>
            </w:r>
            <w:r w:rsidRPr="00097A19">
              <w:rPr>
                <w:rFonts w:ascii="Arial" w:eastAsia="Times New Roman" w:hAnsi="Arial" w:cs="Arial"/>
                <w:color w:val="000000"/>
              </w:rPr>
              <w:t xml:space="preserve"> items) less the amount spent on interest, tax and capital expenditure during the year (excluding asset disposals).</w:t>
            </w:r>
            <w:r>
              <w:rPr>
                <w:rFonts w:ascii="Arial" w:eastAsia="Times New Roman" w:hAnsi="Arial" w:cs="Arial"/>
                <w:color w:val="000000"/>
              </w:rPr>
              <w:t xml:space="preserve"> </w:t>
            </w:r>
            <w:r w:rsidRPr="00097A19">
              <w:rPr>
                <w:rFonts w:ascii="Arial" w:eastAsia="Times New Roman" w:hAnsi="Arial" w:cs="Arial"/>
                <w:color w:val="000000"/>
              </w:rPr>
              <w:t>This provides a measure of how much cash the business generates that can be used for expansion, capital returns and other purposes.</w:t>
            </w:r>
          </w:p>
        </w:tc>
      </w:tr>
      <w:tr w:rsidR="008445AD" w:rsidRPr="00EB4495" w14:paraId="4DE5A6A2" w14:textId="77777777" w:rsidTr="007218A2">
        <w:trPr>
          <w:trHeight w:val="1247"/>
        </w:trPr>
        <w:tc>
          <w:tcPr>
            <w:tcW w:w="1700" w:type="dxa"/>
            <w:tcBorders>
              <w:top w:val="single" w:sz="4" w:space="0" w:color="auto"/>
              <w:left w:val="single" w:sz="4" w:space="0" w:color="auto"/>
              <w:bottom w:val="single" w:sz="4" w:space="0" w:color="auto"/>
              <w:right w:val="single" w:sz="4" w:space="0" w:color="auto"/>
            </w:tcBorders>
            <w:hideMark/>
          </w:tcPr>
          <w:p w14:paraId="3EA13346" w14:textId="77777777"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Gross margin % </w:t>
            </w:r>
          </w:p>
        </w:tc>
        <w:tc>
          <w:tcPr>
            <w:tcW w:w="1329" w:type="dxa"/>
            <w:tcBorders>
              <w:top w:val="single" w:sz="4" w:space="0" w:color="auto"/>
              <w:left w:val="single" w:sz="4" w:space="0" w:color="auto"/>
              <w:bottom w:val="single" w:sz="4" w:space="0" w:color="auto"/>
              <w:right w:val="single" w:sz="4" w:space="0" w:color="auto"/>
            </w:tcBorders>
            <w:hideMark/>
          </w:tcPr>
          <w:p w14:paraId="4938CAF0" w14:textId="77777777"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353" w:type="dxa"/>
            <w:tcBorders>
              <w:top w:val="single" w:sz="4" w:space="0" w:color="auto"/>
              <w:left w:val="single" w:sz="4" w:space="0" w:color="auto"/>
              <w:bottom w:val="single" w:sz="4" w:space="0" w:color="auto"/>
              <w:right w:val="single" w:sz="4" w:space="0" w:color="auto"/>
            </w:tcBorders>
            <w:hideMark/>
          </w:tcPr>
          <w:p w14:paraId="22CE301B" w14:textId="77777777"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Refer to definition </w:t>
            </w:r>
          </w:p>
        </w:tc>
        <w:tc>
          <w:tcPr>
            <w:tcW w:w="4937" w:type="dxa"/>
            <w:tcBorders>
              <w:top w:val="single" w:sz="4" w:space="0" w:color="auto"/>
              <w:left w:val="single" w:sz="4" w:space="0" w:color="auto"/>
              <w:bottom w:val="single" w:sz="4" w:space="0" w:color="auto"/>
              <w:right w:val="single" w:sz="4" w:space="0" w:color="auto"/>
            </w:tcBorders>
            <w:hideMark/>
          </w:tcPr>
          <w:p w14:paraId="5B184A42" w14:textId="77777777"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Gross profit represents sales from the supply of home improvement products and services (excluding VAT), less the associated cost of those sales. Gross margin % represents gross profit as a percentage of sales. It is a measure of operating performance.</w:t>
            </w:r>
          </w:p>
        </w:tc>
      </w:tr>
      <w:tr w:rsidR="008445AD" w:rsidRPr="00EB4495" w14:paraId="09B62E22" w14:textId="77777777" w:rsidTr="007218A2">
        <w:trPr>
          <w:trHeight w:val="510"/>
        </w:trPr>
        <w:tc>
          <w:tcPr>
            <w:tcW w:w="1700" w:type="dxa"/>
            <w:tcBorders>
              <w:top w:val="single" w:sz="4" w:space="0" w:color="auto"/>
              <w:left w:val="single" w:sz="4" w:space="0" w:color="auto"/>
              <w:bottom w:val="single" w:sz="4" w:space="0" w:color="auto"/>
              <w:right w:val="single" w:sz="4" w:space="0" w:color="auto"/>
            </w:tcBorders>
            <w:hideMark/>
          </w:tcPr>
          <w:p w14:paraId="7E367AD3" w14:textId="77777777"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LFL</w:t>
            </w:r>
          </w:p>
        </w:tc>
        <w:tc>
          <w:tcPr>
            <w:tcW w:w="1329" w:type="dxa"/>
            <w:tcBorders>
              <w:top w:val="single" w:sz="4" w:space="0" w:color="auto"/>
              <w:left w:val="single" w:sz="4" w:space="0" w:color="auto"/>
              <w:bottom w:val="single" w:sz="4" w:space="0" w:color="auto"/>
              <w:right w:val="single" w:sz="4" w:space="0" w:color="auto"/>
            </w:tcBorders>
            <w:hideMark/>
          </w:tcPr>
          <w:p w14:paraId="0B12F906" w14:textId="77777777"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Sales</w:t>
            </w:r>
          </w:p>
        </w:tc>
        <w:tc>
          <w:tcPr>
            <w:tcW w:w="2353" w:type="dxa"/>
            <w:tcBorders>
              <w:top w:val="single" w:sz="4" w:space="0" w:color="auto"/>
              <w:left w:val="single" w:sz="4" w:space="0" w:color="auto"/>
              <w:bottom w:val="single" w:sz="4" w:space="0" w:color="auto"/>
              <w:right w:val="single" w:sz="4" w:space="0" w:color="auto"/>
            </w:tcBorders>
            <w:hideMark/>
          </w:tcPr>
          <w:p w14:paraId="71E82522" w14:textId="77777777"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Refer to definition</w:t>
            </w:r>
          </w:p>
        </w:tc>
        <w:tc>
          <w:tcPr>
            <w:tcW w:w="4937" w:type="dxa"/>
            <w:tcBorders>
              <w:top w:val="single" w:sz="4" w:space="0" w:color="auto"/>
              <w:left w:val="single" w:sz="4" w:space="0" w:color="auto"/>
              <w:bottom w:val="single" w:sz="4" w:space="0" w:color="auto"/>
              <w:right w:val="single" w:sz="4" w:space="0" w:color="auto"/>
            </w:tcBorders>
            <w:hideMark/>
          </w:tcPr>
          <w:p w14:paraId="71E56DE7" w14:textId="6F2E4395"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LFL (like-for-like) sales growth represents the constant currency, </w:t>
            </w:r>
            <w:r>
              <w:rPr>
                <w:rFonts w:ascii="Arial" w:eastAsia="Times New Roman" w:hAnsi="Arial" w:cs="Arial"/>
                <w:color w:val="000000"/>
                <w:lang w:eastAsia="en-US"/>
              </w:rPr>
              <w:t xml:space="preserve">YoY </w:t>
            </w:r>
            <w:r w:rsidRPr="00EB4495">
              <w:rPr>
                <w:rFonts w:ascii="Arial" w:eastAsia="Times New Roman" w:hAnsi="Arial" w:cs="Arial"/>
                <w:color w:val="000000"/>
                <w:lang w:eastAsia="en-US"/>
              </w:rPr>
              <w:t xml:space="preserve">sales growth for stores that have been open for more than one year. </w:t>
            </w:r>
            <w:r w:rsidRPr="00EB4495">
              <w:rPr>
                <w:rFonts w:ascii="Arial" w:eastAsia="Times New Roman" w:hAnsi="Arial" w:cs="Arial"/>
                <w:bCs/>
                <w:color w:val="000000"/>
                <w:lang w:eastAsia="en-US"/>
              </w:rPr>
              <w:t xml:space="preserve">Stores temporarily closed or otherwise impacted due to COVID are also included. </w:t>
            </w:r>
            <w:r w:rsidRPr="00EB4495">
              <w:rPr>
                <w:rFonts w:ascii="Arial" w:eastAsia="Times New Roman" w:hAnsi="Arial" w:cs="Arial"/>
                <w:color w:val="000000"/>
                <w:lang w:eastAsia="en-US"/>
              </w:rPr>
              <w:t>It is a measure to reflect the Group's performance on a comparable basis.</w:t>
            </w:r>
          </w:p>
        </w:tc>
      </w:tr>
      <w:tr w:rsidR="008445AD" w:rsidRPr="00EB4495" w14:paraId="184B3B4D" w14:textId="77777777" w:rsidTr="007218A2">
        <w:trPr>
          <w:trHeight w:val="510"/>
        </w:trPr>
        <w:tc>
          <w:tcPr>
            <w:tcW w:w="1700" w:type="dxa"/>
            <w:tcBorders>
              <w:top w:val="single" w:sz="4" w:space="0" w:color="auto"/>
              <w:left w:val="single" w:sz="4" w:space="0" w:color="auto"/>
              <w:bottom w:val="single" w:sz="4" w:space="0" w:color="auto"/>
              <w:right w:val="single" w:sz="4" w:space="0" w:color="auto"/>
            </w:tcBorders>
            <w:hideMark/>
          </w:tcPr>
          <w:p w14:paraId="2D148187" w14:textId="77777777" w:rsidR="008445AD" w:rsidRPr="00EB4495" w:rsidRDefault="008445AD" w:rsidP="008445AD">
            <w:pPr>
              <w:jc w:val="left"/>
              <w:rPr>
                <w:rFonts w:ascii="Arial" w:eastAsia="Times New Roman" w:hAnsi="Arial" w:cs="Arial"/>
                <w:color w:val="000000"/>
                <w:lang w:eastAsia="en-US"/>
              </w:rPr>
            </w:pPr>
            <w:r>
              <w:rPr>
                <w:rFonts w:ascii="Arial" w:eastAsia="Times New Roman" w:hAnsi="Arial" w:cs="Arial"/>
                <w:color w:val="000000"/>
                <w:lang w:eastAsia="en-US"/>
              </w:rPr>
              <w:t>3</w:t>
            </w:r>
            <w:r w:rsidRPr="00EB4495">
              <w:rPr>
                <w:rFonts w:ascii="Arial" w:eastAsia="Times New Roman" w:hAnsi="Arial" w:cs="Arial"/>
                <w:color w:val="000000"/>
                <w:lang w:eastAsia="en-US"/>
              </w:rPr>
              <w:t>-year LFL</w:t>
            </w:r>
          </w:p>
        </w:tc>
        <w:tc>
          <w:tcPr>
            <w:tcW w:w="1329" w:type="dxa"/>
            <w:tcBorders>
              <w:top w:val="single" w:sz="4" w:space="0" w:color="auto"/>
              <w:left w:val="single" w:sz="4" w:space="0" w:color="auto"/>
              <w:bottom w:val="single" w:sz="4" w:space="0" w:color="auto"/>
              <w:right w:val="single" w:sz="4" w:space="0" w:color="auto"/>
            </w:tcBorders>
            <w:hideMark/>
          </w:tcPr>
          <w:p w14:paraId="06B9F435" w14:textId="77777777"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Sales</w:t>
            </w:r>
          </w:p>
        </w:tc>
        <w:tc>
          <w:tcPr>
            <w:tcW w:w="2353" w:type="dxa"/>
            <w:tcBorders>
              <w:top w:val="single" w:sz="4" w:space="0" w:color="auto"/>
              <w:left w:val="single" w:sz="4" w:space="0" w:color="auto"/>
              <w:bottom w:val="single" w:sz="4" w:space="0" w:color="auto"/>
              <w:right w:val="single" w:sz="4" w:space="0" w:color="auto"/>
            </w:tcBorders>
            <w:hideMark/>
          </w:tcPr>
          <w:p w14:paraId="26DA58C4" w14:textId="77777777" w:rsidR="008445AD" w:rsidRPr="00EB4495" w:rsidRDefault="008445AD" w:rsidP="008445AD">
            <w:pPr>
              <w:jc w:val="left"/>
              <w:rPr>
                <w:rFonts w:ascii="Arial" w:eastAsia="Times New Roman" w:hAnsi="Arial" w:cs="Arial"/>
                <w:color w:val="000000"/>
                <w:lang w:eastAsia="en-US"/>
              </w:rPr>
            </w:pPr>
            <w:r w:rsidRPr="00EB4495">
              <w:rPr>
                <w:rFonts w:ascii="Arial" w:eastAsia="Times New Roman" w:hAnsi="Arial" w:cs="Arial"/>
                <w:color w:val="000000"/>
                <w:lang w:eastAsia="en-US"/>
              </w:rPr>
              <w:t>Refer to definition</w:t>
            </w:r>
          </w:p>
        </w:tc>
        <w:tc>
          <w:tcPr>
            <w:tcW w:w="4937" w:type="dxa"/>
            <w:tcBorders>
              <w:top w:val="single" w:sz="4" w:space="0" w:color="auto"/>
              <w:left w:val="single" w:sz="4" w:space="0" w:color="auto"/>
              <w:bottom w:val="single" w:sz="4" w:space="0" w:color="auto"/>
              <w:right w:val="single" w:sz="4" w:space="0" w:color="auto"/>
            </w:tcBorders>
            <w:hideMark/>
          </w:tcPr>
          <w:p w14:paraId="218C23EF" w14:textId="239AF311" w:rsidR="008445AD" w:rsidRPr="00EB4495" w:rsidRDefault="008445AD" w:rsidP="008445AD">
            <w:pPr>
              <w:jc w:val="left"/>
              <w:rPr>
                <w:rFonts w:ascii="Arial" w:eastAsia="Times New Roman" w:hAnsi="Arial" w:cs="Arial"/>
                <w:color w:val="000000"/>
                <w:lang w:eastAsia="en-US"/>
              </w:rPr>
            </w:pPr>
            <w:r>
              <w:rPr>
                <w:rFonts w:ascii="Arial" w:eastAsia="Times New Roman" w:hAnsi="Arial" w:cs="Arial"/>
                <w:color w:val="000000"/>
                <w:lang w:eastAsia="en-US"/>
              </w:rPr>
              <w:t>3</w:t>
            </w:r>
            <w:r w:rsidRPr="00EB4495">
              <w:rPr>
                <w:rFonts w:ascii="Arial" w:eastAsia="Times New Roman" w:hAnsi="Arial" w:cs="Arial"/>
                <w:color w:val="000000"/>
                <w:lang w:eastAsia="en-US"/>
              </w:rPr>
              <w:t xml:space="preserve">-year LFL is calculated by compounding </w:t>
            </w:r>
            <w:r>
              <w:rPr>
                <w:rFonts w:ascii="Arial" w:eastAsia="Times New Roman" w:hAnsi="Arial" w:cs="Arial"/>
                <w:color w:val="000000"/>
                <w:lang w:eastAsia="en-US"/>
              </w:rPr>
              <w:t xml:space="preserve">the </w:t>
            </w:r>
            <w:r w:rsidRPr="00EB4495">
              <w:rPr>
                <w:rFonts w:ascii="Arial" w:eastAsia="Times New Roman" w:hAnsi="Arial" w:cs="Arial"/>
                <w:color w:val="000000"/>
                <w:lang w:eastAsia="en-US"/>
              </w:rPr>
              <w:t xml:space="preserve">current and prior </w:t>
            </w:r>
            <w:r>
              <w:rPr>
                <w:rFonts w:ascii="Arial" w:eastAsia="Times New Roman" w:hAnsi="Arial" w:cs="Arial"/>
                <w:color w:val="000000"/>
                <w:lang w:eastAsia="en-US"/>
              </w:rPr>
              <w:t xml:space="preserve">two periods’ </w:t>
            </w:r>
            <w:r w:rsidRPr="00EB4495">
              <w:rPr>
                <w:rFonts w:ascii="Arial" w:eastAsia="Times New Roman" w:hAnsi="Arial" w:cs="Arial"/>
                <w:color w:val="000000"/>
                <w:lang w:eastAsia="en-US"/>
              </w:rPr>
              <w:t>LFL growth.</w:t>
            </w:r>
            <w:r>
              <w:rPr>
                <w:rFonts w:ascii="Arial" w:eastAsia="Times New Roman" w:hAnsi="Arial" w:cs="Arial"/>
                <w:color w:val="000000"/>
                <w:lang w:eastAsia="en-US"/>
              </w:rPr>
              <w:t xml:space="preserve"> </w:t>
            </w:r>
            <w:r w:rsidRPr="00984B31">
              <w:rPr>
                <w:rFonts w:ascii="Arial" w:eastAsia="Times New Roman" w:hAnsi="Arial" w:cs="Arial"/>
                <w:color w:val="000000"/>
                <w:lang w:eastAsia="en-US"/>
              </w:rPr>
              <w:t xml:space="preserve">For example, </w:t>
            </w:r>
            <w:r w:rsidR="005045A3">
              <w:rPr>
                <w:rFonts w:ascii="Arial" w:eastAsia="Times New Roman" w:hAnsi="Arial" w:cs="Arial"/>
                <w:color w:val="000000"/>
                <w:lang w:eastAsia="en-US"/>
              </w:rPr>
              <w:t xml:space="preserve">FY </w:t>
            </w:r>
            <w:r w:rsidRPr="00984B31">
              <w:rPr>
                <w:rFonts w:ascii="Arial" w:eastAsia="Times New Roman" w:hAnsi="Arial" w:cs="Arial"/>
                <w:color w:val="000000"/>
                <w:lang w:eastAsia="en-US"/>
              </w:rPr>
              <w:t xml:space="preserve">22/23 LFL growth of 5%, </w:t>
            </w:r>
            <w:r w:rsidR="005045A3">
              <w:rPr>
                <w:rFonts w:ascii="Arial" w:eastAsia="Times New Roman" w:hAnsi="Arial" w:cs="Arial"/>
                <w:color w:val="000000"/>
                <w:lang w:eastAsia="en-US"/>
              </w:rPr>
              <w:t>FY</w:t>
            </w:r>
            <w:r w:rsidR="005045A3" w:rsidRPr="00984B31">
              <w:rPr>
                <w:rFonts w:ascii="Arial" w:eastAsia="Times New Roman" w:hAnsi="Arial" w:cs="Arial"/>
                <w:color w:val="000000"/>
                <w:lang w:eastAsia="en-US"/>
              </w:rPr>
              <w:t xml:space="preserve"> </w:t>
            </w:r>
            <w:r w:rsidRPr="00984B31">
              <w:rPr>
                <w:rFonts w:ascii="Arial" w:eastAsia="Times New Roman" w:hAnsi="Arial" w:cs="Arial"/>
                <w:color w:val="000000"/>
                <w:lang w:eastAsia="en-US"/>
              </w:rPr>
              <w:t xml:space="preserve">21/22 </w:t>
            </w:r>
            <w:r w:rsidRPr="00984B31">
              <w:rPr>
                <w:rFonts w:ascii="Arial" w:eastAsia="Times New Roman" w:hAnsi="Arial" w:cs="Arial"/>
                <w:color w:val="000000"/>
                <w:lang w:eastAsia="en-US"/>
              </w:rPr>
              <w:lastRenderedPageBreak/>
              <w:t xml:space="preserve">LFL growth of 4%, and </w:t>
            </w:r>
            <w:r w:rsidR="005045A3">
              <w:rPr>
                <w:rFonts w:ascii="Arial" w:eastAsia="Times New Roman" w:hAnsi="Arial" w:cs="Arial"/>
                <w:color w:val="000000"/>
                <w:lang w:eastAsia="en-US"/>
              </w:rPr>
              <w:t>FY</w:t>
            </w:r>
            <w:r w:rsidR="005045A3" w:rsidRPr="00984B31">
              <w:rPr>
                <w:rFonts w:ascii="Arial" w:eastAsia="Times New Roman" w:hAnsi="Arial" w:cs="Arial"/>
                <w:color w:val="000000"/>
                <w:lang w:eastAsia="en-US"/>
              </w:rPr>
              <w:t xml:space="preserve"> </w:t>
            </w:r>
            <w:r w:rsidRPr="00984B31">
              <w:rPr>
                <w:rFonts w:ascii="Arial" w:eastAsia="Times New Roman" w:hAnsi="Arial" w:cs="Arial"/>
                <w:color w:val="000000"/>
                <w:lang w:eastAsia="en-US"/>
              </w:rPr>
              <w:t>20/21 LFL growth of 3%, results in 3-year LFL growth of 12.5%. Russia (sale completed on 30 September 2020) is excluded from Group and Other International 3-year LFL calculations.</w:t>
            </w:r>
            <w:r>
              <w:rPr>
                <w:rFonts w:ascii="Arial" w:eastAsia="Times New Roman" w:hAnsi="Arial" w:cs="Arial"/>
                <w:color w:val="000000"/>
                <w:lang w:eastAsia="en-US"/>
              </w:rPr>
              <w:t xml:space="preserve"> </w:t>
            </w:r>
            <w:r w:rsidRPr="00EB4495">
              <w:rPr>
                <w:rFonts w:ascii="Arial" w:eastAsia="Times New Roman" w:hAnsi="Arial" w:cs="Arial"/>
                <w:color w:val="000000"/>
                <w:lang w:eastAsia="en-US"/>
              </w:rPr>
              <w:t xml:space="preserve">It is a measure </w:t>
            </w:r>
            <w:r>
              <w:rPr>
                <w:rFonts w:ascii="Arial" w:eastAsia="Times New Roman" w:hAnsi="Arial" w:cs="Arial"/>
                <w:color w:val="000000"/>
                <w:lang w:eastAsia="en-US"/>
              </w:rPr>
              <w:t xml:space="preserve">of </w:t>
            </w:r>
            <w:r w:rsidRPr="00EB4495">
              <w:rPr>
                <w:rFonts w:ascii="Arial" w:eastAsia="Times New Roman" w:hAnsi="Arial" w:cs="Arial"/>
                <w:color w:val="000000"/>
                <w:lang w:eastAsia="en-US"/>
              </w:rPr>
              <w:t>the Group's performance on a comparable basis.</w:t>
            </w:r>
            <w:r w:rsidR="00B140D8">
              <w:rPr>
                <w:rFonts w:ascii="Arial" w:eastAsia="Times New Roman" w:hAnsi="Arial" w:cs="Arial"/>
                <w:color w:val="000000"/>
                <w:lang w:eastAsia="en-US"/>
              </w:rPr>
              <w:t xml:space="preserve"> In FY 23/24, 3-year LFL </w:t>
            </w:r>
            <w:r w:rsidR="002122F0">
              <w:rPr>
                <w:rFonts w:ascii="Arial" w:eastAsia="Times New Roman" w:hAnsi="Arial" w:cs="Arial"/>
                <w:color w:val="000000"/>
                <w:lang w:eastAsia="en-US"/>
              </w:rPr>
              <w:t xml:space="preserve">measures </w:t>
            </w:r>
            <w:r w:rsidR="00B140D8">
              <w:rPr>
                <w:rFonts w:ascii="Arial" w:eastAsia="Times New Roman" w:hAnsi="Arial" w:cs="Arial"/>
                <w:color w:val="000000"/>
                <w:lang w:eastAsia="en-US"/>
              </w:rPr>
              <w:t>will no</w:t>
            </w:r>
            <w:r w:rsidR="001169B0">
              <w:rPr>
                <w:rFonts w:ascii="Arial" w:eastAsia="Times New Roman" w:hAnsi="Arial" w:cs="Arial"/>
                <w:color w:val="000000"/>
                <w:lang w:eastAsia="en-US"/>
              </w:rPr>
              <w:t xml:space="preserve"> longer</w:t>
            </w:r>
            <w:r w:rsidR="00C94B07">
              <w:rPr>
                <w:rFonts w:ascii="Arial" w:eastAsia="Times New Roman" w:hAnsi="Arial" w:cs="Arial"/>
                <w:color w:val="000000"/>
                <w:lang w:eastAsia="en-US"/>
              </w:rPr>
              <w:t xml:space="preserve"> be reported.</w:t>
            </w:r>
          </w:p>
        </w:tc>
      </w:tr>
      <w:tr w:rsidR="00B8750D" w:rsidRPr="00EB4495" w14:paraId="520EA474" w14:textId="77777777" w:rsidTr="007218A2">
        <w:trPr>
          <w:trHeight w:val="510"/>
        </w:trPr>
        <w:tc>
          <w:tcPr>
            <w:tcW w:w="1700" w:type="dxa"/>
            <w:tcBorders>
              <w:top w:val="single" w:sz="4" w:space="0" w:color="auto"/>
              <w:left w:val="single" w:sz="4" w:space="0" w:color="auto"/>
              <w:bottom w:val="single" w:sz="4" w:space="0" w:color="auto"/>
              <w:right w:val="single" w:sz="4" w:space="0" w:color="auto"/>
            </w:tcBorders>
          </w:tcPr>
          <w:p w14:paraId="198318B8" w14:textId="45B9B95F" w:rsidR="00B8750D" w:rsidRPr="00A0172A" w:rsidRDefault="00B8750D" w:rsidP="00B8750D">
            <w:pPr>
              <w:jc w:val="left"/>
              <w:rPr>
                <w:rFonts w:ascii="Arial" w:eastAsia="Times New Roman" w:hAnsi="Arial" w:cs="Arial"/>
                <w:color w:val="000000"/>
                <w:lang w:eastAsia="en-US"/>
              </w:rPr>
            </w:pPr>
            <w:r w:rsidRPr="00B8750D">
              <w:rPr>
                <w:rFonts w:ascii="Arial" w:eastAsia="Times New Roman" w:hAnsi="Arial" w:cs="Arial"/>
                <w:color w:val="000000"/>
                <w:lang w:eastAsia="en-US"/>
              </w:rPr>
              <w:lastRenderedPageBreak/>
              <w:t>Marketplace gross merchandise value (GMV)</w:t>
            </w:r>
            <w:r w:rsidR="00D174BA" w:rsidRPr="00EB4495">
              <w:rPr>
                <w:rFonts w:ascii="Arial" w:hAnsi="Arial" w:cs="Arial"/>
                <w:sz w:val="18"/>
                <w:szCs w:val="18"/>
                <w:vertAlign w:val="superscript"/>
              </w:rPr>
              <w:t>±</w:t>
            </w:r>
          </w:p>
        </w:tc>
        <w:tc>
          <w:tcPr>
            <w:tcW w:w="1329" w:type="dxa"/>
            <w:tcBorders>
              <w:top w:val="single" w:sz="4" w:space="0" w:color="auto"/>
              <w:left w:val="single" w:sz="4" w:space="0" w:color="auto"/>
              <w:bottom w:val="single" w:sz="4" w:space="0" w:color="auto"/>
              <w:right w:val="single" w:sz="4" w:space="0" w:color="auto"/>
            </w:tcBorders>
          </w:tcPr>
          <w:p w14:paraId="55580A9B" w14:textId="7494C49A" w:rsidR="00B8750D" w:rsidRPr="00EB4495" w:rsidRDefault="00B8750D" w:rsidP="00B8750D">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353" w:type="dxa"/>
            <w:tcBorders>
              <w:top w:val="single" w:sz="4" w:space="0" w:color="auto"/>
              <w:left w:val="single" w:sz="4" w:space="0" w:color="auto"/>
              <w:bottom w:val="single" w:sz="4" w:space="0" w:color="auto"/>
              <w:right w:val="single" w:sz="4" w:space="0" w:color="auto"/>
            </w:tcBorders>
          </w:tcPr>
          <w:p w14:paraId="2D9BCC41" w14:textId="0A472FF4" w:rsidR="00B8750D" w:rsidRPr="00EB4495" w:rsidRDefault="00B8750D" w:rsidP="00B8750D">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Refer to definition </w:t>
            </w:r>
          </w:p>
        </w:tc>
        <w:tc>
          <w:tcPr>
            <w:tcW w:w="4937" w:type="dxa"/>
            <w:tcBorders>
              <w:top w:val="single" w:sz="4" w:space="0" w:color="auto"/>
              <w:left w:val="single" w:sz="4" w:space="0" w:color="auto"/>
              <w:bottom w:val="single" w:sz="4" w:space="0" w:color="auto"/>
              <w:right w:val="single" w:sz="4" w:space="0" w:color="auto"/>
            </w:tcBorders>
          </w:tcPr>
          <w:p w14:paraId="4CF79B53" w14:textId="1DB8E076" w:rsidR="00B8750D" w:rsidRPr="00F32E54" w:rsidRDefault="00B8750D" w:rsidP="00B8750D">
            <w:pPr>
              <w:jc w:val="left"/>
              <w:rPr>
                <w:rFonts w:ascii="Arial" w:eastAsia="Times New Roman" w:hAnsi="Arial" w:cs="Arial"/>
                <w:color w:val="000000"/>
                <w:lang w:eastAsia="en-US"/>
              </w:rPr>
            </w:pPr>
            <w:r w:rsidRPr="00F32E54">
              <w:rPr>
                <w:rFonts w:ascii="Arial" w:eastAsia="Times New Roman" w:hAnsi="Arial" w:cs="Arial"/>
                <w:color w:val="000000"/>
                <w:lang w:eastAsia="en-US"/>
              </w:rPr>
              <w:t>Marketplace GMV is the total transaction value (including VAT) from the sale of products supplied by third-party e-commerce marketplace vendors.</w:t>
            </w:r>
            <w:r w:rsidR="00F45957">
              <w:rPr>
                <w:rFonts w:ascii="Arial" w:eastAsia="Times New Roman" w:hAnsi="Arial" w:cs="Arial"/>
                <w:color w:val="000000"/>
                <w:lang w:eastAsia="en-US"/>
              </w:rPr>
              <w:t xml:space="preserve"> It </w:t>
            </w:r>
            <w:r w:rsidR="00F45957" w:rsidRPr="004F69D8">
              <w:rPr>
                <w:rFonts w:ascii="Arial" w:eastAsia="Times New Roman" w:hAnsi="Arial" w:cs="Arial"/>
                <w:color w:val="000000"/>
                <w:lang w:eastAsia="en-US"/>
              </w:rPr>
              <w:t xml:space="preserve">is </w:t>
            </w:r>
            <w:r w:rsidR="00F45957">
              <w:rPr>
                <w:rFonts w:ascii="Arial" w:eastAsia="Times New Roman" w:hAnsi="Arial" w:cs="Arial"/>
                <w:color w:val="000000"/>
                <w:lang w:eastAsia="en-US"/>
              </w:rPr>
              <w:t xml:space="preserve">used to measure </w:t>
            </w:r>
            <w:r w:rsidR="00F45957" w:rsidRPr="004F69D8">
              <w:rPr>
                <w:rFonts w:ascii="Arial" w:eastAsia="Times New Roman" w:hAnsi="Arial" w:cs="Arial"/>
                <w:color w:val="000000"/>
                <w:lang w:eastAsia="en-US"/>
              </w:rPr>
              <w:t xml:space="preserve">the performance of </w:t>
            </w:r>
            <w:r w:rsidR="001646FC">
              <w:rPr>
                <w:rFonts w:ascii="Arial" w:eastAsia="Times New Roman" w:hAnsi="Arial" w:cs="Arial"/>
                <w:color w:val="000000"/>
                <w:lang w:eastAsia="en-US"/>
              </w:rPr>
              <w:t>our e-commerce marketplace</w:t>
            </w:r>
            <w:r w:rsidR="00DE39BB">
              <w:rPr>
                <w:rFonts w:ascii="Arial" w:eastAsia="Times New Roman" w:hAnsi="Arial" w:cs="Arial"/>
                <w:color w:val="000000"/>
                <w:lang w:eastAsia="en-US"/>
              </w:rPr>
              <w:t>, and is the basis on which our commissions from third-party vendors are determined.</w:t>
            </w:r>
          </w:p>
        </w:tc>
      </w:tr>
      <w:tr w:rsidR="00B8750D" w:rsidRPr="00EB4495" w14:paraId="43CAA342" w14:textId="77777777" w:rsidTr="007218A2">
        <w:trPr>
          <w:trHeight w:val="510"/>
        </w:trPr>
        <w:tc>
          <w:tcPr>
            <w:tcW w:w="1700" w:type="dxa"/>
            <w:tcBorders>
              <w:top w:val="single" w:sz="4" w:space="0" w:color="auto"/>
              <w:left w:val="single" w:sz="4" w:space="0" w:color="auto"/>
              <w:bottom w:val="single" w:sz="4" w:space="0" w:color="auto"/>
              <w:right w:val="single" w:sz="4" w:space="0" w:color="auto"/>
            </w:tcBorders>
          </w:tcPr>
          <w:p w14:paraId="05B760D1" w14:textId="2FB9E20E" w:rsidR="00B8750D" w:rsidRDefault="00B8750D" w:rsidP="00B8750D">
            <w:pPr>
              <w:jc w:val="left"/>
              <w:rPr>
                <w:rFonts w:ascii="Arial" w:eastAsia="Times New Roman" w:hAnsi="Arial" w:cs="Arial"/>
                <w:color w:val="000000"/>
                <w:lang w:eastAsia="en-US"/>
              </w:rPr>
            </w:pPr>
            <w:r w:rsidRPr="00A0172A">
              <w:rPr>
                <w:rFonts w:ascii="Arial" w:eastAsia="Times New Roman" w:hAnsi="Arial" w:cs="Arial"/>
                <w:color w:val="000000"/>
                <w:lang w:eastAsia="en-US"/>
              </w:rPr>
              <w:t>Marketplace gross sales</w:t>
            </w:r>
            <w:r w:rsidR="00D174BA" w:rsidRPr="00EB4495">
              <w:rPr>
                <w:rFonts w:ascii="Arial" w:hAnsi="Arial" w:cs="Arial"/>
                <w:sz w:val="18"/>
                <w:szCs w:val="18"/>
                <w:vertAlign w:val="superscript"/>
              </w:rPr>
              <w:t>±</w:t>
            </w:r>
          </w:p>
        </w:tc>
        <w:tc>
          <w:tcPr>
            <w:tcW w:w="1329" w:type="dxa"/>
            <w:tcBorders>
              <w:top w:val="single" w:sz="4" w:space="0" w:color="auto"/>
              <w:left w:val="single" w:sz="4" w:space="0" w:color="auto"/>
              <w:bottom w:val="single" w:sz="4" w:space="0" w:color="auto"/>
              <w:right w:val="single" w:sz="4" w:space="0" w:color="auto"/>
            </w:tcBorders>
          </w:tcPr>
          <w:p w14:paraId="6709E134" w14:textId="7C295E80" w:rsidR="00B8750D" w:rsidRPr="00EB4495" w:rsidRDefault="00B8750D" w:rsidP="00B8750D">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353" w:type="dxa"/>
            <w:tcBorders>
              <w:top w:val="single" w:sz="4" w:space="0" w:color="auto"/>
              <w:left w:val="single" w:sz="4" w:space="0" w:color="auto"/>
              <w:bottom w:val="single" w:sz="4" w:space="0" w:color="auto"/>
              <w:right w:val="single" w:sz="4" w:space="0" w:color="auto"/>
            </w:tcBorders>
          </w:tcPr>
          <w:p w14:paraId="01117956" w14:textId="5A1B3E86" w:rsidR="00B8750D" w:rsidRPr="00EB4495" w:rsidRDefault="00B8750D" w:rsidP="00B8750D">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Refer to definition </w:t>
            </w:r>
          </w:p>
        </w:tc>
        <w:tc>
          <w:tcPr>
            <w:tcW w:w="4937" w:type="dxa"/>
            <w:tcBorders>
              <w:top w:val="single" w:sz="4" w:space="0" w:color="auto"/>
              <w:left w:val="single" w:sz="4" w:space="0" w:color="auto"/>
              <w:bottom w:val="single" w:sz="4" w:space="0" w:color="auto"/>
              <w:right w:val="single" w:sz="4" w:space="0" w:color="auto"/>
            </w:tcBorders>
          </w:tcPr>
          <w:p w14:paraId="16688BDF" w14:textId="3E0E5B5C" w:rsidR="00B8750D" w:rsidRDefault="00B8750D" w:rsidP="00B8750D">
            <w:pPr>
              <w:jc w:val="left"/>
              <w:rPr>
                <w:rFonts w:ascii="Arial" w:eastAsia="Times New Roman" w:hAnsi="Arial" w:cs="Arial"/>
                <w:color w:val="000000"/>
                <w:lang w:eastAsia="en-US"/>
              </w:rPr>
            </w:pPr>
            <w:r w:rsidRPr="00F32E54">
              <w:rPr>
                <w:rFonts w:ascii="Arial" w:eastAsia="Times New Roman" w:hAnsi="Arial" w:cs="Arial"/>
                <w:color w:val="000000"/>
                <w:lang w:eastAsia="en-US"/>
              </w:rPr>
              <w:t>Marketplace gross sales is the transaction value (excluding VAT) from the sale of products supplied by third-party e-commerce marketplace vendors. Returned and cancelled orders are excluded.</w:t>
            </w:r>
            <w:r w:rsidR="00F06FA3">
              <w:rPr>
                <w:rFonts w:ascii="Arial" w:eastAsia="Times New Roman" w:hAnsi="Arial" w:cs="Arial"/>
                <w:color w:val="000000"/>
                <w:lang w:eastAsia="en-US"/>
              </w:rPr>
              <w:t xml:space="preserve"> It </w:t>
            </w:r>
            <w:r w:rsidR="00F06FA3" w:rsidRPr="004F69D8">
              <w:rPr>
                <w:rFonts w:ascii="Arial" w:eastAsia="Times New Roman" w:hAnsi="Arial" w:cs="Arial"/>
                <w:color w:val="000000"/>
                <w:lang w:eastAsia="en-US"/>
              </w:rPr>
              <w:t xml:space="preserve">is </w:t>
            </w:r>
            <w:r w:rsidR="00F06FA3">
              <w:rPr>
                <w:rFonts w:ascii="Arial" w:eastAsia="Times New Roman" w:hAnsi="Arial" w:cs="Arial"/>
                <w:color w:val="000000"/>
                <w:lang w:eastAsia="en-US"/>
              </w:rPr>
              <w:t xml:space="preserve">used to measure </w:t>
            </w:r>
            <w:r w:rsidR="00F06FA3" w:rsidRPr="004F69D8">
              <w:rPr>
                <w:rFonts w:ascii="Arial" w:eastAsia="Times New Roman" w:hAnsi="Arial" w:cs="Arial"/>
                <w:color w:val="000000"/>
                <w:lang w:eastAsia="en-US"/>
              </w:rPr>
              <w:t xml:space="preserve">the performance of our </w:t>
            </w:r>
            <w:r w:rsidR="00F06FA3">
              <w:rPr>
                <w:rFonts w:ascii="Arial" w:eastAsia="Times New Roman" w:hAnsi="Arial" w:cs="Arial"/>
                <w:color w:val="000000"/>
                <w:lang w:eastAsia="en-US"/>
              </w:rPr>
              <w:t>e-commerce marketplace</w:t>
            </w:r>
            <w:r w:rsidR="00F06FA3" w:rsidRPr="004F69D8">
              <w:rPr>
                <w:rFonts w:ascii="Arial" w:eastAsia="Times New Roman" w:hAnsi="Arial" w:cs="Arial"/>
                <w:color w:val="000000"/>
                <w:lang w:eastAsia="en-US"/>
              </w:rPr>
              <w:t>.</w:t>
            </w:r>
          </w:p>
        </w:tc>
      </w:tr>
      <w:tr w:rsidR="00B8750D" w:rsidRPr="00EB4495" w14:paraId="77773AA6" w14:textId="77777777" w:rsidTr="007218A2">
        <w:trPr>
          <w:trHeight w:val="510"/>
        </w:trPr>
        <w:tc>
          <w:tcPr>
            <w:tcW w:w="1700" w:type="dxa"/>
            <w:tcBorders>
              <w:top w:val="single" w:sz="4" w:space="0" w:color="auto"/>
              <w:left w:val="single" w:sz="4" w:space="0" w:color="auto"/>
              <w:bottom w:val="single" w:sz="4" w:space="0" w:color="auto"/>
              <w:right w:val="single" w:sz="4" w:space="0" w:color="auto"/>
            </w:tcBorders>
          </w:tcPr>
          <w:p w14:paraId="5466038F" w14:textId="3FF5FD9C" w:rsidR="00B8750D" w:rsidRDefault="00B8750D" w:rsidP="00B8750D">
            <w:pPr>
              <w:jc w:val="left"/>
              <w:rPr>
                <w:rFonts w:ascii="Arial" w:eastAsia="Times New Roman" w:hAnsi="Arial" w:cs="Arial"/>
                <w:color w:val="000000"/>
                <w:lang w:eastAsia="en-US"/>
              </w:rPr>
            </w:pPr>
            <w:r w:rsidRPr="00A0172A">
              <w:rPr>
                <w:rFonts w:ascii="Arial" w:eastAsia="Times New Roman" w:hAnsi="Arial" w:cs="Arial"/>
                <w:color w:val="000000"/>
                <w:lang w:eastAsia="en-US"/>
              </w:rPr>
              <w:t xml:space="preserve">Marketplace </w:t>
            </w:r>
            <w:r>
              <w:rPr>
                <w:rFonts w:ascii="Arial" w:eastAsia="Times New Roman" w:hAnsi="Arial" w:cs="Arial"/>
                <w:color w:val="000000"/>
                <w:lang w:eastAsia="en-US"/>
              </w:rPr>
              <w:t>net</w:t>
            </w:r>
            <w:r w:rsidRPr="00A0172A">
              <w:rPr>
                <w:rFonts w:ascii="Arial" w:eastAsia="Times New Roman" w:hAnsi="Arial" w:cs="Arial"/>
                <w:color w:val="000000"/>
                <w:lang w:eastAsia="en-US"/>
              </w:rPr>
              <w:t xml:space="preserve"> sales</w:t>
            </w:r>
            <w:r w:rsidR="00D174BA" w:rsidRPr="00EB4495">
              <w:rPr>
                <w:rFonts w:ascii="Arial" w:hAnsi="Arial" w:cs="Arial"/>
                <w:sz w:val="18"/>
                <w:szCs w:val="18"/>
                <w:vertAlign w:val="superscript"/>
              </w:rPr>
              <w:t>±</w:t>
            </w:r>
          </w:p>
        </w:tc>
        <w:tc>
          <w:tcPr>
            <w:tcW w:w="1329" w:type="dxa"/>
            <w:tcBorders>
              <w:top w:val="single" w:sz="4" w:space="0" w:color="auto"/>
              <w:left w:val="single" w:sz="4" w:space="0" w:color="auto"/>
              <w:bottom w:val="single" w:sz="4" w:space="0" w:color="auto"/>
              <w:right w:val="single" w:sz="4" w:space="0" w:color="auto"/>
            </w:tcBorders>
          </w:tcPr>
          <w:p w14:paraId="68A36C7F" w14:textId="7FBD55AB" w:rsidR="00B8750D" w:rsidRPr="00EB4495" w:rsidRDefault="00B8750D" w:rsidP="00B8750D">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353" w:type="dxa"/>
            <w:tcBorders>
              <w:top w:val="single" w:sz="4" w:space="0" w:color="auto"/>
              <w:left w:val="single" w:sz="4" w:space="0" w:color="auto"/>
              <w:bottom w:val="single" w:sz="4" w:space="0" w:color="auto"/>
              <w:right w:val="single" w:sz="4" w:space="0" w:color="auto"/>
            </w:tcBorders>
          </w:tcPr>
          <w:p w14:paraId="60864563" w14:textId="1D8C8705" w:rsidR="00B8750D" w:rsidRPr="00EB4495" w:rsidRDefault="00B8750D" w:rsidP="00B8750D">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Refer to definition </w:t>
            </w:r>
          </w:p>
        </w:tc>
        <w:tc>
          <w:tcPr>
            <w:tcW w:w="4937" w:type="dxa"/>
            <w:tcBorders>
              <w:top w:val="single" w:sz="4" w:space="0" w:color="auto"/>
              <w:left w:val="single" w:sz="4" w:space="0" w:color="auto"/>
              <w:bottom w:val="single" w:sz="4" w:space="0" w:color="auto"/>
              <w:right w:val="single" w:sz="4" w:space="0" w:color="auto"/>
            </w:tcBorders>
          </w:tcPr>
          <w:p w14:paraId="1A20CD78" w14:textId="580CCA0C" w:rsidR="00B8750D" w:rsidRDefault="00B8750D" w:rsidP="00B8750D">
            <w:pPr>
              <w:jc w:val="left"/>
              <w:rPr>
                <w:rFonts w:ascii="Arial" w:eastAsia="Times New Roman" w:hAnsi="Arial" w:cs="Arial"/>
                <w:color w:val="000000"/>
                <w:lang w:eastAsia="en-US"/>
              </w:rPr>
            </w:pPr>
            <w:r w:rsidRPr="00F32E54">
              <w:rPr>
                <w:rFonts w:ascii="Arial" w:eastAsia="Times New Roman" w:hAnsi="Arial" w:cs="Arial"/>
                <w:color w:val="000000"/>
                <w:lang w:eastAsia="en-US"/>
              </w:rPr>
              <w:t>Marketplace net sales are commissions (excluding VAT) earned on e-commerce marketplace transactions, together with other service fees. This is included within sales. Commissions are determined based on GMV.</w:t>
            </w:r>
            <w:r w:rsidR="00A401E1">
              <w:rPr>
                <w:rFonts w:ascii="Arial" w:eastAsia="Times New Roman" w:hAnsi="Arial" w:cs="Arial"/>
                <w:color w:val="000000"/>
                <w:lang w:eastAsia="en-US"/>
              </w:rPr>
              <w:t xml:space="preserve"> </w:t>
            </w:r>
            <w:r w:rsidR="00C3655D">
              <w:rPr>
                <w:rFonts w:ascii="Arial" w:eastAsia="Times New Roman" w:hAnsi="Arial" w:cs="Arial"/>
                <w:color w:val="000000"/>
                <w:lang w:eastAsia="en-US"/>
              </w:rPr>
              <w:t xml:space="preserve">It </w:t>
            </w:r>
            <w:r w:rsidR="00C3655D" w:rsidRPr="004F69D8">
              <w:rPr>
                <w:rFonts w:ascii="Arial" w:eastAsia="Times New Roman" w:hAnsi="Arial" w:cs="Arial"/>
                <w:color w:val="000000"/>
                <w:lang w:eastAsia="en-US"/>
              </w:rPr>
              <w:t xml:space="preserve">is </w:t>
            </w:r>
            <w:r w:rsidR="00C3655D">
              <w:rPr>
                <w:rFonts w:ascii="Arial" w:eastAsia="Times New Roman" w:hAnsi="Arial" w:cs="Arial"/>
                <w:color w:val="000000"/>
                <w:lang w:eastAsia="en-US"/>
              </w:rPr>
              <w:t xml:space="preserve">used to measure </w:t>
            </w:r>
            <w:r w:rsidR="00C3655D" w:rsidRPr="004F69D8">
              <w:rPr>
                <w:rFonts w:ascii="Arial" w:eastAsia="Times New Roman" w:hAnsi="Arial" w:cs="Arial"/>
                <w:color w:val="000000"/>
                <w:lang w:eastAsia="en-US"/>
              </w:rPr>
              <w:t xml:space="preserve">the performance of our </w:t>
            </w:r>
            <w:r w:rsidR="00C3655D">
              <w:rPr>
                <w:rFonts w:ascii="Arial" w:eastAsia="Times New Roman" w:hAnsi="Arial" w:cs="Arial"/>
                <w:color w:val="000000"/>
                <w:lang w:eastAsia="en-US"/>
              </w:rPr>
              <w:t>e-commerce marketplace</w:t>
            </w:r>
            <w:r w:rsidR="00C3655D" w:rsidRPr="004F69D8">
              <w:rPr>
                <w:rFonts w:ascii="Arial" w:eastAsia="Times New Roman" w:hAnsi="Arial" w:cs="Arial"/>
                <w:color w:val="000000"/>
                <w:lang w:eastAsia="en-US"/>
              </w:rPr>
              <w:t>.</w:t>
            </w:r>
          </w:p>
        </w:tc>
      </w:tr>
      <w:tr w:rsidR="00B8750D" w:rsidRPr="00EB4495" w14:paraId="306B9E30" w14:textId="77777777" w:rsidTr="007218A2">
        <w:trPr>
          <w:trHeight w:val="510"/>
        </w:trPr>
        <w:tc>
          <w:tcPr>
            <w:tcW w:w="1700" w:type="dxa"/>
            <w:tcBorders>
              <w:top w:val="single" w:sz="4" w:space="0" w:color="auto"/>
              <w:left w:val="single" w:sz="4" w:space="0" w:color="auto"/>
              <w:bottom w:val="single" w:sz="4" w:space="0" w:color="auto"/>
              <w:right w:val="single" w:sz="4" w:space="0" w:color="auto"/>
            </w:tcBorders>
          </w:tcPr>
          <w:p w14:paraId="045CBA76" w14:textId="095B3940" w:rsidR="00B8750D" w:rsidRDefault="00B8750D" w:rsidP="00B8750D">
            <w:pPr>
              <w:jc w:val="left"/>
              <w:rPr>
                <w:rFonts w:ascii="Arial" w:eastAsia="Times New Roman" w:hAnsi="Arial" w:cs="Arial"/>
                <w:color w:val="000000"/>
                <w:lang w:eastAsia="en-US"/>
              </w:rPr>
            </w:pPr>
            <w:r w:rsidRPr="00A0172A">
              <w:rPr>
                <w:rFonts w:ascii="Arial" w:eastAsia="Times New Roman" w:hAnsi="Arial" w:cs="Arial"/>
                <w:color w:val="000000"/>
                <w:lang w:eastAsia="en-US"/>
              </w:rPr>
              <w:t>Marketplace participation %</w:t>
            </w:r>
            <w:r w:rsidR="00D174BA" w:rsidRPr="00EB4495">
              <w:rPr>
                <w:rFonts w:ascii="Arial" w:hAnsi="Arial" w:cs="Arial"/>
                <w:sz w:val="18"/>
                <w:szCs w:val="18"/>
                <w:vertAlign w:val="superscript"/>
              </w:rPr>
              <w:t>±</w:t>
            </w:r>
          </w:p>
        </w:tc>
        <w:tc>
          <w:tcPr>
            <w:tcW w:w="1329" w:type="dxa"/>
            <w:tcBorders>
              <w:top w:val="single" w:sz="4" w:space="0" w:color="auto"/>
              <w:left w:val="single" w:sz="4" w:space="0" w:color="auto"/>
              <w:bottom w:val="single" w:sz="4" w:space="0" w:color="auto"/>
              <w:right w:val="single" w:sz="4" w:space="0" w:color="auto"/>
            </w:tcBorders>
          </w:tcPr>
          <w:p w14:paraId="7469E774" w14:textId="4A50834C" w:rsidR="00B8750D" w:rsidRPr="00EB4495" w:rsidRDefault="00B8750D" w:rsidP="00B8750D">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353" w:type="dxa"/>
            <w:tcBorders>
              <w:top w:val="single" w:sz="4" w:space="0" w:color="auto"/>
              <w:left w:val="single" w:sz="4" w:space="0" w:color="auto"/>
              <w:bottom w:val="single" w:sz="4" w:space="0" w:color="auto"/>
              <w:right w:val="single" w:sz="4" w:space="0" w:color="auto"/>
            </w:tcBorders>
          </w:tcPr>
          <w:p w14:paraId="1DE13BE3" w14:textId="0DC9C7B7" w:rsidR="00B8750D" w:rsidRPr="00EB4495" w:rsidRDefault="00B8750D" w:rsidP="00B8750D">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Refer to definition </w:t>
            </w:r>
          </w:p>
        </w:tc>
        <w:tc>
          <w:tcPr>
            <w:tcW w:w="4937" w:type="dxa"/>
            <w:tcBorders>
              <w:top w:val="single" w:sz="4" w:space="0" w:color="auto"/>
              <w:left w:val="single" w:sz="4" w:space="0" w:color="auto"/>
              <w:bottom w:val="single" w:sz="4" w:space="0" w:color="auto"/>
              <w:right w:val="single" w:sz="4" w:space="0" w:color="auto"/>
            </w:tcBorders>
          </w:tcPr>
          <w:p w14:paraId="64C338EC" w14:textId="09C6F33A" w:rsidR="00B8750D" w:rsidRDefault="00B8750D" w:rsidP="00B8750D">
            <w:pPr>
              <w:jc w:val="left"/>
              <w:rPr>
                <w:rFonts w:ascii="Arial" w:eastAsia="Times New Roman" w:hAnsi="Arial" w:cs="Arial"/>
                <w:color w:val="000000"/>
                <w:lang w:eastAsia="en-US"/>
              </w:rPr>
            </w:pPr>
            <w:r w:rsidRPr="00B8750D">
              <w:rPr>
                <w:rFonts w:ascii="Arial" w:eastAsia="Times New Roman" w:hAnsi="Arial" w:cs="Arial"/>
                <w:color w:val="000000"/>
                <w:lang w:eastAsia="en-US"/>
              </w:rPr>
              <w:t>Marketplace participation % represent B&amp;Q’s marketplace gross sales as a percentage of B&amp;Q’s total e-commerce sales.</w:t>
            </w:r>
            <w:r w:rsidR="000416A1">
              <w:rPr>
                <w:rFonts w:ascii="Arial" w:eastAsia="Times New Roman" w:hAnsi="Arial" w:cs="Arial"/>
                <w:color w:val="000000"/>
                <w:lang w:eastAsia="en-US"/>
              </w:rPr>
              <w:t xml:space="preserve"> It is used to track the success of our marketplace strategy and performance.</w:t>
            </w:r>
          </w:p>
        </w:tc>
      </w:tr>
      <w:tr w:rsidR="00B8750D" w:rsidRPr="00EB4495" w14:paraId="75E46749" w14:textId="77777777" w:rsidTr="00854FAA">
        <w:trPr>
          <w:trHeight w:val="1247"/>
        </w:trPr>
        <w:tc>
          <w:tcPr>
            <w:tcW w:w="1700" w:type="dxa"/>
            <w:tcBorders>
              <w:top w:val="single" w:sz="4" w:space="0" w:color="auto"/>
              <w:left w:val="single" w:sz="4" w:space="0" w:color="auto"/>
              <w:bottom w:val="single" w:sz="4" w:space="0" w:color="auto"/>
              <w:right w:val="single" w:sz="4" w:space="0" w:color="auto"/>
            </w:tcBorders>
            <w:hideMark/>
          </w:tcPr>
          <w:p w14:paraId="192ECAA6" w14:textId="77777777" w:rsidR="00B8750D" w:rsidRPr="00EB4495" w:rsidRDefault="00B8750D" w:rsidP="00B8750D">
            <w:pPr>
              <w:jc w:val="left"/>
              <w:rPr>
                <w:rFonts w:ascii="Arial" w:eastAsia="Times New Roman" w:hAnsi="Arial" w:cs="Arial"/>
                <w:color w:val="000000"/>
                <w:lang w:eastAsia="en-US"/>
              </w:rPr>
            </w:pPr>
            <w:r w:rsidRPr="00EB4495">
              <w:rPr>
                <w:rFonts w:ascii="Arial" w:eastAsia="Times New Roman" w:hAnsi="Arial" w:cs="Arial"/>
                <w:color w:val="000000"/>
                <w:lang w:eastAsia="en-US"/>
              </w:rPr>
              <w:t>Net debt</w:t>
            </w:r>
          </w:p>
        </w:tc>
        <w:tc>
          <w:tcPr>
            <w:tcW w:w="1329" w:type="dxa"/>
            <w:tcBorders>
              <w:top w:val="single" w:sz="4" w:space="0" w:color="auto"/>
              <w:left w:val="single" w:sz="4" w:space="0" w:color="auto"/>
              <w:bottom w:val="single" w:sz="4" w:space="0" w:color="auto"/>
              <w:right w:val="single" w:sz="4" w:space="0" w:color="auto"/>
            </w:tcBorders>
            <w:hideMark/>
          </w:tcPr>
          <w:p w14:paraId="3320F555" w14:textId="77777777" w:rsidR="00B8750D" w:rsidRPr="00EB4495" w:rsidRDefault="00B8750D" w:rsidP="00B8750D">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353" w:type="dxa"/>
            <w:tcBorders>
              <w:top w:val="single" w:sz="4" w:space="0" w:color="auto"/>
              <w:left w:val="single" w:sz="4" w:space="0" w:color="auto"/>
              <w:bottom w:val="single" w:sz="4" w:space="0" w:color="auto"/>
              <w:right w:val="single" w:sz="4" w:space="0" w:color="auto"/>
            </w:tcBorders>
            <w:hideMark/>
          </w:tcPr>
          <w:p w14:paraId="12708C1B" w14:textId="77EBAF10" w:rsidR="00B8750D" w:rsidRPr="00F6084A" w:rsidRDefault="00B8750D" w:rsidP="00B8750D">
            <w:pPr>
              <w:jc w:val="left"/>
              <w:rPr>
                <w:rFonts w:ascii="Arial" w:eastAsia="Times New Roman" w:hAnsi="Arial" w:cs="Arial"/>
                <w:color w:val="000000"/>
                <w:lang w:eastAsia="en-US"/>
              </w:rPr>
            </w:pPr>
            <w:r w:rsidRPr="00F6084A">
              <w:rPr>
                <w:rFonts w:ascii="Arial" w:eastAsia="Times New Roman" w:hAnsi="Arial" w:cs="Arial"/>
                <w:color w:val="000000"/>
                <w:lang w:eastAsia="en-US"/>
              </w:rPr>
              <w:t xml:space="preserve">A reconciliation of this measure is provided in </w:t>
            </w:r>
            <w:r w:rsidRPr="0007608C">
              <w:rPr>
                <w:rFonts w:ascii="Arial" w:hAnsi="Arial" w:cs="Arial"/>
                <w:color w:val="000000"/>
                <w:lang w:eastAsia="en-US"/>
              </w:rPr>
              <w:t xml:space="preserve">note </w:t>
            </w:r>
            <w:r w:rsidR="003A0890">
              <w:rPr>
                <w:rFonts w:ascii="Arial" w:hAnsi="Arial"/>
                <w:color w:val="000000"/>
              </w:rPr>
              <w:t>12</w:t>
            </w:r>
            <w:r w:rsidR="003A0890" w:rsidRPr="00F6084A">
              <w:rPr>
                <w:rFonts w:ascii="Arial" w:eastAsia="Times New Roman" w:hAnsi="Arial" w:cs="Arial"/>
                <w:color w:val="000000"/>
                <w:lang w:eastAsia="en-US"/>
              </w:rPr>
              <w:t xml:space="preserve"> </w:t>
            </w:r>
            <w:r w:rsidRPr="00F6084A">
              <w:rPr>
                <w:rFonts w:ascii="Arial" w:eastAsia="Times New Roman" w:hAnsi="Arial" w:cs="Arial"/>
                <w:color w:val="000000"/>
                <w:lang w:eastAsia="en-US"/>
              </w:rPr>
              <w:t>of the condensed financial statements</w:t>
            </w:r>
          </w:p>
        </w:tc>
        <w:tc>
          <w:tcPr>
            <w:tcW w:w="4937" w:type="dxa"/>
            <w:tcBorders>
              <w:top w:val="single" w:sz="4" w:space="0" w:color="auto"/>
              <w:left w:val="single" w:sz="4" w:space="0" w:color="auto"/>
              <w:bottom w:val="single" w:sz="4" w:space="0" w:color="auto"/>
              <w:right w:val="single" w:sz="4" w:space="0" w:color="auto"/>
            </w:tcBorders>
            <w:hideMark/>
          </w:tcPr>
          <w:p w14:paraId="02BBB391" w14:textId="77777777" w:rsidR="00B8750D" w:rsidRPr="00EB4495" w:rsidRDefault="00B8750D" w:rsidP="00B8750D">
            <w:pPr>
              <w:jc w:val="left"/>
              <w:rPr>
                <w:rFonts w:ascii="Arial" w:eastAsia="Times New Roman" w:hAnsi="Arial" w:cs="Arial"/>
                <w:color w:val="000000"/>
                <w:lang w:eastAsia="en-US"/>
              </w:rPr>
            </w:pPr>
            <w:r w:rsidRPr="00EB4495">
              <w:rPr>
                <w:rFonts w:ascii="Arial" w:eastAsia="Times New Roman" w:hAnsi="Arial" w:cs="Arial"/>
                <w:color w:val="000000"/>
                <w:lang w:eastAsia="en-US"/>
              </w:rPr>
              <w:t>Net debt comprises lease liabilities, borrowings and financing derivatives (excluding accrued interest), less cash and cash equivalents and short</w:t>
            </w:r>
            <w:r>
              <w:rPr>
                <w:rFonts w:ascii="Arial" w:eastAsia="Times New Roman" w:hAnsi="Arial" w:cs="Arial"/>
                <w:color w:val="000000"/>
                <w:lang w:eastAsia="en-US"/>
              </w:rPr>
              <w:t xml:space="preserve"> </w:t>
            </w:r>
            <w:r w:rsidRPr="00EB4495">
              <w:rPr>
                <w:rFonts w:ascii="Arial" w:eastAsia="Times New Roman" w:hAnsi="Arial" w:cs="Arial"/>
                <w:color w:val="000000"/>
                <w:lang w:eastAsia="en-US"/>
              </w:rPr>
              <w:t xml:space="preserve">term deposits, including such balances classified as held for sale. </w:t>
            </w:r>
          </w:p>
        </w:tc>
      </w:tr>
      <w:tr w:rsidR="00B8750D" w:rsidRPr="00EB4495" w14:paraId="7204E2AA" w14:textId="77777777" w:rsidTr="007218A2">
        <w:trPr>
          <w:trHeight w:val="1020"/>
        </w:trPr>
        <w:tc>
          <w:tcPr>
            <w:tcW w:w="1700" w:type="dxa"/>
            <w:tcBorders>
              <w:top w:val="single" w:sz="4" w:space="0" w:color="auto"/>
              <w:left w:val="single" w:sz="4" w:space="0" w:color="auto"/>
              <w:bottom w:val="single" w:sz="4" w:space="0" w:color="auto"/>
              <w:right w:val="single" w:sz="4" w:space="0" w:color="auto"/>
            </w:tcBorders>
            <w:hideMark/>
          </w:tcPr>
          <w:p w14:paraId="565B62C4" w14:textId="77777777" w:rsidR="00B8750D" w:rsidRPr="00EB4495" w:rsidRDefault="00B8750D" w:rsidP="00B8750D">
            <w:pPr>
              <w:jc w:val="left"/>
              <w:rPr>
                <w:rFonts w:ascii="Arial" w:eastAsia="Times New Roman" w:hAnsi="Arial" w:cs="Arial"/>
                <w:color w:val="000000"/>
                <w:lang w:eastAsia="en-US"/>
              </w:rPr>
            </w:pPr>
            <w:r w:rsidRPr="00EB4495">
              <w:rPr>
                <w:rFonts w:ascii="Arial" w:eastAsia="Times New Roman" w:hAnsi="Arial" w:cs="Arial"/>
                <w:color w:val="000000"/>
                <w:lang w:eastAsia="en-US"/>
              </w:rPr>
              <w:t>Net cash flow</w:t>
            </w:r>
          </w:p>
        </w:tc>
        <w:tc>
          <w:tcPr>
            <w:tcW w:w="1329" w:type="dxa"/>
            <w:tcBorders>
              <w:top w:val="single" w:sz="4" w:space="0" w:color="auto"/>
              <w:left w:val="single" w:sz="4" w:space="0" w:color="auto"/>
              <w:bottom w:val="single" w:sz="4" w:space="0" w:color="auto"/>
              <w:right w:val="single" w:sz="4" w:space="0" w:color="auto"/>
            </w:tcBorders>
            <w:hideMark/>
          </w:tcPr>
          <w:p w14:paraId="0AE8E4BB" w14:textId="77777777" w:rsidR="00B8750D" w:rsidRPr="00EB4495" w:rsidRDefault="00B8750D" w:rsidP="00B8750D">
            <w:pPr>
              <w:jc w:val="left"/>
              <w:rPr>
                <w:rFonts w:ascii="Arial" w:eastAsia="Times New Roman" w:hAnsi="Arial" w:cs="Arial"/>
                <w:color w:val="000000"/>
                <w:lang w:eastAsia="en-US"/>
              </w:rPr>
            </w:pPr>
            <w:r w:rsidRPr="00EB4495">
              <w:rPr>
                <w:rFonts w:ascii="Arial" w:eastAsia="Times New Roman" w:hAnsi="Arial" w:cs="Arial"/>
                <w:color w:val="000000"/>
                <w:lang w:eastAsia="en-US"/>
              </w:rPr>
              <w:t>Net increase in cash and cash equivalents and bank overdrafts</w:t>
            </w:r>
          </w:p>
        </w:tc>
        <w:tc>
          <w:tcPr>
            <w:tcW w:w="2353" w:type="dxa"/>
            <w:tcBorders>
              <w:top w:val="single" w:sz="4" w:space="0" w:color="auto"/>
              <w:left w:val="single" w:sz="4" w:space="0" w:color="auto"/>
              <w:bottom w:val="single" w:sz="4" w:space="0" w:color="auto"/>
              <w:right w:val="single" w:sz="4" w:space="0" w:color="auto"/>
            </w:tcBorders>
            <w:hideMark/>
          </w:tcPr>
          <w:p w14:paraId="239B8026" w14:textId="73229386" w:rsidR="00B8750D" w:rsidRPr="00F6084A" w:rsidRDefault="00B8750D" w:rsidP="00B8750D">
            <w:pPr>
              <w:jc w:val="left"/>
              <w:rPr>
                <w:rFonts w:ascii="Arial" w:eastAsia="Times New Roman" w:hAnsi="Arial" w:cs="Arial"/>
                <w:color w:val="000000"/>
                <w:lang w:eastAsia="en-US"/>
              </w:rPr>
            </w:pPr>
            <w:r w:rsidRPr="00F6084A">
              <w:rPr>
                <w:rFonts w:ascii="Arial" w:eastAsia="Times New Roman" w:hAnsi="Arial" w:cs="Arial"/>
                <w:color w:val="000000"/>
                <w:lang w:eastAsia="en-US"/>
              </w:rPr>
              <w:t xml:space="preserve">A reconciliation of net cash flow is set out in </w:t>
            </w:r>
            <w:r w:rsidRPr="00F6084A">
              <w:rPr>
                <w:rFonts w:ascii="Arial" w:eastAsia="Times New Roman" w:hAnsi="Arial" w:cs="Arial"/>
                <w:color w:val="000000"/>
              </w:rPr>
              <w:t xml:space="preserve">the Financial Review (Section 5) and in </w:t>
            </w:r>
            <w:r w:rsidRPr="0007608C">
              <w:rPr>
                <w:rFonts w:ascii="Arial" w:eastAsia="Times New Roman" w:hAnsi="Arial" w:cs="Arial"/>
                <w:color w:val="000000"/>
              </w:rPr>
              <w:t xml:space="preserve">note </w:t>
            </w:r>
            <w:r w:rsidR="003A0890">
              <w:rPr>
                <w:rFonts w:ascii="Arial" w:hAnsi="Arial"/>
                <w:color w:val="000000"/>
              </w:rPr>
              <w:t>12</w:t>
            </w:r>
            <w:r w:rsidR="003A0890" w:rsidRPr="00F6084A">
              <w:rPr>
                <w:rFonts w:ascii="Arial" w:eastAsia="Times New Roman" w:hAnsi="Arial" w:cs="Arial"/>
                <w:color w:val="000000"/>
              </w:rPr>
              <w:t xml:space="preserve"> </w:t>
            </w:r>
            <w:r w:rsidRPr="00F6084A">
              <w:rPr>
                <w:rFonts w:ascii="Arial" w:eastAsia="Times New Roman" w:hAnsi="Arial" w:cs="Arial"/>
                <w:color w:val="000000"/>
              </w:rPr>
              <w:t>of the condensed financial statements</w:t>
            </w:r>
          </w:p>
        </w:tc>
        <w:tc>
          <w:tcPr>
            <w:tcW w:w="4937" w:type="dxa"/>
            <w:tcBorders>
              <w:top w:val="single" w:sz="4" w:space="0" w:color="auto"/>
              <w:left w:val="single" w:sz="4" w:space="0" w:color="auto"/>
              <w:bottom w:val="single" w:sz="4" w:space="0" w:color="auto"/>
              <w:right w:val="single" w:sz="4" w:space="0" w:color="auto"/>
            </w:tcBorders>
            <w:hideMark/>
          </w:tcPr>
          <w:p w14:paraId="1F8FFDB6" w14:textId="77777777" w:rsidR="00B8750D" w:rsidRPr="00EB4495" w:rsidRDefault="00B8750D" w:rsidP="00B8750D">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Net cash flow is a measure to reflect the total movement in the net debt balance during the year excluding the movement in lease liabilities, exchange differences and other non-cash movements. </w:t>
            </w:r>
          </w:p>
        </w:tc>
      </w:tr>
      <w:tr w:rsidR="00B8750D" w:rsidRPr="00EB4495" w14:paraId="6951AE92" w14:textId="77777777" w:rsidTr="007218A2">
        <w:trPr>
          <w:trHeight w:val="505"/>
        </w:trPr>
        <w:tc>
          <w:tcPr>
            <w:tcW w:w="1700" w:type="dxa"/>
            <w:tcBorders>
              <w:top w:val="single" w:sz="4" w:space="0" w:color="auto"/>
              <w:left w:val="single" w:sz="4" w:space="0" w:color="auto"/>
              <w:bottom w:val="single" w:sz="4" w:space="0" w:color="auto"/>
              <w:right w:val="single" w:sz="4" w:space="0" w:color="auto"/>
            </w:tcBorders>
          </w:tcPr>
          <w:p w14:paraId="407892C3" w14:textId="77777777" w:rsidR="00B8750D" w:rsidRPr="00EB4495" w:rsidRDefault="00B8750D" w:rsidP="00B8750D">
            <w:pPr>
              <w:jc w:val="left"/>
              <w:rPr>
                <w:rFonts w:ascii="Arial" w:eastAsia="Times New Roman" w:hAnsi="Arial" w:cs="Arial"/>
                <w:color w:val="000000"/>
                <w:lang w:eastAsia="en-US"/>
              </w:rPr>
            </w:pPr>
            <w:r>
              <w:rPr>
                <w:rFonts w:ascii="Arial" w:eastAsia="Times New Roman" w:hAnsi="Arial" w:cs="Arial"/>
                <w:color w:val="000000"/>
                <w:lang w:eastAsia="en-US"/>
              </w:rPr>
              <w:t>Operating costs</w:t>
            </w:r>
          </w:p>
        </w:tc>
        <w:tc>
          <w:tcPr>
            <w:tcW w:w="1329" w:type="dxa"/>
            <w:tcBorders>
              <w:top w:val="single" w:sz="4" w:space="0" w:color="auto"/>
              <w:left w:val="single" w:sz="4" w:space="0" w:color="auto"/>
              <w:bottom w:val="single" w:sz="4" w:space="0" w:color="auto"/>
              <w:right w:val="single" w:sz="4" w:space="0" w:color="auto"/>
            </w:tcBorders>
          </w:tcPr>
          <w:p w14:paraId="6CA3182E" w14:textId="77777777" w:rsidR="00B8750D" w:rsidRPr="00EB4495" w:rsidRDefault="00B8750D" w:rsidP="00B8750D">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353" w:type="dxa"/>
            <w:tcBorders>
              <w:top w:val="single" w:sz="4" w:space="0" w:color="auto"/>
              <w:left w:val="single" w:sz="4" w:space="0" w:color="auto"/>
              <w:bottom w:val="single" w:sz="4" w:space="0" w:color="auto"/>
              <w:right w:val="single" w:sz="4" w:space="0" w:color="auto"/>
            </w:tcBorders>
          </w:tcPr>
          <w:p w14:paraId="47E398A4" w14:textId="77777777" w:rsidR="00B8750D" w:rsidRPr="00EB4495" w:rsidRDefault="00B8750D" w:rsidP="00B8750D">
            <w:pPr>
              <w:jc w:val="left"/>
              <w:rPr>
                <w:rFonts w:ascii="Arial" w:eastAsia="Times New Roman" w:hAnsi="Arial" w:cs="Arial"/>
                <w:color w:val="000000"/>
                <w:lang w:eastAsia="en-US"/>
              </w:rPr>
            </w:pPr>
            <w:r>
              <w:rPr>
                <w:rFonts w:ascii="Arial" w:eastAsia="Times New Roman" w:hAnsi="Arial" w:cs="Arial"/>
                <w:color w:val="000000"/>
                <w:lang w:eastAsia="en-US"/>
              </w:rPr>
              <w:t>Not applicable</w:t>
            </w:r>
          </w:p>
        </w:tc>
        <w:tc>
          <w:tcPr>
            <w:tcW w:w="4937" w:type="dxa"/>
            <w:tcBorders>
              <w:top w:val="single" w:sz="4" w:space="0" w:color="auto"/>
              <w:left w:val="single" w:sz="4" w:space="0" w:color="auto"/>
              <w:bottom w:val="single" w:sz="4" w:space="0" w:color="auto"/>
              <w:right w:val="single" w:sz="4" w:space="0" w:color="auto"/>
            </w:tcBorders>
          </w:tcPr>
          <w:p w14:paraId="0163B635" w14:textId="77777777" w:rsidR="00B8750D" w:rsidRPr="00EB4495" w:rsidRDefault="00B8750D" w:rsidP="00B8750D">
            <w:pPr>
              <w:jc w:val="left"/>
              <w:rPr>
                <w:rFonts w:ascii="Arial" w:eastAsia="Times New Roman" w:hAnsi="Arial" w:cs="Arial"/>
                <w:color w:val="000000"/>
                <w:lang w:eastAsia="en-US"/>
              </w:rPr>
            </w:pPr>
            <w:r>
              <w:rPr>
                <w:rFonts w:ascii="Arial" w:eastAsia="Times New Roman" w:hAnsi="Arial" w:cs="Arial"/>
                <w:color w:val="000000"/>
                <w:lang w:eastAsia="en-US"/>
              </w:rPr>
              <w:t xml:space="preserve">Operating costs represent gross profit less retail profit. </w:t>
            </w:r>
            <w:r w:rsidRPr="004F69D8">
              <w:rPr>
                <w:rFonts w:ascii="Arial" w:eastAsia="Times New Roman" w:hAnsi="Arial" w:cs="Arial"/>
                <w:color w:val="000000"/>
                <w:lang w:eastAsia="en-US"/>
              </w:rPr>
              <w:t>This is the Group</w:t>
            </w:r>
            <w:r>
              <w:rPr>
                <w:rFonts w:ascii="Arial" w:eastAsia="Times New Roman" w:hAnsi="Arial" w:cs="Arial"/>
                <w:color w:val="000000"/>
                <w:lang w:eastAsia="en-US"/>
              </w:rPr>
              <w:t>’</w:t>
            </w:r>
            <w:r w:rsidRPr="004F69D8">
              <w:rPr>
                <w:rFonts w:ascii="Arial" w:eastAsia="Times New Roman" w:hAnsi="Arial" w:cs="Arial"/>
                <w:color w:val="000000"/>
                <w:lang w:eastAsia="en-US"/>
              </w:rPr>
              <w:t xml:space="preserve">s operating </w:t>
            </w:r>
            <w:r>
              <w:rPr>
                <w:rFonts w:ascii="Arial" w:eastAsia="Times New Roman" w:hAnsi="Arial" w:cs="Arial"/>
                <w:color w:val="000000"/>
                <w:lang w:eastAsia="en-US"/>
              </w:rPr>
              <w:t>cost</w:t>
            </w:r>
            <w:r w:rsidRPr="004F69D8">
              <w:rPr>
                <w:rFonts w:ascii="Arial" w:eastAsia="Times New Roman" w:hAnsi="Arial" w:cs="Arial"/>
                <w:color w:val="000000"/>
                <w:lang w:eastAsia="en-US"/>
              </w:rPr>
              <w:t xml:space="preserve"> measure used to report the performance of our retail businesses.</w:t>
            </w:r>
          </w:p>
        </w:tc>
      </w:tr>
      <w:tr w:rsidR="007E47C1" w:rsidRPr="00EB4495" w14:paraId="656EA6D7" w14:textId="77777777" w:rsidTr="007218A2">
        <w:trPr>
          <w:trHeight w:val="505"/>
        </w:trPr>
        <w:tc>
          <w:tcPr>
            <w:tcW w:w="1700" w:type="dxa"/>
            <w:tcBorders>
              <w:top w:val="single" w:sz="4" w:space="0" w:color="auto"/>
              <w:left w:val="single" w:sz="4" w:space="0" w:color="auto"/>
              <w:bottom w:val="single" w:sz="4" w:space="0" w:color="auto"/>
              <w:right w:val="single" w:sz="4" w:space="0" w:color="auto"/>
            </w:tcBorders>
          </w:tcPr>
          <w:p w14:paraId="606B9EE6" w14:textId="1D70ED29" w:rsidR="007E47C1" w:rsidRPr="00EA60DF" w:rsidRDefault="007E47C1" w:rsidP="007E47C1">
            <w:pPr>
              <w:jc w:val="left"/>
              <w:rPr>
                <w:rFonts w:ascii="Arial" w:eastAsia="Times New Roman" w:hAnsi="Arial" w:cs="Arial"/>
                <w:color w:val="000000"/>
                <w:lang w:eastAsia="en-US"/>
              </w:rPr>
            </w:pPr>
            <w:r w:rsidRPr="00EA60DF">
              <w:rPr>
                <w:rFonts w:ascii="Arial" w:eastAsia="Times New Roman" w:hAnsi="Arial" w:cs="Arial"/>
                <w:color w:val="000000"/>
                <w:lang w:eastAsia="en-US"/>
              </w:rPr>
              <w:t>Own exclusive brands (OEB) sales</w:t>
            </w:r>
            <w:r w:rsidRPr="00EA60DF">
              <w:rPr>
                <w:rFonts w:ascii="Arial" w:hAnsi="Arial" w:cs="Arial"/>
                <w:sz w:val="18"/>
                <w:szCs w:val="18"/>
                <w:vertAlign w:val="superscript"/>
              </w:rPr>
              <w:t>±</w:t>
            </w:r>
          </w:p>
        </w:tc>
        <w:tc>
          <w:tcPr>
            <w:tcW w:w="1329" w:type="dxa"/>
            <w:tcBorders>
              <w:top w:val="single" w:sz="4" w:space="0" w:color="auto"/>
              <w:left w:val="single" w:sz="4" w:space="0" w:color="auto"/>
              <w:bottom w:val="single" w:sz="4" w:space="0" w:color="auto"/>
              <w:right w:val="single" w:sz="4" w:space="0" w:color="auto"/>
            </w:tcBorders>
          </w:tcPr>
          <w:p w14:paraId="1BBBD452" w14:textId="4BED7F62" w:rsidR="007E47C1" w:rsidRPr="00EA60DF" w:rsidRDefault="007E47C1" w:rsidP="007E47C1">
            <w:pPr>
              <w:jc w:val="left"/>
              <w:rPr>
                <w:rFonts w:ascii="Arial" w:eastAsia="Times New Roman" w:hAnsi="Arial" w:cs="Arial"/>
                <w:color w:val="000000"/>
                <w:lang w:eastAsia="en-US"/>
              </w:rPr>
            </w:pPr>
            <w:r w:rsidRPr="00EA60DF">
              <w:rPr>
                <w:rFonts w:ascii="Arial" w:eastAsia="Times New Roman" w:hAnsi="Arial" w:cs="Arial"/>
                <w:color w:val="000000"/>
                <w:lang w:eastAsia="en-US"/>
              </w:rPr>
              <w:t>No direct equivalent</w:t>
            </w:r>
          </w:p>
        </w:tc>
        <w:tc>
          <w:tcPr>
            <w:tcW w:w="2353" w:type="dxa"/>
            <w:tcBorders>
              <w:top w:val="single" w:sz="4" w:space="0" w:color="auto"/>
              <w:left w:val="single" w:sz="4" w:space="0" w:color="auto"/>
              <w:bottom w:val="single" w:sz="4" w:space="0" w:color="auto"/>
              <w:right w:val="single" w:sz="4" w:space="0" w:color="auto"/>
            </w:tcBorders>
          </w:tcPr>
          <w:p w14:paraId="0FCCFD72" w14:textId="713CB880" w:rsidR="007E47C1" w:rsidRPr="00EA60DF" w:rsidRDefault="007E47C1" w:rsidP="007E47C1">
            <w:pPr>
              <w:jc w:val="left"/>
              <w:rPr>
                <w:rFonts w:ascii="Arial" w:eastAsia="Times New Roman" w:hAnsi="Arial" w:cs="Arial"/>
                <w:color w:val="000000"/>
                <w:lang w:eastAsia="en-US"/>
              </w:rPr>
            </w:pPr>
            <w:r w:rsidRPr="00EA60DF">
              <w:rPr>
                <w:rFonts w:ascii="Arial" w:eastAsia="Times New Roman" w:hAnsi="Arial" w:cs="Arial"/>
                <w:color w:val="000000"/>
                <w:lang w:eastAsia="en-US"/>
              </w:rPr>
              <w:t xml:space="preserve">Refer to definition </w:t>
            </w:r>
          </w:p>
        </w:tc>
        <w:tc>
          <w:tcPr>
            <w:tcW w:w="4937" w:type="dxa"/>
            <w:tcBorders>
              <w:top w:val="single" w:sz="4" w:space="0" w:color="auto"/>
              <w:left w:val="single" w:sz="4" w:space="0" w:color="auto"/>
              <w:bottom w:val="single" w:sz="4" w:space="0" w:color="auto"/>
              <w:right w:val="single" w:sz="4" w:space="0" w:color="auto"/>
            </w:tcBorders>
          </w:tcPr>
          <w:p w14:paraId="7E9EF8E9" w14:textId="732CBE28" w:rsidR="00FA2B3E" w:rsidRDefault="007D51A3" w:rsidP="007E47C1">
            <w:pPr>
              <w:jc w:val="left"/>
              <w:rPr>
                <w:rFonts w:ascii="Arial" w:eastAsia="Times New Roman" w:hAnsi="Arial" w:cs="Arial"/>
                <w:color w:val="000000"/>
                <w:lang w:eastAsia="en-US"/>
              </w:rPr>
            </w:pPr>
            <w:r w:rsidRPr="007D51A3">
              <w:rPr>
                <w:rFonts w:ascii="Arial" w:eastAsia="Times New Roman" w:hAnsi="Arial" w:cs="Arial"/>
                <w:color w:val="000000"/>
                <w:lang w:eastAsia="en-US"/>
              </w:rPr>
              <w:t>OEB refers to our portfolio of own exclusive brands across seven core categories – surfaces &amp; décor, tools &amp; hardware, bathroom &amp; storage, kitchen, EPHC (electricals, plumbing, heating &amp; cooling), building &amp; joinery, and outdoo</w:t>
            </w:r>
            <w:r w:rsidR="00FA2B3E">
              <w:rPr>
                <w:rFonts w:ascii="Arial" w:eastAsia="Times New Roman" w:hAnsi="Arial" w:cs="Arial"/>
                <w:color w:val="000000"/>
                <w:lang w:eastAsia="en-US"/>
              </w:rPr>
              <w:t xml:space="preserve">r. </w:t>
            </w:r>
          </w:p>
          <w:p w14:paraId="776A3F3C" w14:textId="77777777" w:rsidR="00FA2B3E" w:rsidRDefault="00FA2B3E" w:rsidP="007E47C1">
            <w:pPr>
              <w:jc w:val="left"/>
              <w:rPr>
                <w:rFonts w:ascii="Arial" w:eastAsia="Times New Roman" w:hAnsi="Arial" w:cs="Arial"/>
                <w:color w:val="000000"/>
                <w:lang w:eastAsia="en-US"/>
              </w:rPr>
            </w:pPr>
          </w:p>
          <w:p w14:paraId="4623C5F8" w14:textId="1687F7C6" w:rsidR="007E47C1" w:rsidRPr="00EA60DF" w:rsidRDefault="00FA2B3E" w:rsidP="007E47C1">
            <w:pPr>
              <w:jc w:val="left"/>
              <w:rPr>
                <w:rFonts w:ascii="Arial" w:eastAsia="Times New Roman" w:hAnsi="Arial" w:cs="Arial"/>
                <w:color w:val="000000"/>
                <w:lang w:eastAsia="en-US"/>
              </w:rPr>
            </w:pPr>
            <w:r>
              <w:rPr>
                <w:rFonts w:ascii="Arial" w:eastAsia="Times New Roman" w:hAnsi="Arial" w:cs="Arial"/>
                <w:color w:val="000000"/>
                <w:lang w:eastAsia="en-US"/>
              </w:rPr>
              <w:t xml:space="preserve">OEB sales </w:t>
            </w:r>
            <w:r w:rsidR="00191826" w:rsidRPr="00884614">
              <w:rPr>
                <w:rFonts w:ascii="Arial" w:eastAsia="Times New Roman" w:hAnsi="Arial" w:cs="Arial"/>
                <w:color w:val="000000"/>
                <w:lang w:eastAsia="en-US"/>
              </w:rPr>
              <w:t>are</w:t>
            </w:r>
            <w:r w:rsidR="007B77DA" w:rsidRPr="00EA60DF">
              <w:rPr>
                <w:rFonts w:ascii="Arial" w:eastAsia="Times New Roman" w:hAnsi="Arial" w:cs="Arial"/>
                <w:color w:val="000000"/>
                <w:lang w:eastAsia="en-US"/>
              </w:rPr>
              <w:t xml:space="preserve"> sales of own exclusive brand products.</w:t>
            </w:r>
            <w:r w:rsidR="00241C50" w:rsidRPr="00884614">
              <w:rPr>
                <w:rFonts w:ascii="Arial" w:eastAsia="Times New Roman" w:hAnsi="Arial" w:cs="Arial"/>
                <w:color w:val="000000"/>
                <w:lang w:eastAsia="en-US"/>
              </w:rPr>
              <w:t xml:space="preserve"> </w:t>
            </w:r>
            <w:r w:rsidR="00A74A1C" w:rsidRPr="00884614">
              <w:rPr>
                <w:rFonts w:ascii="Arial" w:eastAsia="Times New Roman" w:hAnsi="Arial" w:cs="Arial"/>
                <w:color w:val="000000"/>
                <w:lang w:eastAsia="en-US"/>
              </w:rPr>
              <w:t xml:space="preserve">It is used to measure the performance of </w:t>
            </w:r>
            <w:r w:rsidR="00241C50" w:rsidRPr="00884614">
              <w:rPr>
                <w:rFonts w:ascii="Arial" w:eastAsia="Times New Roman" w:hAnsi="Arial" w:cs="Arial"/>
                <w:color w:val="000000"/>
                <w:lang w:eastAsia="en-US"/>
              </w:rPr>
              <w:t xml:space="preserve">OEB </w:t>
            </w:r>
            <w:r w:rsidR="00A74A1C" w:rsidRPr="00884614">
              <w:rPr>
                <w:rFonts w:ascii="Arial" w:eastAsia="Times New Roman" w:hAnsi="Arial" w:cs="Arial"/>
                <w:color w:val="000000"/>
                <w:lang w:eastAsia="en-US"/>
              </w:rPr>
              <w:t>across the Group.</w:t>
            </w:r>
          </w:p>
        </w:tc>
      </w:tr>
      <w:tr w:rsidR="007E47C1" w:rsidRPr="00EB4495" w14:paraId="12997B15" w14:textId="77777777" w:rsidTr="007218A2">
        <w:trPr>
          <w:trHeight w:val="505"/>
        </w:trPr>
        <w:tc>
          <w:tcPr>
            <w:tcW w:w="1700" w:type="dxa"/>
            <w:tcBorders>
              <w:top w:val="single" w:sz="4" w:space="0" w:color="auto"/>
              <w:left w:val="single" w:sz="4" w:space="0" w:color="auto"/>
              <w:bottom w:val="single" w:sz="4" w:space="0" w:color="auto"/>
              <w:right w:val="single" w:sz="4" w:space="0" w:color="auto"/>
            </w:tcBorders>
            <w:hideMark/>
          </w:tcPr>
          <w:p w14:paraId="7DA31464" w14:textId="77777777" w:rsidR="007E47C1" w:rsidRPr="00EB4495" w:rsidRDefault="007E47C1" w:rsidP="007E47C1">
            <w:pPr>
              <w:jc w:val="left"/>
              <w:rPr>
                <w:rFonts w:ascii="Arial" w:eastAsia="Times New Roman" w:hAnsi="Arial" w:cs="Arial"/>
                <w:color w:val="000000"/>
                <w:lang w:eastAsia="en-US"/>
              </w:rPr>
            </w:pPr>
            <w:r w:rsidRPr="00EB4495">
              <w:rPr>
                <w:rFonts w:ascii="Arial" w:eastAsia="Times New Roman" w:hAnsi="Arial" w:cs="Arial"/>
                <w:color w:val="000000"/>
                <w:lang w:eastAsia="en-US"/>
              </w:rPr>
              <w:lastRenderedPageBreak/>
              <w:t xml:space="preserve">Retail profit </w:t>
            </w:r>
          </w:p>
        </w:tc>
        <w:tc>
          <w:tcPr>
            <w:tcW w:w="1329" w:type="dxa"/>
            <w:tcBorders>
              <w:top w:val="single" w:sz="4" w:space="0" w:color="auto"/>
              <w:left w:val="single" w:sz="4" w:space="0" w:color="auto"/>
              <w:bottom w:val="single" w:sz="4" w:space="0" w:color="auto"/>
              <w:right w:val="single" w:sz="4" w:space="0" w:color="auto"/>
            </w:tcBorders>
            <w:hideMark/>
          </w:tcPr>
          <w:p w14:paraId="74524792" w14:textId="77777777" w:rsidR="007E47C1" w:rsidRPr="00EB4495" w:rsidRDefault="007E47C1" w:rsidP="007E47C1">
            <w:pPr>
              <w:jc w:val="left"/>
              <w:rPr>
                <w:rFonts w:ascii="Arial" w:eastAsia="Times New Roman" w:hAnsi="Arial" w:cs="Arial"/>
                <w:color w:val="000000"/>
                <w:lang w:eastAsia="en-US"/>
              </w:rPr>
            </w:pPr>
            <w:r w:rsidRPr="00EB4495">
              <w:rPr>
                <w:rFonts w:ascii="Arial" w:eastAsia="Times New Roman" w:hAnsi="Arial" w:cs="Arial"/>
                <w:color w:val="000000"/>
                <w:lang w:eastAsia="en-US"/>
              </w:rPr>
              <w:t>Profit before taxation</w:t>
            </w:r>
          </w:p>
        </w:tc>
        <w:tc>
          <w:tcPr>
            <w:tcW w:w="2353" w:type="dxa"/>
            <w:tcBorders>
              <w:top w:val="single" w:sz="4" w:space="0" w:color="auto"/>
              <w:left w:val="single" w:sz="4" w:space="0" w:color="auto"/>
              <w:bottom w:val="single" w:sz="4" w:space="0" w:color="auto"/>
              <w:right w:val="single" w:sz="4" w:space="0" w:color="auto"/>
            </w:tcBorders>
            <w:hideMark/>
          </w:tcPr>
          <w:p w14:paraId="1390A700" w14:textId="76C95670" w:rsidR="007E47C1" w:rsidRPr="00EB4495" w:rsidRDefault="007E47C1" w:rsidP="007E47C1">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A reconciliation </w:t>
            </w:r>
            <w:r>
              <w:rPr>
                <w:rFonts w:ascii="Arial" w:eastAsia="Times New Roman" w:hAnsi="Arial" w:cs="Arial"/>
                <w:color w:val="000000"/>
                <w:lang w:eastAsia="en-US"/>
              </w:rPr>
              <w:t xml:space="preserve">of Group retail profit </w:t>
            </w:r>
            <w:r w:rsidRPr="00EB4495">
              <w:rPr>
                <w:rFonts w:ascii="Arial" w:eastAsia="Times New Roman" w:hAnsi="Arial" w:cs="Arial"/>
                <w:color w:val="000000"/>
                <w:lang w:eastAsia="en-US"/>
              </w:rPr>
              <w:t xml:space="preserve">to profit before taxation is set out in the </w:t>
            </w:r>
            <w:r w:rsidRPr="0000003B">
              <w:rPr>
                <w:rFonts w:ascii="Arial" w:hAnsi="Arial" w:cs="Arial"/>
                <w:color w:val="000000"/>
                <w:lang w:eastAsia="en-US"/>
              </w:rPr>
              <w:t xml:space="preserve">Financial Review (Section 5) and </w:t>
            </w:r>
            <w:r w:rsidRPr="0007608C">
              <w:rPr>
                <w:rFonts w:ascii="Arial" w:hAnsi="Arial" w:cs="Arial"/>
                <w:color w:val="000000"/>
                <w:lang w:eastAsia="en-US"/>
              </w:rPr>
              <w:t xml:space="preserve">note </w:t>
            </w:r>
            <w:r>
              <w:rPr>
                <w:rFonts w:ascii="Arial" w:hAnsi="Arial"/>
                <w:color w:val="000000"/>
              </w:rPr>
              <w:t>3</w:t>
            </w:r>
            <w:r w:rsidRPr="0000003B">
              <w:rPr>
                <w:rFonts w:ascii="Arial" w:hAnsi="Arial" w:cs="Arial"/>
                <w:color w:val="000000"/>
                <w:lang w:eastAsia="en-US"/>
              </w:rPr>
              <w:t xml:space="preserve"> </w:t>
            </w:r>
            <w:r w:rsidRPr="0000003B">
              <w:rPr>
                <w:rFonts w:ascii="Arial" w:eastAsia="Times New Roman" w:hAnsi="Arial" w:cs="Arial"/>
                <w:color w:val="000000"/>
                <w:lang w:eastAsia="en-US"/>
              </w:rPr>
              <w:t>of the condensed financial</w:t>
            </w:r>
            <w:r w:rsidRPr="00EB4495">
              <w:rPr>
                <w:rFonts w:ascii="Arial" w:eastAsia="Times New Roman" w:hAnsi="Arial" w:cs="Arial"/>
                <w:color w:val="000000"/>
                <w:lang w:eastAsia="en-US"/>
              </w:rPr>
              <w:t xml:space="preserve"> statements</w:t>
            </w:r>
            <w:r>
              <w:rPr>
                <w:rFonts w:ascii="Arial" w:eastAsia="Times New Roman" w:hAnsi="Arial" w:cs="Arial"/>
                <w:color w:val="000000"/>
                <w:lang w:eastAsia="en-US"/>
              </w:rPr>
              <w:t xml:space="preserve">. </w:t>
            </w:r>
            <w:r w:rsidRPr="001B3004">
              <w:rPr>
                <w:rFonts w:ascii="Arial" w:eastAsia="Times New Roman" w:hAnsi="Arial" w:cs="Arial"/>
                <w:color w:val="000000"/>
                <w:lang w:eastAsia="en-US"/>
              </w:rPr>
              <w:t>There is no statutory equivalent to retail profit at a retail banner level</w:t>
            </w:r>
          </w:p>
        </w:tc>
        <w:tc>
          <w:tcPr>
            <w:tcW w:w="4937" w:type="dxa"/>
            <w:tcBorders>
              <w:top w:val="single" w:sz="4" w:space="0" w:color="auto"/>
              <w:left w:val="single" w:sz="4" w:space="0" w:color="auto"/>
              <w:bottom w:val="single" w:sz="4" w:space="0" w:color="auto"/>
              <w:right w:val="single" w:sz="4" w:space="0" w:color="auto"/>
            </w:tcBorders>
            <w:hideMark/>
          </w:tcPr>
          <w:p w14:paraId="2F636153" w14:textId="77777777" w:rsidR="007E47C1" w:rsidRPr="00EB4495" w:rsidRDefault="007E47C1" w:rsidP="007E47C1">
            <w:pPr>
              <w:jc w:val="left"/>
              <w:rPr>
                <w:rFonts w:ascii="Arial" w:eastAsia="Times New Roman" w:hAnsi="Arial" w:cs="Arial"/>
                <w:color w:val="000000"/>
                <w:lang w:eastAsia="en-US"/>
              </w:rPr>
            </w:pPr>
            <w:r w:rsidRPr="00EB4495">
              <w:rPr>
                <w:rFonts w:ascii="Arial" w:eastAsia="Times New Roman" w:hAnsi="Arial" w:cs="Arial"/>
                <w:color w:val="000000"/>
                <w:lang w:eastAsia="en-US"/>
              </w:rPr>
              <w:t>Retail profit is stated before central costs, adjusting items and the Group's share of interest and tax of JVs and associates. This is the Group's operating profit measure used to report the performance of our retail businesses.</w:t>
            </w:r>
          </w:p>
        </w:tc>
      </w:tr>
      <w:tr w:rsidR="007E47C1" w:rsidRPr="00EB4495" w14:paraId="1BC3C7E7" w14:textId="77777777" w:rsidTr="007218A2">
        <w:trPr>
          <w:trHeight w:val="505"/>
        </w:trPr>
        <w:tc>
          <w:tcPr>
            <w:tcW w:w="1700" w:type="dxa"/>
            <w:tcBorders>
              <w:top w:val="single" w:sz="4" w:space="0" w:color="auto"/>
              <w:left w:val="single" w:sz="4" w:space="0" w:color="auto"/>
              <w:bottom w:val="single" w:sz="4" w:space="0" w:color="auto"/>
              <w:right w:val="single" w:sz="4" w:space="0" w:color="auto"/>
            </w:tcBorders>
            <w:hideMark/>
          </w:tcPr>
          <w:p w14:paraId="25138483" w14:textId="77777777" w:rsidR="007E47C1" w:rsidRPr="00EB4495" w:rsidRDefault="007E47C1" w:rsidP="007E47C1">
            <w:pPr>
              <w:jc w:val="left"/>
              <w:rPr>
                <w:rFonts w:ascii="Arial" w:eastAsia="Times New Roman" w:hAnsi="Arial" w:cs="Arial"/>
                <w:color w:val="000000"/>
                <w:lang w:eastAsia="en-US"/>
              </w:rPr>
            </w:pPr>
            <w:r w:rsidRPr="00EB4495">
              <w:rPr>
                <w:rFonts w:ascii="Arial" w:eastAsia="Times New Roman" w:hAnsi="Arial" w:cs="Arial"/>
                <w:color w:val="000000"/>
                <w:lang w:eastAsia="en-US"/>
              </w:rPr>
              <w:t>Retail profit margin %</w:t>
            </w:r>
          </w:p>
        </w:tc>
        <w:tc>
          <w:tcPr>
            <w:tcW w:w="1329" w:type="dxa"/>
            <w:tcBorders>
              <w:top w:val="single" w:sz="4" w:space="0" w:color="auto"/>
              <w:left w:val="single" w:sz="4" w:space="0" w:color="auto"/>
              <w:bottom w:val="single" w:sz="4" w:space="0" w:color="auto"/>
              <w:right w:val="single" w:sz="4" w:space="0" w:color="auto"/>
            </w:tcBorders>
            <w:hideMark/>
          </w:tcPr>
          <w:p w14:paraId="78CF4BAF" w14:textId="77777777" w:rsidR="007E47C1" w:rsidRPr="00EB4495" w:rsidRDefault="007E47C1" w:rsidP="007E47C1">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353" w:type="dxa"/>
            <w:tcBorders>
              <w:top w:val="single" w:sz="4" w:space="0" w:color="auto"/>
              <w:left w:val="single" w:sz="4" w:space="0" w:color="auto"/>
              <w:bottom w:val="single" w:sz="4" w:space="0" w:color="auto"/>
              <w:right w:val="single" w:sz="4" w:space="0" w:color="auto"/>
            </w:tcBorders>
            <w:hideMark/>
          </w:tcPr>
          <w:p w14:paraId="43977E52" w14:textId="77777777" w:rsidR="007E47C1" w:rsidRPr="00EB4495" w:rsidRDefault="007E47C1" w:rsidP="007E47C1">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Refer to definition </w:t>
            </w:r>
          </w:p>
        </w:tc>
        <w:tc>
          <w:tcPr>
            <w:tcW w:w="4937" w:type="dxa"/>
            <w:tcBorders>
              <w:top w:val="single" w:sz="4" w:space="0" w:color="auto"/>
              <w:left w:val="single" w:sz="4" w:space="0" w:color="auto"/>
              <w:bottom w:val="single" w:sz="4" w:space="0" w:color="auto"/>
              <w:right w:val="single" w:sz="4" w:space="0" w:color="auto"/>
            </w:tcBorders>
            <w:hideMark/>
          </w:tcPr>
          <w:p w14:paraId="25D5F279" w14:textId="77777777" w:rsidR="007E47C1" w:rsidRPr="00EB4495" w:rsidRDefault="007E47C1" w:rsidP="007E47C1">
            <w:pPr>
              <w:jc w:val="left"/>
              <w:rPr>
                <w:rFonts w:ascii="Arial" w:eastAsia="Times New Roman" w:hAnsi="Arial" w:cs="Arial"/>
                <w:color w:val="000000"/>
                <w:lang w:eastAsia="en-US"/>
              </w:rPr>
            </w:pPr>
            <w:r w:rsidRPr="00EB4495">
              <w:rPr>
                <w:rFonts w:ascii="Arial" w:eastAsia="Times New Roman" w:hAnsi="Arial" w:cs="Arial"/>
                <w:color w:val="000000"/>
                <w:lang w:eastAsia="en-US"/>
              </w:rPr>
              <w:t>Retail profit is the Group's operating profit measure used to report the performance of our retail businesses and is separately defined</w:t>
            </w:r>
            <w:r>
              <w:rPr>
                <w:rFonts w:ascii="Arial" w:eastAsia="Times New Roman" w:hAnsi="Arial" w:cs="Arial"/>
                <w:color w:val="000000"/>
                <w:lang w:eastAsia="en-US"/>
              </w:rPr>
              <w:t xml:space="preserve"> above</w:t>
            </w:r>
            <w:r w:rsidRPr="00EB4495">
              <w:rPr>
                <w:rFonts w:ascii="Arial" w:eastAsia="Times New Roman" w:hAnsi="Arial" w:cs="Arial"/>
                <w:color w:val="000000"/>
                <w:lang w:eastAsia="en-US"/>
              </w:rPr>
              <w:t>. Retail profit margin % represents retail profit as a percentage of sales. It is a measure of operating performance.</w:t>
            </w:r>
          </w:p>
        </w:tc>
      </w:tr>
      <w:tr w:rsidR="007E47C1" w:rsidRPr="00EB4495" w14:paraId="13BF3B32" w14:textId="77777777" w:rsidTr="007218A2">
        <w:trPr>
          <w:trHeight w:val="505"/>
        </w:trPr>
        <w:tc>
          <w:tcPr>
            <w:tcW w:w="1700" w:type="dxa"/>
            <w:tcBorders>
              <w:top w:val="single" w:sz="4" w:space="0" w:color="auto"/>
              <w:left w:val="single" w:sz="4" w:space="0" w:color="auto"/>
              <w:bottom w:val="single" w:sz="4" w:space="0" w:color="auto"/>
              <w:right w:val="single" w:sz="4" w:space="0" w:color="auto"/>
            </w:tcBorders>
            <w:hideMark/>
          </w:tcPr>
          <w:p w14:paraId="40D8A862" w14:textId="77777777" w:rsidR="007E47C1" w:rsidRPr="00EB4495" w:rsidRDefault="007E47C1" w:rsidP="007E47C1">
            <w:pPr>
              <w:jc w:val="left"/>
              <w:rPr>
                <w:rFonts w:ascii="Arial" w:eastAsia="Times New Roman" w:hAnsi="Arial" w:cs="Arial"/>
                <w:color w:val="000000"/>
                <w:lang w:eastAsia="en-US"/>
              </w:rPr>
            </w:pPr>
            <w:r w:rsidRPr="00EB4495">
              <w:rPr>
                <w:rFonts w:ascii="Arial" w:eastAsia="Times New Roman" w:hAnsi="Arial" w:cs="Arial"/>
                <w:color w:val="000000"/>
                <w:lang w:eastAsia="en-US"/>
              </w:rPr>
              <w:t>ROCE</w:t>
            </w:r>
          </w:p>
        </w:tc>
        <w:tc>
          <w:tcPr>
            <w:tcW w:w="1329" w:type="dxa"/>
            <w:tcBorders>
              <w:top w:val="single" w:sz="4" w:space="0" w:color="auto"/>
              <w:left w:val="single" w:sz="4" w:space="0" w:color="auto"/>
              <w:bottom w:val="single" w:sz="4" w:space="0" w:color="auto"/>
              <w:right w:val="single" w:sz="4" w:space="0" w:color="auto"/>
            </w:tcBorders>
            <w:hideMark/>
          </w:tcPr>
          <w:p w14:paraId="52C08BAC" w14:textId="77777777" w:rsidR="007E47C1" w:rsidRPr="00EB4495" w:rsidRDefault="007E47C1" w:rsidP="007E47C1">
            <w:pPr>
              <w:jc w:val="left"/>
              <w:rPr>
                <w:rFonts w:ascii="Arial" w:eastAsia="Times New Roman" w:hAnsi="Arial" w:cs="Arial"/>
                <w:color w:val="000000"/>
                <w:lang w:eastAsia="en-US"/>
              </w:rPr>
            </w:pPr>
            <w:r w:rsidRPr="00EB4495">
              <w:rPr>
                <w:rFonts w:ascii="Arial" w:eastAsia="Times New Roman" w:hAnsi="Arial" w:cs="Arial"/>
                <w:color w:val="000000"/>
                <w:lang w:eastAsia="en-US"/>
              </w:rPr>
              <w:t>No direct equivalent</w:t>
            </w:r>
          </w:p>
        </w:tc>
        <w:tc>
          <w:tcPr>
            <w:tcW w:w="2353" w:type="dxa"/>
            <w:tcBorders>
              <w:top w:val="single" w:sz="4" w:space="0" w:color="auto"/>
              <w:left w:val="single" w:sz="4" w:space="0" w:color="auto"/>
              <w:bottom w:val="single" w:sz="4" w:space="0" w:color="auto"/>
              <w:right w:val="single" w:sz="4" w:space="0" w:color="auto"/>
            </w:tcBorders>
            <w:hideMark/>
          </w:tcPr>
          <w:p w14:paraId="3FBB17AE" w14:textId="77777777" w:rsidR="007E47C1" w:rsidRPr="00EB4495" w:rsidRDefault="007E47C1" w:rsidP="007E47C1">
            <w:pPr>
              <w:jc w:val="left"/>
              <w:rPr>
                <w:rFonts w:ascii="Arial" w:eastAsia="Times New Roman" w:hAnsi="Arial" w:cs="Arial"/>
                <w:color w:val="000000"/>
                <w:lang w:eastAsia="en-US"/>
              </w:rPr>
            </w:pPr>
            <w:r w:rsidRPr="00EB4495">
              <w:rPr>
                <w:rFonts w:ascii="Arial" w:eastAsia="Times New Roman" w:hAnsi="Arial" w:cs="Arial"/>
                <w:color w:val="000000"/>
                <w:lang w:eastAsia="en-US"/>
              </w:rPr>
              <w:t>Refer to definition</w:t>
            </w:r>
          </w:p>
        </w:tc>
        <w:tc>
          <w:tcPr>
            <w:tcW w:w="4937" w:type="dxa"/>
            <w:tcBorders>
              <w:top w:val="single" w:sz="4" w:space="0" w:color="auto"/>
              <w:left w:val="single" w:sz="4" w:space="0" w:color="auto"/>
              <w:bottom w:val="single" w:sz="4" w:space="0" w:color="auto"/>
              <w:right w:val="single" w:sz="4" w:space="0" w:color="auto"/>
            </w:tcBorders>
            <w:hideMark/>
          </w:tcPr>
          <w:p w14:paraId="07885205" w14:textId="2309F137" w:rsidR="007E47C1" w:rsidRPr="00EB4495" w:rsidRDefault="007E47C1" w:rsidP="007E47C1">
            <w:pPr>
              <w:jc w:val="left"/>
              <w:rPr>
                <w:rFonts w:ascii="Arial" w:eastAsia="Times New Roman" w:hAnsi="Arial" w:cs="Arial"/>
                <w:color w:val="000000"/>
                <w:lang w:eastAsia="en-US"/>
              </w:rPr>
            </w:pPr>
            <w:r w:rsidRPr="00D122F6">
              <w:rPr>
                <w:rFonts w:ascii="Arial" w:eastAsia="Times New Roman" w:hAnsi="Arial" w:cs="Arial"/>
                <w:color w:val="000000"/>
                <w:lang w:eastAsia="en-US"/>
              </w:rPr>
              <w:t xml:space="preserve">ROCE </w:t>
            </w:r>
            <w:r>
              <w:rPr>
                <w:rFonts w:ascii="Arial" w:eastAsia="Times New Roman" w:hAnsi="Arial" w:cs="Arial"/>
                <w:color w:val="000000"/>
                <w:lang w:eastAsia="en-US"/>
              </w:rPr>
              <w:t xml:space="preserve">(return on capital employed) </w:t>
            </w:r>
            <w:r w:rsidRPr="00D122F6">
              <w:rPr>
                <w:rFonts w:ascii="Arial" w:eastAsia="Times New Roman" w:hAnsi="Arial" w:cs="Arial"/>
                <w:color w:val="000000"/>
                <w:lang w:eastAsia="en-US"/>
              </w:rPr>
              <w:t xml:space="preserve">is the post-tax retail profit less central costs, </w:t>
            </w:r>
            <w:r w:rsidRPr="006957EC">
              <w:rPr>
                <w:rFonts w:ascii="Arial" w:eastAsia="Times New Roman" w:hAnsi="Arial" w:cs="Arial"/>
                <w:color w:val="000000"/>
                <w:lang w:eastAsia="en-US"/>
              </w:rPr>
              <w:t>excluding adjusting items</w:t>
            </w:r>
            <w:r w:rsidRPr="00D122F6">
              <w:rPr>
                <w:rFonts w:ascii="Arial" w:eastAsia="Times New Roman" w:hAnsi="Arial" w:cs="Arial"/>
                <w:color w:val="000000"/>
                <w:lang w:eastAsia="en-US"/>
              </w:rPr>
              <w:t xml:space="preserve">, divided by capital employed excluding historic goodwill, net </w:t>
            </w:r>
            <w:r>
              <w:rPr>
                <w:rFonts w:ascii="Arial" w:eastAsia="Times New Roman" w:hAnsi="Arial" w:cs="Arial"/>
                <w:color w:val="000000"/>
                <w:lang w:eastAsia="en-US"/>
              </w:rPr>
              <w:t xml:space="preserve">debt </w:t>
            </w:r>
            <w:r w:rsidRPr="00D122F6">
              <w:rPr>
                <w:rFonts w:ascii="Arial" w:eastAsia="Times New Roman" w:hAnsi="Arial" w:cs="Arial"/>
                <w:color w:val="000000"/>
                <w:lang w:eastAsia="en-US"/>
              </w:rPr>
              <w:t xml:space="preserve">and </w:t>
            </w:r>
            <w:r w:rsidRPr="006957EC">
              <w:rPr>
                <w:rFonts w:ascii="Arial" w:eastAsia="Times New Roman" w:hAnsi="Arial" w:cs="Arial"/>
                <w:color w:val="000000"/>
                <w:lang w:eastAsia="en-US"/>
              </w:rPr>
              <w:t>adjusting restructuring provision</w:t>
            </w:r>
            <w:r w:rsidRPr="00D122F6">
              <w:rPr>
                <w:rFonts w:ascii="Arial" w:eastAsia="Times New Roman" w:hAnsi="Arial" w:cs="Arial"/>
                <w:color w:val="000000"/>
                <w:lang w:eastAsia="en-US"/>
              </w:rPr>
              <w:t>. The measure provides an indication of the ongoing returns</w:t>
            </w:r>
            <w:r w:rsidRPr="00EB4495">
              <w:rPr>
                <w:rFonts w:ascii="Arial" w:eastAsia="Times New Roman" w:hAnsi="Arial" w:cs="Arial"/>
                <w:color w:val="000000"/>
                <w:lang w:eastAsia="en-US"/>
              </w:rPr>
              <w:t xml:space="preserve"> from the capital invested in the business. Capital employed is calculated as a two</w:t>
            </w:r>
            <w:r>
              <w:rPr>
                <w:rFonts w:ascii="Arial" w:eastAsia="Times New Roman" w:hAnsi="Arial" w:cs="Arial"/>
                <w:color w:val="000000"/>
                <w:lang w:eastAsia="en-US"/>
              </w:rPr>
              <w:t>-</w:t>
            </w:r>
            <w:r w:rsidRPr="00EB4495">
              <w:rPr>
                <w:rFonts w:ascii="Arial" w:eastAsia="Times New Roman" w:hAnsi="Arial" w:cs="Arial"/>
                <w:color w:val="000000"/>
                <w:lang w:eastAsia="en-US"/>
              </w:rPr>
              <w:t>point average. The calculation excludes disposed businesses.</w:t>
            </w:r>
          </w:p>
        </w:tc>
      </w:tr>
      <w:tr w:rsidR="007E47C1" w:rsidRPr="00EB4495" w14:paraId="5F35760E" w14:textId="77777777" w:rsidTr="007218A2">
        <w:trPr>
          <w:trHeight w:val="505"/>
        </w:trPr>
        <w:tc>
          <w:tcPr>
            <w:tcW w:w="1700" w:type="dxa"/>
            <w:tcBorders>
              <w:top w:val="single" w:sz="4" w:space="0" w:color="auto"/>
              <w:left w:val="single" w:sz="4" w:space="0" w:color="auto"/>
              <w:bottom w:val="single" w:sz="4" w:space="0" w:color="auto"/>
              <w:right w:val="single" w:sz="4" w:space="0" w:color="auto"/>
            </w:tcBorders>
            <w:hideMark/>
          </w:tcPr>
          <w:p w14:paraId="2A4EBB8A" w14:textId="77777777" w:rsidR="007E47C1" w:rsidRPr="00EB4495" w:rsidRDefault="007E47C1" w:rsidP="007E47C1">
            <w:pPr>
              <w:jc w:val="left"/>
              <w:rPr>
                <w:rFonts w:ascii="Arial" w:eastAsia="Times New Roman" w:hAnsi="Arial" w:cs="Arial"/>
                <w:color w:val="000000"/>
                <w:lang w:eastAsia="en-US"/>
              </w:rPr>
            </w:pPr>
            <w:r w:rsidRPr="00EB4495">
              <w:rPr>
                <w:rFonts w:ascii="Arial" w:eastAsia="Times New Roman" w:hAnsi="Arial" w:cs="Arial"/>
                <w:color w:val="000000"/>
                <w:lang w:eastAsia="en-US"/>
              </w:rPr>
              <w:t>Same-store net inventory</w:t>
            </w:r>
          </w:p>
        </w:tc>
        <w:tc>
          <w:tcPr>
            <w:tcW w:w="1329" w:type="dxa"/>
            <w:tcBorders>
              <w:top w:val="single" w:sz="4" w:space="0" w:color="auto"/>
              <w:left w:val="single" w:sz="4" w:space="0" w:color="auto"/>
              <w:bottom w:val="single" w:sz="4" w:space="0" w:color="auto"/>
              <w:right w:val="single" w:sz="4" w:space="0" w:color="auto"/>
            </w:tcBorders>
            <w:hideMark/>
          </w:tcPr>
          <w:p w14:paraId="297D76D3" w14:textId="77777777" w:rsidR="007E47C1" w:rsidRPr="00EB4495" w:rsidRDefault="007E47C1" w:rsidP="007E47C1">
            <w:pPr>
              <w:jc w:val="left"/>
              <w:rPr>
                <w:rFonts w:ascii="Arial" w:eastAsia="Times New Roman" w:hAnsi="Arial" w:cs="Arial"/>
                <w:color w:val="000000"/>
                <w:lang w:eastAsia="en-US"/>
              </w:rPr>
            </w:pPr>
            <w:r w:rsidRPr="00EB4495">
              <w:rPr>
                <w:rFonts w:ascii="Arial" w:eastAsia="Times New Roman" w:hAnsi="Arial" w:cs="Arial"/>
                <w:color w:val="000000"/>
                <w:lang w:eastAsia="en-US"/>
              </w:rPr>
              <w:t>Inventory</w:t>
            </w:r>
          </w:p>
        </w:tc>
        <w:tc>
          <w:tcPr>
            <w:tcW w:w="2353" w:type="dxa"/>
            <w:tcBorders>
              <w:top w:val="single" w:sz="4" w:space="0" w:color="auto"/>
              <w:left w:val="single" w:sz="4" w:space="0" w:color="auto"/>
              <w:bottom w:val="single" w:sz="4" w:space="0" w:color="auto"/>
              <w:right w:val="single" w:sz="4" w:space="0" w:color="auto"/>
            </w:tcBorders>
            <w:hideMark/>
          </w:tcPr>
          <w:p w14:paraId="4D444063" w14:textId="77777777" w:rsidR="007E47C1" w:rsidRPr="00EB4495" w:rsidRDefault="007E47C1" w:rsidP="007E47C1">
            <w:pPr>
              <w:jc w:val="left"/>
              <w:rPr>
                <w:rFonts w:ascii="Arial" w:eastAsia="Times New Roman" w:hAnsi="Arial" w:cs="Arial"/>
                <w:color w:val="000000"/>
                <w:lang w:eastAsia="en-US"/>
              </w:rPr>
            </w:pPr>
            <w:r w:rsidRPr="00EB4495">
              <w:rPr>
                <w:rFonts w:ascii="Arial" w:eastAsia="Times New Roman" w:hAnsi="Arial" w:cs="Arial"/>
                <w:color w:val="000000"/>
                <w:lang w:eastAsia="en-US"/>
              </w:rPr>
              <w:t>Refer to definition</w:t>
            </w:r>
          </w:p>
        </w:tc>
        <w:tc>
          <w:tcPr>
            <w:tcW w:w="4937" w:type="dxa"/>
            <w:tcBorders>
              <w:top w:val="single" w:sz="4" w:space="0" w:color="auto"/>
              <w:left w:val="single" w:sz="4" w:space="0" w:color="auto"/>
              <w:bottom w:val="single" w:sz="4" w:space="0" w:color="auto"/>
              <w:right w:val="single" w:sz="4" w:space="0" w:color="auto"/>
            </w:tcBorders>
            <w:hideMark/>
          </w:tcPr>
          <w:p w14:paraId="4E66F799" w14:textId="5CE39E84" w:rsidR="007E47C1" w:rsidRPr="00EB4495" w:rsidRDefault="007E47C1" w:rsidP="007E47C1">
            <w:pPr>
              <w:jc w:val="left"/>
              <w:rPr>
                <w:rFonts w:ascii="Arial" w:eastAsia="Times New Roman" w:hAnsi="Arial" w:cs="Arial"/>
                <w:color w:val="000000"/>
                <w:lang w:eastAsia="en-US"/>
              </w:rPr>
            </w:pPr>
            <w:r w:rsidRPr="00EB4495">
              <w:rPr>
                <w:rFonts w:ascii="Arial" w:eastAsia="Times New Roman" w:hAnsi="Arial" w:cs="Arial"/>
                <w:color w:val="000000"/>
                <w:lang w:eastAsia="en-US"/>
              </w:rPr>
              <w:t xml:space="preserve">Same-store net inventory movement represents the constant currency, </w:t>
            </w:r>
            <w:r>
              <w:rPr>
                <w:rFonts w:ascii="Arial" w:eastAsia="Times New Roman" w:hAnsi="Arial" w:cs="Arial"/>
                <w:color w:val="000000"/>
                <w:lang w:eastAsia="en-US"/>
              </w:rPr>
              <w:t xml:space="preserve">YoY </w:t>
            </w:r>
            <w:r w:rsidRPr="00EB4495">
              <w:rPr>
                <w:rFonts w:ascii="Arial" w:eastAsia="Times New Roman" w:hAnsi="Arial" w:cs="Arial"/>
                <w:color w:val="000000"/>
                <w:lang w:eastAsia="en-US"/>
              </w:rPr>
              <w:t>change in net inventory before the impact of store openings and closures. Stores temporarily closed or otherwise impacted due to COVID are also included. It is a measure to reflect the Group’s inventory management on a comparable basis.</w:t>
            </w:r>
          </w:p>
        </w:tc>
      </w:tr>
    </w:tbl>
    <w:p w14:paraId="67C3B21F" w14:textId="77777777" w:rsidR="00770EE1" w:rsidRPr="00EB4495" w:rsidRDefault="00770EE1" w:rsidP="00770EE1">
      <w:pPr>
        <w:jc w:val="left"/>
        <w:rPr>
          <w:rFonts w:ascii="Arial" w:hAnsi="Arial" w:cs="Arial"/>
          <w:bCs/>
          <w:sz w:val="18"/>
          <w:szCs w:val="18"/>
        </w:rPr>
      </w:pPr>
    </w:p>
    <w:p w14:paraId="7350C541" w14:textId="7939287D" w:rsidR="00E316B3" w:rsidRDefault="00770EE1" w:rsidP="00770EE1">
      <w:pPr>
        <w:jc w:val="left"/>
        <w:rPr>
          <w:rFonts w:ascii="Arial" w:hAnsi="Arial" w:cs="Arial"/>
          <w:b/>
          <w:bCs/>
          <w:szCs w:val="24"/>
          <w:u w:val="single"/>
        </w:rPr>
      </w:pPr>
      <w:r w:rsidRPr="00EB4495">
        <w:rPr>
          <w:rFonts w:ascii="Arial" w:hAnsi="Arial" w:cs="Arial"/>
          <w:sz w:val="18"/>
          <w:szCs w:val="18"/>
          <w:vertAlign w:val="superscript"/>
        </w:rPr>
        <w:t>±</w:t>
      </w:r>
      <w:r w:rsidRPr="00EB4495">
        <w:rPr>
          <w:rFonts w:ascii="Arial" w:hAnsi="Arial" w:cs="Arial"/>
          <w:sz w:val="18"/>
          <w:szCs w:val="18"/>
        </w:rPr>
        <w:t xml:space="preserve"> </w:t>
      </w:r>
      <w:r w:rsidR="00D174BA">
        <w:rPr>
          <w:rFonts w:ascii="Arial" w:hAnsi="Arial" w:cs="Arial"/>
          <w:sz w:val="18"/>
          <w:szCs w:val="18"/>
        </w:rPr>
        <w:t>I</w:t>
      </w:r>
      <w:r w:rsidR="00D174BA" w:rsidRPr="00D174BA">
        <w:rPr>
          <w:rFonts w:ascii="Arial" w:hAnsi="Arial" w:cs="Arial"/>
          <w:bCs/>
          <w:sz w:val="18"/>
          <w:szCs w:val="18"/>
        </w:rPr>
        <w:t xml:space="preserve">ndicates </w:t>
      </w:r>
      <w:r w:rsidR="00597C17">
        <w:rPr>
          <w:rFonts w:ascii="Arial" w:hAnsi="Arial" w:cs="Arial"/>
          <w:bCs/>
          <w:sz w:val="18"/>
          <w:szCs w:val="18"/>
        </w:rPr>
        <w:t xml:space="preserve">the inclusion of </w:t>
      </w:r>
      <w:r w:rsidR="009922AB">
        <w:rPr>
          <w:rFonts w:ascii="Arial" w:hAnsi="Arial" w:cs="Arial"/>
          <w:bCs/>
          <w:sz w:val="18"/>
          <w:szCs w:val="18"/>
        </w:rPr>
        <w:t xml:space="preserve">new </w:t>
      </w:r>
      <w:r w:rsidR="00F713AA">
        <w:rPr>
          <w:rFonts w:ascii="Arial" w:hAnsi="Arial" w:cs="Arial"/>
          <w:bCs/>
          <w:sz w:val="18"/>
          <w:szCs w:val="18"/>
        </w:rPr>
        <w:t>APMs</w:t>
      </w:r>
      <w:r w:rsidR="00FC60B8">
        <w:rPr>
          <w:rFonts w:ascii="Arial" w:hAnsi="Arial" w:cs="Arial"/>
          <w:bCs/>
          <w:sz w:val="18"/>
          <w:szCs w:val="18"/>
        </w:rPr>
        <w:t xml:space="preserve"> during FY 22/23</w:t>
      </w:r>
      <w:r w:rsidR="00C9506C">
        <w:rPr>
          <w:rFonts w:ascii="Arial" w:hAnsi="Arial" w:cs="Arial"/>
          <w:bCs/>
          <w:sz w:val="18"/>
          <w:szCs w:val="18"/>
        </w:rPr>
        <w:t xml:space="preserve">. The </w:t>
      </w:r>
      <w:r w:rsidR="00557089">
        <w:rPr>
          <w:rFonts w:ascii="Arial" w:hAnsi="Arial" w:cs="Arial"/>
          <w:bCs/>
          <w:sz w:val="18"/>
          <w:szCs w:val="18"/>
        </w:rPr>
        <w:t xml:space="preserve">new APMs in the table above </w:t>
      </w:r>
      <w:r w:rsidR="009E4000">
        <w:rPr>
          <w:rFonts w:ascii="Arial" w:hAnsi="Arial" w:cs="Arial"/>
          <w:bCs/>
          <w:sz w:val="18"/>
          <w:szCs w:val="18"/>
        </w:rPr>
        <w:t xml:space="preserve">have been introduced </w:t>
      </w:r>
      <w:r w:rsidR="004C1DAC">
        <w:rPr>
          <w:rFonts w:ascii="Arial" w:hAnsi="Arial" w:cs="Arial"/>
          <w:bCs/>
          <w:sz w:val="18"/>
          <w:szCs w:val="18"/>
        </w:rPr>
        <w:t xml:space="preserve">to </w:t>
      </w:r>
      <w:r w:rsidR="005A6D9A">
        <w:rPr>
          <w:rFonts w:ascii="Arial" w:hAnsi="Arial" w:cs="Arial"/>
          <w:bCs/>
          <w:sz w:val="18"/>
          <w:szCs w:val="18"/>
        </w:rPr>
        <w:t xml:space="preserve">track </w:t>
      </w:r>
      <w:r w:rsidR="00A017D6">
        <w:rPr>
          <w:rFonts w:ascii="Arial" w:hAnsi="Arial" w:cs="Arial"/>
          <w:bCs/>
          <w:sz w:val="18"/>
          <w:szCs w:val="18"/>
        </w:rPr>
        <w:t xml:space="preserve">the performance of our </w:t>
      </w:r>
      <w:r w:rsidR="00561110">
        <w:rPr>
          <w:rFonts w:ascii="Arial" w:hAnsi="Arial" w:cs="Arial"/>
          <w:bCs/>
          <w:sz w:val="18"/>
          <w:szCs w:val="18"/>
        </w:rPr>
        <w:t xml:space="preserve">own exclusive brands (OEB) and </w:t>
      </w:r>
      <w:r w:rsidR="002252CA">
        <w:rPr>
          <w:rFonts w:ascii="Arial" w:hAnsi="Arial" w:cs="Arial"/>
          <w:bCs/>
          <w:sz w:val="18"/>
          <w:szCs w:val="18"/>
        </w:rPr>
        <w:t xml:space="preserve">our </w:t>
      </w:r>
      <w:r w:rsidR="00A017D6">
        <w:rPr>
          <w:rFonts w:ascii="Arial" w:hAnsi="Arial" w:cs="Arial"/>
          <w:bCs/>
          <w:sz w:val="18"/>
          <w:szCs w:val="18"/>
        </w:rPr>
        <w:t xml:space="preserve">e-commerce </w:t>
      </w:r>
      <w:r w:rsidR="005A6D9A">
        <w:rPr>
          <w:rFonts w:ascii="Arial" w:hAnsi="Arial" w:cs="Arial"/>
          <w:bCs/>
          <w:sz w:val="18"/>
          <w:szCs w:val="18"/>
        </w:rPr>
        <w:t xml:space="preserve">businesses </w:t>
      </w:r>
      <w:r w:rsidR="00A017D6">
        <w:rPr>
          <w:rFonts w:ascii="Arial" w:hAnsi="Arial" w:cs="Arial"/>
          <w:bCs/>
          <w:sz w:val="18"/>
          <w:szCs w:val="18"/>
        </w:rPr>
        <w:t xml:space="preserve">and digital </w:t>
      </w:r>
      <w:r w:rsidR="005A6D9A">
        <w:rPr>
          <w:rFonts w:ascii="Arial" w:hAnsi="Arial" w:cs="Arial"/>
          <w:bCs/>
          <w:sz w:val="18"/>
          <w:szCs w:val="18"/>
        </w:rPr>
        <w:t>products</w:t>
      </w:r>
      <w:r w:rsidR="00F713AA">
        <w:rPr>
          <w:rFonts w:ascii="Arial" w:hAnsi="Arial" w:cs="Arial"/>
          <w:bCs/>
          <w:sz w:val="18"/>
          <w:szCs w:val="18"/>
        </w:rPr>
        <w:t xml:space="preserve"> and services</w:t>
      </w:r>
      <w:r w:rsidR="009E4000">
        <w:rPr>
          <w:rFonts w:ascii="Arial" w:hAnsi="Arial" w:cs="Arial"/>
          <w:bCs/>
          <w:sz w:val="18"/>
          <w:szCs w:val="18"/>
        </w:rPr>
        <w:t>.</w:t>
      </w:r>
    </w:p>
    <w:p w14:paraId="5556E411" w14:textId="7049C9F2" w:rsidR="00770EE1" w:rsidRPr="00D10640" w:rsidRDefault="00770EE1" w:rsidP="00DC6019">
      <w:pPr>
        <w:jc w:val="left"/>
        <w:rPr>
          <w:rFonts w:ascii="Arial" w:hAnsi="Arial" w:cs="Arial"/>
          <w:szCs w:val="24"/>
        </w:rPr>
      </w:pPr>
    </w:p>
    <w:p w14:paraId="6EF17640" w14:textId="0F95725B" w:rsidR="00DC6019" w:rsidRPr="00472D44" w:rsidRDefault="00DC6019" w:rsidP="00DC6019">
      <w:pPr>
        <w:jc w:val="left"/>
        <w:rPr>
          <w:rFonts w:ascii="Arial" w:hAnsi="Arial" w:cs="Arial"/>
          <w:b/>
          <w:bCs/>
          <w:szCs w:val="24"/>
          <w:u w:val="single"/>
        </w:rPr>
      </w:pPr>
      <w:r w:rsidRPr="00472D44">
        <w:rPr>
          <w:rFonts w:ascii="Arial" w:hAnsi="Arial" w:cs="Arial"/>
          <w:b/>
          <w:bCs/>
          <w:szCs w:val="24"/>
          <w:u w:val="single"/>
        </w:rPr>
        <w:t>Other Definitions</w:t>
      </w:r>
    </w:p>
    <w:p w14:paraId="40526D10" w14:textId="78AEF4D8" w:rsidR="00DC6019" w:rsidRPr="00FF55D2" w:rsidRDefault="00DC6019" w:rsidP="00DC6019">
      <w:pPr>
        <w:jc w:val="left"/>
        <w:rPr>
          <w:rFonts w:ascii="Arial" w:hAnsi="Arial" w:cs="Arial"/>
        </w:rPr>
      </w:pPr>
    </w:p>
    <w:p w14:paraId="352EC35F" w14:textId="3D8144C7" w:rsidR="00DC6019" w:rsidRPr="00FF55D2" w:rsidRDefault="00DC6019" w:rsidP="00DC6019">
      <w:pPr>
        <w:jc w:val="left"/>
        <w:rPr>
          <w:rFonts w:ascii="Arial" w:hAnsi="Arial" w:cs="Arial"/>
          <w:iCs/>
        </w:rPr>
      </w:pPr>
      <w:r w:rsidRPr="00FF55D2">
        <w:rPr>
          <w:rFonts w:ascii="Arial" w:hAnsi="Arial" w:cs="Arial"/>
          <w:b/>
          <w:iCs/>
        </w:rPr>
        <w:t xml:space="preserve">Banque de France </w:t>
      </w:r>
      <w:r w:rsidRPr="00FF55D2">
        <w:rPr>
          <w:rFonts w:ascii="Arial" w:hAnsi="Arial" w:cs="Arial"/>
          <w:iCs/>
        </w:rPr>
        <w:t xml:space="preserve">data </w:t>
      </w:r>
      <w:r w:rsidRPr="00FF55D2">
        <w:rPr>
          <w:rFonts w:ascii="Arial" w:hAnsi="Arial" w:cs="Arial"/>
          <w:bCs/>
          <w:iCs/>
        </w:rPr>
        <w:t xml:space="preserve">for DIY </w:t>
      </w:r>
      <w:r w:rsidRPr="00B6297C">
        <w:rPr>
          <w:rFonts w:ascii="Arial" w:hAnsi="Arial" w:cs="Arial"/>
          <w:bCs/>
          <w:iCs/>
        </w:rPr>
        <w:t xml:space="preserve">retail sales (non-seasonally adjusted). </w:t>
      </w:r>
      <w:r w:rsidRPr="00B6297C">
        <w:rPr>
          <w:rFonts w:ascii="Arial" w:hAnsi="Arial" w:cs="Arial"/>
          <w:iCs/>
        </w:rPr>
        <w:t>Includes relocated and extended stores.</w:t>
      </w:r>
      <w:r w:rsidR="00794974">
        <w:rPr>
          <w:rFonts w:ascii="Arial" w:hAnsi="Arial" w:cs="Arial"/>
          <w:iCs/>
        </w:rPr>
        <w:t xml:space="preserve"> </w:t>
      </w:r>
      <w:hyperlink r:id="rId19" w:anchor="/node/5384398" w:history="1">
        <w:r w:rsidR="00794974" w:rsidRPr="00794974">
          <w:rPr>
            <w:rStyle w:val="Hyperlink"/>
            <w:rFonts w:ascii="Arial" w:hAnsi="Arial" w:cs="Arial"/>
            <w:iCs/>
          </w:rPr>
          <w:t>https://webstat.banque-france.fr/fr/#/node/5384398</w:t>
        </w:r>
      </w:hyperlink>
      <w:r w:rsidR="000F2E1D" w:rsidRPr="00B6297C">
        <w:rPr>
          <w:rFonts w:ascii="Arial" w:hAnsi="Arial" w:cs="Arial"/>
          <w:bCs/>
        </w:rPr>
        <w:t xml:space="preserve">. </w:t>
      </w:r>
      <w:r w:rsidR="001C68C5" w:rsidRPr="006A2643">
        <w:rPr>
          <w:rFonts w:ascii="Arial" w:hAnsi="Arial" w:cs="Arial"/>
          <w:bCs/>
        </w:rPr>
        <w:t xml:space="preserve">As of and including January 2023, </w:t>
      </w:r>
      <w:r w:rsidR="001C68C5" w:rsidRPr="006A2643">
        <w:rPr>
          <w:rFonts w:ascii="Arial" w:hAnsi="Arial" w:cs="Arial"/>
          <w:bCs/>
          <w:iCs/>
        </w:rPr>
        <w:t xml:space="preserve">we have taken the decision to no longer communicate Castorama France and Brico Dépôt France </w:t>
      </w:r>
      <w:r w:rsidR="00867A96" w:rsidRPr="006A2643">
        <w:rPr>
          <w:rFonts w:ascii="Arial" w:hAnsi="Arial" w:cs="Arial"/>
          <w:bCs/>
          <w:iCs/>
        </w:rPr>
        <w:t xml:space="preserve">monthly </w:t>
      </w:r>
      <w:r w:rsidR="001C68C5" w:rsidRPr="006A2643">
        <w:rPr>
          <w:rFonts w:ascii="Arial" w:hAnsi="Arial" w:cs="Arial"/>
          <w:bCs/>
          <w:iCs/>
        </w:rPr>
        <w:t xml:space="preserve">sales figures to </w:t>
      </w:r>
      <w:r w:rsidR="001C68C5" w:rsidRPr="006A2643">
        <w:rPr>
          <w:rFonts w:ascii="Arial" w:hAnsi="Arial" w:cs="Arial"/>
          <w:bCs/>
          <w:i/>
        </w:rPr>
        <w:t>Banque de France</w:t>
      </w:r>
      <w:r w:rsidR="001C68C5" w:rsidRPr="006A2643">
        <w:rPr>
          <w:rFonts w:ascii="Arial" w:hAnsi="Arial" w:cs="Arial"/>
          <w:bCs/>
          <w:iCs/>
        </w:rPr>
        <w:t xml:space="preserve"> and the internal index of </w:t>
      </w:r>
      <w:r w:rsidR="001C68C5" w:rsidRPr="006A2643">
        <w:rPr>
          <w:rFonts w:ascii="Arial" w:hAnsi="Arial" w:cs="Arial"/>
          <w:bCs/>
          <w:i/>
        </w:rPr>
        <w:t>FMB</w:t>
      </w:r>
      <w:r w:rsidR="001C68C5" w:rsidRPr="006A2643">
        <w:rPr>
          <w:rFonts w:ascii="Arial" w:hAnsi="Arial" w:cs="Arial"/>
          <w:bCs/>
          <w:iCs/>
        </w:rPr>
        <w:t xml:space="preserve"> (</w:t>
      </w:r>
      <w:r w:rsidR="001C68C5" w:rsidRPr="006A2643">
        <w:rPr>
          <w:rFonts w:ascii="Arial" w:hAnsi="Arial" w:cs="Arial"/>
          <w:bCs/>
          <w:i/>
        </w:rPr>
        <w:t>Fédération des Magasins de Bricolage</w:t>
      </w:r>
      <w:r w:rsidR="001C68C5" w:rsidRPr="006A2643">
        <w:rPr>
          <w:rFonts w:ascii="Arial" w:hAnsi="Arial" w:cs="Arial"/>
          <w:bCs/>
          <w:iCs/>
        </w:rPr>
        <w:t xml:space="preserve"> – our trade association), until further notice.</w:t>
      </w:r>
    </w:p>
    <w:p w14:paraId="5E09F511" w14:textId="706D6C0D" w:rsidR="00DC6019" w:rsidRPr="00FF55D2" w:rsidRDefault="00DC6019" w:rsidP="00DC6019">
      <w:pPr>
        <w:jc w:val="left"/>
        <w:rPr>
          <w:rFonts w:ascii="Arial" w:hAnsi="Arial" w:cs="Arial"/>
          <w:bCs/>
          <w:iCs/>
        </w:rPr>
      </w:pPr>
    </w:p>
    <w:p w14:paraId="3F0B7A0C" w14:textId="77777777" w:rsidR="00DC6019" w:rsidRPr="006957EC" w:rsidRDefault="00DC6019" w:rsidP="00DC6019">
      <w:pPr>
        <w:jc w:val="left"/>
        <w:rPr>
          <w:rFonts w:ascii="Arial" w:hAnsi="Arial" w:cs="Arial"/>
          <w:bCs/>
          <w:iCs/>
        </w:rPr>
      </w:pPr>
      <w:r>
        <w:rPr>
          <w:rFonts w:ascii="Arial" w:hAnsi="Arial" w:cs="Arial"/>
          <w:b/>
          <w:iCs/>
        </w:rPr>
        <w:t>‘</w:t>
      </w:r>
      <w:r w:rsidRPr="00B74539">
        <w:rPr>
          <w:rFonts w:ascii="Arial" w:hAnsi="Arial" w:cs="Arial"/>
          <w:b/>
          <w:iCs/>
        </w:rPr>
        <w:t>Do It Yourself’ (DIY)</w:t>
      </w:r>
      <w:r w:rsidRPr="006957EC">
        <w:rPr>
          <w:rFonts w:ascii="Arial" w:hAnsi="Arial" w:cs="Arial"/>
          <w:bCs/>
          <w:iCs/>
        </w:rPr>
        <w:t xml:space="preserve"> sales </w:t>
      </w:r>
      <w:r>
        <w:rPr>
          <w:rFonts w:ascii="Arial" w:hAnsi="Arial" w:cs="Arial"/>
          <w:bCs/>
          <w:iCs/>
        </w:rPr>
        <w:t xml:space="preserve">include </w:t>
      </w:r>
      <w:r w:rsidRPr="006957EC">
        <w:rPr>
          <w:rFonts w:ascii="Arial" w:hAnsi="Arial" w:cs="Arial"/>
          <w:bCs/>
          <w:iCs/>
        </w:rPr>
        <w:t xml:space="preserve">products </w:t>
      </w:r>
      <w:r>
        <w:rPr>
          <w:rFonts w:ascii="Arial" w:hAnsi="Arial" w:cs="Arial"/>
          <w:bCs/>
          <w:iCs/>
        </w:rPr>
        <w:t xml:space="preserve">that </w:t>
      </w:r>
      <w:r w:rsidRPr="006957EC">
        <w:rPr>
          <w:rFonts w:ascii="Arial" w:hAnsi="Arial" w:cs="Arial"/>
          <w:bCs/>
          <w:iCs/>
        </w:rPr>
        <w:t>facilitate self-undertaken home improvement projects</w:t>
      </w:r>
      <w:r>
        <w:rPr>
          <w:rFonts w:ascii="Arial" w:hAnsi="Arial" w:cs="Arial"/>
          <w:bCs/>
          <w:iCs/>
        </w:rPr>
        <w:t xml:space="preserve"> and tasks,</w:t>
      </w:r>
      <w:r w:rsidRPr="006957EC">
        <w:rPr>
          <w:rFonts w:ascii="Arial" w:hAnsi="Arial" w:cs="Arial"/>
          <w:bCs/>
          <w:iCs/>
        </w:rPr>
        <w:t xml:space="preserve"> including paint, lighting, tools and hardware</w:t>
      </w:r>
      <w:r>
        <w:rPr>
          <w:rFonts w:ascii="Arial" w:hAnsi="Arial" w:cs="Arial"/>
          <w:bCs/>
          <w:iCs/>
        </w:rPr>
        <w:t>, and garden maintenance.</w:t>
      </w:r>
    </w:p>
    <w:p w14:paraId="3655F547" w14:textId="77777777" w:rsidR="00DC6019" w:rsidRPr="006957EC" w:rsidRDefault="00DC6019" w:rsidP="00DC6019">
      <w:pPr>
        <w:jc w:val="left"/>
        <w:rPr>
          <w:rFonts w:ascii="Arial" w:hAnsi="Arial" w:cs="Arial"/>
          <w:bCs/>
          <w:iCs/>
        </w:rPr>
      </w:pPr>
    </w:p>
    <w:p w14:paraId="1AAF733F" w14:textId="77777777" w:rsidR="00DC6019" w:rsidRPr="006957EC" w:rsidRDefault="00DC6019" w:rsidP="00DC6019">
      <w:pPr>
        <w:jc w:val="left"/>
        <w:rPr>
          <w:rFonts w:ascii="Arial" w:hAnsi="Arial" w:cs="Arial"/>
          <w:bCs/>
          <w:iCs/>
        </w:rPr>
      </w:pPr>
      <w:r w:rsidRPr="00384555">
        <w:rPr>
          <w:rFonts w:ascii="Arial" w:hAnsi="Arial" w:cs="Arial"/>
          <w:b/>
          <w:iCs/>
        </w:rPr>
        <w:lastRenderedPageBreak/>
        <w:t>‘Do It For Me’ (DIFM)</w:t>
      </w:r>
      <w:r w:rsidRPr="006957EC">
        <w:rPr>
          <w:rFonts w:ascii="Arial" w:hAnsi="Arial" w:cs="Arial"/>
          <w:bCs/>
          <w:iCs/>
        </w:rPr>
        <w:t xml:space="preserve"> sales include</w:t>
      </w:r>
      <w:r>
        <w:rPr>
          <w:rFonts w:ascii="Arial" w:hAnsi="Arial" w:cs="Arial"/>
          <w:bCs/>
          <w:iCs/>
        </w:rPr>
        <w:t xml:space="preserve"> products and services used</w:t>
      </w:r>
      <w:r w:rsidRPr="006957EC">
        <w:rPr>
          <w:rFonts w:ascii="Arial" w:hAnsi="Arial" w:cs="Arial"/>
          <w:bCs/>
          <w:iCs/>
        </w:rPr>
        <w:t xml:space="preserve"> </w:t>
      </w:r>
      <w:r>
        <w:rPr>
          <w:rFonts w:ascii="Arial" w:hAnsi="Arial" w:cs="Arial"/>
          <w:bCs/>
          <w:iCs/>
        </w:rPr>
        <w:t xml:space="preserve">in </w:t>
      </w:r>
      <w:r w:rsidRPr="006957EC">
        <w:rPr>
          <w:rFonts w:ascii="Arial" w:hAnsi="Arial" w:cs="Arial"/>
          <w:bCs/>
          <w:iCs/>
        </w:rPr>
        <w:t xml:space="preserve">home improvement projects and tasks </w:t>
      </w:r>
      <w:r>
        <w:rPr>
          <w:rFonts w:ascii="Arial" w:hAnsi="Arial" w:cs="Arial"/>
          <w:bCs/>
          <w:iCs/>
        </w:rPr>
        <w:t xml:space="preserve">that </w:t>
      </w:r>
      <w:r w:rsidRPr="006957EC">
        <w:rPr>
          <w:rFonts w:ascii="Arial" w:hAnsi="Arial" w:cs="Arial"/>
          <w:bCs/>
          <w:iCs/>
        </w:rPr>
        <w:t>predominantly require a tradesperson to undertake, including kitchens, bathrooms, tiling, wardrobes, windows and doors, certain electrical and plumbing activities</w:t>
      </w:r>
      <w:r>
        <w:rPr>
          <w:rFonts w:ascii="Arial" w:hAnsi="Arial" w:cs="Arial"/>
          <w:bCs/>
          <w:iCs/>
        </w:rPr>
        <w:t>, and installation services.</w:t>
      </w:r>
    </w:p>
    <w:p w14:paraId="57E4F22E" w14:textId="77777777" w:rsidR="00DC6019" w:rsidRPr="0021253A" w:rsidRDefault="00DC6019" w:rsidP="00DC6019">
      <w:pPr>
        <w:jc w:val="left"/>
        <w:rPr>
          <w:rFonts w:ascii="Arial" w:hAnsi="Arial" w:cs="Arial"/>
          <w:bCs/>
          <w:iCs/>
        </w:rPr>
      </w:pPr>
    </w:p>
    <w:p w14:paraId="6A8C429F" w14:textId="77777777" w:rsidR="00DC6019" w:rsidRPr="00EB4495" w:rsidRDefault="00DC6019" w:rsidP="00DC6019">
      <w:pPr>
        <w:jc w:val="left"/>
        <w:rPr>
          <w:rFonts w:ascii="Arial" w:hAnsi="Arial" w:cs="Arial"/>
          <w:iCs/>
        </w:rPr>
      </w:pPr>
      <w:r w:rsidRPr="00EB4495">
        <w:rPr>
          <w:rFonts w:ascii="Arial" w:hAnsi="Arial" w:cs="Arial"/>
          <w:b/>
          <w:iCs/>
        </w:rPr>
        <w:t>France</w:t>
      </w:r>
      <w:r w:rsidRPr="00EB4495">
        <w:rPr>
          <w:rFonts w:ascii="Arial" w:hAnsi="Arial" w:cs="Arial"/>
          <w:iCs/>
        </w:rPr>
        <w:t xml:space="preserve"> consists of Castorama France and Brico Dépôt France.</w:t>
      </w:r>
    </w:p>
    <w:p w14:paraId="21E4C19A" w14:textId="77777777" w:rsidR="00DC6019" w:rsidRPr="00EB4495" w:rsidRDefault="00DC6019" w:rsidP="00DC6019">
      <w:pPr>
        <w:jc w:val="left"/>
        <w:rPr>
          <w:rFonts w:ascii="Arial" w:hAnsi="Arial" w:cs="Arial"/>
          <w:iCs/>
        </w:rPr>
      </w:pPr>
    </w:p>
    <w:p w14:paraId="5FE403BD" w14:textId="35A52BD8" w:rsidR="00DC6019" w:rsidRPr="00EB4495" w:rsidRDefault="00DC6019" w:rsidP="00DC6019">
      <w:pPr>
        <w:jc w:val="left"/>
        <w:rPr>
          <w:rFonts w:ascii="Arial" w:hAnsi="Arial" w:cs="Arial"/>
          <w:b/>
          <w:iCs/>
        </w:rPr>
      </w:pPr>
      <w:r w:rsidRPr="00EB4495">
        <w:rPr>
          <w:rFonts w:ascii="Arial" w:hAnsi="Arial" w:cs="Arial"/>
          <w:b/>
          <w:iCs/>
        </w:rPr>
        <w:t xml:space="preserve">GNFR </w:t>
      </w:r>
      <w:r w:rsidRPr="00EB4495">
        <w:rPr>
          <w:rFonts w:ascii="Arial" w:hAnsi="Arial" w:cs="Arial"/>
          <w:iCs/>
        </w:rPr>
        <w:t xml:space="preserve">(Goods Not For Resale) covers the procurement of all goods and services a retailer consumes (including </w:t>
      </w:r>
      <w:r w:rsidR="006F4052">
        <w:rPr>
          <w:rFonts w:ascii="Arial" w:hAnsi="Arial" w:cs="Arial"/>
          <w:iCs/>
        </w:rPr>
        <w:t xml:space="preserve">ocean freight, </w:t>
      </w:r>
      <w:r w:rsidR="00D93DA5">
        <w:rPr>
          <w:rFonts w:ascii="Arial" w:hAnsi="Arial" w:cs="Arial"/>
          <w:iCs/>
        </w:rPr>
        <w:t xml:space="preserve">energy, </w:t>
      </w:r>
      <w:r w:rsidRPr="00EB4495">
        <w:rPr>
          <w:rFonts w:ascii="Arial" w:hAnsi="Arial" w:cs="Arial"/>
          <w:iCs/>
        </w:rPr>
        <w:t xml:space="preserve">media buying, </w:t>
      </w:r>
      <w:r w:rsidR="00AC0983">
        <w:rPr>
          <w:rFonts w:ascii="Arial" w:hAnsi="Arial" w:cs="Arial"/>
          <w:iCs/>
        </w:rPr>
        <w:t>cleaning</w:t>
      </w:r>
      <w:r w:rsidR="00DB7587">
        <w:rPr>
          <w:rFonts w:ascii="Arial" w:hAnsi="Arial" w:cs="Arial"/>
          <w:iCs/>
        </w:rPr>
        <w:t>,</w:t>
      </w:r>
      <w:r w:rsidR="00AC0983">
        <w:rPr>
          <w:rFonts w:ascii="Arial" w:hAnsi="Arial" w:cs="Arial"/>
          <w:iCs/>
        </w:rPr>
        <w:t xml:space="preserve"> and security</w:t>
      </w:r>
      <w:r w:rsidRPr="00EB4495">
        <w:rPr>
          <w:rFonts w:ascii="Arial" w:hAnsi="Arial" w:cs="Arial"/>
          <w:iCs/>
        </w:rPr>
        <w:t>).</w:t>
      </w:r>
    </w:p>
    <w:p w14:paraId="49705ED9" w14:textId="77777777" w:rsidR="00DC6019" w:rsidRPr="0021253A" w:rsidRDefault="00DC6019" w:rsidP="00DC6019">
      <w:pPr>
        <w:jc w:val="left"/>
        <w:rPr>
          <w:rFonts w:ascii="Arial" w:hAnsi="Arial" w:cs="Arial"/>
          <w:bCs/>
          <w:iCs/>
        </w:rPr>
      </w:pPr>
    </w:p>
    <w:p w14:paraId="76F387F7" w14:textId="77777777" w:rsidR="00DC6019" w:rsidRPr="00EB4495" w:rsidRDefault="00DC6019" w:rsidP="00DC6019">
      <w:pPr>
        <w:tabs>
          <w:tab w:val="left" w:pos="357"/>
        </w:tabs>
        <w:ind w:right="-282"/>
        <w:jc w:val="left"/>
        <w:rPr>
          <w:rFonts w:ascii="Arial" w:hAnsi="Arial" w:cs="Arial"/>
        </w:rPr>
      </w:pPr>
      <w:r w:rsidRPr="00EB4495">
        <w:rPr>
          <w:rFonts w:ascii="Arial" w:hAnsi="Arial" w:cs="Arial"/>
          <w:b/>
        </w:rPr>
        <w:t>Iberia</w:t>
      </w:r>
      <w:r w:rsidRPr="00EB4495">
        <w:rPr>
          <w:rFonts w:ascii="Arial" w:hAnsi="Arial" w:cs="Arial"/>
        </w:rPr>
        <w:t xml:space="preserve"> consists of Brico Dépôt Spain and Brico Dépôt Portugal.</w:t>
      </w:r>
    </w:p>
    <w:p w14:paraId="77B40676" w14:textId="77777777" w:rsidR="00DC6019" w:rsidRDefault="00DC6019" w:rsidP="00DC6019">
      <w:pPr>
        <w:jc w:val="left"/>
        <w:rPr>
          <w:rFonts w:ascii="Arial" w:hAnsi="Arial" w:cs="Arial"/>
          <w:bCs/>
          <w:iCs/>
        </w:rPr>
      </w:pPr>
    </w:p>
    <w:p w14:paraId="4030BE2C" w14:textId="5BEF9A53" w:rsidR="00DC6019" w:rsidRPr="00EB4495" w:rsidRDefault="00DC6019" w:rsidP="00DC6019">
      <w:pPr>
        <w:jc w:val="left"/>
        <w:rPr>
          <w:rFonts w:ascii="Arial" w:hAnsi="Arial" w:cs="Arial"/>
          <w:iCs/>
        </w:rPr>
      </w:pPr>
      <w:r w:rsidRPr="00EB4495">
        <w:rPr>
          <w:rFonts w:ascii="Arial" w:hAnsi="Arial" w:cs="Arial"/>
          <w:b/>
          <w:iCs/>
        </w:rPr>
        <w:t>Other International</w:t>
      </w:r>
      <w:r w:rsidRPr="00EB4495">
        <w:rPr>
          <w:rFonts w:ascii="Arial" w:hAnsi="Arial" w:cs="Arial"/>
          <w:iCs/>
        </w:rPr>
        <w:t xml:space="preserve"> consists of Poland, Iberia, Romania, ‘Other’, and Turkey (Koçtaş JV). ‘Other’ </w:t>
      </w:r>
      <w:r w:rsidRPr="00EB4495">
        <w:rPr>
          <w:rFonts w:ascii="Arial" w:hAnsi="Arial" w:cs="Arial"/>
          <w:bCs/>
          <w:iCs/>
        </w:rPr>
        <w:t xml:space="preserve">consists of the consolidated results of </w:t>
      </w:r>
      <w:r w:rsidR="004003AB" w:rsidRPr="00EB4495">
        <w:rPr>
          <w:rFonts w:ascii="Arial" w:hAnsi="Arial" w:cs="Arial"/>
          <w:bCs/>
          <w:iCs/>
        </w:rPr>
        <w:t>Screwfix International</w:t>
      </w:r>
      <w:r w:rsidR="004003AB">
        <w:rPr>
          <w:rFonts w:ascii="Arial" w:hAnsi="Arial" w:cs="Arial"/>
          <w:bCs/>
          <w:iCs/>
        </w:rPr>
        <w:t xml:space="preserve">, </w:t>
      </w:r>
      <w:r w:rsidRPr="00EB4495">
        <w:rPr>
          <w:rFonts w:ascii="Arial" w:hAnsi="Arial" w:cs="Arial"/>
          <w:bCs/>
          <w:iCs/>
        </w:rPr>
        <w:t>NeedHelp, and results from franchise agreements.</w:t>
      </w:r>
    </w:p>
    <w:p w14:paraId="28FC7CEC" w14:textId="77777777" w:rsidR="00DC6019" w:rsidRPr="00EB4495" w:rsidRDefault="00DC6019" w:rsidP="00DC6019">
      <w:pPr>
        <w:jc w:val="left"/>
        <w:rPr>
          <w:rFonts w:ascii="Arial" w:hAnsi="Arial" w:cs="Arial"/>
          <w:iCs/>
        </w:rPr>
      </w:pPr>
    </w:p>
    <w:p w14:paraId="79512287" w14:textId="77777777" w:rsidR="00DC6019" w:rsidRPr="00EB4495" w:rsidRDefault="00DC6019" w:rsidP="00DC6019">
      <w:pPr>
        <w:jc w:val="left"/>
        <w:rPr>
          <w:rFonts w:ascii="Arial" w:hAnsi="Arial" w:cs="Arial"/>
          <w:bCs/>
          <w:iCs/>
        </w:rPr>
      </w:pPr>
      <w:r w:rsidRPr="00EB4495">
        <w:rPr>
          <w:rFonts w:ascii="Arial" w:hAnsi="Arial" w:cs="Arial"/>
          <w:b/>
          <w:iCs/>
        </w:rPr>
        <w:t xml:space="preserve">SKU </w:t>
      </w:r>
      <w:r w:rsidRPr="00EB4495">
        <w:rPr>
          <w:rFonts w:ascii="Arial" w:hAnsi="Arial" w:cs="Arial"/>
          <w:bCs/>
          <w:iCs/>
        </w:rPr>
        <w:t>(Stock Keeping Unit) is defined as the number of individual variants of products sold or remaining in stock. It is a distinct type of item for sale, such as a product and all attributes associated with the item type that distinguish it from others. These attributes could include, but are not limited to, manufacturer, description, material, size, colour, packaging and warranty terms.</w:t>
      </w:r>
    </w:p>
    <w:p w14:paraId="38A6891C" w14:textId="77777777" w:rsidR="00DC6019" w:rsidRDefault="00DC6019" w:rsidP="00DC6019">
      <w:pPr>
        <w:jc w:val="left"/>
        <w:rPr>
          <w:rFonts w:ascii="Arial" w:hAnsi="Arial" w:cs="Arial"/>
          <w:bCs/>
          <w:iCs/>
        </w:rPr>
      </w:pPr>
    </w:p>
    <w:p w14:paraId="69580E07" w14:textId="77777777" w:rsidR="00D15ABA" w:rsidRDefault="00DC6019" w:rsidP="00DC6019">
      <w:pPr>
        <w:jc w:val="left"/>
        <w:rPr>
          <w:rFonts w:ascii="Arial" w:hAnsi="Arial" w:cs="Arial"/>
          <w:iCs/>
        </w:rPr>
      </w:pPr>
      <w:r w:rsidRPr="00EB4495">
        <w:rPr>
          <w:rFonts w:ascii="Arial" w:hAnsi="Arial" w:cs="Arial"/>
          <w:b/>
          <w:iCs/>
        </w:rPr>
        <w:t>UK &amp; Ireland</w:t>
      </w:r>
      <w:r w:rsidRPr="00EB4495">
        <w:rPr>
          <w:rFonts w:ascii="Arial" w:hAnsi="Arial" w:cs="Arial"/>
          <w:iCs/>
        </w:rPr>
        <w:t xml:space="preserve"> consists of B&amp;Q in the UK &amp; Ireland and Screwfix </w:t>
      </w:r>
      <w:r>
        <w:rPr>
          <w:rFonts w:ascii="Arial" w:hAnsi="Arial" w:cs="Arial"/>
          <w:iCs/>
        </w:rPr>
        <w:t xml:space="preserve">in the </w:t>
      </w:r>
      <w:r w:rsidRPr="00EB4495">
        <w:rPr>
          <w:rFonts w:ascii="Arial" w:hAnsi="Arial" w:cs="Arial"/>
          <w:iCs/>
        </w:rPr>
        <w:t>UK &amp; Ireland.</w:t>
      </w:r>
    </w:p>
    <w:p w14:paraId="2D544447" w14:textId="14CC2F3D" w:rsidR="00D15ABA" w:rsidRDefault="00D15ABA" w:rsidP="00DC6019">
      <w:pPr>
        <w:jc w:val="left"/>
        <w:rPr>
          <w:rFonts w:ascii="Arial" w:hAnsi="Arial" w:cs="Arial"/>
          <w:iCs/>
        </w:rPr>
      </w:pPr>
    </w:p>
    <w:p w14:paraId="783CE9A9" w14:textId="77777777" w:rsidR="00D15ABA" w:rsidRDefault="00D15ABA" w:rsidP="00DC6019">
      <w:pPr>
        <w:jc w:val="left"/>
        <w:rPr>
          <w:rFonts w:ascii="Arial" w:hAnsi="Arial" w:cs="Arial"/>
          <w:iCs/>
        </w:rPr>
      </w:pPr>
    </w:p>
    <w:p w14:paraId="16193B5C" w14:textId="721F1422" w:rsidR="00DC6019" w:rsidRDefault="00DC6019" w:rsidP="00DC6019">
      <w:pPr>
        <w:jc w:val="left"/>
        <w:rPr>
          <w:rFonts w:ascii="Arial" w:hAnsi="Arial" w:cs="Arial"/>
          <w:iCs/>
        </w:rPr>
      </w:pPr>
      <w:r>
        <w:rPr>
          <w:rFonts w:ascii="Arial" w:hAnsi="Arial" w:cs="Arial"/>
          <w:iCs/>
        </w:rPr>
        <w:br w:type="page"/>
      </w:r>
    </w:p>
    <w:p w14:paraId="71BAD1C6" w14:textId="77777777" w:rsidR="00472D44" w:rsidRDefault="00472D44" w:rsidP="00472D44">
      <w:pPr>
        <w:pBdr>
          <w:top w:val="single" w:sz="4" w:space="1" w:color="auto"/>
          <w:left w:val="single" w:sz="4" w:space="4" w:color="auto"/>
          <w:bottom w:val="single" w:sz="4" w:space="1" w:color="auto"/>
          <w:right w:val="single" w:sz="4" w:space="4" w:color="auto"/>
        </w:pBdr>
        <w:shd w:val="clear" w:color="auto" w:fill="0070C0"/>
        <w:rPr>
          <w:rFonts w:ascii="Arial" w:hAnsi="Arial" w:cs="Arial"/>
          <w:b/>
          <w:caps/>
          <w:color w:val="FFFFFF" w:themeColor="background1"/>
        </w:rPr>
      </w:pPr>
      <w:r>
        <w:rPr>
          <w:rFonts w:ascii="Arial" w:hAnsi="Arial" w:cs="Arial"/>
          <w:b/>
          <w:bCs/>
          <w:color w:val="FFFFFF" w:themeColor="background1"/>
        </w:rPr>
        <w:lastRenderedPageBreak/>
        <w:t xml:space="preserve">Section 7: </w:t>
      </w:r>
      <w:r>
        <w:rPr>
          <w:rFonts w:ascii="Arial" w:hAnsi="Arial" w:cs="Arial"/>
          <w:b/>
          <w:color w:val="FFFFFF" w:themeColor="background1"/>
        </w:rPr>
        <w:t>Forward-looking statements</w:t>
      </w:r>
    </w:p>
    <w:p w14:paraId="270E7C83" w14:textId="77777777" w:rsidR="00472D44" w:rsidRPr="00374358" w:rsidRDefault="00472D44" w:rsidP="00472D44">
      <w:pPr>
        <w:jc w:val="left"/>
        <w:rPr>
          <w:rFonts w:ascii="Arial" w:hAnsi="Arial" w:cs="Arial"/>
        </w:rPr>
      </w:pPr>
    </w:p>
    <w:p w14:paraId="71CB7080" w14:textId="77777777" w:rsidR="00472D44" w:rsidRPr="00374358" w:rsidRDefault="00472D44" w:rsidP="00472D44">
      <w:pPr>
        <w:pStyle w:val="mr"/>
        <w:spacing w:before="0" w:beforeAutospacing="0" w:after="0" w:afterAutospacing="0"/>
        <w:rPr>
          <w:rFonts w:ascii="Arial" w:hAnsi="Arial" w:cs="Arial"/>
          <w:sz w:val="22"/>
          <w:szCs w:val="22"/>
        </w:rPr>
      </w:pPr>
      <w:bookmarkStart w:id="78" w:name="_Hlk63784175"/>
      <w:r w:rsidRPr="00374358">
        <w:rPr>
          <w:rStyle w:val="ky"/>
          <w:rFonts w:ascii="Arial" w:hAnsi="Arial" w:cs="Arial"/>
          <w:sz w:val="22"/>
          <w:szCs w:val="22"/>
        </w:rPr>
        <w:t>You are not to construe the content of this announcement as investment, legal or tax advice and you should make your own evaluation of the Company and the market. If you are in any doubt about the contents of this announcement or the action you should take, you should consult a person authorised under the Financial Services and Markets Act 2000 (as amended) (or if you are a person outside the UK, otherwise duly qualified in your jurisdiction).</w:t>
      </w:r>
    </w:p>
    <w:p w14:paraId="24A7C035" w14:textId="77777777" w:rsidR="00472D44" w:rsidRPr="00374358" w:rsidRDefault="00472D44" w:rsidP="00472D44">
      <w:pPr>
        <w:pStyle w:val="mr"/>
        <w:spacing w:before="0" w:beforeAutospacing="0" w:after="0" w:afterAutospacing="0"/>
        <w:rPr>
          <w:rFonts w:ascii="Arial" w:hAnsi="Arial" w:cs="Arial"/>
          <w:sz w:val="22"/>
          <w:szCs w:val="22"/>
        </w:rPr>
      </w:pPr>
    </w:p>
    <w:p w14:paraId="528585B3" w14:textId="661945B0" w:rsidR="00472D44" w:rsidRPr="00374358" w:rsidRDefault="00472D44" w:rsidP="00472D44">
      <w:pPr>
        <w:pStyle w:val="mr"/>
        <w:spacing w:before="0" w:beforeAutospacing="0" w:after="0" w:afterAutospacing="0"/>
        <w:rPr>
          <w:rFonts w:ascii="Arial" w:hAnsi="Arial" w:cs="Arial"/>
          <w:sz w:val="22"/>
          <w:szCs w:val="22"/>
        </w:rPr>
      </w:pPr>
      <w:r w:rsidRPr="00374358">
        <w:rPr>
          <w:rFonts w:ascii="Arial" w:hAnsi="Arial" w:cs="Arial"/>
          <w:sz w:val="22"/>
          <w:szCs w:val="22"/>
        </w:rPr>
        <w:t xml:space="preserve">This announcement has been prepared in relation to the financial results for the </w:t>
      </w:r>
      <w:r w:rsidR="00164EFE">
        <w:rPr>
          <w:rFonts w:ascii="Arial" w:hAnsi="Arial" w:cs="Arial"/>
          <w:sz w:val="22"/>
          <w:szCs w:val="22"/>
        </w:rPr>
        <w:t xml:space="preserve">12 </w:t>
      </w:r>
      <w:r w:rsidRPr="00374358">
        <w:rPr>
          <w:rFonts w:ascii="Arial" w:hAnsi="Arial" w:cs="Arial"/>
          <w:sz w:val="22"/>
          <w:szCs w:val="22"/>
        </w:rPr>
        <w:t xml:space="preserve">months ended 31 </w:t>
      </w:r>
      <w:r w:rsidR="00D945B9">
        <w:rPr>
          <w:rFonts w:ascii="Arial" w:hAnsi="Arial" w:cs="Arial"/>
          <w:sz w:val="22"/>
          <w:szCs w:val="22"/>
        </w:rPr>
        <w:t xml:space="preserve">January </w:t>
      </w:r>
      <w:r w:rsidRPr="00374358">
        <w:rPr>
          <w:rFonts w:ascii="Arial" w:hAnsi="Arial" w:cs="Arial"/>
          <w:sz w:val="22"/>
          <w:szCs w:val="22"/>
        </w:rPr>
        <w:t>202</w:t>
      </w:r>
      <w:r w:rsidR="00D945B9">
        <w:rPr>
          <w:rFonts w:ascii="Arial" w:hAnsi="Arial" w:cs="Arial"/>
          <w:sz w:val="22"/>
          <w:szCs w:val="22"/>
        </w:rPr>
        <w:t>3</w:t>
      </w:r>
      <w:r w:rsidRPr="00374358">
        <w:rPr>
          <w:rFonts w:ascii="Arial" w:hAnsi="Arial" w:cs="Arial"/>
          <w:sz w:val="22"/>
          <w:szCs w:val="22"/>
        </w:rPr>
        <w:t xml:space="preserve">. </w:t>
      </w:r>
      <w:r w:rsidRPr="00374358">
        <w:rPr>
          <w:rStyle w:val="ky"/>
          <w:rFonts w:ascii="Arial" w:hAnsi="Arial" w:cs="Arial"/>
          <w:sz w:val="22"/>
          <w:szCs w:val="22"/>
        </w:rPr>
        <w:t>The financial information referenced in this announcement is not audited and does not contain sufficient detail to allow a full understanding of the results of the Group. Nothing in this announcement should be construed as either an offer or invitation to sell or any offering of securities or any invitation or inducement to any person to underwrite, subscribe for or otherwise acquire securities in any company within the Group or an invitation or inducement to engage in investment activity under section 21 of the Financial Services and Markets Act 2000 (as amended) (or, otherwise under any other law, regulation or exchange rules in any other applicable jurisdiction).</w:t>
      </w:r>
    </w:p>
    <w:p w14:paraId="6766F2B3" w14:textId="77777777" w:rsidR="00472D44" w:rsidRPr="00374358" w:rsidRDefault="00472D44" w:rsidP="00472D44">
      <w:pPr>
        <w:pStyle w:val="mr"/>
        <w:spacing w:before="0" w:beforeAutospacing="0" w:after="0" w:afterAutospacing="0"/>
        <w:rPr>
          <w:rFonts w:ascii="Arial" w:hAnsi="Arial" w:cs="Arial"/>
          <w:sz w:val="22"/>
          <w:szCs w:val="22"/>
        </w:rPr>
      </w:pPr>
    </w:p>
    <w:p w14:paraId="7379B296" w14:textId="77777777" w:rsidR="00472D44" w:rsidRPr="00374358" w:rsidRDefault="00472D44" w:rsidP="00472D44">
      <w:pPr>
        <w:pStyle w:val="mr"/>
        <w:spacing w:before="0" w:beforeAutospacing="0" w:after="0" w:afterAutospacing="0"/>
        <w:rPr>
          <w:rFonts w:ascii="Arial" w:hAnsi="Arial" w:cs="Arial"/>
          <w:sz w:val="22"/>
          <w:szCs w:val="22"/>
        </w:rPr>
      </w:pPr>
      <w:r w:rsidRPr="00374358">
        <w:rPr>
          <w:rStyle w:val="ky"/>
          <w:rFonts w:ascii="Arial" w:hAnsi="Arial" w:cs="Arial"/>
          <w:sz w:val="22"/>
          <w:szCs w:val="22"/>
        </w:rPr>
        <w:t>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 "target", "plan", "goal", "aim", forecast, or "believe" (or the negatives thereof) or other variations thereon or comparable terminology. These forward-looking statements</w:t>
      </w:r>
      <w:r w:rsidRPr="00374358">
        <w:rPr>
          <w:rFonts w:ascii="Arial" w:eastAsia="Arial" w:hAnsi="Arial" w:cs="Arial"/>
          <w:sz w:val="22"/>
          <w:szCs w:val="22"/>
        </w:rPr>
        <w:t xml:space="preserve"> are based on currently available information and our current assumptions, expectations and projections about future events. These forward-looking statements</w:t>
      </w:r>
      <w:r w:rsidRPr="00374358">
        <w:rPr>
          <w:rStyle w:val="ky"/>
          <w:rFonts w:ascii="Arial" w:hAnsi="Arial" w:cs="Arial"/>
          <w:sz w:val="22"/>
          <w:szCs w:val="22"/>
        </w:rPr>
        <w:t xml:space="preserve"> include all matters that are not historical facts and include statements which look forward in time or statements regarding the Company's intentions, beliefs or current expectations and those of our Officers, Directors and employees concerning, amongst other things, the Company's results of operations, financial condition, changes in global or regional trade conditions (including a downturn in the retail or financial services industries), competitive influences, changes in tax rates, </w:t>
      </w:r>
      <w:r w:rsidRPr="00374358">
        <w:rPr>
          <w:rFonts w:ascii="Arial" w:hAnsi="Arial" w:cs="Arial"/>
          <w:sz w:val="22"/>
          <w:szCs w:val="22"/>
        </w:rPr>
        <w:t xml:space="preserve">exchange rates or interest rates, </w:t>
      </w:r>
      <w:r w:rsidRPr="00374358">
        <w:rPr>
          <w:rStyle w:val="ky"/>
          <w:rFonts w:ascii="Arial" w:hAnsi="Arial" w:cs="Arial"/>
          <w:sz w:val="22"/>
          <w:szCs w:val="22"/>
        </w:rPr>
        <w:t xml:space="preserve">changes to customer preferences, the state of the housing and home improvement markets, share repurchases and dividends, capital expenditure and capital allocation, liquidity, prospects, growth and strategies, litigation or other proceedings to which we are subject, acts of war or terrorism worldwide, work stoppages, slowdowns or strikes, public health crises, outbreaks of contagious disease </w:t>
      </w:r>
      <w:r w:rsidRPr="00374358">
        <w:rPr>
          <w:rFonts w:ascii="Arial" w:hAnsi="Arial" w:cs="Arial"/>
          <w:sz w:val="22"/>
          <w:szCs w:val="22"/>
        </w:rPr>
        <w:t>(including but not limited to the COVID pandemic)</w:t>
      </w:r>
      <w:r w:rsidRPr="00374358">
        <w:rPr>
          <w:rStyle w:val="ky"/>
          <w:rFonts w:ascii="Arial" w:hAnsi="Arial" w:cs="Arial"/>
          <w:sz w:val="22"/>
          <w:szCs w:val="22"/>
        </w:rPr>
        <w:t xml:space="preserve">, environmental disruption or political volatility. By their nature, forward-looking statements </w:t>
      </w:r>
      <w:r w:rsidRPr="00374358">
        <w:rPr>
          <w:rFonts w:ascii="Arial" w:eastAsia="Arial" w:hAnsi="Arial" w:cs="Arial"/>
          <w:sz w:val="22"/>
          <w:szCs w:val="22"/>
        </w:rPr>
        <w:t xml:space="preserve">are not guarantees of future performance and are subject to future events, risks and uncertainties – many of which are beyond our control, dependent on actions of third parties, or currently unknown to us – as well as potentially inaccurate assumptions </w:t>
      </w:r>
      <w:r w:rsidRPr="00374358">
        <w:rPr>
          <w:rStyle w:val="ky"/>
          <w:rFonts w:ascii="Arial" w:hAnsi="Arial" w:cs="Arial"/>
          <w:sz w:val="22"/>
          <w:szCs w:val="22"/>
        </w:rPr>
        <w:t>that could cause actual events or results or actual performance of the Group to differ materially from those reflected or contemplated in such forward-looking statements. For further information regarding risks to Kingfisher's business, please consult the risk management section of the Company's Annual Report (as published). No representation, warranty or other assurance is made as to the achievement or reasonableness of, and no reliance should be placed on, such forward-looking statements.</w:t>
      </w:r>
    </w:p>
    <w:p w14:paraId="1EC52479" w14:textId="77777777" w:rsidR="00472D44" w:rsidRPr="00374358" w:rsidRDefault="00472D44" w:rsidP="00472D44">
      <w:pPr>
        <w:pStyle w:val="mr"/>
        <w:spacing w:before="0" w:beforeAutospacing="0" w:after="0" w:afterAutospacing="0"/>
        <w:rPr>
          <w:rFonts w:ascii="Arial" w:hAnsi="Arial" w:cs="Arial"/>
          <w:sz w:val="22"/>
          <w:szCs w:val="22"/>
        </w:rPr>
      </w:pPr>
    </w:p>
    <w:p w14:paraId="0C14F2BA" w14:textId="77777777" w:rsidR="00472D44" w:rsidRPr="001E50BC" w:rsidRDefault="00472D44" w:rsidP="00472D44">
      <w:pPr>
        <w:pStyle w:val="mr"/>
        <w:spacing w:before="0" w:beforeAutospacing="0" w:after="0" w:afterAutospacing="0"/>
        <w:rPr>
          <w:rStyle w:val="ky"/>
        </w:rPr>
      </w:pPr>
      <w:r w:rsidRPr="00374358">
        <w:rPr>
          <w:rStyle w:val="ky"/>
          <w:rFonts w:ascii="Arial" w:hAnsi="Arial" w:cs="Arial"/>
          <w:sz w:val="22"/>
          <w:szCs w:val="22"/>
        </w:rPr>
        <w:t>The forward-looking statements contained in this announcement speak only as of the date of this announcement and the Company does not undertake any obligation to update or revise any forward-looking statement to reflect any new information, change in circumstances, or change in the Company's expectations to reflect events or circumstances after the date of this announcement or to reflect the occurrence of unanticipated events.</w:t>
      </w:r>
    </w:p>
    <w:bookmarkEnd w:id="78"/>
    <w:p w14:paraId="1AB088F6" w14:textId="77777777" w:rsidR="00472D44" w:rsidRPr="006957EC" w:rsidRDefault="00472D44" w:rsidP="00472D44">
      <w:pPr>
        <w:pStyle w:val="mr"/>
        <w:spacing w:before="0" w:beforeAutospacing="0" w:after="0" w:afterAutospacing="0"/>
        <w:rPr>
          <w:rStyle w:val="ky"/>
        </w:rPr>
      </w:pPr>
    </w:p>
    <w:p w14:paraId="77F87C5C" w14:textId="77777777" w:rsidR="00DC7C33" w:rsidRPr="00D04AA1" w:rsidRDefault="00DC7C33" w:rsidP="00F44AF3">
      <w:pPr>
        <w:jc w:val="left"/>
        <w:rPr>
          <w:rFonts w:ascii="Arial" w:hAnsi="Arial" w:cs="Arial"/>
        </w:rPr>
      </w:pPr>
    </w:p>
    <w:sectPr w:rsidR="00DC7C33" w:rsidRPr="00D04AA1" w:rsidSect="00B27D1F">
      <w:headerReference w:type="default" r:id="rId20"/>
      <w:footerReference w:type="default" r:id="rId21"/>
      <w:pgSz w:w="11906" w:h="16838"/>
      <w:pgMar w:top="720" w:right="794" w:bottom="720" w:left="794"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ACF2" w14:textId="77777777" w:rsidR="007773D7" w:rsidRDefault="007773D7" w:rsidP="00C52B32">
      <w:r>
        <w:separator/>
      </w:r>
    </w:p>
  </w:endnote>
  <w:endnote w:type="continuationSeparator" w:id="0">
    <w:p w14:paraId="5435B75E" w14:textId="77777777" w:rsidR="007773D7" w:rsidRDefault="007773D7" w:rsidP="00C52B32">
      <w:r>
        <w:continuationSeparator/>
      </w:r>
    </w:p>
  </w:endnote>
  <w:endnote w:type="continuationNotice" w:id="1">
    <w:p w14:paraId="43F96F5B" w14:textId="77777777" w:rsidR="007773D7" w:rsidRDefault="00777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ZapfCalligr BT">
    <w:altName w:val="Palatino Linotyp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enir 35">
    <w:altName w:val="Calibri"/>
    <w:charset w:val="00"/>
    <w:family w:val="swiss"/>
    <w:pitch w:val="default"/>
    <w:sig w:usb0="00000003" w:usb1="00000000" w:usb2="00000000" w:usb3="00000000" w:csb0="00000001" w:csb1="00000000"/>
  </w:font>
  <w:font w:name="Trade Gothic LT Std Light">
    <w:altName w:val="Calibri"/>
    <w:panose1 w:val="00000000000000000000"/>
    <w:charset w:val="00"/>
    <w:family w:val="modern"/>
    <w:notTrueType/>
    <w:pitch w:val="variable"/>
    <w:sig w:usb0="800000AF" w:usb1="4000204A" w:usb2="00000000" w:usb3="00000000" w:csb0="00000001" w:csb1="00000000"/>
  </w:font>
  <w:font w:name="Trade Gothic LT Std Bold">
    <w:altName w:val="Calibri"/>
    <w:panose1 w:val="00000000000000000000"/>
    <w:charset w:val="00"/>
    <w:family w:val="modern"/>
    <w:notTrueType/>
    <w:pitch w:val="variable"/>
    <w:sig w:usb0="800000AF" w:usb1="4000204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GoodHome">
    <w:altName w:val="Calibri"/>
    <w:charset w:val="00"/>
    <w:family w:val="auto"/>
    <w:pitch w:val="variable"/>
    <w:sig w:usb0="000002C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442062"/>
      <w:docPartObj>
        <w:docPartGallery w:val="Page Numbers (Bottom of Page)"/>
        <w:docPartUnique/>
      </w:docPartObj>
    </w:sdtPr>
    <w:sdtEndPr>
      <w:rPr>
        <w:rFonts w:ascii="Arial" w:hAnsi="Arial" w:cs="Arial"/>
        <w:noProof/>
      </w:rPr>
    </w:sdtEndPr>
    <w:sdtContent>
      <w:p w14:paraId="707AA90C" w14:textId="17DB515A" w:rsidR="00C52B32" w:rsidRPr="00F62A69" w:rsidRDefault="00C52B32">
        <w:pPr>
          <w:pStyle w:val="Footer"/>
          <w:jc w:val="right"/>
          <w:rPr>
            <w:rFonts w:ascii="Arial" w:hAnsi="Arial" w:cs="Arial"/>
          </w:rPr>
        </w:pPr>
        <w:r w:rsidRPr="00F62A69">
          <w:rPr>
            <w:rFonts w:ascii="Arial" w:hAnsi="Arial" w:cs="Arial"/>
          </w:rPr>
          <w:fldChar w:fldCharType="begin"/>
        </w:r>
        <w:r w:rsidRPr="00F62A69">
          <w:rPr>
            <w:rFonts w:ascii="Arial" w:hAnsi="Arial" w:cs="Arial"/>
          </w:rPr>
          <w:instrText xml:space="preserve"> PAGE   \* MERGEFORMAT </w:instrText>
        </w:r>
        <w:r w:rsidRPr="00F62A69">
          <w:rPr>
            <w:rFonts w:ascii="Arial" w:hAnsi="Arial" w:cs="Arial"/>
          </w:rPr>
          <w:fldChar w:fldCharType="separate"/>
        </w:r>
        <w:r w:rsidRPr="00F62A69">
          <w:rPr>
            <w:rFonts w:ascii="Arial" w:hAnsi="Arial" w:cs="Arial"/>
            <w:noProof/>
          </w:rPr>
          <w:t>2</w:t>
        </w:r>
        <w:r w:rsidRPr="00F62A69">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5823" w14:textId="77777777" w:rsidR="007773D7" w:rsidRDefault="007773D7" w:rsidP="00C52B32">
      <w:r>
        <w:separator/>
      </w:r>
    </w:p>
  </w:footnote>
  <w:footnote w:type="continuationSeparator" w:id="0">
    <w:p w14:paraId="07280B84" w14:textId="77777777" w:rsidR="007773D7" w:rsidRDefault="007773D7" w:rsidP="00C52B32">
      <w:r>
        <w:continuationSeparator/>
      </w:r>
    </w:p>
  </w:footnote>
  <w:footnote w:type="continuationNotice" w:id="1">
    <w:p w14:paraId="2D598D03" w14:textId="77777777" w:rsidR="007773D7" w:rsidRDefault="007773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C5D7" w14:textId="703CA7BF" w:rsidR="00C52B32" w:rsidRDefault="00C52B32">
    <w:pPr>
      <w:pStyle w:val="Header"/>
    </w:pPr>
    <w:r>
      <w:rPr>
        <w:noProof/>
      </w:rPr>
      <w:ptab w:relativeTo="margin" w:alignment="center" w:leader="none"/>
    </w:r>
    <w:r>
      <w:rPr>
        <w:noProof/>
      </w:rPr>
      <w:drawing>
        <wp:inline distT="0" distB="0" distL="0" distR="0" wp14:anchorId="430A0088" wp14:editId="71C3474E">
          <wp:extent cx="2066925" cy="627185"/>
          <wp:effectExtent l="0" t="0" r="0" b="1905"/>
          <wp:docPr id="1"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descr="Logo, company name&#10;&#10;Description automatically generated"/>
                  <pic:cNvPicPr>
                    <a:picLocks noChangeAspect="1" noChangeArrowheads="1"/>
                  </pic:cNvPicPr>
                </pic:nvPicPr>
                <pic:blipFill>
                  <a:blip r:embed="rId1"/>
                  <a:srcRect/>
                  <a:stretch>
                    <a:fillRect/>
                  </a:stretch>
                </pic:blipFill>
                <pic:spPr bwMode="auto">
                  <a:xfrm>
                    <a:off x="0" y="0"/>
                    <a:ext cx="2066925" cy="6271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44F4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CC84A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9CB72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322C2E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729E0A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153F0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DEFFF8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697EAE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ACCDDB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D5A4BB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FFFFF7C"/>
    <w:multiLevelType w:val="singleLevel"/>
    <w:tmpl w:val="ABAA0944"/>
    <w:lvl w:ilvl="0">
      <w:start w:val="1"/>
      <w:numFmt w:val="decimal"/>
      <w:pStyle w:val="ListNumber5"/>
      <w:lvlText w:val="%1."/>
      <w:lvlJc w:val="left"/>
      <w:pPr>
        <w:tabs>
          <w:tab w:val="num" w:pos="1492"/>
        </w:tabs>
        <w:ind w:left="1492" w:hanging="360"/>
      </w:pPr>
    </w:lvl>
  </w:abstractNum>
  <w:abstractNum w:abstractNumId="11" w15:restartNumberingAfterBreak="0">
    <w:nsid w:val="FFFFFF7D"/>
    <w:multiLevelType w:val="singleLevel"/>
    <w:tmpl w:val="3D24162A"/>
    <w:lvl w:ilvl="0">
      <w:start w:val="1"/>
      <w:numFmt w:val="decimal"/>
      <w:pStyle w:val="ListNumber4"/>
      <w:lvlText w:val="%1."/>
      <w:lvlJc w:val="left"/>
      <w:pPr>
        <w:tabs>
          <w:tab w:val="num" w:pos="1209"/>
        </w:tabs>
        <w:ind w:left="1209" w:hanging="360"/>
      </w:pPr>
    </w:lvl>
  </w:abstractNum>
  <w:abstractNum w:abstractNumId="12" w15:restartNumberingAfterBreak="0">
    <w:nsid w:val="FFFFFF7E"/>
    <w:multiLevelType w:val="singleLevel"/>
    <w:tmpl w:val="F51E1EFA"/>
    <w:lvl w:ilvl="0">
      <w:start w:val="1"/>
      <w:numFmt w:val="decimal"/>
      <w:pStyle w:val="ListNumber3"/>
      <w:lvlText w:val="%1."/>
      <w:lvlJc w:val="left"/>
      <w:pPr>
        <w:tabs>
          <w:tab w:val="num" w:pos="926"/>
        </w:tabs>
        <w:ind w:left="926" w:hanging="360"/>
      </w:pPr>
    </w:lvl>
  </w:abstractNum>
  <w:abstractNum w:abstractNumId="13" w15:restartNumberingAfterBreak="0">
    <w:nsid w:val="FFFFFF7F"/>
    <w:multiLevelType w:val="singleLevel"/>
    <w:tmpl w:val="A55A0414"/>
    <w:lvl w:ilvl="0">
      <w:start w:val="1"/>
      <w:numFmt w:val="decimal"/>
      <w:pStyle w:val="ListNumber2"/>
      <w:lvlText w:val="%1."/>
      <w:lvlJc w:val="left"/>
      <w:pPr>
        <w:tabs>
          <w:tab w:val="num" w:pos="643"/>
        </w:tabs>
        <w:ind w:left="643" w:hanging="360"/>
      </w:pPr>
    </w:lvl>
  </w:abstractNum>
  <w:abstractNum w:abstractNumId="14" w15:restartNumberingAfterBreak="0">
    <w:nsid w:val="FFFFFF80"/>
    <w:multiLevelType w:val="singleLevel"/>
    <w:tmpl w:val="35F45C1E"/>
    <w:lvl w:ilvl="0">
      <w:start w:val="1"/>
      <w:numFmt w:val="bullet"/>
      <w:pStyle w:val="ListBullet5"/>
      <w:lvlText w:val=""/>
      <w:lvlJc w:val="left"/>
      <w:pPr>
        <w:tabs>
          <w:tab w:val="num" w:pos="1492"/>
        </w:tabs>
        <w:ind w:left="1492" w:hanging="360"/>
      </w:pPr>
      <w:rPr>
        <w:rFonts w:ascii="Symbol" w:hAnsi="Symbol" w:hint="default"/>
      </w:rPr>
    </w:lvl>
  </w:abstractNum>
  <w:abstractNum w:abstractNumId="15" w15:restartNumberingAfterBreak="0">
    <w:nsid w:val="FFFFFF81"/>
    <w:multiLevelType w:val="singleLevel"/>
    <w:tmpl w:val="3A9C0444"/>
    <w:lvl w:ilvl="0">
      <w:start w:val="1"/>
      <w:numFmt w:val="bullet"/>
      <w:pStyle w:val="ListBullet4"/>
      <w:lvlText w:val=""/>
      <w:lvlJc w:val="left"/>
      <w:pPr>
        <w:tabs>
          <w:tab w:val="num" w:pos="1440"/>
        </w:tabs>
        <w:ind w:left="1440" w:hanging="360"/>
      </w:pPr>
      <w:rPr>
        <w:rFonts w:ascii="Symbol" w:hAnsi="Symbol" w:hint="default"/>
        <w:lang w:val="en-GB"/>
      </w:rPr>
    </w:lvl>
  </w:abstractNum>
  <w:abstractNum w:abstractNumId="16" w15:restartNumberingAfterBreak="0">
    <w:nsid w:val="FFFFFF82"/>
    <w:multiLevelType w:val="singleLevel"/>
    <w:tmpl w:val="5BF2CB78"/>
    <w:lvl w:ilvl="0">
      <w:start w:val="1"/>
      <w:numFmt w:val="bullet"/>
      <w:pStyle w:val="ListBullet3"/>
      <w:lvlText w:val=""/>
      <w:lvlJc w:val="left"/>
      <w:pPr>
        <w:tabs>
          <w:tab w:val="num" w:pos="926"/>
        </w:tabs>
        <w:ind w:left="926" w:hanging="360"/>
      </w:pPr>
      <w:rPr>
        <w:rFonts w:ascii="Symbol" w:hAnsi="Symbol" w:hint="default"/>
      </w:rPr>
    </w:lvl>
  </w:abstractNum>
  <w:abstractNum w:abstractNumId="17" w15:restartNumberingAfterBreak="0">
    <w:nsid w:val="FFFFFF83"/>
    <w:multiLevelType w:val="singleLevel"/>
    <w:tmpl w:val="8F6ED5F2"/>
    <w:lvl w:ilvl="0">
      <w:start w:val="1"/>
      <w:numFmt w:val="bullet"/>
      <w:pStyle w:val="ListBullet2"/>
      <w:lvlText w:val=""/>
      <w:lvlJc w:val="left"/>
      <w:pPr>
        <w:tabs>
          <w:tab w:val="num" w:pos="643"/>
        </w:tabs>
        <w:ind w:left="643" w:hanging="360"/>
      </w:pPr>
      <w:rPr>
        <w:rFonts w:ascii="Symbol" w:hAnsi="Symbol" w:hint="default"/>
      </w:rPr>
    </w:lvl>
  </w:abstractNum>
  <w:abstractNum w:abstractNumId="18" w15:restartNumberingAfterBreak="0">
    <w:nsid w:val="FFFFFF88"/>
    <w:multiLevelType w:val="singleLevel"/>
    <w:tmpl w:val="45AE7700"/>
    <w:lvl w:ilvl="0">
      <w:start w:val="1"/>
      <w:numFmt w:val="decimal"/>
      <w:pStyle w:val="ListNumber"/>
      <w:lvlText w:val="%1."/>
      <w:lvlJc w:val="left"/>
      <w:pPr>
        <w:tabs>
          <w:tab w:val="num" w:pos="360"/>
        </w:tabs>
        <w:ind w:left="360" w:hanging="360"/>
      </w:pPr>
    </w:lvl>
  </w:abstractNum>
  <w:abstractNum w:abstractNumId="19" w15:restartNumberingAfterBreak="0">
    <w:nsid w:val="FFFFFF89"/>
    <w:multiLevelType w:val="singleLevel"/>
    <w:tmpl w:val="98F6A9BC"/>
    <w:lvl w:ilvl="0">
      <w:start w:val="1"/>
      <w:numFmt w:val="bullet"/>
      <w:pStyle w:val="ListBullet"/>
      <w:lvlText w:val=""/>
      <w:lvlJc w:val="left"/>
      <w:pPr>
        <w:tabs>
          <w:tab w:val="num" w:pos="360"/>
        </w:tabs>
        <w:ind w:left="360" w:hanging="360"/>
      </w:pPr>
      <w:rPr>
        <w:rFonts w:ascii="Symbol" w:hAnsi="Symbol" w:hint="default"/>
      </w:rPr>
    </w:lvl>
  </w:abstractNum>
  <w:abstractNum w:abstractNumId="20" w15:restartNumberingAfterBreak="0">
    <w:nsid w:val="01524DD9"/>
    <w:multiLevelType w:val="multilevel"/>
    <w:tmpl w:val="98CC36B8"/>
    <w:lvl w:ilvl="0">
      <w:start w:val="1"/>
      <w:numFmt w:val="bullet"/>
      <w:lvlText w:val=""/>
      <w:lvlJc w:val="left"/>
      <w:pPr>
        <w:tabs>
          <w:tab w:val="num" w:pos="2140"/>
        </w:tabs>
        <w:ind w:left="2140" w:hanging="360"/>
      </w:pPr>
      <w:rPr>
        <w:rFonts w:ascii="Symbol" w:hAnsi="Symbol" w:hint="default"/>
        <w:sz w:val="20"/>
      </w:rPr>
    </w:lvl>
    <w:lvl w:ilvl="1">
      <w:start w:val="1"/>
      <w:numFmt w:val="bullet"/>
      <w:lvlText w:val="o"/>
      <w:lvlJc w:val="left"/>
      <w:pPr>
        <w:tabs>
          <w:tab w:val="num" w:pos="2860"/>
        </w:tabs>
        <w:ind w:left="2860" w:hanging="360"/>
      </w:pPr>
      <w:rPr>
        <w:rFonts w:ascii="Courier New" w:hAnsi="Courier New" w:cs="Times New Roman" w:hint="default"/>
        <w:sz w:val="20"/>
      </w:rPr>
    </w:lvl>
    <w:lvl w:ilvl="2">
      <w:start w:val="1"/>
      <w:numFmt w:val="bullet"/>
      <w:lvlText w:val=""/>
      <w:lvlJc w:val="left"/>
      <w:pPr>
        <w:tabs>
          <w:tab w:val="num" w:pos="3580"/>
        </w:tabs>
        <w:ind w:left="3580" w:hanging="360"/>
      </w:pPr>
      <w:rPr>
        <w:rFonts w:ascii="Wingdings" w:hAnsi="Wingdings" w:hint="default"/>
        <w:sz w:val="20"/>
      </w:rPr>
    </w:lvl>
    <w:lvl w:ilvl="3">
      <w:start w:val="1"/>
      <w:numFmt w:val="bullet"/>
      <w:lvlText w:val=""/>
      <w:lvlJc w:val="left"/>
      <w:pPr>
        <w:tabs>
          <w:tab w:val="num" w:pos="4300"/>
        </w:tabs>
        <w:ind w:left="4300" w:hanging="360"/>
      </w:pPr>
      <w:rPr>
        <w:rFonts w:ascii="Wingdings" w:hAnsi="Wingdings" w:hint="default"/>
        <w:sz w:val="20"/>
      </w:rPr>
    </w:lvl>
    <w:lvl w:ilvl="4">
      <w:start w:val="1"/>
      <w:numFmt w:val="bullet"/>
      <w:lvlText w:val=""/>
      <w:lvlJc w:val="left"/>
      <w:pPr>
        <w:tabs>
          <w:tab w:val="num" w:pos="5020"/>
        </w:tabs>
        <w:ind w:left="5020" w:hanging="360"/>
      </w:pPr>
      <w:rPr>
        <w:rFonts w:ascii="Wingdings" w:hAnsi="Wingdings" w:hint="default"/>
        <w:sz w:val="20"/>
      </w:rPr>
    </w:lvl>
    <w:lvl w:ilvl="5">
      <w:start w:val="1"/>
      <w:numFmt w:val="bullet"/>
      <w:lvlText w:val=""/>
      <w:lvlJc w:val="left"/>
      <w:pPr>
        <w:tabs>
          <w:tab w:val="num" w:pos="5740"/>
        </w:tabs>
        <w:ind w:left="5740" w:hanging="360"/>
      </w:pPr>
      <w:rPr>
        <w:rFonts w:ascii="Wingdings" w:hAnsi="Wingdings" w:hint="default"/>
        <w:sz w:val="20"/>
      </w:rPr>
    </w:lvl>
    <w:lvl w:ilvl="6">
      <w:start w:val="1"/>
      <w:numFmt w:val="bullet"/>
      <w:lvlText w:val=""/>
      <w:lvlJc w:val="left"/>
      <w:pPr>
        <w:tabs>
          <w:tab w:val="num" w:pos="6460"/>
        </w:tabs>
        <w:ind w:left="6460" w:hanging="360"/>
      </w:pPr>
      <w:rPr>
        <w:rFonts w:ascii="Wingdings" w:hAnsi="Wingdings" w:hint="default"/>
        <w:sz w:val="20"/>
      </w:rPr>
    </w:lvl>
    <w:lvl w:ilvl="7">
      <w:start w:val="1"/>
      <w:numFmt w:val="bullet"/>
      <w:lvlText w:val=""/>
      <w:lvlJc w:val="left"/>
      <w:pPr>
        <w:tabs>
          <w:tab w:val="num" w:pos="7180"/>
        </w:tabs>
        <w:ind w:left="7180" w:hanging="360"/>
      </w:pPr>
      <w:rPr>
        <w:rFonts w:ascii="Wingdings" w:hAnsi="Wingdings" w:hint="default"/>
        <w:sz w:val="20"/>
      </w:rPr>
    </w:lvl>
    <w:lvl w:ilvl="8">
      <w:start w:val="1"/>
      <w:numFmt w:val="bullet"/>
      <w:lvlText w:val=""/>
      <w:lvlJc w:val="left"/>
      <w:pPr>
        <w:tabs>
          <w:tab w:val="num" w:pos="7900"/>
        </w:tabs>
        <w:ind w:left="7900" w:hanging="360"/>
      </w:pPr>
      <w:rPr>
        <w:rFonts w:ascii="Wingdings" w:hAnsi="Wingdings" w:hint="default"/>
        <w:sz w:val="20"/>
      </w:rPr>
    </w:lvl>
  </w:abstractNum>
  <w:abstractNum w:abstractNumId="21" w15:restartNumberingAfterBreak="0">
    <w:nsid w:val="01A3712F"/>
    <w:multiLevelType w:val="multilevel"/>
    <w:tmpl w:val="F1B8C63A"/>
    <w:lvl w:ilvl="0">
      <w:start w:val="1"/>
      <w:numFmt w:val="lowerLetter"/>
      <w:lvlText w:val="%1)"/>
      <w:lvlJc w:val="left"/>
      <w:pPr>
        <w:tabs>
          <w:tab w:val="num" w:pos="2140"/>
        </w:tabs>
        <w:ind w:left="2140" w:hanging="360"/>
      </w:pPr>
      <w:rPr>
        <w:rFonts w:hint="default"/>
        <w:sz w:val="20"/>
      </w:rPr>
    </w:lvl>
    <w:lvl w:ilvl="1">
      <w:start w:val="1"/>
      <w:numFmt w:val="bullet"/>
      <w:lvlText w:val="o"/>
      <w:lvlJc w:val="left"/>
      <w:pPr>
        <w:tabs>
          <w:tab w:val="num" w:pos="2860"/>
        </w:tabs>
        <w:ind w:left="2860" w:hanging="360"/>
      </w:pPr>
      <w:rPr>
        <w:rFonts w:ascii="Courier New" w:hAnsi="Courier New" w:cs="Times New Roman" w:hint="default"/>
        <w:sz w:val="20"/>
      </w:rPr>
    </w:lvl>
    <w:lvl w:ilvl="2">
      <w:start w:val="1"/>
      <w:numFmt w:val="bullet"/>
      <w:lvlText w:val=""/>
      <w:lvlJc w:val="left"/>
      <w:pPr>
        <w:tabs>
          <w:tab w:val="num" w:pos="3580"/>
        </w:tabs>
        <w:ind w:left="3580" w:hanging="360"/>
      </w:pPr>
      <w:rPr>
        <w:rFonts w:ascii="Wingdings" w:hAnsi="Wingdings" w:hint="default"/>
        <w:sz w:val="20"/>
      </w:rPr>
    </w:lvl>
    <w:lvl w:ilvl="3">
      <w:start w:val="1"/>
      <w:numFmt w:val="bullet"/>
      <w:lvlText w:val=""/>
      <w:lvlJc w:val="left"/>
      <w:pPr>
        <w:tabs>
          <w:tab w:val="num" w:pos="4300"/>
        </w:tabs>
        <w:ind w:left="4300" w:hanging="360"/>
      </w:pPr>
      <w:rPr>
        <w:rFonts w:ascii="Wingdings" w:hAnsi="Wingdings" w:hint="default"/>
        <w:sz w:val="20"/>
      </w:rPr>
    </w:lvl>
    <w:lvl w:ilvl="4">
      <w:start w:val="1"/>
      <w:numFmt w:val="bullet"/>
      <w:lvlText w:val=""/>
      <w:lvlJc w:val="left"/>
      <w:pPr>
        <w:tabs>
          <w:tab w:val="num" w:pos="5020"/>
        </w:tabs>
        <w:ind w:left="5020" w:hanging="360"/>
      </w:pPr>
      <w:rPr>
        <w:rFonts w:ascii="Wingdings" w:hAnsi="Wingdings" w:hint="default"/>
        <w:sz w:val="20"/>
      </w:rPr>
    </w:lvl>
    <w:lvl w:ilvl="5">
      <w:start w:val="1"/>
      <w:numFmt w:val="bullet"/>
      <w:lvlText w:val=""/>
      <w:lvlJc w:val="left"/>
      <w:pPr>
        <w:tabs>
          <w:tab w:val="num" w:pos="5740"/>
        </w:tabs>
        <w:ind w:left="5740" w:hanging="360"/>
      </w:pPr>
      <w:rPr>
        <w:rFonts w:ascii="Wingdings" w:hAnsi="Wingdings" w:hint="default"/>
        <w:sz w:val="20"/>
      </w:rPr>
    </w:lvl>
    <w:lvl w:ilvl="6">
      <w:start w:val="1"/>
      <w:numFmt w:val="bullet"/>
      <w:lvlText w:val=""/>
      <w:lvlJc w:val="left"/>
      <w:pPr>
        <w:tabs>
          <w:tab w:val="num" w:pos="6460"/>
        </w:tabs>
        <w:ind w:left="6460" w:hanging="360"/>
      </w:pPr>
      <w:rPr>
        <w:rFonts w:ascii="Wingdings" w:hAnsi="Wingdings" w:hint="default"/>
        <w:sz w:val="20"/>
      </w:rPr>
    </w:lvl>
    <w:lvl w:ilvl="7">
      <w:start w:val="1"/>
      <w:numFmt w:val="bullet"/>
      <w:lvlText w:val=""/>
      <w:lvlJc w:val="left"/>
      <w:pPr>
        <w:tabs>
          <w:tab w:val="num" w:pos="7180"/>
        </w:tabs>
        <w:ind w:left="7180" w:hanging="360"/>
      </w:pPr>
      <w:rPr>
        <w:rFonts w:ascii="Wingdings" w:hAnsi="Wingdings" w:hint="default"/>
        <w:sz w:val="20"/>
      </w:rPr>
    </w:lvl>
    <w:lvl w:ilvl="8">
      <w:start w:val="1"/>
      <w:numFmt w:val="bullet"/>
      <w:lvlText w:val=""/>
      <w:lvlJc w:val="left"/>
      <w:pPr>
        <w:tabs>
          <w:tab w:val="num" w:pos="7900"/>
        </w:tabs>
        <w:ind w:left="7900" w:hanging="360"/>
      </w:pPr>
      <w:rPr>
        <w:rFonts w:ascii="Wingdings" w:hAnsi="Wingdings" w:hint="default"/>
        <w:sz w:val="20"/>
      </w:rPr>
    </w:lvl>
  </w:abstractNum>
  <w:abstractNum w:abstractNumId="22" w15:restartNumberingAfterBreak="0">
    <w:nsid w:val="04427F17"/>
    <w:multiLevelType w:val="hybridMultilevel"/>
    <w:tmpl w:val="B0867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07C55329"/>
    <w:multiLevelType w:val="hybridMultilevel"/>
    <w:tmpl w:val="1DC69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8F85346"/>
    <w:multiLevelType w:val="hybridMultilevel"/>
    <w:tmpl w:val="DF568016"/>
    <w:lvl w:ilvl="0" w:tplc="3D067B5C">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B7194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01BD4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38F5D74"/>
    <w:multiLevelType w:val="hybridMultilevel"/>
    <w:tmpl w:val="2AB0F004"/>
    <w:lvl w:ilvl="0" w:tplc="4FD05FAC">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5804CE"/>
    <w:multiLevelType w:val="hybridMultilevel"/>
    <w:tmpl w:val="F4E0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8551B3"/>
    <w:multiLevelType w:val="hybridMultilevel"/>
    <w:tmpl w:val="20A0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D91171"/>
    <w:multiLevelType w:val="hybridMultilevel"/>
    <w:tmpl w:val="95D0B31E"/>
    <w:lvl w:ilvl="0" w:tplc="FFFFFFFF">
      <w:start w:val="1"/>
      <w:numFmt w:val="bullet"/>
      <w:lvlText w:val=""/>
      <w:lvlJc w:val="left"/>
      <w:pPr>
        <w:ind w:left="360" w:hanging="360"/>
      </w:pPr>
      <w:rPr>
        <w:rFonts w:ascii="Symbol" w:hAnsi="Symbol" w:hint="default"/>
      </w:rPr>
    </w:lvl>
    <w:lvl w:ilvl="1" w:tplc="93442854">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1" w15:restartNumberingAfterBreak="0">
    <w:nsid w:val="374B6B23"/>
    <w:multiLevelType w:val="hybridMultilevel"/>
    <w:tmpl w:val="ED3A8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BC83342"/>
    <w:multiLevelType w:val="hybridMultilevel"/>
    <w:tmpl w:val="A6A463A4"/>
    <w:lvl w:ilvl="0" w:tplc="08090011">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1CF63AC"/>
    <w:multiLevelType w:val="hybridMultilevel"/>
    <w:tmpl w:val="7B04AE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8412189"/>
    <w:multiLevelType w:val="hybridMultilevel"/>
    <w:tmpl w:val="D63A06D2"/>
    <w:lvl w:ilvl="0" w:tplc="80580FFE">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8B0CCD"/>
    <w:multiLevelType w:val="hybridMultilevel"/>
    <w:tmpl w:val="A344FADE"/>
    <w:lvl w:ilvl="0" w:tplc="81ECB42C">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DDD4C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E5F6498"/>
    <w:multiLevelType w:val="hybridMultilevel"/>
    <w:tmpl w:val="B9C2E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72739BF"/>
    <w:multiLevelType w:val="hybridMultilevel"/>
    <w:tmpl w:val="090A24E4"/>
    <w:lvl w:ilvl="0" w:tplc="BFC6A1BC">
      <w:start w:val="1"/>
      <w:numFmt w:val="decimal"/>
      <w:lvlText w:val="%1)"/>
      <w:lvlJc w:val="left"/>
      <w:pPr>
        <w:ind w:left="720" w:hanging="360"/>
      </w:pPr>
      <w:rPr>
        <w:rFonts w:hint="default"/>
        <w:b w:val="0"/>
        <w:sz w:val="22"/>
        <w:szCs w:val="22"/>
      </w:rPr>
    </w:lvl>
    <w:lvl w:ilvl="1" w:tplc="738402EC">
      <w:start w:val="1"/>
      <w:numFmt w:val="bullet"/>
      <w:lvlText w:val="-"/>
      <w:lvlJc w:val="left"/>
      <w:pPr>
        <w:ind w:left="1440" w:hanging="360"/>
      </w:pPr>
      <w:rPr>
        <w:rFonts w:ascii="Univers" w:hAnsi="Univers"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9" w15:restartNumberingAfterBreak="0">
    <w:nsid w:val="5A83D48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0FF7441"/>
    <w:multiLevelType w:val="hybridMultilevel"/>
    <w:tmpl w:val="1940F58E"/>
    <w:lvl w:ilvl="0" w:tplc="08090001">
      <w:start w:val="1"/>
      <w:numFmt w:val="bullet"/>
      <w:lvlText w:val=""/>
      <w:lvlJc w:val="left"/>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39C3685"/>
    <w:multiLevelType w:val="hybridMultilevel"/>
    <w:tmpl w:val="9DCC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0F0866"/>
    <w:multiLevelType w:val="hybridMultilevel"/>
    <w:tmpl w:val="A268D8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8746B20"/>
    <w:multiLevelType w:val="hybridMultilevel"/>
    <w:tmpl w:val="BE7A06B0"/>
    <w:lvl w:ilvl="0" w:tplc="08090001">
      <w:start w:val="1"/>
      <w:numFmt w:val="bullet"/>
      <w:lvlText w:val=""/>
      <w:lvlJc w:val="left"/>
      <w:pPr>
        <w:ind w:left="360" w:hanging="360"/>
      </w:pPr>
      <w:rPr>
        <w:rFonts w:ascii="Symbol" w:hAnsi="Symbol" w:hint="default"/>
      </w:rPr>
    </w:lvl>
    <w:lvl w:ilvl="1" w:tplc="93442854">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D0CCAB0E">
      <w:numFmt w:val="bullet"/>
      <w:lvlText w:val="-"/>
      <w:lvlJc w:val="left"/>
      <w:pPr>
        <w:ind w:left="3240" w:hanging="360"/>
      </w:pPr>
      <w:rPr>
        <w:rFonts w:ascii="Arial" w:eastAsia="Batang" w:hAnsi="Arial"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467FE5"/>
    <w:multiLevelType w:val="multilevel"/>
    <w:tmpl w:val="D60E5400"/>
    <w:lvl w:ilvl="0">
      <w:start w:val="1"/>
      <w:numFmt w:val="low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6C681D19"/>
    <w:multiLevelType w:val="multilevel"/>
    <w:tmpl w:val="F1B8C63A"/>
    <w:lvl w:ilvl="0">
      <w:start w:val="1"/>
      <w:numFmt w:val="lowerLetter"/>
      <w:lvlText w:val="%1)"/>
      <w:lvlJc w:val="left"/>
      <w:pPr>
        <w:tabs>
          <w:tab w:val="num" w:pos="2140"/>
        </w:tabs>
        <w:ind w:left="2140" w:hanging="360"/>
      </w:pPr>
      <w:rPr>
        <w:rFonts w:hint="default"/>
        <w:sz w:val="20"/>
      </w:rPr>
    </w:lvl>
    <w:lvl w:ilvl="1">
      <w:start w:val="1"/>
      <w:numFmt w:val="bullet"/>
      <w:lvlText w:val="o"/>
      <w:lvlJc w:val="left"/>
      <w:pPr>
        <w:tabs>
          <w:tab w:val="num" w:pos="2860"/>
        </w:tabs>
        <w:ind w:left="2860" w:hanging="360"/>
      </w:pPr>
      <w:rPr>
        <w:rFonts w:ascii="Courier New" w:hAnsi="Courier New" w:cs="Times New Roman" w:hint="default"/>
        <w:sz w:val="20"/>
      </w:rPr>
    </w:lvl>
    <w:lvl w:ilvl="2">
      <w:start w:val="1"/>
      <w:numFmt w:val="bullet"/>
      <w:lvlText w:val=""/>
      <w:lvlJc w:val="left"/>
      <w:pPr>
        <w:tabs>
          <w:tab w:val="num" w:pos="3580"/>
        </w:tabs>
        <w:ind w:left="3580" w:hanging="360"/>
      </w:pPr>
      <w:rPr>
        <w:rFonts w:ascii="Wingdings" w:hAnsi="Wingdings" w:hint="default"/>
        <w:sz w:val="20"/>
      </w:rPr>
    </w:lvl>
    <w:lvl w:ilvl="3">
      <w:start w:val="1"/>
      <w:numFmt w:val="bullet"/>
      <w:lvlText w:val=""/>
      <w:lvlJc w:val="left"/>
      <w:pPr>
        <w:tabs>
          <w:tab w:val="num" w:pos="4300"/>
        </w:tabs>
        <w:ind w:left="4300" w:hanging="360"/>
      </w:pPr>
      <w:rPr>
        <w:rFonts w:ascii="Wingdings" w:hAnsi="Wingdings" w:hint="default"/>
        <w:sz w:val="20"/>
      </w:rPr>
    </w:lvl>
    <w:lvl w:ilvl="4">
      <w:start w:val="1"/>
      <w:numFmt w:val="bullet"/>
      <w:lvlText w:val=""/>
      <w:lvlJc w:val="left"/>
      <w:pPr>
        <w:tabs>
          <w:tab w:val="num" w:pos="5020"/>
        </w:tabs>
        <w:ind w:left="5020" w:hanging="360"/>
      </w:pPr>
      <w:rPr>
        <w:rFonts w:ascii="Wingdings" w:hAnsi="Wingdings" w:hint="default"/>
        <w:sz w:val="20"/>
      </w:rPr>
    </w:lvl>
    <w:lvl w:ilvl="5">
      <w:start w:val="1"/>
      <w:numFmt w:val="bullet"/>
      <w:lvlText w:val=""/>
      <w:lvlJc w:val="left"/>
      <w:pPr>
        <w:tabs>
          <w:tab w:val="num" w:pos="5740"/>
        </w:tabs>
        <w:ind w:left="5740" w:hanging="360"/>
      </w:pPr>
      <w:rPr>
        <w:rFonts w:ascii="Wingdings" w:hAnsi="Wingdings" w:hint="default"/>
        <w:sz w:val="20"/>
      </w:rPr>
    </w:lvl>
    <w:lvl w:ilvl="6">
      <w:start w:val="1"/>
      <w:numFmt w:val="bullet"/>
      <w:lvlText w:val=""/>
      <w:lvlJc w:val="left"/>
      <w:pPr>
        <w:tabs>
          <w:tab w:val="num" w:pos="6460"/>
        </w:tabs>
        <w:ind w:left="6460" w:hanging="360"/>
      </w:pPr>
      <w:rPr>
        <w:rFonts w:ascii="Wingdings" w:hAnsi="Wingdings" w:hint="default"/>
        <w:sz w:val="20"/>
      </w:rPr>
    </w:lvl>
    <w:lvl w:ilvl="7">
      <w:start w:val="1"/>
      <w:numFmt w:val="bullet"/>
      <w:lvlText w:val=""/>
      <w:lvlJc w:val="left"/>
      <w:pPr>
        <w:tabs>
          <w:tab w:val="num" w:pos="7180"/>
        </w:tabs>
        <w:ind w:left="7180" w:hanging="360"/>
      </w:pPr>
      <w:rPr>
        <w:rFonts w:ascii="Wingdings" w:hAnsi="Wingdings" w:hint="default"/>
        <w:sz w:val="20"/>
      </w:rPr>
    </w:lvl>
    <w:lvl w:ilvl="8">
      <w:start w:val="1"/>
      <w:numFmt w:val="bullet"/>
      <w:lvlText w:val=""/>
      <w:lvlJc w:val="left"/>
      <w:pPr>
        <w:tabs>
          <w:tab w:val="num" w:pos="7900"/>
        </w:tabs>
        <w:ind w:left="7900" w:hanging="360"/>
      </w:pPr>
      <w:rPr>
        <w:rFonts w:ascii="Wingdings" w:hAnsi="Wingdings" w:hint="default"/>
        <w:sz w:val="20"/>
      </w:rPr>
    </w:lvl>
  </w:abstractNum>
  <w:abstractNum w:abstractNumId="46" w15:restartNumberingAfterBreak="0">
    <w:nsid w:val="6CD04699"/>
    <w:multiLevelType w:val="hybridMultilevel"/>
    <w:tmpl w:val="1B8C4A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40B265A"/>
    <w:multiLevelType w:val="hybridMultilevel"/>
    <w:tmpl w:val="FEE2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1979447">
    <w:abstractNumId w:val="38"/>
  </w:num>
  <w:num w:numId="2" w16cid:durableId="1454133050">
    <w:abstractNumId w:val="43"/>
  </w:num>
  <w:num w:numId="3" w16cid:durableId="373504883">
    <w:abstractNumId w:val="42"/>
  </w:num>
  <w:num w:numId="4" w16cid:durableId="476147774">
    <w:abstractNumId w:val="31"/>
  </w:num>
  <w:num w:numId="5" w16cid:durableId="949356545">
    <w:abstractNumId w:val="46"/>
  </w:num>
  <w:num w:numId="6" w16cid:durableId="150996900">
    <w:abstractNumId w:val="27"/>
  </w:num>
  <w:num w:numId="7" w16cid:durableId="991642416">
    <w:abstractNumId w:val="15"/>
  </w:num>
  <w:num w:numId="8" w16cid:durableId="1074738977">
    <w:abstractNumId w:val="19"/>
  </w:num>
  <w:num w:numId="9" w16cid:durableId="1469282">
    <w:abstractNumId w:val="17"/>
  </w:num>
  <w:num w:numId="10" w16cid:durableId="446319236">
    <w:abstractNumId w:val="16"/>
  </w:num>
  <w:num w:numId="11" w16cid:durableId="1514881686">
    <w:abstractNumId w:val="14"/>
  </w:num>
  <w:num w:numId="12" w16cid:durableId="2052264786">
    <w:abstractNumId w:val="18"/>
  </w:num>
  <w:num w:numId="13" w16cid:durableId="1072587096">
    <w:abstractNumId w:val="13"/>
  </w:num>
  <w:num w:numId="14" w16cid:durableId="807434846">
    <w:abstractNumId w:val="12"/>
  </w:num>
  <w:num w:numId="15" w16cid:durableId="456797830">
    <w:abstractNumId w:val="11"/>
  </w:num>
  <w:num w:numId="16" w16cid:durableId="65348103">
    <w:abstractNumId w:val="10"/>
  </w:num>
  <w:num w:numId="17" w16cid:durableId="1755779534">
    <w:abstractNumId w:val="33"/>
  </w:num>
  <w:num w:numId="18" w16cid:durableId="1752314036">
    <w:abstractNumId w:val="20"/>
  </w:num>
  <w:num w:numId="19" w16cid:durableId="843592418">
    <w:abstractNumId w:val="32"/>
  </w:num>
  <w:num w:numId="20" w16cid:durableId="2015454078">
    <w:abstractNumId w:val="21"/>
  </w:num>
  <w:num w:numId="21" w16cid:durableId="1551065589">
    <w:abstractNumId w:val="45"/>
  </w:num>
  <w:num w:numId="22" w16cid:durableId="1940289751">
    <w:abstractNumId w:val="34"/>
  </w:num>
  <w:num w:numId="23" w16cid:durableId="293029617">
    <w:abstractNumId w:val="44"/>
  </w:num>
  <w:num w:numId="24" w16cid:durableId="1872954465">
    <w:abstractNumId w:val="24"/>
  </w:num>
  <w:num w:numId="25" w16cid:durableId="558709770">
    <w:abstractNumId w:val="23"/>
  </w:num>
  <w:num w:numId="26" w16cid:durableId="1368873558">
    <w:abstractNumId w:val="29"/>
  </w:num>
  <w:num w:numId="27" w16cid:durableId="1067848941">
    <w:abstractNumId w:val="37"/>
  </w:num>
  <w:num w:numId="28" w16cid:durableId="1545364972">
    <w:abstractNumId w:val="40"/>
  </w:num>
  <w:num w:numId="29" w16cid:durableId="1314944704">
    <w:abstractNumId w:val="28"/>
  </w:num>
  <w:num w:numId="30" w16cid:durableId="1588419059">
    <w:abstractNumId w:val="35"/>
  </w:num>
  <w:num w:numId="31" w16cid:durableId="808982331">
    <w:abstractNumId w:val="22"/>
  </w:num>
  <w:num w:numId="32" w16cid:durableId="1907491110">
    <w:abstractNumId w:val="47"/>
  </w:num>
  <w:num w:numId="33" w16cid:durableId="1323315905">
    <w:abstractNumId w:val="41"/>
  </w:num>
  <w:num w:numId="34" w16cid:durableId="613097232">
    <w:abstractNumId w:val="0"/>
  </w:num>
  <w:num w:numId="35" w16cid:durableId="2058510679">
    <w:abstractNumId w:val="8"/>
  </w:num>
  <w:num w:numId="36" w16cid:durableId="378549867">
    <w:abstractNumId w:val="30"/>
  </w:num>
  <w:num w:numId="37" w16cid:durableId="460148839">
    <w:abstractNumId w:val="43"/>
  </w:num>
  <w:num w:numId="38" w16cid:durableId="1935161704">
    <w:abstractNumId w:val="7"/>
  </w:num>
  <w:num w:numId="39" w16cid:durableId="834493568">
    <w:abstractNumId w:val="3"/>
  </w:num>
  <w:num w:numId="40" w16cid:durableId="1443845017">
    <w:abstractNumId w:val="4"/>
  </w:num>
  <w:num w:numId="41" w16cid:durableId="1504394199">
    <w:abstractNumId w:val="25"/>
  </w:num>
  <w:num w:numId="42" w16cid:durableId="1648895532">
    <w:abstractNumId w:val="9"/>
  </w:num>
  <w:num w:numId="43" w16cid:durableId="435180761">
    <w:abstractNumId w:val="39"/>
  </w:num>
  <w:num w:numId="44" w16cid:durableId="1545143290">
    <w:abstractNumId w:val="26"/>
  </w:num>
  <w:num w:numId="45" w16cid:durableId="1269238409">
    <w:abstractNumId w:val="36"/>
  </w:num>
  <w:num w:numId="46" w16cid:durableId="1215198591">
    <w:abstractNumId w:val="1"/>
  </w:num>
  <w:num w:numId="47" w16cid:durableId="1711951306">
    <w:abstractNumId w:val="6"/>
  </w:num>
  <w:num w:numId="48" w16cid:durableId="150946566">
    <w:abstractNumId w:val="2"/>
  </w:num>
  <w:num w:numId="49" w16cid:durableId="1097558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32"/>
    <w:rsid w:val="0000003B"/>
    <w:rsid w:val="00000E91"/>
    <w:rsid w:val="00001393"/>
    <w:rsid w:val="0000211F"/>
    <w:rsid w:val="0000340F"/>
    <w:rsid w:val="00003446"/>
    <w:rsid w:val="00003F7B"/>
    <w:rsid w:val="00003F98"/>
    <w:rsid w:val="00003FAD"/>
    <w:rsid w:val="000048F0"/>
    <w:rsid w:val="00004990"/>
    <w:rsid w:val="0000546F"/>
    <w:rsid w:val="00005CAF"/>
    <w:rsid w:val="000069B6"/>
    <w:rsid w:val="0001034B"/>
    <w:rsid w:val="00010DC1"/>
    <w:rsid w:val="00010DDB"/>
    <w:rsid w:val="00011FED"/>
    <w:rsid w:val="0001206A"/>
    <w:rsid w:val="00012365"/>
    <w:rsid w:val="00012802"/>
    <w:rsid w:val="00012941"/>
    <w:rsid w:val="00012BE7"/>
    <w:rsid w:val="00013295"/>
    <w:rsid w:val="0001350C"/>
    <w:rsid w:val="0001363B"/>
    <w:rsid w:val="00013733"/>
    <w:rsid w:val="00014A13"/>
    <w:rsid w:val="00015AB3"/>
    <w:rsid w:val="00015E51"/>
    <w:rsid w:val="00016026"/>
    <w:rsid w:val="0001625A"/>
    <w:rsid w:val="0001705E"/>
    <w:rsid w:val="00017AEA"/>
    <w:rsid w:val="00017B72"/>
    <w:rsid w:val="00017E27"/>
    <w:rsid w:val="00020222"/>
    <w:rsid w:val="000205C1"/>
    <w:rsid w:val="00021AFE"/>
    <w:rsid w:val="00021D88"/>
    <w:rsid w:val="00021E31"/>
    <w:rsid w:val="0002200F"/>
    <w:rsid w:val="000226C3"/>
    <w:rsid w:val="00023521"/>
    <w:rsid w:val="0002352A"/>
    <w:rsid w:val="00024449"/>
    <w:rsid w:val="000246EA"/>
    <w:rsid w:val="00024A73"/>
    <w:rsid w:val="00024B8B"/>
    <w:rsid w:val="00024ECC"/>
    <w:rsid w:val="00025075"/>
    <w:rsid w:val="00025080"/>
    <w:rsid w:val="00025327"/>
    <w:rsid w:val="0002571C"/>
    <w:rsid w:val="00025A48"/>
    <w:rsid w:val="00025A62"/>
    <w:rsid w:val="00026652"/>
    <w:rsid w:val="00026C9C"/>
    <w:rsid w:val="00027059"/>
    <w:rsid w:val="0002714E"/>
    <w:rsid w:val="0002784D"/>
    <w:rsid w:val="00027F5A"/>
    <w:rsid w:val="000300CD"/>
    <w:rsid w:val="00030EE6"/>
    <w:rsid w:val="00031361"/>
    <w:rsid w:val="0003286E"/>
    <w:rsid w:val="00033DC3"/>
    <w:rsid w:val="00033EF2"/>
    <w:rsid w:val="00034887"/>
    <w:rsid w:val="00034EC0"/>
    <w:rsid w:val="0003608B"/>
    <w:rsid w:val="0003682D"/>
    <w:rsid w:val="00036A43"/>
    <w:rsid w:val="00036B1B"/>
    <w:rsid w:val="00036CF1"/>
    <w:rsid w:val="00036E14"/>
    <w:rsid w:val="00036E33"/>
    <w:rsid w:val="00037809"/>
    <w:rsid w:val="000378FF"/>
    <w:rsid w:val="00037AE6"/>
    <w:rsid w:val="00040189"/>
    <w:rsid w:val="00040668"/>
    <w:rsid w:val="00040A53"/>
    <w:rsid w:val="000414DD"/>
    <w:rsid w:val="000416A1"/>
    <w:rsid w:val="00041941"/>
    <w:rsid w:val="00041B80"/>
    <w:rsid w:val="000423A7"/>
    <w:rsid w:val="000426AD"/>
    <w:rsid w:val="00042EB2"/>
    <w:rsid w:val="00042F48"/>
    <w:rsid w:val="0004381A"/>
    <w:rsid w:val="00044862"/>
    <w:rsid w:val="00044DBA"/>
    <w:rsid w:val="0004595B"/>
    <w:rsid w:val="00045E23"/>
    <w:rsid w:val="0004617F"/>
    <w:rsid w:val="00046265"/>
    <w:rsid w:val="00046786"/>
    <w:rsid w:val="00046C32"/>
    <w:rsid w:val="0004710A"/>
    <w:rsid w:val="00047342"/>
    <w:rsid w:val="0004736B"/>
    <w:rsid w:val="00047671"/>
    <w:rsid w:val="0004781D"/>
    <w:rsid w:val="00047CAA"/>
    <w:rsid w:val="00047CDF"/>
    <w:rsid w:val="00050535"/>
    <w:rsid w:val="00050607"/>
    <w:rsid w:val="000508C3"/>
    <w:rsid w:val="00050A8C"/>
    <w:rsid w:val="00050B09"/>
    <w:rsid w:val="00051EFC"/>
    <w:rsid w:val="00052B9C"/>
    <w:rsid w:val="00054124"/>
    <w:rsid w:val="0005428D"/>
    <w:rsid w:val="000542F5"/>
    <w:rsid w:val="00054507"/>
    <w:rsid w:val="00054767"/>
    <w:rsid w:val="0005557A"/>
    <w:rsid w:val="00055764"/>
    <w:rsid w:val="00055E45"/>
    <w:rsid w:val="000560E2"/>
    <w:rsid w:val="0005617F"/>
    <w:rsid w:val="000562BE"/>
    <w:rsid w:val="000562CB"/>
    <w:rsid w:val="000562D9"/>
    <w:rsid w:val="00056415"/>
    <w:rsid w:val="0005682A"/>
    <w:rsid w:val="0005780D"/>
    <w:rsid w:val="000606C2"/>
    <w:rsid w:val="00060826"/>
    <w:rsid w:val="00060A1E"/>
    <w:rsid w:val="00060E0A"/>
    <w:rsid w:val="00061E62"/>
    <w:rsid w:val="0006231B"/>
    <w:rsid w:val="000624B5"/>
    <w:rsid w:val="00062662"/>
    <w:rsid w:val="00062EC4"/>
    <w:rsid w:val="000652CE"/>
    <w:rsid w:val="00065CDA"/>
    <w:rsid w:val="0006651C"/>
    <w:rsid w:val="00066742"/>
    <w:rsid w:val="00066A73"/>
    <w:rsid w:val="00067F10"/>
    <w:rsid w:val="000700B7"/>
    <w:rsid w:val="00070811"/>
    <w:rsid w:val="000709C8"/>
    <w:rsid w:val="0007104F"/>
    <w:rsid w:val="000710E1"/>
    <w:rsid w:val="0007144D"/>
    <w:rsid w:val="00071652"/>
    <w:rsid w:val="0007178B"/>
    <w:rsid w:val="000718C8"/>
    <w:rsid w:val="00071AEE"/>
    <w:rsid w:val="00073491"/>
    <w:rsid w:val="00074130"/>
    <w:rsid w:val="0007444A"/>
    <w:rsid w:val="00074480"/>
    <w:rsid w:val="00074BC0"/>
    <w:rsid w:val="00075802"/>
    <w:rsid w:val="0007608C"/>
    <w:rsid w:val="00076171"/>
    <w:rsid w:val="000766E5"/>
    <w:rsid w:val="00076740"/>
    <w:rsid w:val="0007689A"/>
    <w:rsid w:val="00077186"/>
    <w:rsid w:val="00077499"/>
    <w:rsid w:val="0007779B"/>
    <w:rsid w:val="00077EB6"/>
    <w:rsid w:val="0008018E"/>
    <w:rsid w:val="000807E5"/>
    <w:rsid w:val="000809DD"/>
    <w:rsid w:val="00080F68"/>
    <w:rsid w:val="0008159B"/>
    <w:rsid w:val="00081BD9"/>
    <w:rsid w:val="00081D3D"/>
    <w:rsid w:val="00081DDF"/>
    <w:rsid w:val="00082D92"/>
    <w:rsid w:val="0008316E"/>
    <w:rsid w:val="000833AD"/>
    <w:rsid w:val="00083555"/>
    <w:rsid w:val="000838D8"/>
    <w:rsid w:val="00083DF5"/>
    <w:rsid w:val="00084080"/>
    <w:rsid w:val="000843B5"/>
    <w:rsid w:val="00084627"/>
    <w:rsid w:val="00084E9F"/>
    <w:rsid w:val="00084FF7"/>
    <w:rsid w:val="00085069"/>
    <w:rsid w:val="0008527D"/>
    <w:rsid w:val="00085300"/>
    <w:rsid w:val="000856D0"/>
    <w:rsid w:val="0008578A"/>
    <w:rsid w:val="00085A12"/>
    <w:rsid w:val="00085CD0"/>
    <w:rsid w:val="00085CE1"/>
    <w:rsid w:val="00086033"/>
    <w:rsid w:val="00086B9C"/>
    <w:rsid w:val="0008757E"/>
    <w:rsid w:val="000876CC"/>
    <w:rsid w:val="00087DD1"/>
    <w:rsid w:val="00090579"/>
    <w:rsid w:val="0009191C"/>
    <w:rsid w:val="00091D29"/>
    <w:rsid w:val="0009268D"/>
    <w:rsid w:val="00092EB8"/>
    <w:rsid w:val="000933C5"/>
    <w:rsid w:val="000936A9"/>
    <w:rsid w:val="000936F9"/>
    <w:rsid w:val="00093877"/>
    <w:rsid w:val="00093D30"/>
    <w:rsid w:val="00094031"/>
    <w:rsid w:val="000944A6"/>
    <w:rsid w:val="00094645"/>
    <w:rsid w:val="0009497A"/>
    <w:rsid w:val="000956CE"/>
    <w:rsid w:val="00095A38"/>
    <w:rsid w:val="00095AAE"/>
    <w:rsid w:val="00095CD5"/>
    <w:rsid w:val="00096030"/>
    <w:rsid w:val="000964B9"/>
    <w:rsid w:val="00096940"/>
    <w:rsid w:val="00096BA4"/>
    <w:rsid w:val="00096F42"/>
    <w:rsid w:val="00097332"/>
    <w:rsid w:val="000974CE"/>
    <w:rsid w:val="000977EB"/>
    <w:rsid w:val="00097E9B"/>
    <w:rsid w:val="00097F66"/>
    <w:rsid w:val="000A0039"/>
    <w:rsid w:val="000A01B9"/>
    <w:rsid w:val="000A03F8"/>
    <w:rsid w:val="000A045D"/>
    <w:rsid w:val="000A054A"/>
    <w:rsid w:val="000A0647"/>
    <w:rsid w:val="000A06D9"/>
    <w:rsid w:val="000A0A3D"/>
    <w:rsid w:val="000A11F5"/>
    <w:rsid w:val="000A11F8"/>
    <w:rsid w:val="000A1298"/>
    <w:rsid w:val="000A139D"/>
    <w:rsid w:val="000A174E"/>
    <w:rsid w:val="000A1E09"/>
    <w:rsid w:val="000A2203"/>
    <w:rsid w:val="000A29F0"/>
    <w:rsid w:val="000A2E3E"/>
    <w:rsid w:val="000A3B25"/>
    <w:rsid w:val="000A3DC6"/>
    <w:rsid w:val="000A3E68"/>
    <w:rsid w:val="000A49DF"/>
    <w:rsid w:val="000A50E9"/>
    <w:rsid w:val="000A5394"/>
    <w:rsid w:val="000A6019"/>
    <w:rsid w:val="000A64CD"/>
    <w:rsid w:val="000A66F9"/>
    <w:rsid w:val="000A6DC1"/>
    <w:rsid w:val="000A77E2"/>
    <w:rsid w:val="000A7E15"/>
    <w:rsid w:val="000B08BD"/>
    <w:rsid w:val="000B11BF"/>
    <w:rsid w:val="000B13F1"/>
    <w:rsid w:val="000B25B6"/>
    <w:rsid w:val="000B2D35"/>
    <w:rsid w:val="000B3692"/>
    <w:rsid w:val="000B3AAB"/>
    <w:rsid w:val="000B3B04"/>
    <w:rsid w:val="000B42DC"/>
    <w:rsid w:val="000B5931"/>
    <w:rsid w:val="000B5BF6"/>
    <w:rsid w:val="000B5F70"/>
    <w:rsid w:val="000B6243"/>
    <w:rsid w:val="000B6594"/>
    <w:rsid w:val="000B66AD"/>
    <w:rsid w:val="000B6872"/>
    <w:rsid w:val="000B6A6F"/>
    <w:rsid w:val="000B6DC0"/>
    <w:rsid w:val="000B770B"/>
    <w:rsid w:val="000B79B8"/>
    <w:rsid w:val="000C06B8"/>
    <w:rsid w:val="000C06BB"/>
    <w:rsid w:val="000C0A28"/>
    <w:rsid w:val="000C0EFB"/>
    <w:rsid w:val="000C18A9"/>
    <w:rsid w:val="000C2810"/>
    <w:rsid w:val="000C2D32"/>
    <w:rsid w:val="000C3530"/>
    <w:rsid w:val="000C361C"/>
    <w:rsid w:val="000C39C8"/>
    <w:rsid w:val="000C3BCB"/>
    <w:rsid w:val="000C44E0"/>
    <w:rsid w:val="000C44EE"/>
    <w:rsid w:val="000C51F8"/>
    <w:rsid w:val="000C5827"/>
    <w:rsid w:val="000C5EFB"/>
    <w:rsid w:val="000C5F09"/>
    <w:rsid w:val="000C61C5"/>
    <w:rsid w:val="000C6AB7"/>
    <w:rsid w:val="000C6B89"/>
    <w:rsid w:val="000C7288"/>
    <w:rsid w:val="000C7E3F"/>
    <w:rsid w:val="000D05C4"/>
    <w:rsid w:val="000D0C07"/>
    <w:rsid w:val="000D119F"/>
    <w:rsid w:val="000D11F0"/>
    <w:rsid w:val="000D12CC"/>
    <w:rsid w:val="000D1975"/>
    <w:rsid w:val="000D20A6"/>
    <w:rsid w:val="000D2173"/>
    <w:rsid w:val="000D3135"/>
    <w:rsid w:val="000D33F3"/>
    <w:rsid w:val="000D35AF"/>
    <w:rsid w:val="000D45A6"/>
    <w:rsid w:val="000D60DD"/>
    <w:rsid w:val="000D62F1"/>
    <w:rsid w:val="000D6387"/>
    <w:rsid w:val="000D67E4"/>
    <w:rsid w:val="000D6D89"/>
    <w:rsid w:val="000D6E50"/>
    <w:rsid w:val="000D732B"/>
    <w:rsid w:val="000D7C14"/>
    <w:rsid w:val="000D7DE5"/>
    <w:rsid w:val="000E09DB"/>
    <w:rsid w:val="000E0E25"/>
    <w:rsid w:val="000E1507"/>
    <w:rsid w:val="000E170B"/>
    <w:rsid w:val="000E1790"/>
    <w:rsid w:val="000E1B22"/>
    <w:rsid w:val="000E1DC0"/>
    <w:rsid w:val="000E299D"/>
    <w:rsid w:val="000E2CBA"/>
    <w:rsid w:val="000E38E1"/>
    <w:rsid w:val="000E3B8B"/>
    <w:rsid w:val="000E3D5D"/>
    <w:rsid w:val="000E3DA2"/>
    <w:rsid w:val="000E42FF"/>
    <w:rsid w:val="000E47B4"/>
    <w:rsid w:val="000E5230"/>
    <w:rsid w:val="000E5507"/>
    <w:rsid w:val="000E56BD"/>
    <w:rsid w:val="000E58E4"/>
    <w:rsid w:val="000E5BD0"/>
    <w:rsid w:val="000E6702"/>
    <w:rsid w:val="000E6F7E"/>
    <w:rsid w:val="000E704D"/>
    <w:rsid w:val="000E7996"/>
    <w:rsid w:val="000E7B26"/>
    <w:rsid w:val="000F0B53"/>
    <w:rsid w:val="000F27B0"/>
    <w:rsid w:val="000F2E1D"/>
    <w:rsid w:val="000F2F06"/>
    <w:rsid w:val="000F3229"/>
    <w:rsid w:val="000F3489"/>
    <w:rsid w:val="000F34B6"/>
    <w:rsid w:val="000F374A"/>
    <w:rsid w:val="000F38C2"/>
    <w:rsid w:val="000F3DB6"/>
    <w:rsid w:val="000F3EC0"/>
    <w:rsid w:val="000F3F04"/>
    <w:rsid w:val="000F441C"/>
    <w:rsid w:val="000F482C"/>
    <w:rsid w:val="000F4882"/>
    <w:rsid w:val="000F4B85"/>
    <w:rsid w:val="000F4C58"/>
    <w:rsid w:val="000F4F21"/>
    <w:rsid w:val="000F5B5C"/>
    <w:rsid w:val="000F5EC6"/>
    <w:rsid w:val="000F6848"/>
    <w:rsid w:val="000F7064"/>
    <w:rsid w:val="000F7309"/>
    <w:rsid w:val="000F753C"/>
    <w:rsid w:val="000F79C4"/>
    <w:rsid w:val="000F7CBE"/>
    <w:rsid w:val="000F7D6F"/>
    <w:rsid w:val="000F7E31"/>
    <w:rsid w:val="001008ED"/>
    <w:rsid w:val="00100947"/>
    <w:rsid w:val="001013BA"/>
    <w:rsid w:val="00101936"/>
    <w:rsid w:val="001019B8"/>
    <w:rsid w:val="00102251"/>
    <w:rsid w:val="0010295B"/>
    <w:rsid w:val="00102E93"/>
    <w:rsid w:val="00102EAC"/>
    <w:rsid w:val="001033DD"/>
    <w:rsid w:val="00103465"/>
    <w:rsid w:val="00103C2B"/>
    <w:rsid w:val="001045E7"/>
    <w:rsid w:val="001058B5"/>
    <w:rsid w:val="00106016"/>
    <w:rsid w:val="00106351"/>
    <w:rsid w:val="00106598"/>
    <w:rsid w:val="00106927"/>
    <w:rsid w:val="0010698A"/>
    <w:rsid w:val="00106BEE"/>
    <w:rsid w:val="001074B8"/>
    <w:rsid w:val="00107A95"/>
    <w:rsid w:val="00107B9E"/>
    <w:rsid w:val="00107E3D"/>
    <w:rsid w:val="0011008B"/>
    <w:rsid w:val="00110127"/>
    <w:rsid w:val="00110338"/>
    <w:rsid w:val="001107FE"/>
    <w:rsid w:val="00110CEC"/>
    <w:rsid w:val="001112DB"/>
    <w:rsid w:val="00111C0F"/>
    <w:rsid w:val="001120F9"/>
    <w:rsid w:val="00112563"/>
    <w:rsid w:val="0011301D"/>
    <w:rsid w:val="001131A2"/>
    <w:rsid w:val="0011323A"/>
    <w:rsid w:val="00113A46"/>
    <w:rsid w:val="00114298"/>
    <w:rsid w:val="00114772"/>
    <w:rsid w:val="001147CB"/>
    <w:rsid w:val="00114CF7"/>
    <w:rsid w:val="00114F04"/>
    <w:rsid w:val="001156BD"/>
    <w:rsid w:val="00115817"/>
    <w:rsid w:val="001159AE"/>
    <w:rsid w:val="001159E0"/>
    <w:rsid w:val="00115EDD"/>
    <w:rsid w:val="001164C8"/>
    <w:rsid w:val="001166D6"/>
    <w:rsid w:val="001169B0"/>
    <w:rsid w:val="00116BA9"/>
    <w:rsid w:val="0011767D"/>
    <w:rsid w:val="00117C77"/>
    <w:rsid w:val="00117EF9"/>
    <w:rsid w:val="0012037E"/>
    <w:rsid w:val="00120462"/>
    <w:rsid w:val="00121BD7"/>
    <w:rsid w:val="00121CC4"/>
    <w:rsid w:val="0012229C"/>
    <w:rsid w:val="001222DF"/>
    <w:rsid w:val="00122D5A"/>
    <w:rsid w:val="00123A92"/>
    <w:rsid w:val="00123C85"/>
    <w:rsid w:val="00124000"/>
    <w:rsid w:val="00124BFD"/>
    <w:rsid w:val="00125483"/>
    <w:rsid w:val="001254A5"/>
    <w:rsid w:val="001255A9"/>
    <w:rsid w:val="00125C35"/>
    <w:rsid w:val="00125CE5"/>
    <w:rsid w:val="001264C4"/>
    <w:rsid w:val="00126729"/>
    <w:rsid w:val="0012674A"/>
    <w:rsid w:val="00127221"/>
    <w:rsid w:val="00127619"/>
    <w:rsid w:val="00127626"/>
    <w:rsid w:val="00127C42"/>
    <w:rsid w:val="00127D8B"/>
    <w:rsid w:val="0013021B"/>
    <w:rsid w:val="00130D6B"/>
    <w:rsid w:val="001316A9"/>
    <w:rsid w:val="001328B2"/>
    <w:rsid w:val="001346CB"/>
    <w:rsid w:val="00134913"/>
    <w:rsid w:val="00135901"/>
    <w:rsid w:val="001364C2"/>
    <w:rsid w:val="00136AE3"/>
    <w:rsid w:val="0013750F"/>
    <w:rsid w:val="0013772E"/>
    <w:rsid w:val="00137A0F"/>
    <w:rsid w:val="00137A3F"/>
    <w:rsid w:val="00137FFB"/>
    <w:rsid w:val="001405EA"/>
    <w:rsid w:val="0014114F"/>
    <w:rsid w:val="0014162F"/>
    <w:rsid w:val="00141A3D"/>
    <w:rsid w:val="00141B19"/>
    <w:rsid w:val="00142FA6"/>
    <w:rsid w:val="00143CE6"/>
    <w:rsid w:val="00145F2E"/>
    <w:rsid w:val="00146047"/>
    <w:rsid w:val="001461FA"/>
    <w:rsid w:val="001468D4"/>
    <w:rsid w:val="0014727C"/>
    <w:rsid w:val="001475A4"/>
    <w:rsid w:val="00147CAE"/>
    <w:rsid w:val="00150007"/>
    <w:rsid w:val="001503CC"/>
    <w:rsid w:val="00150596"/>
    <w:rsid w:val="00151340"/>
    <w:rsid w:val="001515BD"/>
    <w:rsid w:val="00151698"/>
    <w:rsid w:val="001516F0"/>
    <w:rsid w:val="00151F96"/>
    <w:rsid w:val="001529DA"/>
    <w:rsid w:val="00152FF7"/>
    <w:rsid w:val="0015312D"/>
    <w:rsid w:val="001536BD"/>
    <w:rsid w:val="00153F69"/>
    <w:rsid w:val="00154A9F"/>
    <w:rsid w:val="00154AA9"/>
    <w:rsid w:val="00154AEF"/>
    <w:rsid w:val="00155F98"/>
    <w:rsid w:val="001562ED"/>
    <w:rsid w:val="00156595"/>
    <w:rsid w:val="00156F64"/>
    <w:rsid w:val="001573AC"/>
    <w:rsid w:val="00157567"/>
    <w:rsid w:val="001576F6"/>
    <w:rsid w:val="00157BCB"/>
    <w:rsid w:val="00160453"/>
    <w:rsid w:val="00160574"/>
    <w:rsid w:val="00160701"/>
    <w:rsid w:val="00160ED6"/>
    <w:rsid w:val="00160F6C"/>
    <w:rsid w:val="001616AE"/>
    <w:rsid w:val="001630E5"/>
    <w:rsid w:val="00163482"/>
    <w:rsid w:val="001636F7"/>
    <w:rsid w:val="00163843"/>
    <w:rsid w:val="00163F38"/>
    <w:rsid w:val="00164107"/>
    <w:rsid w:val="0016413E"/>
    <w:rsid w:val="00164622"/>
    <w:rsid w:val="001646FC"/>
    <w:rsid w:val="00164EFE"/>
    <w:rsid w:val="001650B2"/>
    <w:rsid w:val="001653EA"/>
    <w:rsid w:val="00165BAA"/>
    <w:rsid w:val="00165CD3"/>
    <w:rsid w:val="001661EB"/>
    <w:rsid w:val="00166700"/>
    <w:rsid w:val="0016670A"/>
    <w:rsid w:val="00166B4B"/>
    <w:rsid w:val="0016734B"/>
    <w:rsid w:val="00167563"/>
    <w:rsid w:val="0017000E"/>
    <w:rsid w:val="00170F65"/>
    <w:rsid w:val="00171D8E"/>
    <w:rsid w:val="0017234A"/>
    <w:rsid w:val="00172B11"/>
    <w:rsid w:val="001735F0"/>
    <w:rsid w:val="00173DA3"/>
    <w:rsid w:val="00173E87"/>
    <w:rsid w:val="00174379"/>
    <w:rsid w:val="00174627"/>
    <w:rsid w:val="00174635"/>
    <w:rsid w:val="00174D2B"/>
    <w:rsid w:val="00175047"/>
    <w:rsid w:val="001751CF"/>
    <w:rsid w:val="0017547B"/>
    <w:rsid w:val="0017552E"/>
    <w:rsid w:val="00175B0D"/>
    <w:rsid w:val="00176B17"/>
    <w:rsid w:val="0017705E"/>
    <w:rsid w:val="00177622"/>
    <w:rsid w:val="001778B8"/>
    <w:rsid w:val="00177A27"/>
    <w:rsid w:val="00180110"/>
    <w:rsid w:val="001801F8"/>
    <w:rsid w:val="0018027F"/>
    <w:rsid w:val="001817DD"/>
    <w:rsid w:val="00181A1A"/>
    <w:rsid w:val="001823A8"/>
    <w:rsid w:val="001825AB"/>
    <w:rsid w:val="00182678"/>
    <w:rsid w:val="0018278A"/>
    <w:rsid w:val="00182E94"/>
    <w:rsid w:val="0018325D"/>
    <w:rsid w:val="0018339E"/>
    <w:rsid w:val="001833FD"/>
    <w:rsid w:val="001835A4"/>
    <w:rsid w:val="00184198"/>
    <w:rsid w:val="00184623"/>
    <w:rsid w:val="00187922"/>
    <w:rsid w:val="001902B4"/>
    <w:rsid w:val="00191826"/>
    <w:rsid w:val="00192270"/>
    <w:rsid w:val="0019281D"/>
    <w:rsid w:val="00192FA7"/>
    <w:rsid w:val="00193488"/>
    <w:rsid w:val="00193528"/>
    <w:rsid w:val="0019356E"/>
    <w:rsid w:val="00193C9F"/>
    <w:rsid w:val="00193EBF"/>
    <w:rsid w:val="001945FC"/>
    <w:rsid w:val="00195431"/>
    <w:rsid w:val="00195500"/>
    <w:rsid w:val="00195BBC"/>
    <w:rsid w:val="00196C39"/>
    <w:rsid w:val="00196CDC"/>
    <w:rsid w:val="001976B0"/>
    <w:rsid w:val="001976C0"/>
    <w:rsid w:val="001977E1"/>
    <w:rsid w:val="00197A68"/>
    <w:rsid w:val="00197B30"/>
    <w:rsid w:val="00197BFE"/>
    <w:rsid w:val="00197C6D"/>
    <w:rsid w:val="001A02B0"/>
    <w:rsid w:val="001A0762"/>
    <w:rsid w:val="001A0833"/>
    <w:rsid w:val="001A0FA8"/>
    <w:rsid w:val="001A134E"/>
    <w:rsid w:val="001A1A37"/>
    <w:rsid w:val="001A1B95"/>
    <w:rsid w:val="001A1DF9"/>
    <w:rsid w:val="001A2BA4"/>
    <w:rsid w:val="001A2CBA"/>
    <w:rsid w:val="001A2ED5"/>
    <w:rsid w:val="001A32DB"/>
    <w:rsid w:val="001A33BA"/>
    <w:rsid w:val="001A483D"/>
    <w:rsid w:val="001A4AC6"/>
    <w:rsid w:val="001A4E3F"/>
    <w:rsid w:val="001A5358"/>
    <w:rsid w:val="001A5D9B"/>
    <w:rsid w:val="001A5EDF"/>
    <w:rsid w:val="001A6CE0"/>
    <w:rsid w:val="001A7BC9"/>
    <w:rsid w:val="001A7BDB"/>
    <w:rsid w:val="001B067D"/>
    <w:rsid w:val="001B125A"/>
    <w:rsid w:val="001B1E1D"/>
    <w:rsid w:val="001B1E76"/>
    <w:rsid w:val="001B2848"/>
    <w:rsid w:val="001B2955"/>
    <w:rsid w:val="001B2D96"/>
    <w:rsid w:val="001B3004"/>
    <w:rsid w:val="001B4788"/>
    <w:rsid w:val="001B4906"/>
    <w:rsid w:val="001B4A3A"/>
    <w:rsid w:val="001B4F20"/>
    <w:rsid w:val="001B547C"/>
    <w:rsid w:val="001B67DA"/>
    <w:rsid w:val="001B743F"/>
    <w:rsid w:val="001B7842"/>
    <w:rsid w:val="001B798C"/>
    <w:rsid w:val="001B7BC1"/>
    <w:rsid w:val="001C00A7"/>
    <w:rsid w:val="001C00F2"/>
    <w:rsid w:val="001C07B3"/>
    <w:rsid w:val="001C1349"/>
    <w:rsid w:val="001C14C5"/>
    <w:rsid w:val="001C1790"/>
    <w:rsid w:val="001C1E49"/>
    <w:rsid w:val="001C3C9F"/>
    <w:rsid w:val="001C4139"/>
    <w:rsid w:val="001C448F"/>
    <w:rsid w:val="001C4E0D"/>
    <w:rsid w:val="001C5B8B"/>
    <w:rsid w:val="001C6735"/>
    <w:rsid w:val="001C67BE"/>
    <w:rsid w:val="001C68C5"/>
    <w:rsid w:val="001C6997"/>
    <w:rsid w:val="001C6AC2"/>
    <w:rsid w:val="001C6D7F"/>
    <w:rsid w:val="001C6F04"/>
    <w:rsid w:val="001C74AE"/>
    <w:rsid w:val="001D0287"/>
    <w:rsid w:val="001D0A47"/>
    <w:rsid w:val="001D1738"/>
    <w:rsid w:val="001D1D41"/>
    <w:rsid w:val="001D1EC9"/>
    <w:rsid w:val="001D203C"/>
    <w:rsid w:val="001D2D5B"/>
    <w:rsid w:val="001D39A2"/>
    <w:rsid w:val="001D3FA6"/>
    <w:rsid w:val="001D403C"/>
    <w:rsid w:val="001D4AE4"/>
    <w:rsid w:val="001D4E55"/>
    <w:rsid w:val="001D5C73"/>
    <w:rsid w:val="001D639D"/>
    <w:rsid w:val="001D64B2"/>
    <w:rsid w:val="001D67D3"/>
    <w:rsid w:val="001D6C68"/>
    <w:rsid w:val="001D72DF"/>
    <w:rsid w:val="001D776A"/>
    <w:rsid w:val="001D7C5A"/>
    <w:rsid w:val="001D7D8F"/>
    <w:rsid w:val="001E0F8C"/>
    <w:rsid w:val="001E100F"/>
    <w:rsid w:val="001E16D5"/>
    <w:rsid w:val="001E1FAB"/>
    <w:rsid w:val="001E228C"/>
    <w:rsid w:val="001E236D"/>
    <w:rsid w:val="001E2894"/>
    <w:rsid w:val="001E2E8B"/>
    <w:rsid w:val="001E36D6"/>
    <w:rsid w:val="001E37C1"/>
    <w:rsid w:val="001E38B3"/>
    <w:rsid w:val="001E3A36"/>
    <w:rsid w:val="001E41AD"/>
    <w:rsid w:val="001E50BC"/>
    <w:rsid w:val="001E5502"/>
    <w:rsid w:val="001E5780"/>
    <w:rsid w:val="001E57AA"/>
    <w:rsid w:val="001E5A0E"/>
    <w:rsid w:val="001E6CE8"/>
    <w:rsid w:val="001E77FF"/>
    <w:rsid w:val="001E797F"/>
    <w:rsid w:val="001F0228"/>
    <w:rsid w:val="001F024E"/>
    <w:rsid w:val="001F151C"/>
    <w:rsid w:val="001F15B9"/>
    <w:rsid w:val="001F1EE9"/>
    <w:rsid w:val="001F20BE"/>
    <w:rsid w:val="001F2E01"/>
    <w:rsid w:val="001F2F07"/>
    <w:rsid w:val="001F36DF"/>
    <w:rsid w:val="001F379C"/>
    <w:rsid w:val="001F37DC"/>
    <w:rsid w:val="001F3A82"/>
    <w:rsid w:val="001F4519"/>
    <w:rsid w:val="001F469F"/>
    <w:rsid w:val="001F4F06"/>
    <w:rsid w:val="001F5023"/>
    <w:rsid w:val="001F5973"/>
    <w:rsid w:val="001F5F03"/>
    <w:rsid w:val="001F6546"/>
    <w:rsid w:val="001F6814"/>
    <w:rsid w:val="001F6979"/>
    <w:rsid w:val="001F6C47"/>
    <w:rsid w:val="001F72D9"/>
    <w:rsid w:val="001F7565"/>
    <w:rsid w:val="00200211"/>
    <w:rsid w:val="00201CAD"/>
    <w:rsid w:val="00201F04"/>
    <w:rsid w:val="00202A66"/>
    <w:rsid w:val="00202ED0"/>
    <w:rsid w:val="0020345E"/>
    <w:rsid w:val="002036B2"/>
    <w:rsid w:val="002036C2"/>
    <w:rsid w:val="0020417F"/>
    <w:rsid w:val="002043C3"/>
    <w:rsid w:val="00204BB8"/>
    <w:rsid w:val="00204E1E"/>
    <w:rsid w:val="0020503B"/>
    <w:rsid w:val="00205049"/>
    <w:rsid w:val="002055A7"/>
    <w:rsid w:val="00205687"/>
    <w:rsid w:val="00205819"/>
    <w:rsid w:val="00205FA1"/>
    <w:rsid w:val="0020632D"/>
    <w:rsid w:val="00206B2D"/>
    <w:rsid w:val="00206CED"/>
    <w:rsid w:val="00206D27"/>
    <w:rsid w:val="0020741B"/>
    <w:rsid w:val="0020753C"/>
    <w:rsid w:val="002103A3"/>
    <w:rsid w:val="002115E9"/>
    <w:rsid w:val="002117E8"/>
    <w:rsid w:val="00211F1D"/>
    <w:rsid w:val="002122F0"/>
    <w:rsid w:val="00212668"/>
    <w:rsid w:val="0021287A"/>
    <w:rsid w:val="00212A82"/>
    <w:rsid w:val="00212BA4"/>
    <w:rsid w:val="002132CD"/>
    <w:rsid w:val="00213892"/>
    <w:rsid w:val="00213C1D"/>
    <w:rsid w:val="002142B5"/>
    <w:rsid w:val="0021472D"/>
    <w:rsid w:val="00214D4E"/>
    <w:rsid w:val="00214E8B"/>
    <w:rsid w:val="00214EA7"/>
    <w:rsid w:val="00214F5D"/>
    <w:rsid w:val="00214FEE"/>
    <w:rsid w:val="0021586A"/>
    <w:rsid w:val="00215A1A"/>
    <w:rsid w:val="00215B44"/>
    <w:rsid w:val="00216596"/>
    <w:rsid w:val="002166BF"/>
    <w:rsid w:val="00216E42"/>
    <w:rsid w:val="002172F9"/>
    <w:rsid w:val="0021774F"/>
    <w:rsid w:val="00217956"/>
    <w:rsid w:val="002200A9"/>
    <w:rsid w:val="00220935"/>
    <w:rsid w:val="00220BF2"/>
    <w:rsid w:val="00220FBC"/>
    <w:rsid w:val="002210A8"/>
    <w:rsid w:val="00221A28"/>
    <w:rsid w:val="00221BB9"/>
    <w:rsid w:val="002221C2"/>
    <w:rsid w:val="0022235E"/>
    <w:rsid w:val="002223B6"/>
    <w:rsid w:val="0022260E"/>
    <w:rsid w:val="00223299"/>
    <w:rsid w:val="002234DE"/>
    <w:rsid w:val="0022366E"/>
    <w:rsid w:val="002241D7"/>
    <w:rsid w:val="00225208"/>
    <w:rsid w:val="002252CA"/>
    <w:rsid w:val="00225483"/>
    <w:rsid w:val="002262D6"/>
    <w:rsid w:val="002263AA"/>
    <w:rsid w:val="002263ED"/>
    <w:rsid w:val="002264CA"/>
    <w:rsid w:val="00226BB6"/>
    <w:rsid w:val="002271EA"/>
    <w:rsid w:val="0023067C"/>
    <w:rsid w:val="00230B39"/>
    <w:rsid w:val="00230B4C"/>
    <w:rsid w:val="00230DA6"/>
    <w:rsid w:val="002317A5"/>
    <w:rsid w:val="002318D5"/>
    <w:rsid w:val="0023191A"/>
    <w:rsid w:val="00231D19"/>
    <w:rsid w:val="00231F4C"/>
    <w:rsid w:val="00232839"/>
    <w:rsid w:val="002328BA"/>
    <w:rsid w:val="00232F54"/>
    <w:rsid w:val="0023305C"/>
    <w:rsid w:val="00233161"/>
    <w:rsid w:val="002336F7"/>
    <w:rsid w:val="00233E81"/>
    <w:rsid w:val="00233EBD"/>
    <w:rsid w:val="00234046"/>
    <w:rsid w:val="002352AB"/>
    <w:rsid w:val="0023570A"/>
    <w:rsid w:val="00235B74"/>
    <w:rsid w:val="0023621D"/>
    <w:rsid w:val="00240087"/>
    <w:rsid w:val="0024011E"/>
    <w:rsid w:val="00240498"/>
    <w:rsid w:val="0024066F"/>
    <w:rsid w:val="002408EE"/>
    <w:rsid w:val="00241C50"/>
    <w:rsid w:val="002424E6"/>
    <w:rsid w:val="00242B24"/>
    <w:rsid w:val="00242C82"/>
    <w:rsid w:val="00243678"/>
    <w:rsid w:val="00243A4A"/>
    <w:rsid w:val="00243B68"/>
    <w:rsid w:val="00243E5D"/>
    <w:rsid w:val="00244A72"/>
    <w:rsid w:val="00244B1D"/>
    <w:rsid w:val="00246185"/>
    <w:rsid w:val="00246C56"/>
    <w:rsid w:val="0024763A"/>
    <w:rsid w:val="0024779B"/>
    <w:rsid w:val="002477F3"/>
    <w:rsid w:val="0024793F"/>
    <w:rsid w:val="002504FB"/>
    <w:rsid w:val="002507C5"/>
    <w:rsid w:val="00250FB3"/>
    <w:rsid w:val="00251E40"/>
    <w:rsid w:val="00251FAC"/>
    <w:rsid w:val="0025250D"/>
    <w:rsid w:val="00253749"/>
    <w:rsid w:val="00253967"/>
    <w:rsid w:val="00253A57"/>
    <w:rsid w:val="00253C10"/>
    <w:rsid w:val="00255958"/>
    <w:rsid w:val="0025625E"/>
    <w:rsid w:val="00257867"/>
    <w:rsid w:val="00257C93"/>
    <w:rsid w:val="0026021A"/>
    <w:rsid w:val="00260759"/>
    <w:rsid w:val="00260836"/>
    <w:rsid w:val="00260961"/>
    <w:rsid w:val="002611FC"/>
    <w:rsid w:val="00262CA6"/>
    <w:rsid w:val="00262EBF"/>
    <w:rsid w:val="00263205"/>
    <w:rsid w:val="00263ADF"/>
    <w:rsid w:val="0026492F"/>
    <w:rsid w:val="00265030"/>
    <w:rsid w:val="0026598D"/>
    <w:rsid w:val="00265E72"/>
    <w:rsid w:val="00265EDC"/>
    <w:rsid w:val="002662AC"/>
    <w:rsid w:val="002676BC"/>
    <w:rsid w:val="00270090"/>
    <w:rsid w:val="00270255"/>
    <w:rsid w:val="002703C2"/>
    <w:rsid w:val="002703D2"/>
    <w:rsid w:val="002712DB"/>
    <w:rsid w:val="002719CD"/>
    <w:rsid w:val="00271C60"/>
    <w:rsid w:val="00272027"/>
    <w:rsid w:val="0027213A"/>
    <w:rsid w:val="00272962"/>
    <w:rsid w:val="00272A7B"/>
    <w:rsid w:val="00273E46"/>
    <w:rsid w:val="00273E75"/>
    <w:rsid w:val="00273F16"/>
    <w:rsid w:val="0027444E"/>
    <w:rsid w:val="002754E5"/>
    <w:rsid w:val="0027631A"/>
    <w:rsid w:val="00276435"/>
    <w:rsid w:val="0027664E"/>
    <w:rsid w:val="00276F46"/>
    <w:rsid w:val="00277300"/>
    <w:rsid w:val="00277D7F"/>
    <w:rsid w:val="00277E8C"/>
    <w:rsid w:val="00280559"/>
    <w:rsid w:val="00280B05"/>
    <w:rsid w:val="00280C76"/>
    <w:rsid w:val="0028103B"/>
    <w:rsid w:val="002813A1"/>
    <w:rsid w:val="00281AA5"/>
    <w:rsid w:val="00281BAE"/>
    <w:rsid w:val="00281EF2"/>
    <w:rsid w:val="00282DF3"/>
    <w:rsid w:val="00282ECE"/>
    <w:rsid w:val="00283605"/>
    <w:rsid w:val="00283D41"/>
    <w:rsid w:val="00283D98"/>
    <w:rsid w:val="0028404F"/>
    <w:rsid w:val="002846DD"/>
    <w:rsid w:val="00284B1F"/>
    <w:rsid w:val="00284D30"/>
    <w:rsid w:val="00284F46"/>
    <w:rsid w:val="00284FBC"/>
    <w:rsid w:val="0028503B"/>
    <w:rsid w:val="002850F7"/>
    <w:rsid w:val="00285440"/>
    <w:rsid w:val="00285BE2"/>
    <w:rsid w:val="00285E7F"/>
    <w:rsid w:val="0028615B"/>
    <w:rsid w:val="00286BF6"/>
    <w:rsid w:val="00287044"/>
    <w:rsid w:val="0028727A"/>
    <w:rsid w:val="0028739A"/>
    <w:rsid w:val="00290307"/>
    <w:rsid w:val="0029067C"/>
    <w:rsid w:val="00290E1D"/>
    <w:rsid w:val="002914A1"/>
    <w:rsid w:val="002916DF"/>
    <w:rsid w:val="00291EFA"/>
    <w:rsid w:val="002922B6"/>
    <w:rsid w:val="0029230E"/>
    <w:rsid w:val="00292C31"/>
    <w:rsid w:val="00292F07"/>
    <w:rsid w:val="00293E14"/>
    <w:rsid w:val="00293F6B"/>
    <w:rsid w:val="0029407A"/>
    <w:rsid w:val="002940A8"/>
    <w:rsid w:val="00294436"/>
    <w:rsid w:val="002947FC"/>
    <w:rsid w:val="00294CE8"/>
    <w:rsid w:val="002955DC"/>
    <w:rsid w:val="002968F8"/>
    <w:rsid w:val="00297A86"/>
    <w:rsid w:val="002A048A"/>
    <w:rsid w:val="002A0654"/>
    <w:rsid w:val="002A0DC9"/>
    <w:rsid w:val="002A138D"/>
    <w:rsid w:val="002A1580"/>
    <w:rsid w:val="002A2BE6"/>
    <w:rsid w:val="002A2C4B"/>
    <w:rsid w:val="002A2EFF"/>
    <w:rsid w:val="002A448D"/>
    <w:rsid w:val="002A5618"/>
    <w:rsid w:val="002A5809"/>
    <w:rsid w:val="002A5984"/>
    <w:rsid w:val="002A5EE6"/>
    <w:rsid w:val="002A5F99"/>
    <w:rsid w:val="002A60A8"/>
    <w:rsid w:val="002A643E"/>
    <w:rsid w:val="002A6B46"/>
    <w:rsid w:val="002A6DDE"/>
    <w:rsid w:val="002A6F70"/>
    <w:rsid w:val="002A70EE"/>
    <w:rsid w:val="002A7414"/>
    <w:rsid w:val="002A7D7D"/>
    <w:rsid w:val="002A7F69"/>
    <w:rsid w:val="002B03F0"/>
    <w:rsid w:val="002B0790"/>
    <w:rsid w:val="002B0908"/>
    <w:rsid w:val="002B100E"/>
    <w:rsid w:val="002B1C2C"/>
    <w:rsid w:val="002B26F5"/>
    <w:rsid w:val="002B2A0D"/>
    <w:rsid w:val="002B2E0E"/>
    <w:rsid w:val="002B2FF9"/>
    <w:rsid w:val="002B3806"/>
    <w:rsid w:val="002B38EB"/>
    <w:rsid w:val="002B3D63"/>
    <w:rsid w:val="002B41FC"/>
    <w:rsid w:val="002B42D9"/>
    <w:rsid w:val="002B4952"/>
    <w:rsid w:val="002B4AEB"/>
    <w:rsid w:val="002B4B03"/>
    <w:rsid w:val="002B4B87"/>
    <w:rsid w:val="002B4C9A"/>
    <w:rsid w:val="002B5168"/>
    <w:rsid w:val="002B582F"/>
    <w:rsid w:val="002B6147"/>
    <w:rsid w:val="002B6D0F"/>
    <w:rsid w:val="002B72D8"/>
    <w:rsid w:val="002C0235"/>
    <w:rsid w:val="002C0902"/>
    <w:rsid w:val="002C0E19"/>
    <w:rsid w:val="002C12B9"/>
    <w:rsid w:val="002C143F"/>
    <w:rsid w:val="002C1949"/>
    <w:rsid w:val="002C1A11"/>
    <w:rsid w:val="002C1B36"/>
    <w:rsid w:val="002C1FC2"/>
    <w:rsid w:val="002C2EEB"/>
    <w:rsid w:val="002C3AE5"/>
    <w:rsid w:val="002C3B1E"/>
    <w:rsid w:val="002C3E1C"/>
    <w:rsid w:val="002C3EC4"/>
    <w:rsid w:val="002C455A"/>
    <w:rsid w:val="002C4665"/>
    <w:rsid w:val="002C4878"/>
    <w:rsid w:val="002C4A7D"/>
    <w:rsid w:val="002C5003"/>
    <w:rsid w:val="002C6603"/>
    <w:rsid w:val="002C66B0"/>
    <w:rsid w:val="002C6F37"/>
    <w:rsid w:val="002C75B5"/>
    <w:rsid w:val="002C77D4"/>
    <w:rsid w:val="002C7C7E"/>
    <w:rsid w:val="002C7D73"/>
    <w:rsid w:val="002C7E28"/>
    <w:rsid w:val="002D0398"/>
    <w:rsid w:val="002D04B6"/>
    <w:rsid w:val="002D04E4"/>
    <w:rsid w:val="002D051F"/>
    <w:rsid w:val="002D0AA5"/>
    <w:rsid w:val="002D0DA2"/>
    <w:rsid w:val="002D181F"/>
    <w:rsid w:val="002D21ED"/>
    <w:rsid w:val="002D22FA"/>
    <w:rsid w:val="002D245D"/>
    <w:rsid w:val="002D2E29"/>
    <w:rsid w:val="002D3938"/>
    <w:rsid w:val="002D3A8D"/>
    <w:rsid w:val="002D3CF9"/>
    <w:rsid w:val="002D436A"/>
    <w:rsid w:val="002D43E7"/>
    <w:rsid w:val="002D4AB3"/>
    <w:rsid w:val="002D4EDE"/>
    <w:rsid w:val="002D5891"/>
    <w:rsid w:val="002D6220"/>
    <w:rsid w:val="002D64D1"/>
    <w:rsid w:val="002D7035"/>
    <w:rsid w:val="002D735D"/>
    <w:rsid w:val="002D7E21"/>
    <w:rsid w:val="002E006B"/>
    <w:rsid w:val="002E0321"/>
    <w:rsid w:val="002E073F"/>
    <w:rsid w:val="002E193E"/>
    <w:rsid w:val="002E2C00"/>
    <w:rsid w:val="002E2DCB"/>
    <w:rsid w:val="002E30D6"/>
    <w:rsid w:val="002E37EA"/>
    <w:rsid w:val="002E3C6B"/>
    <w:rsid w:val="002E4059"/>
    <w:rsid w:val="002E40F6"/>
    <w:rsid w:val="002E410D"/>
    <w:rsid w:val="002E46AB"/>
    <w:rsid w:val="002E49C2"/>
    <w:rsid w:val="002E5277"/>
    <w:rsid w:val="002E5613"/>
    <w:rsid w:val="002E5830"/>
    <w:rsid w:val="002E5B2C"/>
    <w:rsid w:val="002E5B70"/>
    <w:rsid w:val="002E5BCC"/>
    <w:rsid w:val="002E5DA2"/>
    <w:rsid w:val="002E6573"/>
    <w:rsid w:val="002E6A75"/>
    <w:rsid w:val="002E72BA"/>
    <w:rsid w:val="002E7ADD"/>
    <w:rsid w:val="002E7ED9"/>
    <w:rsid w:val="002F0F93"/>
    <w:rsid w:val="002F1080"/>
    <w:rsid w:val="002F149C"/>
    <w:rsid w:val="002F1C4F"/>
    <w:rsid w:val="002F264F"/>
    <w:rsid w:val="002F2A04"/>
    <w:rsid w:val="002F320A"/>
    <w:rsid w:val="002F34BA"/>
    <w:rsid w:val="002F38E3"/>
    <w:rsid w:val="002F3B84"/>
    <w:rsid w:val="002F3F53"/>
    <w:rsid w:val="002F421A"/>
    <w:rsid w:val="002F576C"/>
    <w:rsid w:val="002F5D1F"/>
    <w:rsid w:val="002F606A"/>
    <w:rsid w:val="002F6192"/>
    <w:rsid w:val="002F623C"/>
    <w:rsid w:val="002F6349"/>
    <w:rsid w:val="002F668F"/>
    <w:rsid w:val="002F6B27"/>
    <w:rsid w:val="002F6CCF"/>
    <w:rsid w:val="002F72A5"/>
    <w:rsid w:val="002F7E73"/>
    <w:rsid w:val="00300232"/>
    <w:rsid w:val="00300235"/>
    <w:rsid w:val="0030102E"/>
    <w:rsid w:val="00301379"/>
    <w:rsid w:val="0030174B"/>
    <w:rsid w:val="00301D4F"/>
    <w:rsid w:val="00301ED3"/>
    <w:rsid w:val="00302563"/>
    <w:rsid w:val="003027F3"/>
    <w:rsid w:val="003030B1"/>
    <w:rsid w:val="00303268"/>
    <w:rsid w:val="00303374"/>
    <w:rsid w:val="003038D7"/>
    <w:rsid w:val="00303E19"/>
    <w:rsid w:val="003052D2"/>
    <w:rsid w:val="0030552A"/>
    <w:rsid w:val="003064B2"/>
    <w:rsid w:val="003066CE"/>
    <w:rsid w:val="003077C1"/>
    <w:rsid w:val="003079FB"/>
    <w:rsid w:val="0031070E"/>
    <w:rsid w:val="003113AD"/>
    <w:rsid w:val="003118FC"/>
    <w:rsid w:val="00311DCF"/>
    <w:rsid w:val="00311E96"/>
    <w:rsid w:val="0031241F"/>
    <w:rsid w:val="0031291E"/>
    <w:rsid w:val="00312E51"/>
    <w:rsid w:val="00312E6C"/>
    <w:rsid w:val="0031348E"/>
    <w:rsid w:val="00313818"/>
    <w:rsid w:val="00313D52"/>
    <w:rsid w:val="003140CD"/>
    <w:rsid w:val="00314782"/>
    <w:rsid w:val="003149FB"/>
    <w:rsid w:val="00314C63"/>
    <w:rsid w:val="00314E7D"/>
    <w:rsid w:val="0031500D"/>
    <w:rsid w:val="0031531E"/>
    <w:rsid w:val="003153D3"/>
    <w:rsid w:val="00315406"/>
    <w:rsid w:val="003157D9"/>
    <w:rsid w:val="00315B5A"/>
    <w:rsid w:val="00315B91"/>
    <w:rsid w:val="0031609A"/>
    <w:rsid w:val="003160FA"/>
    <w:rsid w:val="00316485"/>
    <w:rsid w:val="00316AE5"/>
    <w:rsid w:val="0031709F"/>
    <w:rsid w:val="003174FF"/>
    <w:rsid w:val="0031755A"/>
    <w:rsid w:val="003177A9"/>
    <w:rsid w:val="00320629"/>
    <w:rsid w:val="0032111C"/>
    <w:rsid w:val="003213A7"/>
    <w:rsid w:val="003219EA"/>
    <w:rsid w:val="00321C3B"/>
    <w:rsid w:val="003224E7"/>
    <w:rsid w:val="00322897"/>
    <w:rsid w:val="00322B0E"/>
    <w:rsid w:val="00322BFF"/>
    <w:rsid w:val="00322EA5"/>
    <w:rsid w:val="003233B1"/>
    <w:rsid w:val="0032350E"/>
    <w:rsid w:val="00323851"/>
    <w:rsid w:val="00323987"/>
    <w:rsid w:val="00323DE4"/>
    <w:rsid w:val="00324A6A"/>
    <w:rsid w:val="00324B06"/>
    <w:rsid w:val="00324D81"/>
    <w:rsid w:val="00324EC6"/>
    <w:rsid w:val="00325CD1"/>
    <w:rsid w:val="0032707D"/>
    <w:rsid w:val="00327233"/>
    <w:rsid w:val="0032740E"/>
    <w:rsid w:val="00327BF4"/>
    <w:rsid w:val="0033000E"/>
    <w:rsid w:val="003305AE"/>
    <w:rsid w:val="00330736"/>
    <w:rsid w:val="00330FA0"/>
    <w:rsid w:val="00331ADA"/>
    <w:rsid w:val="00331BDA"/>
    <w:rsid w:val="00331FA5"/>
    <w:rsid w:val="003323C4"/>
    <w:rsid w:val="00332B17"/>
    <w:rsid w:val="00332D2C"/>
    <w:rsid w:val="00332F70"/>
    <w:rsid w:val="00332FC0"/>
    <w:rsid w:val="003332E9"/>
    <w:rsid w:val="003336D0"/>
    <w:rsid w:val="00333B50"/>
    <w:rsid w:val="00334024"/>
    <w:rsid w:val="003344B0"/>
    <w:rsid w:val="00334979"/>
    <w:rsid w:val="00334D6D"/>
    <w:rsid w:val="0033521F"/>
    <w:rsid w:val="003353E1"/>
    <w:rsid w:val="00335F0F"/>
    <w:rsid w:val="00336372"/>
    <w:rsid w:val="00336404"/>
    <w:rsid w:val="0033777F"/>
    <w:rsid w:val="003377B2"/>
    <w:rsid w:val="00337BCF"/>
    <w:rsid w:val="00337BFB"/>
    <w:rsid w:val="00337F5F"/>
    <w:rsid w:val="00337FB8"/>
    <w:rsid w:val="00340F44"/>
    <w:rsid w:val="00340F6D"/>
    <w:rsid w:val="00340FC2"/>
    <w:rsid w:val="0034140A"/>
    <w:rsid w:val="003417CC"/>
    <w:rsid w:val="0034260C"/>
    <w:rsid w:val="0034270A"/>
    <w:rsid w:val="003428B0"/>
    <w:rsid w:val="00342FFA"/>
    <w:rsid w:val="0034383A"/>
    <w:rsid w:val="00343C09"/>
    <w:rsid w:val="00343D72"/>
    <w:rsid w:val="00344840"/>
    <w:rsid w:val="00344895"/>
    <w:rsid w:val="00344C79"/>
    <w:rsid w:val="00344EA3"/>
    <w:rsid w:val="00345084"/>
    <w:rsid w:val="00345737"/>
    <w:rsid w:val="003458E0"/>
    <w:rsid w:val="00345992"/>
    <w:rsid w:val="00345CFB"/>
    <w:rsid w:val="003473CB"/>
    <w:rsid w:val="0034763D"/>
    <w:rsid w:val="003477FD"/>
    <w:rsid w:val="00347B38"/>
    <w:rsid w:val="00347B82"/>
    <w:rsid w:val="0035042E"/>
    <w:rsid w:val="00350799"/>
    <w:rsid w:val="00351421"/>
    <w:rsid w:val="00351AA7"/>
    <w:rsid w:val="00351BF2"/>
    <w:rsid w:val="00352193"/>
    <w:rsid w:val="003523C1"/>
    <w:rsid w:val="003526E9"/>
    <w:rsid w:val="00352AB7"/>
    <w:rsid w:val="003534D7"/>
    <w:rsid w:val="00354029"/>
    <w:rsid w:val="0035489E"/>
    <w:rsid w:val="0035530D"/>
    <w:rsid w:val="0035582D"/>
    <w:rsid w:val="00355921"/>
    <w:rsid w:val="00355A85"/>
    <w:rsid w:val="00356259"/>
    <w:rsid w:val="003566B1"/>
    <w:rsid w:val="00356B8C"/>
    <w:rsid w:val="003573E7"/>
    <w:rsid w:val="00357711"/>
    <w:rsid w:val="00357AC5"/>
    <w:rsid w:val="00357B8C"/>
    <w:rsid w:val="00357EE9"/>
    <w:rsid w:val="00360663"/>
    <w:rsid w:val="00360DE0"/>
    <w:rsid w:val="00361019"/>
    <w:rsid w:val="00361113"/>
    <w:rsid w:val="003619CC"/>
    <w:rsid w:val="00361AA5"/>
    <w:rsid w:val="003623F4"/>
    <w:rsid w:val="003627CD"/>
    <w:rsid w:val="00363696"/>
    <w:rsid w:val="003638BC"/>
    <w:rsid w:val="00363C81"/>
    <w:rsid w:val="00365068"/>
    <w:rsid w:val="0036598C"/>
    <w:rsid w:val="00365D14"/>
    <w:rsid w:val="00365E0A"/>
    <w:rsid w:val="00366A43"/>
    <w:rsid w:val="003670E4"/>
    <w:rsid w:val="0036773A"/>
    <w:rsid w:val="00367AA7"/>
    <w:rsid w:val="00367AAA"/>
    <w:rsid w:val="00367D49"/>
    <w:rsid w:val="00367FA7"/>
    <w:rsid w:val="0037150D"/>
    <w:rsid w:val="00371740"/>
    <w:rsid w:val="00371F5A"/>
    <w:rsid w:val="0037240C"/>
    <w:rsid w:val="0037270B"/>
    <w:rsid w:val="00372A1F"/>
    <w:rsid w:val="00372AF5"/>
    <w:rsid w:val="003736FE"/>
    <w:rsid w:val="00373880"/>
    <w:rsid w:val="00374358"/>
    <w:rsid w:val="00374916"/>
    <w:rsid w:val="00374A5E"/>
    <w:rsid w:val="00374DC4"/>
    <w:rsid w:val="00375AF9"/>
    <w:rsid w:val="00375E83"/>
    <w:rsid w:val="003760B6"/>
    <w:rsid w:val="003769B0"/>
    <w:rsid w:val="003771A9"/>
    <w:rsid w:val="00377612"/>
    <w:rsid w:val="00380730"/>
    <w:rsid w:val="00380841"/>
    <w:rsid w:val="00380E7F"/>
    <w:rsid w:val="003816A9"/>
    <w:rsid w:val="00381A87"/>
    <w:rsid w:val="00381FC7"/>
    <w:rsid w:val="00382601"/>
    <w:rsid w:val="00382AFE"/>
    <w:rsid w:val="00383115"/>
    <w:rsid w:val="003831EE"/>
    <w:rsid w:val="00383519"/>
    <w:rsid w:val="00384555"/>
    <w:rsid w:val="00384D75"/>
    <w:rsid w:val="00385419"/>
    <w:rsid w:val="003854F2"/>
    <w:rsid w:val="0038571F"/>
    <w:rsid w:val="0038584F"/>
    <w:rsid w:val="00385A27"/>
    <w:rsid w:val="00385E28"/>
    <w:rsid w:val="0038601F"/>
    <w:rsid w:val="00386043"/>
    <w:rsid w:val="00386278"/>
    <w:rsid w:val="00386650"/>
    <w:rsid w:val="00386A24"/>
    <w:rsid w:val="003873FD"/>
    <w:rsid w:val="00387CFC"/>
    <w:rsid w:val="003901A6"/>
    <w:rsid w:val="00390746"/>
    <w:rsid w:val="003912CF"/>
    <w:rsid w:val="00391E23"/>
    <w:rsid w:val="0039245A"/>
    <w:rsid w:val="003925FB"/>
    <w:rsid w:val="00392A94"/>
    <w:rsid w:val="00392F22"/>
    <w:rsid w:val="00393088"/>
    <w:rsid w:val="00393931"/>
    <w:rsid w:val="00394A22"/>
    <w:rsid w:val="00394AA1"/>
    <w:rsid w:val="00394AC2"/>
    <w:rsid w:val="00394C32"/>
    <w:rsid w:val="00395127"/>
    <w:rsid w:val="00395E26"/>
    <w:rsid w:val="003962E4"/>
    <w:rsid w:val="003963FF"/>
    <w:rsid w:val="00396BE1"/>
    <w:rsid w:val="00396FBE"/>
    <w:rsid w:val="0039784D"/>
    <w:rsid w:val="00397888"/>
    <w:rsid w:val="00397A44"/>
    <w:rsid w:val="00397D1D"/>
    <w:rsid w:val="003A05C3"/>
    <w:rsid w:val="003A088F"/>
    <w:rsid w:val="003A0890"/>
    <w:rsid w:val="003A0B6D"/>
    <w:rsid w:val="003A0E60"/>
    <w:rsid w:val="003A0F73"/>
    <w:rsid w:val="003A1038"/>
    <w:rsid w:val="003A18F1"/>
    <w:rsid w:val="003A1D4B"/>
    <w:rsid w:val="003A2846"/>
    <w:rsid w:val="003A2DC7"/>
    <w:rsid w:val="003A30E3"/>
    <w:rsid w:val="003A36FB"/>
    <w:rsid w:val="003A41E2"/>
    <w:rsid w:val="003A4AB1"/>
    <w:rsid w:val="003A68D0"/>
    <w:rsid w:val="003A6F34"/>
    <w:rsid w:val="003A75DB"/>
    <w:rsid w:val="003B0E1D"/>
    <w:rsid w:val="003B0EC9"/>
    <w:rsid w:val="003B10FC"/>
    <w:rsid w:val="003B18C1"/>
    <w:rsid w:val="003B210F"/>
    <w:rsid w:val="003B35B9"/>
    <w:rsid w:val="003B3E4C"/>
    <w:rsid w:val="003B4694"/>
    <w:rsid w:val="003B52F9"/>
    <w:rsid w:val="003B5B62"/>
    <w:rsid w:val="003B5C23"/>
    <w:rsid w:val="003B5DDD"/>
    <w:rsid w:val="003B7065"/>
    <w:rsid w:val="003B72DB"/>
    <w:rsid w:val="003B7567"/>
    <w:rsid w:val="003B78D1"/>
    <w:rsid w:val="003B7D84"/>
    <w:rsid w:val="003C0565"/>
    <w:rsid w:val="003C078B"/>
    <w:rsid w:val="003C07DF"/>
    <w:rsid w:val="003C10EF"/>
    <w:rsid w:val="003C1C8E"/>
    <w:rsid w:val="003C1D55"/>
    <w:rsid w:val="003C1DD5"/>
    <w:rsid w:val="003C20C2"/>
    <w:rsid w:val="003C26F8"/>
    <w:rsid w:val="003C27CD"/>
    <w:rsid w:val="003C2A14"/>
    <w:rsid w:val="003C2DCE"/>
    <w:rsid w:val="003C350D"/>
    <w:rsid w:val="003C3527"/>
    <w:rsid w:val="003C3F63"/>
    <w:rsid w:val="003C40BC"/>
    <w:rsid w:val="003C459A"/>
    <w:rsid w:val="003C4AD4"/>
    <w:rsid w:val="003C4BE1"/>
    <w:rsid w:val="003C4F4A"/>
    <w:rsid w:val="003C5412"/>
    <w:rsid w:val="003C59D2"/>
    <w:rsid w:val="003C5C8E"/>
    <w:rsid w:val="003C6601"/>
    <w:rsid w:val="003C6798"/>
    <w:rsid w:val="003C6BA4"/>
    <w:rsid w:val="003C7014"/>
    <w:rsid w:val="003C765C"/>
    <w:rsid w:val="003C7D0A"/>
    <w:rsid w:val="003D01F4"/>
    <w:rsid w:val="003D1429"/>
    <w:rsid w:val="003D154D"/>
    <w:rsid w:val="003D15D9"/>
    <w:rsid w:val="003D1A52"/>
    <w:rsid w:val="003D1CB4"/>
    <w:rsid w:val="003D1FAA"/>
    <w:rsid w:val="003D2654"/>
    <w:rsid w:val="003D2712"/>
    <w:rsid w:val="003D29C3"/>
    <w:rsid w:val="003D2B8A"/>
    <w:rsid w:val="003D2D30"/>
    <w:rsid w:val="003D3928"/>
    <w:rsid w:val="003D4489"/>
    <w:rsid w:val="003D4AE2"/>
    <w:rsid w:val="003D52F9"/>
    <w:rsid w:val="003D54FC"/>
    <w:rsid w:val="003D5962"/>
    <w:rsid w:val="003D6280"/>
    <w:rsid w:val="003D642D"/>
    <w:rsid w:val="003D64A7"/>
    <w:rsid w:val="003D657E"/>
    <w:rsid w:val="003D711B"/>
    <w:rsid w:val="003D795C"/>
    <w:rsid w:val="003D7D20"/>
    <w:rsid w:val="003E09B6"/>
    <w:rsid w:val="003E10F7"/>
    <w:rsid w:val="003E1333"/>
    <w:rsid w:val="003E17E0"/>
    <w:rsid w:val="003E1849"/>
    <w:rsid w:val="003E21F9"/>
    <w:rsid w:val="003E22F5"/>
    <w:rsid w:val="003E3371"/>
    <w:rsid w:val="003E376F"/>
    <w:rsid w:val="003E3911"/>
    <w:rsid w:val="003E40A4"/>
    <w:rsid w:val="003E45C9"/>
    <w:rsid w:val="003E52AC"/>
    <w:rsid w:val="003E54B2"/>
    <w:rsid w:val="003E56B9"/>
    <w:rsid w:val="003E57DF"/>
    <w:rsid w:val="003E5D7D"/>
    <w:rsid w:val="003E6193"/>
    <w:rsid w:val="003E6956"/>
    <w:rsid w:val="003E69C6"/>
    <w:rsid w:val="003E6ADF"/>
    <w:rsid w:val="003E6B48"/>
    <w:rsid w:val="003E6EEC"/>
    <w:rsid w:val="003E70C7"/>
    <w:rsid w:val="003E7CD3"/>
    <w:rsid w:val="003E7D4E"/>
    <w:rsid w:val="003F11A6"/>
    <w:rsid w:val="003F18F1"/>
    <w:rsid w:val="003F192E"/>
    <w:rsid w:val="003F1A72"/>
    <w:rsid w:val="003F1C7B"/>
    <w:rsid w:val="003F2154"/>
    <w:rsid w:val="003F332E"/>
    <w:rsid w:val="003F3A8F"/>
    <w:rsid w:val="003F3E81"/>
    <w:rsid w:val="003F3F45"/>
    <w:rsid w:val="003F41A1"/>
    <w:rsid w:val="003F488D"/>
    <w:rsid w:val="003F4B25"/>
    <w:rsid w:val="003F500D"/>
    <w:rsid w:val="003F5782"/>
    <w:rsid w:val="003F6523"/>
    <w:rsid w:val="003F6776"/>
    <w:rsid w:val="003F73BD"/>
    <w:rsid w:val="003F7504"/>
    <w:rsid w:val="003F765C"/>
    <w:rsid w:val="003F777E"/>
    <w:rsid w:val="003F7B6D"/>
    <w:rsid w:val="003F7D4F"/>
    <w:rsid w:val="003F7D68"/>
    <w:rsid w:val="003F7D8A"/>
    <w:rsid w:val="00400038"/>
    <w:rsid w:val="004000D3"/>
    <w:rsid w:val="004003AB"/>
    <w:rsid w:val="00400F1E"/>
    <w:rsid w:val="0040246C"/>
    <w:rsid w:val="00402E15"/>
    <w:rsid w:val="0040406A"/>
    <w:rsid w:val="004040F8"/>
    <w:rsid w:val="004042C0"/>
    <w:rsid w:val="00404327"/>
    <w:rsid w:val="004043D9"/>
    <w:rsid w:val="00404C6E"/>
    <w:rsid w:val="00404CB1"/>
    <w:rsid w:val="00404E87"/>
    <w:rsid w:val="004050CA"/>
    <w:rsid w:val="00405F10"/>
    <w:rsid w:val="00406944"/>
    <w:rsid w:val="00406B7E"/>
    <w:rsid w:val="0040722F"/>
    <w:rsid w:val="00407E68"/>
    <w:rsid w:val="00410242"/>
    <w:rsid w:val="004106D2"/>
    <w:rsid w:val="00410A97"/>
    <w:rsid w:val="00410C95"/>
    <w:rsid w:val="00410CCD"/>
    <w:rsid w:val="00410EDF"/>
    <w:rsid w:val="00411198"/>
    <w:rsid w:val="00411648"/>
    <w:rsid w:val="0041172E"/>
    <w:rsid w:val="00412603"/>
    <w:rsid w:val="0041274D"/>
    <w:rsid w:val="00412982"/>
    <w:rsid w:val="0041353B"/>
    <w:rsid w:val="0041395B"/>
    <w:rsid w:val="00413EBF"/>
    <w:rsid w:val="00414117"/>
    <w:rsid w:val="00414AFE"/>
    <w:rsid w:val="00415293"/>
    <w:rsid w:val="00415572"/>
    <w:rsid w:val="004160F5"/>
    <w:rsid w:val="0041684B"/>
    <w:rsid w:val="00416998"/>
    <w:rsid w:val="004170FF"/>
    <w:rsid w:val="004171FB"/>
    <w:rsid w:val="00417448"/>
    <w:rsid w:val="0041754B"/>
    <w:rsid w:val="004178DA"/>
    <w:rsid w:val="00420470"/>
    <w:rsid w:val="004206B6"/>
    <w:rsid w:val="00421813"/>
    <w:rsid w:val="00421EF0"/>
    <w:rsid w:val="0042244F"/>
    <w:rsid w:val="004228DE"/>
    <w:rsid w:val="004229EC"/>
    <w:rsid w:val="00423E9E"/>
    <w:rsid w:val="00424E91"/>
    <w:rsid w:val="00425325"/>
    <w:rsid w:val="004257A1"/>
    <w:rsid w:val="004259EC"/>
    <w:rsid w:val="004261E8"/>
    <w:rsid w:val="0042652F"/>
    <w:rsid w:val="0042682B"/>
    <w:rsid w:val="00426A38"/>
    <w:rsid w:val="004271B9"/>
    <w:rsid w:val="004272D4"/>
    <w:rsid w:val="00427956"/>
    <w:rsid w:val="00427BD0"/>
    <w:rsid w:val="00427F3B"/>
    <w:rsid w:val="00430306"/>
    <w:rsid w:val="00430EE4"/>
    <w:rsid w:val="0043198C"/>
    <w:rsid w:val="00431AB4"/>
    <w:rsid w:val="00431D45"/>
    <w:rsid w:val="0043320B"/>
    <w:rsid w:val="00433708"/>
    <w:rsid w:val="00433E57"/>
    <w:rsid w:val="00434DB5"/>
    <w:rsid w:val="00435230"/>
    <w:rsid w:val="00435759"/>
    <w:rsid w:val="004364F2"/>
    <w:rsid w:val="00437391"/>
    <w:rsid w:val="00437535"/>
    <w:rsid w:val="00437C16"/>
    <w:rsid w:val="00440D5F"/>
    <w:rsid w:val="00440DAC"/>
    <w:rsid w:val="00440F35"/>
    <w:rsid w:val="00441728"/>
    <w:rsid w:val="0044197C"/>
    <w:rsid w:val="00441C37"/>
    <w:rsid w:val="00441E90"/>
    <w:rsid w:val="0044203A"/>
    <w:rsid w:val="004421D9"/>
    <w:rsid w:val="00442577"/>
    <w:rsid w:val="0044261E"/>
    <w:rsid w:val="00442CBB"/>
    <w:rsid w:val="00443162"/>
    <w:rsid w:val="00443179"/>
    <w:rsid w:val="00443A40"/>
    <w:rsid w:val="00443BC4"/>
    <w:rsid w:val="00444303"/>
    <w:rsid w:val="004447E6"/>
    <w:rsid w:val="00444A5F"/>
    <w:rsid w:val="004459E7"/>
    <w:rsid w:val="004460B3"/>
    <w:rsid w:val="00446B07"/>
    <w:rsid w:val="00446ED7"/>
    <w:rsid w:val="00447386"/>
    <w:rsid w:val="004476A3"/>
    <w:rsid w:val="004476E6"/>
    <w:rsid w:val="00447B5A"/>
    <w:rsid w:val="00450B03"/>
    <w:rsid w:val="00451245"/>
    <w:rsid w:val="00451270"/>
    <w:rsid w:val="00451F0A"/>
    <w:rsid w:val="00452211"/>
    <w:rsid w:val="004523A7"/>
    <w:rsid w:val="004525C8"/>
    <w:rsid w:val="00452BEC"/>
    <w:rsid w:val="00452C7C"/>
    <w:rsid w:val="00452E50"/>
    <w:rsid w:val="00453761"/>
    <w:rsid w:val="00453EF1"/>
    <w:rsid w:val="00454A5E"/>
    <w:rsid w:val="00454B9C"/>
    <w:rsid w:val="004553F4"/>
    <w:rsid w:val="00455CCC"/>
    <w:rsid w:val="00456162"/>
    <w:rsid w:val="0045644D"/>
    <w:rsid w:val="004565E2"/>
    <w:rsid w:val="004570D3"/>
    <w:rsid w:val="0045715B"/>
    <w:rsid w:val="004574FB"/>
    <w:rsid w:val="0046004F"/>
    <w:rsid w:val="0046018C"/>
    <w:rsid w:val="00460306"/>
    <w:rsid w:val="0046075B"/>
    <w:rsid w:val="00460EF8"/>
    <w:rsid w:val="00461CB8"/>
    <w:rsid w:val="00462159"/>
    <w:rsid w:val="0046271D"/>
    <w:rsid w:val="00462BB5"/>
    <w:rsid w:val="0046300A"/>
    <w:rsid w:val="0046333C"/>
    <w:rsid w:val="004635B1"/>
    <w:rsid w:val="00463A4F"/>
    <w:rsid w:val="00463DC9"/>
    <w:rsid w:val="00464BDC"/>
    <w:rsid w:val="00464D20"/>
    <w:rsid w:val="00464E2C"/>
    <w:rsid w:val="00466D72"/>
    <w:rsid w:val="00466D95"/>
    <w:rsid w:val="00466F2D"/>
    <w:rsid w:val="00466F5F"/>
    <w:rsid w:val="0046726F"/>
    <w:rsid w:val="00467407"/>
    <w:rsid w:val="00467720"/>
    <w:rsid w:val="00470F2D"/>
    <w:rsid w:val="00470FE8"/>
    <w:rsid w:val="00471560"/>
    <w:rsid w:val="00471795"/>
    <w:rsid w:val="00471D8D"/>
    <w:rsid w:val="00471F54"/>
    <w:rsid w:val="00472341"/>
    <w:rsid w:val="0047248A"/>
    <w:rsid w:val="00472D44"/>
    <w:rsid w:val="00472DE1"/>
    <w:rsid w:val="004733F2"/>
    <w:rsid w:val="004737A1"/>
    <w:rsid w:val="00473C88"/>
    <w:rsid w:val="00473DCE"/>
    <w:rsid w:val="0047435D"/>
    <w:rsid w:val="0047545F"/>
    <w:rsid w:val="004757A1"/>
    <w:rsid w:val="004760E0"/>
    <w:rsid w:val="0047631D"/>
    <w:rsid w:val="004765BC"/>
    <w:rsid w:val="004765C9"/>
    <w:rsid w:val="00476AAC"/>
    <w:rsid w:val="004777D8"/>
    <w:rsid w:val="004808D4"/>
    <w:rsid w:val="00480B7B"/>
    <w:rsid w:val="00480D23"/>
    <w:rsid w:val="00480D9D"/>
    <w:rsid w:val="00481517"/>
    <w:rsid w:val="00481A1D"/>
    <w:rsid w:val="004826FF"/>
    <w:rsid w:val="00483379"/>
    <w:rsid w:val="00483501"/>
    <w:rsid w:val="00483833"/>
    <w:rsid w:val="004839A6"/>
    <w:rsid w:val="00483DED"/>
    <w:rsid w:val="00485B4A"/>
    <w:rsid w:val="00486184"/>
    <w:rsid w:val="0048620F"/>
    <w:rsid w:val="00486744"/>
    <w:rsid w:val="00486915"/>
    <w:rsid w:val="0048774D"/>
    <w:rsid w:val="00487CC6"/>
    <w:rsid w:val="00490B74"/>
    <w:rsid w:val="0049107B"/>
    <w:rsid w:val="00491389"/>
    <w:rsid w:val="004914A9"/>
    <w:rsid w:val="004915AE"/>
    <w:rsid w:val="0049179A"/>
    <w:rsid w:val="004919FE"/>
    <w:rsid w:val="00491D4A"/>
    <w:rsid w:val="004920CD"/>
    <w:rsid w:val="004922A8"/>
    <w:rsid w:val="00492AAE"/>
    <w:rsid w:val="00492C58"/>
    <w:rsid w:val="0049319A"/>
    <w:rsid w:val="00493E0A"/>
    <w:rsid w:val="00494383"/>
    <w:rsid w:val="00494487"/>
    <w:rsid w:val="00495035"/>
    <w:rsid w:val="00495A58"/>
    <w:rsid w:val="0049618C"/>
    <w:rsid w:val="00496DF6"/>
    <w:rsid w:val="00497191"/>
    <w:rsid w:val="004975FA"/>
    <w:rsid w:val="0049788A"/>
    <w:rsid w:val="00497CAA"/>
    <w:rsid w:val="00497D51"/>
    <w:rsid w:val="00497FB5"/>
    <w:rsid w:val="004A08D6"/>
    <w:rsid w:val="004A0A59"/>
    <w:rsid w:val="004A12D9"/>
    <w:rsid w:val="004A1664"/>
    <w:rsid w:val="004A1702"/>
    <w:rsid w:val="004A20EA"/>
    <w:rsid w:val="004A2213"/>
    <w:rsid w:val="004A3801"/>
    <w:rsid w:val="004A3D10"/>
    <w:rsid w:val="004A4269"/>
    <w:rsid w:val="004A479B"/>
    <w:rsid w:val="004A4B97"/>
    <w:rsid w:val="004A52A6"/>
    <w:rsid w:val="004A5541"/>
    <w:rsid w:val="004A55F3"/>
    <w:rsid w:val="004A5AE9"/>
    <w:rsid w:val="004A5CB6"/>
    <w:rsid w:val="004A6603"/>
    <w:rsid w:val="004A682F"/>
    <w:rsid w:val="004A68E2"/>
    <w:rsid w:val="004A6980"/>
    <w:rsid w:val="004A75B4"/>
    <w:rsid w:val="004A7DBB"/>
    <w:rsid w:val="004A7E1D"/>
    <w:rsid w:val="004A7FD2"/>
    <w:rsid w:val="004B004B"/>
    <w:rsid w:val="004B10F9"/>
    <w:rsid w:val="004B162B"/>
    <w:rsid w:val="004B18D4"/>
    <w:rsid w:val="004B1F8C"/>
    <w:rsid w:val="004B20AC"/>
    <w:rsid w:val="004B302D"/>
    <w:rsid w:val="004B3175"/>
    <w:rsid w:val="004B3352"/>
    <w:rsid w:val="004B36EF"/>
    <w:rsid w:val="004B37E4"/>
    <w:rsid w:val="004B3CB2"/>
    <w:rsid w:val="004B43B7"/>
    <w:rsid w:val="004B59F8"/>
    <w:rsid w:val="004B5A0B"/>
    <w:rsid w:val="004B5B33"/>
    <w:rsid w:val="004B64D9"/>
    <w:rsid w:val="004B6714"/>
    <w:rsid w:val="004B6959"/>
    <w:rsid w:val="004B6BDB"/>
    <w:rsid w:val="004B6EAC"/>
    <w:rsid w:val="004B7897"/>
    <w:rsid w:val="004B7ECD"/>
    <w:rsid w:val="004C0081"/>
    <w:rsid w:val="004C0407"/>
    <w:rsid w:val="004C0411"/>
    <w:rsid w:val="004C140E"/>
    <w:rsid w:val="004C1B4D"/>
    <w:rsid w:val="004C1DAC"/>
    <w:rsid w:val="004C1FC1"/>
    <w:rsid w:val="004C2488"/>
    <w:rsid w:val="004C302B"/>
    <w:rsid w:val="004C334D"/>
    <w:rsid w:val="004C357A"/>
    <w:rsid w:val="004C37FE"/>
    <w:rsid w:val="004C389D"/>
    <w:rsid w:val="004C3F80"/>
    <w:rsid w:val="004C4605"/>
    <w:rsid w:val="004C532F"/>
    <w:rsid w:val="004C5A72"/>
    <w:rsid w:val="004C657A"/>
    <w:rsid w:val="004C7123"/>
    <w:rsid w:val="004C7703"/>
    <w:rsid w:val="004D07E2"/>
    <w:rsid w:val="004D0903"/>
    <w:rsid w:val="004D0C4E"/>
    <w:rsid w:val="004D124A"/>
    <w:rsid w:val="004D1427"/>
    <w:rsid w:val="004D182E"/>
    <w:rsid w:val="004D1FD9"/>
    <w:rsid w:val="004D2534"/>
    <w:rsid w:val="004D2B6B"/>
    <w:rsid w:val="004D2D07"/>
    <w:rsid w:val="004D3347"/>
    <w:rsid w:val="004D3376"/>
    <w:rsid w:val="004D36BC"/>
    <w:rsid w:val="004D39A3"/>
    <w:rsid w:val="004D3CAA"/>
    <w:rsid w:val="004D3CE2"/>
    <w:rsid w:val="004D3F84"/>
    <w:rsid w:val="004D459E"/>
    <w:rsid w:val="004D505D"/>
    <w:rsid w:val="004D5C81"/>
    <w:rsid w:val="004D6459"/>
    <w:rsid w:val="004D6560"/>
    <w:rsid w:val="004D76A1"/>
    <w:rsid w:val="004D7BD0"/>
    <w:rsid w:val="004D7D31"/>
    <w:rsid w:val="004E1142"/>
    <w:rsid w:val="004E199B"/>
    <w:rsid w:val="004E1C2E"/>
    <w:rsid w:val="004E225E"/>
    <w:rsid w:val="004E247C"/>
    <w:rsid w:val="004E24FB"/>
    <w:rsid w:val="004E2699"/>
    <w:rsid w:val="004E283B"/>
    <w:rsid w:val="004E2DA7"/>
    <w:rsid w:val="004E3019"/>
    <w:rsid w:val="004E3B34"/>
    <w:rsid w:val="004E3E0F"/>
    <w:rsid w:val="004E4BCD"/>
    <w:rsid w:val="004E5454"/>
    <w:rsid w:val="004E57A0"/>
    <w:rsid w:val="004E5F9C"/>
    <w:rsid w:val="004E617C"/>
    <w:rsid w:val="004E6C04"/>
    <w:rsid w:val="004E6CB0"/>
    <w:rsid w:val="004E6DC0"/>
    <w:rsid w:val="004E6DD6"/>
    <w:rsid w:val="004E6F9E"/>
    <w:rsid w:val="004E70DE"/>
    <w:rsid w:val="004E75A4"/>
    <w:rsid w:val="004E7FD9"/>
    <w:rsid w:val="004F071A"/>
    <w:rsid w:val="004F0735"/>
    <w:rsid w:val="004F099C"/>
    <w:rsid w:val="004F0C49"/>
    <w:rsid w:val="004F0D16"/>
    <w:rsid w:val="004F0EDA"/>
    <w:rsid w:val="004F17B8"/>
    <w:rsid w:val="004F1A77"/>
    <w:rsid w:val="004F1AE6"/>
    <w:rsid w:val="004F1DA0"/>
    <w:rsid w:val="004F20F9"/>
    <w:rsid w:val="004F2300"/>
    <w:rsid w:val="004F2FC9"/>
    <w:rsid w:val="004F3D94"/>
    <w:rsid w:val="004F4032"/>
    <w:rsid w:val="004F444D"/>
    <w:rsid w:val="004F4D4A"/>
    <w:rsid w:val="004F4F67"/>
    <w:rsid w:val="004F5C1B"/>
    <w:rsid w:val="004F6CB8"/>
    <w:rsid w:val="004F7486"/>
    <w:rsid w:val="004F79B8"/>
    <w:rsid w:val="004F7C76"/>
    <w:rsid w:val="004F7CCF"/>
    <w:rsid w:val="00500249"/>
    <w:rsid w:val="00500783"/>
    <w:rsid w:val="00500927"/>
    <w:rsid w:val="00500A24"/>
    <w:rsid w:val="005013C1"/>
    <w:rsid w:val="00502351"/>
    <w:rsid w:val="0050252A"/>
    <w:rsid w:val="0050377F"/>
    <w:rsid w:val="00503FCA"/>
    <w:rsid w:val="0050433D"/>
    <w:rsid w:val="0050454A"/>
    <w:rsid w:val="005045A3"/>
    <w:rsid w:val="0050509B"/>
    <w:rsid w:val="0050531D"/>
    <w:rsid w:val="00505752"/>
    <w:rsid w:val="005057BD"/>
    <w:rsid w:val="00505BE1"/>
    <w:rsid w:val="00505C51"/>
    <w:rsid w:val="00505EF1"/>
    <w:rsid w:val="005064E0"/>
    <w:rsid w:val="005068C7"/>
    <w:rsid w:val="005069CE"/>
    <w:rsid w:val="00506CFE"/>
    <w:rsid w:val="0050720C"/>
    <w:rsid w:val="00507706"/>
    <w:rsid w:val="00507B9C"/>
    <w:rsid w:val="00507D2C"/>
    <w:rsid w:val="005105F1"/>
    <w:rsid w:val="0051083B"/>
    <w:rsid w:val="005111B2"/>
    <w:rsid w:val="00511B9D"/>
    <w:rsid w:val="00512C50"/>
    <w:rsid w:val="00512D27"/>
    <w:rsid w:val="00513697"/>
    <w:rsid w:val="005137B7"/>
    <w:rsid w:val="00513E68"/>
    <w:rsid w:val="00513EB7"/>
    <w:rsid w:val="00514522"/>
    <w:rsid w:val="00514E89"/>
    <w:rsid w:val="00516906"/>
    <w:rsid w:val="00517E03"/>
    <w:rsid w:val="00517E6F"/>
    <w:rsid w:val="00520508"/>
    <w:rsid w:val="00521012"/>
    <w:rsid w:val="00521284"/>
    <w:rsid w:val="00521E53"/>
    <w:rsid w:val="005221BD"/>
    <w:rsid w:val="005222EB"/>
    <w:rsid w:val="00522413"/>
    <w:rsid w:val="00522464"/>
    <w:rsid w:val="0052252B"/>
    <w:rsid w:val="0052355F"/>
    <w:rsid w:val="00523A47"/>
    <w:rsid w:val="00524641"/>
    <w:rsid w:val="00524720"/>
    <w:rsid w:val="00524ACA"/>
    <w:rsid w:val="00525434"/>
    <w:rsid w:val="00525A29"/>
    <w:rsid w:val="00525AEC"/>
    <w:rsid w:val="00527F58"/>
    <w:rsid w:val="005302C1"/>
    <w:rsid w:val="00530419"/>
    <w:rsid w:val="005309B6"/>
    <w:rsid w:val="00530AAC"/>
    <w:rsid w:val="00530F41"/>
    <w:rsid w:val="00531063"/>
    <w:rsid w:val="00531775"/>
    <w:rsid w:val="005318A0"/>
    <w:rsid w:val="00531A0D"/>
    <w:rsid w:val="00531F5A"/>
    <w:rsid w:val="005322E4"/>
    <w:rsid w:val="005326D4"/>
    <w:rsid w:val="00532A6D"/>
    <w:rsid w:val="005331D8"/>
    <w:rsid w:val="005336E2"/>
    <w:rsid w:val="00533BF3"/>
    <w:rsid w:val="005343AE"/>
    <w:rsid w:val="00534EBA"/>
    <w:rsid w:val="0053525C"/>
    <w:rsid w:val="005356D9"/>
    <w:rsid w:val="00535CE2"/>
    <w:rsid w:val="00536E47"/>
    <w:rsid w:val="005370F8"/>
    <w:rsid w:val="00537FEC"/>
    <w:rsid w:val="00540186"/>
    <w:rsid w:val="0054050D"/>
    <w:rsid w:val="00540E4F"/>
    <w:rsid w:val="0054104E"/>
    <w:rsid w:val="00541082"/>
    <w:rsid w:val="00541647"/>
    <w:rsid w:val="00542148"/>
    <w:rsid w:val="005424B9"/>
    <w:rsid w:val="0054374B"/>
    <w:rsid w:val="00544DA4"/>
    <w:rsid w:val="005452F1"/>
    <w:rsid w:val="00545A8A"/>
    <w:rsid w:val="0054708C"/>
    <w:rsid w:val="00547287"/>
    <w:rsid w:val="0054740E"/>
    <w:rsid w:val="00547A0D"/>
    <w:rsid w:val="00547A3B"/>
    <w:rsid w:val="00550346"/>
    <w:rsid w:val="0055115B"/>
    <w:rsid w:val="00551378"/>
    <w:rsid w:val="00551C2D"/>
    <w:rsid w:val="00552658"/>
    <w:rsid w:val="005527E0"/>
    <w:rsid w:val="005533A4"/>
    <w:rsid w:val="00553494"/>
    <w:rsid w:val="00554CFF"/>
    <w:rsid w:val="0055517C"/>
    <w:rsid w:val="00555A7B"/>
    <w:rsid w:val="005563B2"/>
    <w:rsid w:val="00556784"/>
    <w:rsid w:val="00557089"/>
    <w:rsid w:val="00557221"/>
    <w:rsid w:val="005573E6"/>
    <w:rsid w:val="0056009A"/>
    <w:rsid w:val="0056048C"/>
    <w:rsid w:val="00560490"/>
    <w:rsid w:val="00560491"/>
    <w:rsid w:val="00560521"/>
    <w:rsid w:val="00560A44"/>
    <w:rsid w:val="00560D0C"/>
    <w:rsid w:val="00560E2C"/>
    <w:rsid w:val="00561110"/>
    <w:rsid w:val="0056221B"/>
    <w:rsid w:val="0056250C"/>
    <w:rsid w:val="00562898"/>
    <w:rsid w:val="0056297B"/>
    <w:rsid w:val="00562B26"/>
    <w:rsid w:val="00562E37"/>
    <w:rsid w:val="00563024"/>
    <w:rsid w:val="00563722"/>
    <w:rsid w:val="00563AB5"/>
    <w:rsid w:val="00563E8F"/>
    <w:rsid w:val="00563E9A"/>
    <w:rsid w:val="00563F4A"/>
    <w:rsid w:val="00564A8C"/>
    <w:rsid w:val="0056514D"/>
    <w:rsid w:val="005653A4"/>
    <w:rsid w:val="0056544A"/>
    <w:rsid w:val="00565483"/>
    <w:rsid w:val="005656C8"/>
    <w:rsid w:val="00565D59"/>
    <w:rsid w:val="005667FD"/>
    <w:rsid w:val="00566DD3"/>
    <w:rsid w:val="005712B8"/>
    <w:rsid w:val="00571747"/>
    <w:rsid w:val="00571973"/>
    <w:rsid w:val="00572126"/>
    <w:rsid w:val="00572682"/>
    <w:rsid w:val="005726A1"/>
    <w:rsid w:val="0057325F"/>
    <w:rsid w:val="00573285"/>
    <w:rsid w:val="00573DB6"/>
    <w:rsid w:val="00573F89"/>
    <w:rsid w:val="00573FB9"/>
    <w:rsid w:val="00574008"/>
    <w:rsid w:val="00574155"/>
    <w:rsid w:val="0057424F"/>
    <w:rsid w:val="00574325"/>
    <w:rsid w:val="005749A0"/>
    <w:rsid w:val="00574CBF"/>
    <w:rsid w:val="00574F91"/>
    <w:rsid w:val="00575EAD"/>
    <w:rsid w:val="0057609F"/>
    <w:rsid w:val="0057614C"/>
    <w:rsid w:val="0057626D"/>
    <w:rsid w:val="00576F58"/>
    <w:rsid w:val="00580109"/>
    <w:rsid w:val="0058080A"/>
    <w:rsid w:val="00581045"/>
    <w:rsid w:val="005819CB"/>
    <w:rsid w:val="005819DC"/>
    <w:rsid w:val="00581B13"/>
    <w:rsid w:val="00581D2C"/>
    <w:rsid w:val="00581D57"/>
    <w:rsid w:val="005821A4"/>
    <w:rsid w:val="00582430"/>
    <w:rsid w:val="005827F8"/>
    <w:rsid w:val="00582D45"/>
    <w:rsid w:val="00583530"/>
    <w:rsid w:val="00583677"/>
    <w:rsid w:val="005836C2"/>
    <w:rsid w:val="00584656"/>
    <w:rsid w:val="005852D2"/>
    <w:rsid w:val="005860AC"/>
    <w:rsid w:val="0058723C"/>
    <w:rsid w:val="00587702"/>
    <w:rsid w:val="00587BC2"/>
    <w:rsid w:val="00587D7E"/>
    <w:rsid w:val="00590062"/>
    <w:rsid w:val="00590304"/>
    <w:rsid w:val="00590411"/>
    <w:rsid w:val="00590787"/>
    <w:rsid w:val="005913AC"/>
    <w:rsid w:val="00591C6E"/>
    <w:rsid w:val="00591D82"/>
    <w:rsid w:val="00591E9C"/>
    <w:rsid w:val="00593155"/>
    <w:rsid w:val="005935FB"/>
    <w:rsid w:val="00593824"/>
    <w:rsid w:val="00593E9C"/>
    <w:rsid w:val="0059491A"/>
    <w:rsid w:val="00594B83"/>
    <w:rsid w:val="00594EDC"/>
    <w:rsid w:val="00595187"/>
    <w:rsid w:val="005951A4"/>
    <w:rsid w:val="00595AC7"/>
    <w:rsid w:val="00595D37"/>
    <w:rsid w:val="005960F9"/>
    <w:rsid w:val="00596F4B"/>
    <w:rsid w:val="00597BE9"/>
    <w:rsid w:val="00597C17"/>
    <w:rsid w:val="00597FD7"/>
    <w:rsid w:val="005A0112"/>
    <w:rsid w:val="005A041B"/>
    <w:rsid w:val="005A06EB"/>
    <w:rsid w:val="005A0DAD"/>
    <w:rsid w:val="005A1F5D"/>
    <w:rsid w:val="005A2629"/>
    <w:rsid w:val="005A2B90"/>
    <w:rsid w:val="005A3132"/>
    <w:rsid w:val="005A376E"/>
    <w:rsid w:val="005A3D73"/>
    <w:rsid w:val="005A3E33"/>
    <w:rsid w:val="005A4091"/>
    <w:rsid w:val="005A4671"/>
    <w:rsid w:val="005A4A7B"/>
    <w:rsid w:val="005A4D1A"/>
    <w:rsid w:val="005A4D81"/>
    <w:rsid w:val="005A50D2"/>
    <w:rsid w:val="005A5138"/>
    <w:rsid w:val="005A522D"/>
    <w:rsid w:val="005A59C7"/>
    <w:rsid w:val="005A5B79"/>
    <w:rsid w:val="005A6375"/>
    <w:rsid w:val="005A6D9A"/>
    <w:rsid w:val="005A79BA"/>
    <w:rsid w:val="005A7C07"/>
    <w:rsid w:val="005A7E37"/>
    <w:rsid w:val="005A7E5B"/>
    <w:rsid w:val="005B05EE"/>
    <w:rsid w:val="005B09A5"/>
    <w:rsid w:val="005B0DCA"/>
    <w:rsid w:val="005B12CD"/>
    <w:rsid w:val="005B1358"/>
    <w:rsid w:val="005B1D34"/>
    <w:rsid w:val="005B1E52"/>
    <w:rsid w:val="005B1EAC"/>
    <w:rsid w:val="005B1F61"/>
    <w:rsid w:val="005B211D"/>
    <w:rsid w:val="005B21B2"/>
    <w:rsid w:val="005B23BB"/>
    <w:rsid w:val="005B23E6"/>
    <w:rsid w:val="005B26DE"/>
    <w:rsid w:val="005B2A6A"/>
    <w:rsid w:val="005B2D8E"/>
    <w:rsid w:val="005B4483"/>
    <w:rsid w:val="005B4E42"/>
    <w:rsid w:val="005B53DC"/>
    <w:rsid w:val="005B567B"/>
    <w:rsid w:val="005B5DE3"/>
    <w:rsid w:val="005B6091"/>
    <w:rsid w:val="005B6134"/>
    <w:rsid w:val="005B6B2D"/>
    <w:rsid w:val="005B6DDD"/>
    <w:rsid w:val="005B6E19"/>
    <w:rsid w:val="005B749C"/>
    <w:rsid w:val="005B769B"/>
    <w:rsid w:val="005B7FDA"/>
    <w:rsid w:val="005C0B5B"/>
    <w:rsid w:val="005C0BBB"/>
    <w:rsid w:val="005C0F41"/>
    <w:rsid w:val="005C1B02"/>
    <w:rsid w:val="005C1E27"/>
    <w:rsid w:val="005C2055"/>
    <w:rsid w:val="005C2397"/>
    <w:rsid w:val="005C2936"/>
    <w:rsid w:val="005C2C8E"/>
    <w:rsid w:val="005C2EAC"/>
    <w:rsid w:val="005C347E"/>
    <w:rsid w:val="005C3C17"/>
    <w:rsid w:val="005C4105"/>
    <w:rsid w:val="005C4395"/>
    <w:rsid w:val="005C4397"/>
    <w:rsid w:val="005C4648"/>
    <w:rsid w:val="005C4D6D"/>
    <w:rsid w:val="005C4F3D"/>
    <w:rsid w:val="005C535C"/>
    <w:rsid w:val="005C53CC"/>
    <w:rsid w:val="005C53CD"/>
    <w:rsid w:val="005C5E96"/>
    <w:rsid w:val="005C607E"/>
    <w:rsid w:val="005C62A7"/>
    <w:rsid w:val="005C6A01"/>
    <w:rsid w:val="005C6AE6"/>
    <w:rsid w:val="005C6BBD"/>
    <w:rsid w:val="005C6FD7"/>
    <w:rsid w:val="005C7761"/>
    <w:rsid w:val="005D014A"/>
    <w:rsid w:val="005D08B0"/>
    <w:rsid w:val="005D094A"/>
    <w:rsid w:val="005D1BC9"/>
    <w:rsid w:val="005D1D0E"/>
    <w:rsid w:val="005D22E3"/>
    <w:rsid w:val="005D2DE1"/>
    <w:rsid w:val="005D2DE5"/>
    <w:rsid w:val="005D44E4"/>
    <w:rsid w:val="005D4D71"/>
    <w:rsid w:val="005D4DDE"/>
    <w:rsid w:val="005D4E64"/>
    <w:rsid w:val="005D52EC"/>
    <w:rsid w:val="005D5FF5"/>
    <w:rsid w:val="005D609E"/>
    <w:rsid w:val="005D69C4"/>
    <w:rsid w:val="005D6F1C"/>
    <w:rsid w:val="005D746A"/>
    <w:rsid w:val="005D75BF"/>
    <w:rsid w:val="005D7630"/>
    <w:rsid w:val="005D7CD6"/>
    <w:rsid w:val="005D7E21"/>
    <w:rsid w:val="005E0A13"/>
    <w:rsid w:val="005E1047"/>
    <w:rsid w:val="005E12B7"/>
    <w:rsid w:val="005E1BD4"/>
    <w:rsid w:val="005E1C41"/>
    <w:rsid w:val="005E2485"/>
    <w:rsid w:val="005E2CA8"/>
    <w:rsid w:val="005E3113"/>
    <w:rsid w:val="005E3543"/>
    <w:rsid w:val="005E35C9"/>
    <w:rsid w:val="005E364C"/>
    <w:rsid w:val="005E3655"/>
    <w:rsid w:val="005E3B0A"/>
    <w:rsid w:val="005E3D23"/>
    <w:rsid w:val="005E44EE"/>
    <w:rsid w:val="005E4AB4"/>
    <w:rsid w:val="005E5782"/>
    <w:rsid w:val="005E58CA"/>
    <w:rsid w:val="005E5E31"/>
    <w:rsid w:val="005E6D90"/>
    <w:rsid w:val="005E7223"/>
    <w:rsid w:val="005E7BFC"/>
    <w:rsid w:val="005F035A"/>
    <w:rsid w:val="005F0E7E"/>
    <w:rsid w:val="005F1353"/>
    <w:rsid w:val="005F21B1"/>
    <w:rsid w:val="005F23AF"/>
    <w:rsid w:val="005F268C"/>
    <w:rsid w:val="005F31E1"/>
    <w:rsid w:val="005F348C"/>
    <w:rsid w:val="005F3584"/>
    <w:rsid w:val="005F4021"/>
    <w:rsid w:val="005F421B"/>
    <w:rsid w:val="005F44B1"/>
    <w:rsid w:val="005F5265"/>
    <w:rsid w:val="005F52F9"/>
    <w:rsid w:val="005F5326"/>
    <w:rsid w:val="005F5CDF"/>
    <w:rsid w:val="005F5D26"/>
    <w:rsid w:val="005F6344"/>
    <w:rsid w:val="005F63B9"/>
    <w:rsid w:val="005F642E"/>
    <w:rsid w:val="005F645C"/>
    <w:rsid w:val="005F674A"/>
    <w:rsid w:val="005F6B8D"/>
    <w:rsid w:val="005F7668"/>
    <w:rsid w:val="005F76E0"/>
    <w:rsid w:val="005F7ED3"/>
    <w:rsid w:val="00600699"/>
    <w:rsid w:val="00600B1A"/>
    <w:rsid w:val="00601459"/>
    <w:rsid w:val="00601D2F"/>
    <w:rsid w:val="006021BD"/>
    <w:rsid w:val="006022B6"/>
    <w:rsid w:val="006022EB"/>
    <w:rsid w:val="006023EE"/>
    <w:rsid w:val="0060260C"/>
    <w:rsid w:val="00602B51"/>
    <w:rsid w:val="00602D4E"/>
    <w:rsid w:val="0060310F"/>
    <w:rsid w:val="006034BB"/>
    <w:rsid w:val="0060461D"/>
    <w:rsid w:val="00604846"/>
    <w:rsid w:val="0060492B"/>
    <w:rsid w:val="00604C87"/>
    <w:rsid w:val="00604E6C"/>
    <w:rsid w:val="00605573"/>
    <w:rsid w:val="0060589E"/>
    <w:rsid w:val="0060628B"/>
    <w:rsid w:val="0060628C"/>
    <w:rsid w:val="00606DEA"/>
    <w:rsid w:val="0061031B"/>
    <w:rsid w:val="0061042D"/>
    <w:rsid w:val="00610B5F"/>
    <w:rsid w:val="00610DD0"/>
    <w:rsid w:val="00610E15"/>
    <w:rsid w:val="00611A6E"/>
    <w:rsid w:val="00611BF9"/>
    <w:rsid w:val="006121CA"/>
    <w:rsid w:val="00612332"/>
    <w:rsid w:val="00612592"/>
    <w:rsid w:val="00612FD9"/>
    <w:rsid w:val="00613321"/>
    <w:rsid w:val="00613360"/>
    <w:rsid w:val="00613EA2"/>
    <w:rsid w:val="0061431E"/>
    <w:rsid w:val="00614639"/>
    <w:rsid w:val="00614F12"/>
    <w:rsid w:val="00615120"/>
    <w:rsid w:val="006151C4"/>
    <w:rsid w:val="00615CB9"/>
    <w:rsid w:val="0061633F"/>
    <w:rsid w:val="00617710"/>
    <w:rsid w:val="00617B4F"/>
    <w:rsid w:val="006208F2"/>
    <w:rsid w:val="00620BF5"/>
    <w:rsid w:val="006210DC"/>
    <w:rsid w:val="006213D0"/>
    <w:rsid w:val="0062152B"/>
    <w:rsid w:val="00621828"/>
    <w:rsid w:val="0062184F"/>
    <w:rsid w:val="00621E7E"/>
    <w:rsid w:val="00621EC0"/>
    <w:rsid w:val="006222A7"/>
    <w:rsid w:val="00622659"/>
    <w:rsid w:val="00622EDA"/>
    <w:rsid w:val="006245D5"/>
    <w:rsid w:val="006254A8"/>
    <w:rsid w:val="00625C15"/>
    <w:rsid w:val="006261A0"/>
    <w:rsid w:val="00626CEF"/>
    <w:rsid w:val="006271DB"/>
    <w:rsid w:val="00627A25"/>
    <w:rsid w:val="00627D5A"/>
    <w:rsid w:val="00627FE2"/>
    <w:rsid w:val="006302D4"/>
    <w:rsid w:val="00630864"/>
    <w:rsid w:val="00631016"/>
    <w:rsid w:val="00631827"/>
    <w:rsid w:val="006321D5"/>
    <w:rsid w:val="006323AC"/>
    <w:rsid w:val="00632613"/>
    <w:rsid w:val="00632CAD"/>
    <w:rsid w:val="006333A5"/>
    <w:rsid w:val="006333A9"/>
    <w:rsid w:val="00633D36"/>
    <w:rsid w:val="00634081"/>
    <w:rsid w:val="00634BA1"/>
    <w:rsid w:val="00635726"/>
    <w:rsid w:val="0063598A"/>
    <w:rsid w:val="00635A25"/>
    <w:rsid w:val="00635E14"/>
    <w:rsid w:val="00636094"/>
    <w:rsid w:val="0063743F"/>
    <w:rsid w:val="00637572"/>
    <w:rsid w:val="00637D0B"/>
    <w:rsid w:val="0064021F"/>
    <w:rsid w:val="00640442"/>
    <w:rsid w:val="00640578"/>
    <w:rsid w:val="00640596"/>
    <w:rsid w:val="006407E0"/>
    <w:rsid w:val="00640BEC"/>
    <w:rsid w:val="006410BA"/>
    <w:rsid w:val="006411EB"/>
    <w:rsid w:val="00641457"/>
    <w:rsid w:val="00641878"/>
    <w:rsid w:val="00641E8F"/>
    <w:rsid w:val="00642432"/>
    <w:rsid w:val="00642C6F"/>
    <w:rsid w:val="00643021"/>
    <w:rsid w:val="0064345D"/>
    <w:rsid w:val="006434ED"/>
    <w:rsid w:val="00643B5D"/>
    <w:rsid w:val="00643D87"/>
    <w:rsid w:val="00645058"/>
    <w:rsid w:val="00645EDD"/>
    <w:rsid w:val="00646465"/>
    <w:rsid w:val="00646BF6"/>
    <w:rsid w:val="00646D67"/>
    <w:rsid w:val="0064732B"/>
    <w:rsid w:val="0064743E"/>
    <w:rsid w:val="00647529"/>
    <w:rsid w:val="00650011"/>
    <w:rsid w:val="0065093A"/>
    <w:rsid w:val="00650D50"/>
    <w:rsid w:val="00651083"/>
    <w:rsid w:val="006514B7"/>
    <w:rsid w:val="00652C8B"/>
    <w:rsid w:val="006532D8"/>
    <w:rsid w:val="0065356F"/>
    <w:rsid w:val="006536FB"/>
    <w:rsid w:val="00653B16"/>
    <w:rsid w:val="00654134"/>
    <w:rsid w:val="00654706"/>
    <w:rsid w:val="00654724"/>
    <w:rsid w:val="00655539"/>
    <w:rsid w:val="006556C1"/>
    <w:rsid w:val="006565DF"/>
    <w:rsid w:val="00656D6F"/>
    <w:rsid w:val="00656EFF"/>
    <w:rsid w:val="00657CA7"/>
    <w:rsid w:val="00657CE1"/>
    <w:rsid w:val="00660161"/>
    <w:rsid w:val="006610DC"/>
    <w:rsid w:val="00661AFC"/>
    <w:rsid w:val="00661D69"/>
    <w:rsid w:val="00662C35"/>
    <w:rsid w:val="00662C95"/>
    <w:rsid w:val="0066335A"/>
    <w:rsid w:val="0066394A"/>
    <w:rsid w:val="00663FA9"/>
    <w:rsid w:val="00664073"/>
    <w:rsid w:val="00664268"/>
    <w:rsid w:val="00664CB2"/>
    <w:rsid w:val="00664EB2"/>
    <w:rsid w:val="006654A1"/>
    <w:rsid w:val="0066576D"/>
    <w:rsid w:val="00665A41"/>
    <w:rsid w:val="0066604A"/>
    <w:rsid w:val="00666520"/>
    <w:rsid w:val="00666D9E"/>
    <w:rsid w:val="00666F9C"/>
    <w:rsid w:val="006671A4"/>
    <w:rsid w:val="006677D8"/>
    <w:rsid w:val="006701EB"/>
    <w:rsid w:val="00670208"/>
    <w:rsid w:val="006717EC"/>
    <w:rsid w:val="00671814"/>
    <w:rsid w:val="00671AA1"/>
    <w:rsid w:val="00671F91"/>
    <w:rsid w:val="00672255"/>
    <w:rsid w:val="006724A0"/>
    <w:rsid w:val="00672A94"/>
    <w:rsid w:val="00672B57"/>
    <w:rsid w:val="00672CCF"/>
    <w:rsid w:val="006730A7"/>
    <w:rsid w:val="00673FDF"/>
    <w:rsid w:val="006752BE"/>
    <w:rsid w:val="00675425"/>
    <w:rsid w:val="006757E2"/>
    <w:rsid w:val="0067586F"/>
    <w:rsid w:val="00675930"/>
    <w:rsid w:val="006759E0"/>
    <w:rsid w:val="00675F72"/>
    <w:rsid w:val="00676159"/>
    <w:rsid w:val="0067637E"/>
    <w:rsid w:val="00676659"/>
    <w:rsid w:val="00676B4D"/>
    <w:rsid w:val="0067785B"/>
    <w:rsid w:val="00677A6E"/>
    <w:rsid w:val="0068041B"/>
    <w:rsid w:val="006805E5"/>
    <w:rsid w:val="006807CC"/>
    <w:rsid w:val="006810CD"/>
    <w:rsid w:val="00681A5F"/>
    <w:rsid w:val="0068211F"/>
    <w:rsid w:val="006821D0"/>
    <w:rsid w:val="00682FD5"/>
    <w:rsid w:val="0068365D"/>
    <w:rsid w:val="0068382C"/>
    <w:rsid w:val="00683F29"/>
    <w:rsid w:val="00684677"/>
    <w:rsid w:val="00684AFD"/>
    <w:rsid w:val="00685006"/>
    <w:rsid w:val="006853B3"/>
    <w:rsid w:val="006855FD"/>
    <w:rsid w:val="006862FC"/>
    <w:rsid w:val="0068657C"/>
    <w:rsid w:val="00687050"/>
    <w:rsid w:val="006870AB"/>
    <w:rsid w:val="00687A1F"/>
    <w:rsid w:val="00687B68"/>
    <w:rsid w:val="00687EB7"/>
    <w:rsid w:val="00690C4A"/>
    <w:rsid w:val="00690FB1"/>
    <w:rsid w:val="00692127"/>
    <w:rsid w:val="00692983"/>
    <w:rsid w:val="00692ACE"/>
    <w:rsid w:val="006930B1"/>
    <w:rsid w:val="006932E2"/>
    <w:rsid w:val="00693C50"/>
    <w:rsid w:val="006957EC"/>
    <w:rsid w:val="006963BE"/>
    <w:rsid w:val="006965FF"/>
    <w:rsid w:val="006970AD"/>
    <w:rsid w:val="006970AE"/>
    <w:rsid w:val="00697AB4"/>
    <w:rsid w:val="00697C08"/>
    <w:rsid w:val="006A01AC"/>
    <w:rsid w:val="006A0C73"/>
    <w:rsid w:val="006A0EAE"/>
    <w:rsid w:val="006A1234"/>
    <w:rsid w:val="006A14ED"/>
    <w:rsid w:val="006A199B"/>
    <w:rsid w:val="006A1C70"/>
    <w:rsid w:val="006A2643"/>
    <w:rsid w:val="006A28EE"/>
    <w:rsid w:val="006A30AE"/>
    <w:rsid w:val="006A3287"/>
    <w:rsid w:val="006A356F"/>
    <w:rsid w:val="006A393D"/>
    <w:rsid w:val="006A496A"/>
    <w:rsid w:val="006A4B84"/>
    <w:rsid w:val="006A53A0"/>
    <w:rsid w:val="006A54ED"/>
    <w:rsid w:val="006A558D"/>
    <w:rsid w:val="006A57A6"/>
    <w:rsid w:val="006A63D6"/>
    <w:rsid w:val="006A65E2"/>
    <w:rsid w:val="006A68B8"/>
    <w:rsid w:val="006A6A8D"/>
    <w:rsid w:val="006A7426"/>
    <w:rsid w:val="006B0166"/>
    <w:rsid w:val="006B1D93"/>
    <w:rsid w:val="006B1E60"/>
    <w:rsid w:val="006B1E6A"/>
    <w:rsid w:val="006B2337"/>
    <w:rsid w:val="006B2DA4"/>
    <w:rsid w:val="006B350D"/>
    <w:rsid w:val="006B3937"/>
    <w:rsid w:val="006B52B4"/>
    <w:rsid w:val="006B5663"/>
    <w:rsid w:val="006B6809"/>
    <w:rsid w:val="006B7196"/>
    <w:rsid w:val="006B7383"/>
    <w:rsid w:val="006B74C3"/>
    <w:rsid w:val="006B7649"/>
    <w:rsid w:val="006C0050"/>
    <w:rsid w:val="006C043E"/>
    <w:rsid w:val="006C0DA9"/>
    <w:rsid w:val="006C0FF7"/>
    <w:rsid w:val="006C1062"/>
    <w:rsid w:val="006C10B8"/>
    <w:rsid w:val="006C1573"/>
    <w:rsid w:val="006C1C3F"/>
    <w:rsid w:val="006C225F"/>
    <w:rsid w:val="006C259D"/>
    <w:rsid w:val="006C2C2A"/>
    <w:rsid w:val="006C31F8"/>
    <w:rsid w:val="006C4812"/>
    <w:rsid w:val="006C4AC0"/>
    <w:rsid w:val="006C4FD6"/>
    <w:rsid w:val="006C5430"/>
    <w:rsid w:val="006C5443"/>
    <w:rsid w:val="006C618B"/>
    <w:rsid w:val="006C6820"/>
    <w:rsid w:val="006C69C5"/>
    <w:rsid w:val="006C6E0D"/>
    <w:rsid w:val="006C6E2A"/>
    <w:rsid w:val="006C71F5"/>
    <w:rsid w:val="006C74F4"/>
    <w:rsid w:val="006C7732"/>
    <w:rsid w:val="006C7C20"/>
    <w:rsid w:val="006C7F30"/>
    <w:rsid w:val="006D00B7"/>
    <w:rsid w:val="006D1811"/>
    <w:rsid w:val="006D1C17"/>
    <w:rsid w:val="006D24EB"/>
    <w:rsid w:val="006D26C3"/>
    <w:rsid w:val="006D3033"/>
    <w:rsid w:val="006D306D"/>
    <w:rsid w:val="006D310B"/>
    <w:rsid w:val="006D3483"/>
    <w:rsid w:val="006D3E6A"/>
    <w:rsid w:val="006D452F"/>
    <w:rsid w:val="006D4C39"/>
    <w:rsid w:val="006D51EA"/>
    <w:rsid w:val="006D54AD"/>
    <w:rsid w:val="006D56E5"/>
    <w:rsid w:val="006D5AE1"/>
    <w:rsid w:val="006D5DA7"/>
    <w:rsid w:val="006D5ECD"/>
    <w:rsid w:val="006D656E"/>
    <w:rsid w:val="006D67FF"/>
    <w:rsid w:val="006D7007"/>
    <w:rsid w:val="006D71CE"/>
    <w:rsid w:val="006E0466"/>
    <w:rsid w:val="006E0A9C"/>
    <w:rsid w:val="006E0D31"/>
    <w:rsid w:val="006E1648"/>
    <w:rsid w:val="006E2117"/>
    <w:rsid w:val="006E270F"/>
    <w:rsid w:val="006E2987"/>
    <w:rsid w:val="006E31E6"/>
    <w:rsid w:val="006E3920"/>
    <w:rsid w:val="006E3B27"/>
    <w:rsid w:val="006E4966"/>
    <w:rsid w:val="006E4B42"/>
    <w:rsid w:val="006E5FF1"/>
    <w:rsid w:val="006E5FFA"/>
    <w:rsid w:val="006E631F"/>
    <w:rsid w:val="006E67BF"/>
    <w:rsid w:val="006E729E"/>
    <w:rsid w:val="006F0208"/>
    <w:rsid w:val="006F0CEB"/>
    <w:rsid w:val="006F1217"/>
    <w:rsid w:val="006F16BB"/>
    <w:rsid w:val="006F1E6B"/>
    <w:rsid w:val="006F23A9"/>
    <w:rsid w:val="006F25D2"/>
    <w:rsid w:val="006F2747"/>
    <w:rsid w:val="006F2B88"/>
    <w:rsid w:val="006F301F"/>
    <w:rsid w:val="006F33CF"/>
    <w:rsid w:val="006F34D2"/>
    <w:rsid w:val="006F37EC"/>
    <w:rsid w:val="006F3B35"/>
    <w:rsid w:val="006F4052"/>
    <w:rsid w:val="006F409A"/>
    <w:rsid w:val="006F6174"/>
    <w:rsid w:val="006F65CF"/>
    <w:rsid w:val="00700384"/>
    <w:rsid w:val="00700C64"/>
    <w:rsid w:val="00700F86"/>
    <w:rsid w:val="00701179"/>
    <w:rsid w:val="007016D7"/>
    <w:rsid w:val="007025DD"/>
    <w:rsid w:val="0070260F"/>
    <w:rsid w:val="007029D1"/>
    <w:rsid w:val="00702DA2"/>
    <w:rsid w:val="007033D7"/>
    <w:rsid w:val="00703613"/>
    <w:rsid w:val="00704717"/>
    <w:rsid w:val="00704D5E"/>
    <w:rsid w:val="00704F5E"/>
    <w:rsid w:val="00704FAE"/>
    <w:rsid w:val="0070539C"/>
    <w:rsid w:val="00706602"/>
    <w:rsid w:val="007068C7"/>
    <w:rsid w:val="00706EDA"/>
    <w:rsid w:val="007079C9"/>
    <w:rsid w:val="00707DFD"/>
    <w:rsid w:val="0071058F"/>
    <w:rsid w:val="007105E7"/>
    <w:rsid w:val="007105EB"/>
    <w:rsid w:val="00710882"/>
    <w:rsid w:val="007108E5"/>
    <w:rsid w:val="00710BA7"/>
    <w:rsid w:val="007123C7"/>
    <w:rsid w:val="0071286F"/>
    <w:rsid w:val="00713250"/>
    <w:rsid w:val="00713F48"/>
    <w:rsid w:val="00714478"/>
    <w:rsid w:val="0071462A"/>
    <w:rsid w:val="0071466D"/>
    <w:rsid w:val="00715011"/>
    <w:rsid w:val="00715CCC"/>
    <w:rsid w:val="00716819"/>
    <w:rsid w:val="00716B95"/>
    <w:rsid w:val="00716DCD"/>
    <w:rsid w:val="007177D2"/>
    <w:rsid w:val="0072018F"/>
    <w:rsid w:val="007205A1"/>
    <w:rsid w:val="00720684"/>
    <w:rsid w:val="00720EDB"/>
    <w:rsid w:val="00720FC1"/>
    <w:rsid w:val="007218A2"/>
    <w:rsid w:val="00721C3E"/>
    <w:rsid w:val="00722628"/>
    <w:rsid w:val="00722913"/>
    <w:rsid w:val="00723387"/>
    <w:rsid w:val="007235DD"/>
    <w:rsid w:val="00723CBB"/>
    <w:rsid w:val="00723CC2"/>
    <w:rsid w:val="00723EE9"/>
    <w:rsid w:val="0072421D"/>
    <w:rsid w:val="0072434E"/>
    <w:rsid w:val="00725168"/>
    <w:rsid w:val="00725AFA"/>
    <w:rsid w:val="00725E89"/>
    <w:rsid w:val="00726935"/>
    <w:rsid w:val="00726D3A"/>
    <w:rsid w:val="00727E7C"/>
    <w:rsid w:val="00727EA0"/>
    <w:rsid w:val="007306AD"/>
    <w:rsid w:val="00730E2D"/>
    <w:rsid w:val="00731406"/>
    <w:rsid w:val="00731448"/>
    <w:rsid w:val="007314D5"/>
    <w:rsid w:val="00731FD6"/>
    <w:rsid w:val="007326C9"/>
    <w:rsid w:val="00732728"/>
    <w:rsid w:val="00732EDE"/>
    <w:rsid w:val="00733E91"/>
    <w:rsid w:val="007342A5"/>
    <w:rsid w:val="007346F0"/>
    <w:rsid w:val="0073476B"/>
    <w:rsid w:val="007354EE"/>
    <w:rsid w:val="007356C0"/>
    <w:rsid w:val="00735C49"/>
    <w:rsid w:val="00735EEC"/>
    <w:rsid w:val="00736357"/>
    <w:rsid w:val="007363FB"/>
    <w:rsid w:val="007371F5"/>
    <w:rsid w:val="00737402"/>
    <w:rsid w:val="00740290"/>
    <w:rsid w:val="007408AE"/>
    <w:rsid w:val="00740AA8"/>
    <w:rsid w:val="0074100D"/>
    <w:rsid w:val="0074114B"/>
    <w:rsid w:val="00741419"/>
    <w:rsid w:val="00741AB3"/>
    <w:rsid w:val="00741D62"/>
    <w:rsid w:val="00741DA3"/>
    <w:rsid w:val="00742214"/>
    <w:rsid w:val="00743370"/>
    <w:rsid w:val="00743791"/>
    <w:rsid w:val="007439EE"/>
    <w:rsid w:val="00743B9A"/>
    <w:rsid w:val="00744941"/>
    <w:rsid w:val="00744E33"/>
    <w:rsid w:val="007454CC"/>
    <w:rsid w:val="00745560"/>
    <w:rsid w:val="0074557A"/>
    <w:rsid w:val="007456A6"/>
    <w:rsid w:val="00746658"/>
    <w:rsid w:val="00747DE2"/>
    <w:rsid w:val="0075006D"/>
    <w:rsid w:val="007502C3"/>
    <w:rsid w:val="00750517"/>
    <w:rsid w:val="007507F4"/>
    <w:rsid w:val="007508D8"/>
    <w:rsid w:val="007509EF"/>
    <w:rsid w:val="00750DC4"/>
    <w:rsid w:val="00750EC6"/>
    <w:rsid w:val="00751262"/>
    <w:rsid w:val="00751B6A"/>
    <w:rsid w:val="00751DC7"/>
    <w:rsid w:val="00752EBB"/>
    <w:rsid w:val="00753354"/>
    <w:rsid w:val="0075383A"/>
    <w:rsid w:val="00753A7C"/>
    <w:rsid w:val="0075474C"/>
    <w:rsid w:val="00754CDA"/>
    <w:rsid w:val="007550E2"/>
    <w:rsid w:val="00755619"/>
    <w:rsid w:val="00757C94"/>
    <w:rsid w:val="00757E30"/>
    <w:rsid w:val="00760411"/>
    <w:rsid w:val="00760541"/>
    <w:rsid w:val="00760726"/>
    <w:rsid w:val="00760C70"/>
    <w:rsid w:val="007614E4"/>
    <w:rsid w:val="00761A5E"/>
    <w:rsid w:val="00761E23"/>
    <w:rsid w:val="00763834"/>
    <w:rsid w:val="007644FD"/>
    <w:rsid w:val="007645E5"/>
    <w:rsid w:val="007650C0"/>
    <w:rsid w:val="007650E7"/>
    <w:rsid w:val="007651C7"/>
    <w:rsid w:val="0076556F"/>
    <w:rsid w:val="007658E4"/>
    <w:rsid w:val="00765E2A"/>
    <w:rsid w:val="00765E46"/>
    <w:rsid w:val="00766C56"/>
    <w:rsid w:val="00766D8C"/>
    <w:rsid w:val="0076758D"/>
    <w:rsid w:val="007707BB"/>
    <w:rsid w:val="00770BDF"/>
    <w:rsid w:val="00770EE1"/>
    <w:rsid w:val="00771507"/>
    <w:rsid w:val="007719C8"/>
    <w:rsid w:val="00771CAB"/>
    <w:rsid w:val="00771E2B"/>
    <w:rsid w:val="007725E9"/>
    <w:rsid w:val="00772759"/>
    <w:rsid w:val="00773A1E"/>
    <w:rsid w:val="007747D3"/>
    <w:rsid w:val="00774A59"/>
    <w:rsid w:val="00774C6A"/>
    <w:rsid w:val="0077545C"/>
    <w:rsid w:val="00775668"/>
    <w:rsid w:val="0077606B"/>
    <w:rsid w:val="007761E9"/>
    <w:rsid w:val="00776261"/>
    <w:rsid w:val="007765EE"/>
    <w:rsid w:val="00776AAA"/>
    <w:rsid w:val="00776EE1"/>
    <w:rsid w:val="007773A0"/>
    <w:rsid w:val="007773CB"/>
    <w:rsid w:val="007773D7"/>
    <w:rsid w:val="007779CB"/>
    <w:rsid w:val="00780055"/>
    <w:rsid w:val="007806E9"/>
    <w:rsid w:val="00780765"/>
    <w:rsid w:val="00780CF2"/>
    <w:rsid w:val="00780E24"/>
    <w:rsid w:val="00781554"/>
    <w:rsid w:val="007816F8"/>
    <w:rsid w:val="007818D7"/>
    <w:rsid w:val="00781F24"/>
    <w:rsid w:val="00782203"/>
    <w:rsid w:val="007824D1"/>
    <w:rsid w:val="007826E1"/>
    <w:rsid w:val="0078271F"/>
    <w:rsid w:val="00782D4B"/>
    <w:rsid w:val="007830EC"/>
    <w:rsid w:val="00783171"/>
    <w:rsid w:val="0078355C"/>
    <w:rsid w:val="0078358C"/>
    <w:rsid w:val="007835E5"/>
    <w:rsid w:val="007839F0"/>
    <w:rsid w:val="00783C13"/>
    <w:rsid w:val="007849F9"/>
    <w:rsid w:val="00784B6A"/>
    <w:rsid w:val="007854A9"/>
    <w:rsid w:val="00785764"/>
    <w:rsid w:val="00785C11"/>
    <w:rsid w:val="00786153"/>
    <w:rsid w:val="00786416"/>
    <w:rsid w:val="00786BCD"/>
    <w:rsid w:val="00786D14"/>
    <w:rsid w:val="00786FEC"/>
    <w:rsid w:val="00787393"/>
    <w:rsid w:val="0078796F"/>
    <w:rsid w:val="00787EED"/>
    <w:rsid w:val="0079004F"/>
    <w:rsid w:val="00790134"/>
    <w:rsid w:val="0079035F"/>
    <w:rsid w:val="00790470"/>
    <w:rsid w:val="00790530"/>
    <w:rsid w:val="007905B6"/>
    <w:rsid w:val="007908FF"/>
    <w:rsid w:val="00791397"/>
    <w:rsid w:val="0079159E"/>
    <w:rsid w:val="0079168A"/>
    <w:rsid w:val="00792968"/>
    <w:rsid w:val="00793693"/>
    <w:rsid w:val="00793B4E"/>
    <w:rsid w:val="0079419A"/>
    <w:rsid w:val="007945DF"/>
    <w:rsid w:val="00794974"/>
    <w:rsid w:val="00794A8C"/>
    <w:rsid w:val="00794B67"/>
    <w:rsid w:val="00794C70"/>
    <w:rsid w:val="00794E3F"/>
    <w:rsid w:val="00794E5B"/>
    <w:rsid w:val="00794F15"/>
    <w:rsid w:val="00795564"/>
    <w:rsid w:val="00797AAB"/>
    <w:rsid w:val="007A007C"/>
    <w:rsid w:val="007A0590"/>
    <w:rsid w:val="007A06FA"/>
    <w:rsid w:val="007A093F"/>
    <w:rsid w:val="007A102A"/>
    <w:rsid w:val="007A1267"/>
    <w:rsid w:val="007A1B5D"/>
    <w:rsid w:val="007A23FE"/>
    <w:rsid w:val="007A26C5"/>
    <w:rsid w:val="007A310D"/>
    <w:rsid w:val="007A3217"/>
    <w:rsid w:val="007A3272"/>
    <w:rsid w:val="007A348C"/>
    <w:rsid w:val="007A4898"/>
    <w:rsid w:val="007A4978"/>
    <w:rsid w:val="007A4E76"/>
    <w:rsid w:val="007A5599"/>
    <w:rsid w:val="007A5E9C"/>
    <w:rsid w:val="007A5EA4"/>
    <w:rsid w:val="007A6373"/>
    <w:rsid w:val="007A74E5"/>
    <w:rsid w:val="007B00C8"/>
    <w:rsid w:val="007B0789"/>
    <w:rsid w:val="007B07D6"/>
    <w:rsid w:val="007B1177"/>
    <w:rsid w:val="007B174A"/>
    <w:rsid w:val="007B23CF"/>
    <w:rsid w:val="007B2427"/>
    <w:rsid w:val="007B2A51"/>
    <w:rsid w:val="007B3A01"/>
    <w:rsid w:val="007B476F"/>
    <w:rsid w:val="007B5165"/>
    <w:rsid w:val="007B51DB"/>
    <w:rsid w:val="007B5833"/>
    <w:rsid w:val="007B5B1D"/>
    <w:rsid w:val="007B6457"/>
    <w:rsid w:val="007B6FC0"/>
    <w:rsid w:val="007B7137"/>
    <w:rsid w:val="007B77DA"/>
    <w:rsid w:val="007B7D8F"/>
    <w:rsid w:val="007B7FC3"/>
    <w:rsid w:val="007C0847"/>
    <w:rsid w:val="007C0A0F"/>
    <w:rsid w:val="007C0C7D"/>
    <w:rsid w:val="007C1D38"/>
    <w:rsid w:val="007C1E78"/>
    <w:rsid w:val="007C2234"/>
    <w:rsid w:val="007C3E30"/>
    <w:rsid w:val="007C4123"/>
    <w:rsid w:val="007C455B"/>
    <w:rsid w:val="007C5243"/>
    <w:rsid w:val="007C59DA"/>
    <w:rsid w:val="007C5D50"/>
    <w:rsid w:val="007C61C4"/>
    <w:rsid w:val="007C685B"/>
    <w:rsid w:val="007C6864"/>
    <w:rsid w:val="007C6A31"/>
    <w:rsid w:val="007C6FBC"/>
    <w:rsid w:val="007C78BC"/>
    <w:rsid w:val="007C7DC6"/>
    <w:rsid w:val="007D0530"/>
    <w:rsid w:val="007D0A62"/>
    <w:rsid w:val="007D0D96"/>
    <w:rsid w:val="007D18D9"/>
    <w:rsid w:val="007D1A93"/>
    <w:rsid w:val="007D1EB1"/>
    <w:rsid w:val="007D2206"/>
    <w:rsid w:val="007D23C2"/>
    <w:rsid w:val="007D23DD"/>
    <w:rsid w:val="007D298F"/>
    <w:rsid w:val="007D29AC"/>
    <w:rsid w:val="007D32A9"/>
    <w:rsid w:val="007D3725"/>
    <w:rsid w:val="007D3C34"/>
    <w:rsid w:val="007D4922"/>
    <w:rsid w:val="007D4C31"/>
    <w:rsid w:val="007D51A3"/>
    <w:rsid w:val="007D5421"/>
    <w:rsid w:val="007D580C"/>
    <w:rsid w:val="007D6656"/>
    <w:rsid w:val="007D67CF"/>
    <w:rsid w:val="007D6994"/>
    <w:rsid w:val="007D6F54"/>
    <w:rsid w:val="007D716B"/>
    <w:rsid w:val="007D7804"/>
    <w:rsid w:val="007D7BEC"/>
    <w:rsid w:val="007E01C6"/>
    <w:rsid w:val="007E125D"/>
    <w:rsid w:val="007E16DA"/>
    <w:rsid w:val="007E194E"/>
    <w:rsid w:val="007E2BB1"/>
    <w:rsid w:val="007E45E5"/>
    <w:rsid w:val="007E47C1"/>
    <w:rsid w:val="007E48C6"/>
    <w:rsid w:val="007E540A"/>
    <w:rsid w:val="007E57FF"/>
    <w:rsid w:val="007E5990"/>
    <w:rsid w:val="007E5C58"/>
    <w:rsid w:val="007E64D1"/>
    <w:rsid w:val="007E6A21"/>
    <w:rsid w:val="007E6B33"/>
    <w:rsid w:val="007E6D20"/>
    <w:rsid w:val="007E7CF9"/>
    <w:rsid w:val="007E7EF3"/>
    <w:rsid w:val="007F0149"/>
    <w:rsid w:val="007F0372"/>
    <w:rsid w:val="007F06F8"/>
    <w:rsid w:val="007F083C"/>
    <w:rsid w:val="007F0A8B"/>
    <w:rsid w:val="007F1617"/>
    <w:rsid w:val="007F175D"/>
    <w:rsid w:val="007F199E"/>
    <w:rsid w:val="007F1CA7"/>
    <w:rsid w:val="007F1DB6"/>
    <w:rsid w:val="007F1FC1"/>
    <w:rsid w:val="007F206D"/>
    <w:rsid w:val="007F2C81"/>
    <w:rsid w:val="007F2E5C"/>
    <w:rsid w:val="007F35DD"/>
    <w:rsid w:val="007F36FC"/>
    <w:rsid w:val="007F39AE"/>
    <w:rsid w:val="007F39D8"/>
    <w:rsid w:val="007F3A88"/>
    <w:rsid w:val="007F425F"/>
    <w:rsid w:val="007F4683"/>
    <w:rsid w:val="007F4957"/>
    <w:rsid w:val="007F4F7B"/>
    <w:rsid w:val="007F50BE"/>
    <w:rsid w:val="007F5956"/>
    <w:rsid w:val="007F6085"/>
    <w:rsid w:val="007F66F3"/>
    <w:rsid w:val="007F6744"/>
    <w:rsid w:val="007F6AEC"/>
    <w:rsid w:val="007F721F"/>
    <w:rsid w:val="007F7340"/>
    <w:rsid w:val="007F746C"/>
    <w:rsid w:val="00800572"/>
    <w:rsid w:val="008006E6"/>
    <w:rsid w:val="0080172D"/>
    <w:rsid w:val="00801DA4"/>
    <w:rsid w:val="0080204E"/>
    <w:rsid w:val="00802061"/>
    <w:rsid w:val="00802634"/>
    <w:rsid w:val="00802E87"/>
    <w:rsid w:val="00803213"/>
    <w:rsid w:val="008039DB"/>
    <w:rsid w:val="00804101"/>
    <w:rsid w:val="00804131"/>
    <w:rsid w:val="00804355"/>
    <w:rsid w:val="00804498"/>
    <w:rsid w:val="00804BC1"/>
    <w:rsid w:val="00804C62"/>
    <w:rsid w:val="00804F43"/>
    <w:rsid w:val="0080522C"/>
    <w:rsid w:val="008055C7"/>
    <w:rsid w:val="00806896"/>
    <w:rsid w:val="008072F3"/>
    <w:rsid w:val="00807D78"/>
    <w:rsid w:val="00807E5D"/>
    <w:rsid w:val="00810019"/>
    <w:rsid w:val="008102FD"/>
    <w:rsid w:val="0081070D"/>
    <w:rsid w:val="00810855"/>
    <w:rsid w:val="00810AB1"/>
    <w:rsid w:val="00810AE4"/>
    <w:rsid w:val="00810F42"/>
    <w:rsid w:val="00811371"/>
    <w:rsid w:val="00811396"/>
    <w:rsid w:val="008114DF"/>
    <w:rsid w:val="008119EB"/>
    <w:rsid w:val="008120FE"/>
    <w:rsid w:val="008121F0"/>
    <w:rsid w:val="00812336"/>
    <w:rsid w:val="0081242B"/>
    <w:rsid w:val="00812628"/>
    <w:rsid w:val="008126EA"/>
    <w:rsid w:val="00812DD3"/>
    <w:rsid w:val="00812DD6"/>
    <w:rsid w:val="00813072"/>
    <w:rsid w:val="00813334"/>
    <w:rsid w:val="00814052"/>
    <w:rsid w:val="00814458"/>
    <w:rsid w:val="0081485A"/>
    <w:rsid w:val="0081577F"/>
    <w:rsid w:val="00816217"/>
    <w:rsid w:val="0081641D"/>
    <w:rsid w:val="00816747"/>
    <w:rsid w:val="0081687D"/>
    <w:rsid w:val="00816895"/>
    <w:rsid w:val="008173CB"/>
    <w:rsid w:val="008173E9"/>
    <w:rsid w:val="0081772C"/>
    <w:rsid w:val="0081778C"/>
    <w:rsid w:val="00817854"/>
    <w:rsid w:val="00820657"/>
    <w:rsid w:val="008206E2"/>
    <w:rsid w:val="00821002"/>
    <w:rsid w:val="0082105E"/>
    <w:rsid w:val="0082136A"/>
    <w:rsid w:val="008214BD"/>
    <w:rsid w:val="00821E62"/>
    <w:rsid w:val="008220C3"/>
    <w:rsid w:val="00822151"/>
    <w:rsid w:val="008222B4"/>
    <w:rsid w:val="0082252F"/>
    <w:rsid w:val="00823388"/>
    <w:rsid w:val="00823A39"/>
    <w:rsid w:val="00823A40"/>
    <w:rsid w:val="00823DBF"/>
    <w:rsid w:val="00824102"/>
    <w:rsid w:val="0082424C"/>
    <w:rsid w:val="00824447"/>
    <w:rsid w:val="008247D9"/>
    <w:rsid w:val="0082556D"/>
    <w:rsid w:val="00825DDA"/>
    <w:rsid w:val="00825EEF"/>
    <w:rsid w:val="00826579"/>
    <w:rsid w:val="00826797"/>
    <w:rsid w:val="00826C21"/>
    <w:rsid w:val="00827206"/>
    <w:rsid w:val="00827405"/>
    <w:rsid w:val="00827515"/>
    <w:rsid w:val="0082761E"/>
    <w:rsid w:val="00827856"/>
    <w:rsid w:val="0083070A"/>
    <w:rsid w:val="00830F0E"/>
    <w:rsid w:val="00830F77"/>
    <w:rsid w:val="0083191B"/>
    <w:rsid w:val="008321CC"/>
    <w:rsid w:val="0083238F"/>
    <w:rsid w:val="00832509"/>
    <w:rsid w:val="00832F14"/>
    <w:rsid w:val="008335BE"/>
    <w:rsid w:val="0083374E"/>
    <w:rsid w:val="00834999"/>
    <w:rsid w:val="00834CAF"/>
    <w:rsid w:val="0083574C"/>
    <w:rsid w:val="008357ED"/>
    <w:rsid w:val="00835F01"/>
    <w:rsid w:val="00836361"/>
    <w:rsid w:val="00836703"/>
    <w:rsid w:val="008370A2"/>
    <w:rsid w:val="0083749E"/>
    <w:rsid w:val="00837B80"/>
    <w:rsid w:val="00840866"/>
    <w:rsid w:val="008417F9"/>
    <w:rsid w:val="00841B52"/>
    <w:rsid w:val="008424A1"/>
    <w:rsid w:val="00842A10"/>
    <w:rsid w:val="0084320F"/>
    <w:rsid w:val="008443BF"/>
    <w:rsid w:val="008445AD"/>
    <w:rsid w:val="00844EC9"/>
    <w:rsid w:val="0084582A"/>
    <w:rsid w:val="008464DA"/>
    <w:rsid w:val="008466E4"/>
    <w:rsid w:val="00846A89"/>
    <w:rsid w:val="00847134"/>
    <w:rsid w:val="00847232"/>
    <w:rsid w:val="008475EF"/>
    <w:rsid w:val="00847BB4"/>
    <w:rsid w:val="008506B4"/>
    <w:rsid w:val="00850F25"/>
    <w:rsid w:val="00851681"/>
    <w:rsid w:val="00852467"/>
    <w:rsid w:val="008526C0"/>
    <w:rsid w:val="00852CD2"/>
    <w:rsid w:val="00852D2C"/>
    <w:rsid w:val="00853059"/>
    <w:rsid w:val="00853135"/>
    <w:rsid w:val="0085342C"/>
    <w:rsid w:val="008535E3"/>
    <w:rsid w:val="00853874"/>
    <w:rsid w:val="00853E85"/>
    <w:rsid w:val="00853F54"/>
    <w:rsid w:val="008540E9"/>
    <w:rsid w:val="00854924"/>
    <w:rsid w:val="00854C00"/>
    <w:rsid w:val="00854EAE"/>
    <w:rsid w:val="00854FAA"/>
    <w:rsid w:val="008558EA"/>
    <w:rsid w:val="00855A8B"/>
    <w:rsid w:val="00855C98"/>
    <w:rsid w:val="0085634C"/>
    <w:rsid w:val="008564F5"/>
    <w:rsid w:val="00856995"/>
    <w:rsid w:val="008607F6"/>
    <w:rsid w:val="008616C2"/>
    <w:rsid w:val="00861791"/>
    <w:rsid w:val="00861CEF"/>
    <w:rsid w:val="00861F13"/>
    <w:rsid w:val="00862801"/>
    <w:rsid w:val="00863206"/>
    <w:rsid w:val="00863217"/>
    <w:rsid w:val="00863DA2"/>
    <w:rsid w:val="0086400B"/>
    <w:rsid w:val="008641BC"/>
    <w:rsid w:val="0086472F"/>
    <w:rsid w:val="008647BC"/>
    <w:rsid w:val="00864A16"/>
    <w:rsid w:val="00864E77"/>
    <w:rsid w:val="008653DE"/>
    <w:rsid w:val="00865B3C"/>
    <w:rsid w:val="00865F0F"/>
    <w:rsid w:val="00866EEA"/>
    <w:rsid w:val="0086738A"/>
    <w:rsid w:val="00867585"/>
    <w:rsid w:val="00867A96"/>
    <w:rsid w:val="00867AFB"/>
    <w:rsid w:val="00867F5A"/>
    <w:rsid w:val="00870072"/>
    <w:rsid w:val="008702B9"/>
    <w:rsid w:val="0087051F"/>
    <w:rsid w:val="00870617"/>
    <w:rsid w:val="0087063E"/>
    <w:rsid w:val="00870CA7"/>
    <w:rsid w:val="008710E0"/>
    <w:rsid w:val="008712BA"/>
    <w:rsid w:val="008718F6"/>
    <w:rsid w:val="0087273F"/>
    <w:rsid w:val="00872794"/>
    <w:rsid w:val="0087280B"/>
    <w:rsid w:val="00872E5B"/>
    <w:rsid w:val="00872EF4"/>
    <w:rsid w:val="008733A4"/>
    <w:rsid w:val="00873431"/>
    <w:rsid w:val="00873E30"/>
    <w:rsid w:val="008743E7"/>
    <w:rsid w:val="008749C4"/>
    <w:rsid w:val="00874AF3"/>
    <w:rsid w:val="008757D5"/>
    <w:rsid w:val="00876375"/>
    <w:rsid w:val="00877A32"/>
    <w:rsid w:val="00880308"/>
    <w:rsid w:val="008806B6"/>
    <w:rsid w:val="00880D42"/>
    <w:rsid w:val="00881071"/>
    <w:rsid w:val="008816B8"/>
    <w:rsid w:val="008818D1"/>
    <w:rsid w:val="008822B1"/>
    <w:rsid w:val="008833DF"/>
    <w:rsid w:val="00883416"/>
    <w:rsid w:val="008834FE"/>
    <w:rsid w:val="0088362D"/>
    <w:rsid w:val="00883FC6"/>
    <w:rsid w:val="00884614"/>
    <w:rsid w:val="00884AFB"/>
    <w:rsid w:val="00884B5D"/>
    <w:rsid w:val="00884CF4"/>
    <w:rsid w:val="00885F35"/>
    <w:rsid w:val="00885F5B"/>
    <w:rsid w:val="00886010"/>
    <w:rsid w:val="008867B9"/>
    <w:rsid w:val="00886F0C"/>
    <w:rsid w:val="008870BF"/>
    <w:rsid w:val="008873C7"/>
    <w:rsid w:val="00890315"/>
    <w:rsid w:val="008904E3"/>
    <w:rsid w:val="008904ED"/>
    <w:rsid w:val="0089073F"/>
    <w:rsid w:val="008909CD"/>
    <w:rsid w:val="00890BDE"/>
    <w:rsid w:val="00890EBE"/>
    <w:rsid w:val="00890EED"/>
    <w:rsid w:val="00891B97"/>
    <w:rsid w:val="00892068"/>
    <w:rsid w:val="008924DB"/>
    <w:rsid w:val="0089275D"/>
    <w:rsid w:val="00892B94"/>
    <w:rsid w:val="008933AD"/>
    <w:rsid w:val="008934DD"/>
    <w:rsid w:val="00893830"/>
    <w:rsid w:val="00893C40"/>
    <w:rsid w:val="00893E19"/>
    <w:rsid w:val="00893FBB"/>
    <w:rsid w:val="00894207"/>
    <w:rsid w:val="008949D7"/>
    <w:rsid w:val="00894AC6"/>
    <w:rsid w:val="00894D5A"/>
    <w:rsid w:val="00894F3F"/>
    <w:rsid w:val="008952B2"/>
    <w:rsid w:val="008957D0"/>
    <w:rsid w:val="00895C90"/>
    <w:rsid w:val="00896554"/>
    <w:rsid w:val="0089658B"/>
    <w:rsid w:val="008966E7"/>
    <w:rsid w:val="008968E5"/>
    <w:rsid w:val="00896BCF"/>
    <w:rsid w:val="00896C17"/>
    <w:rsid w:val="0089703C"/>
    <w:rsid w:val="0089749B"/>
    <w:rsid w:val="00897C7A"/>
    <w:rsid w:val="00897DF8"/>
    <w:rsid w:val="008A0691"/>
    <w:rsid w:val="008A0DA9"/>
    <w:rsid w:val="008A0E75"/>
    <w:rsid w:val="008A1ADC"/>
    <w:rsid w:val="008A1AF9"/>
    <w:rsid w:val="008A1F30"/>
    <w:rsid w:val="008A230D"/>
    <w:rsid w:val="008A2F92"/>
    <w:rsid w:val="008A31BA"/>
    <w:rsid w:val="008A4378"/>
    <w:rsid w:val="008A4455"/>
    <w:rsid w:val="008A5606"/>
    <w:rsid w:val="008A5B62"/>
    <w:rsid w:val="008B06EE"/>
    <w:rsid w:val="008B0B4C"/>
    <w:rsid w:val="008B0D85"/>
    <w:rsid w:val="008B1AD3"/>
    <w:rsid w:val="008B1C17"/>
    <w:rsid w:val="008B1D8F"/>
    <w:rsid w:val="008B1FD6"/>
    <w:rsid w:val="008B2060"/>
    <w:rsid w:val="008B210B"/>
    <w:rsid w:val="008B2B82"/>
    <w:rsid w:val="008B2C7B"/>
    <w:rsid w:val="008B3069"/>
    <w:rsid w:val="008B3133"/>
    <w:rsid w:val="008B3614"/>
    <w:rsid w:val="008B390C"/>
    <w:rsid w:val="008B3EE0"/>
    <w:rsid w:val="008B419B"/>
    <w:rsid w:val="008B42C2"/>
    <w:rsid w:val="008B48A5"/>
    <w:rsid w:val="008B4D3C"/>
    <w:rsid w:val="008B5720"/>
    <w:rsid w:val="008B59E4"/>
    <w:rsid w:val="008B5D59"/>
    <w:rsid w:val="008B6DB7"/>
    <w:rsid w:val="008B738F"/>
    <w:rsid w:val="008C0377"/>
    <w:rsid w:val="008C05AC"/>
    <w:rsid w:val="008C05E4"/>
    <w:rsid w:val="008C0BE3"/>
    <w:rsid w:val="008C1362"/>
    <w:rsid w:val="008C1B89"/>
    <w:rsid w:val="008C1E6F"/>
    <w:rsid w:val="008C1E90"/>
    <w:rsid w:val="008C254E"/>
    <w:rsid w:val="008C262D"/>
    <w:rsid w:val="008C2A11"/>
    <w:rsid w:val="008C3FA0"/>
    <w:rsid w:val="008C44B2"/>
    <w:rsid w:val="008C44CF"/>
    <w:rsid w:val="008C4AE8"/>
    <w:rsid w:val="008C4C0F"/>
    <w:rsid w:val="008C50E3"/>
    <w:rsid w:val="008C5B11"/>
    <w:rsid w:val="008C5E6E"/>
    <w:rsid w:val="008C600E"/>
    <w:rsid w:val="008C6410"/>
    <w:rsid w:val="008C694F"/>
    <w:rsid w:val="008C6A7E"/>
    <w:rsid w:val="008C6F2C"/>
    <w:rsid w:val="008C77D2"/>
    <w:rsid w:val="008C7ADD"/>
    <w:rsid w:val="008D0067"/>
    <w:rsid w:val="008D01A6"/>
    <w:rsid w:val="008D0D5E"/>
    <w:rsid w:val="008D100D"/>
    <w:rsid w:val="008D188F"/>
    <w:rsid w:val="008D1B75"/>
    <w:rsid w:val="008D21DE"/>
    <w:rsid w:val="008D3245"/>
    <w:rsid w:val="008D32BE"/>
    <w:rsid w:val="008D34A7"/>
    <w:rsid w:val="008D3703"/>
    <w:rsid w:val="008D4037"/>
    <w:rsid w:val="008D4305"/>
    <w:rsid w:val="008D57AC"/>
    <w:rsid w:val="008D59C2"/>
    <w:rsid w:val="008D6247"/>
    <w:rsid w:val="008D63A1"/>
    <w:rsid w:val="008D63F3"/>
    <w:rsid w:val="008D6925"/>
    <w:rsid w:val="008D69D5"/>
    <w:rsid w:val="008D7096"/>
    <w:rsid w:val="008D70EF"/>
    <w:rsid w:val="008D7286"/>
    <w:rsid w:val="008D76BE"/>
    <w:rsid w:val="008D7736"/>
    <w:rsid w:val="008D7EAD"/>
    <w:rsid w:val="008E0CD2"/>
    <w:rsid w:val="008E1C0B"/>
    <w:rsid w:val="008E1DBD"/>
    <w:rsid w:val="008E1E15"/>
    <w:rsid w:val="008E2785"/>
    <w:rsid w:val="008E2975"/>
    <w:rsid w:val="008E2FF6"/>
    <w:rsid w:val="008E3722"/>
    <w:rsid w:val="008E3920"/>
    <w:rsid w:val="008E3AC7"/>
    <w:rsid w:val="008E5053"/>
    <w:rsid w:val="008E537E"/>
    <w:rsid w:val="008E55FC"/>
    <w:rsid w:val="008E5930"/>
    <w:rsid w:val="008E6176"/>
    <w:rsid w:val="008E618A"/>
    <w:rsid w:val="008E69CA"/>
    <w:rsid w:val="008E7117"/>
    <w:rsid w:val="008E7273"/>
    <w:rsid w:val="008E7434"/>
    <w:rsid w:val="008E7F51"/>
    <w:rsid w:val="008F036B"/>
    <w:rsid w:val="008F0436"/>
    <w:rsid w:val="008F0487"/>
    <w:rsid w:val="008F0B7D"/>
    <w:rsid w:val="008F14DB"/>
    <w:rsid w:val="008F182D"/>
    <w:rsid w:val="008F1D9E"/>
    <w:rsid w:val="008F1DCE"/>
    <w:rsid w:val="008F2068"/>
    <w:rsid w:val="008F2333"/>
    <w:rsid w:val="008F2BF5"/>
    <w:rsid w:val="008F305F"/>
    <w:rsid w:val="008F4141"/>
    <w:rsid w:val="008F440F"/>
    <w:rsid w:val="008F4474"/>
    <w:rsid w:val="008F4DF3"/>
    <w:rsid w:val="008F5065"/>
    <w:rsid w:val="008F52D4"/>
    <w:rsid w:val="008F5361"/>
    <w:rsid w:val="008F5FB1"/>
    <w:rsid w:val="008F6066"/>
    <w:rsid w:val="008F620C"/>
    <w:rsid w:val="008F6970"/>
    <w:rsid w:val="008F6F0E"/>
    <w:rsid w:val="008F7F52"/>
    <w:rsid w:val="00900380"/>
    <w:rsid w:val="0090075E"/>
    <w:rsid w:val="00901406"/>
    <w:rsid w:val="00901D51"/>
    <w:rsid w:val="00901EE8"/>
    <w:rsid w:val="00902364"/>
    <w:rsid w:val="009023F1"/>
    <w:rsid w:val="0090250E"/>
    <w:rsid w:val="00902EE0"/>
    <w:rsid w:val="00903469"/>
    <w:rsid w:val="0090392B"/>
    <w:rsid w:val="0090392F"/>
    <w:rsid w:val="00904061"/>
    <w:rsid w:val="00904438"/>
    <w:rsid w:val="0090446C"/>
    <w:rsid w:val="00904D18"/>
    <w:rsid w:val="00904ED7"/>
    <w:rsid w:val="00905487"/>
    <w:rsid w:val="00905651"/>
    <w:rsid w:val="00905763"/>
    <w:rsid w:val="00905A31"/>
    <w:rsid w:val="0090612E"/>
    <w:rsid w:val="009064CC"/>
    <w:rsid w:val="0090664F"/>
    <w:rsid w:val="00906B66"/>
    <w:rsid w:val="0090771E"/>
    <w:rsid w:val="00907923"/>
    <w:rsid w:val="00907B86"/>
    <w:rsid w:val="00907D42"/>
    <w:rsid w:val="00907D5F"/>
    <w:rsid w:val="009101D7"/>
    <w:rsid w:val="0091039E"/>
    <w:rsid w:val="00910A04"/>
    <w:rsid w:val="00910DDD"/>
    <w:rsid w:val="00910F0F"/>
    <w:rsid w:val="00911109"/>
    <w:rsid w:val="0091145F"/>
    <w:rsid w:val="009127D5"/>
    <w:rsid w:val="0091389D"/>
    <w:rsid w:val="0091438E"/>
    <w:rsid w:val="00914FD2"/>
    <w:rsid w:val="009154FE"/>
    <w:rsid w:val="0091617E"/>
    <w:rsid w:val="00916287"/>
    <w:rsid w:val="0091644C"/>
    <w:rsid w:val="00916BD3"/>
    <w:rsid w:val="00916F04"/>
    <w:rsid w:val="009171B0"/>
    <w:rsid w:val="00917C1A"/>
    <w:rsid w:val="00917E0A"/>
    <w:rsid w:val="00917E54"/>
    <w:rsid w:val="00917E57"/>
    <w:rsid w:val="00917FF5"/>
    <w:rsid w:val="0092003B"/>
    <w:rsid w:val="009204D2"/>
    <w:rsid w:val="00921208"/>
    <w:rsid w:val="0092148C"/>
    <w:rsid w:val="00921855"/>
    <w:rsid w:val="00921D4F"/>
    <w:rsid w:val="009226F9"/>
    <w:rsid w:val="0092283A"/>
    <w:rsid w:val="0092284D"/>
    <w:rsid w:val="0092285E"/>
    <w:rsid w:val="00922E40"/>
    <w:rsid w:val="009231DA"/>
    <w:rsid w:val="0092378A"/>
    <w:rsid w:val="00925009"/>
    <w:rsid w:val="0092508B"/>
    <w:rsid w:val="009258A9"/>
    <w:rsid w:val="00925F4C"/>
    <w:rsid w:val="00926EB7"/>
    <w:rsid w:val="00926F41"/>
    <w:rsid w:val="00926F5B"/>
    <w:rsid w:val="00926FDE"/>
    <w:rsid w:val="009271F4"/>
    <w:rsid w:val="009273E0"/>
    <w:rsid w:val="009275F5"/>
    <w:rsid w:val="009276BD"/>
    <w:rsid w:val="00927CEE"/>
    <w:rsid w:val="00927F32"/>
    <w:rsid w:val="0093059C"/>
    <w:rsid w:val="00930D32"/>
    <w:rsid w:val="00930DBE"/>
    <w:rsid w:val="0093118D"/>
    <w:rsid w:val="00931647"/>
    <w:rsid w:val="00931806"/>
    <w:rsid w:val="00931CA3"/>
    <w:rsid w:val="00932541"/>
    <w:rsid w:val="009329E6"/>
    <w:rsid w:val="009330BC"/>
    <w:rsid w:val="0093320A"/>
    <w:rsid w:val="00933AD5"/>
    <w:rsid w:val="00933F6D"/>
    <w:rsid w:val="0093451B"/>
    <w:rsid w:val="0093468D"/>
    <w:rsid w:val="0093497B"/>
    <w:rsid w:val="00934B65"/>
    <w:rsid w:val="0093509F"/>
    <w:rsid w:val="00935EF9"/>
    <w:rsid w:val="0093626A"/>
    <w:rsid w:val="00936507"/>
    <w:rsid w:val="00936684"/>
    <w:rsid w:val="00936A7F"/>
    <w:rsid w:val="00936C9C"/>
    <w:rsid w:val="00936CD2"/>
    <w:rsid w:val="00937241"/>
    <w:rsid w:val="0093773C"/>
    <w:rsid w:val="00937F72"/>
    <w:rsid w:val="009409C2"/>
    <w:rsid w:val="00940AC5"/>
    <w:rsid w:val="0094153D"/>
    <w:rsid w:val="00941B77"/>
    <w:rsid w:val="00942286"/>
    <w:rsid w:val="009423B3"/>
    <w:rsid w:val="00943A20"/>
    <w:rsid w:val="00943D66"/>
    <w:rsid w:val="009448DE"/>
    <w:rsid w:val="00944DD9"/>
    <w:rsid w:val="00944FD7"/>
    <w:rsid w:val="00945431"/>
    <w:rsid w:val="009454D5"/>
    <w:rsid w:val="00945B49"/>
    <w:rsid w:val="00945BA8"/>
    <w:rsid w:val="00945EC8"/>
    <w:rsid w:val="009460B4"/>
    <w:rsid w:val="00946CC3"/>
    <w:rsid w:val="00947313"/>
    <w:rsid w:val="00950ECB"/>
    <w:rsid w:val="00951135"/>
    <w:rsid w:val="00951BC9"/>
    <w:rsid w:val="00952484"/>
    <w:rsid w:val="00952DFE"/>
    <w:rsid w:val="00952F37"/>
    <w:rsid w:val="009536FB"/>
    <w:rsid w:val="00953895"/>
    <w:rsid w:val="009538F3"/>
    <w:rsid w:val="00953CAA"/>
    <w:rsid w:val="00953CCC"/>
    <w:rsid w:val="00954596"/>
    <w:rsid w:val="009548E1"/>
    <w:rsid w:val="00954AA6"/>
    <w:rsid w:val="00954CDA"/>
    <w:rsid w:val="00954F4D"/>
    <w:rsid w:val="0095507A"/>
    <w:rsid w:val="00955C23"/>
    <w:rsid w:val="00956045"/>
    <w:rsid w:val="009563EA"/>
    <w:rsid w:val="0095657B"/>
    <w:rsid w:val="00957423"/>
    <w:rsid w:val="00957838"/>
    <w:rsid w:val="00957952"/>
    <w:rsid w:val="00957B10"/>
    <w:rsid w:val="00960204"/>
    <w:rsid w:val="00960212"/>
    <w:rsid w:val="00960337"/>
    <w:rsid w:val="009609FF"/>
    <w:rsid w:val="00960A85"/>
    <w:rsid w:val="00961683"/>
    <w:rsid w:val="009623AB"/>
    <w:rsid w:val="009623CE"/>
    <w:rsid w:val="00963801"/>
    <w:rsid w:val="0096407B"/>
    <w:rsid w:val="009640FA"/>
    <w:rsid w:val="009649DD"/>
    <w:rsid w:val="00964DA1"/>
    <w:rsid w:val="00964DD2"/>
    <w:rsid w:val="00965067"/>
    <w:rsid w:val="00965DB0"/>
    <w:rsid w:val="009662BB"/>
    <w:rsid w:val="009662FF"/>
    <w:rsid w:val="00966F8D"/>
    <w:rsid w:val="009672E3"/>
    <w:rsid w:val="009675FF"/>
    <w:rsid w:val="00967DFF"/>
    <w:rsid w:val="00970038"/>
    <w:rsid w:val="00970C46"/>
    <w:rsid w:val="00971303"/>
    <w:rsid w:val="00971970"/>
    <w:rsid w:val="00971E2D"/>
    <w:rsid w:val="0097210B"/>
    <w:rsid w:val="00972B45"/>
    <w:rsid w:val="00972EDA"/>
    <w:rsid w:val="00972F14"/>
    <w:rsid w:val="00973217"/>
    <w:rsid w:val="009732CE"/>
    <w:rsid w:val="00973BC8"/>
    <w:rsid w:val="00973E7B"/>
    <w:rsid w:val="009749EC"/>
    <w:rsid w:val="00974A0C"/>
    <w:rsid w:val="00975702"/>
    <w:rsid w:val="009758B1"/>
    <w:rsid w:val="009758D6"/>
    <w:rsid w:val="009759B8"/>
    <w:rsid w:val="00975CC8"/>
    <w:rsid w:val="0097604F"/>
    <w:rsid w:val="009760AA"/>
    <w:rsid w:val="0097617F"/>
    <w:rsid w:val="009766C9"/>
    <w:rsid w:val="009772E0"/>
    <w:rsid w:val="00977320"/>
    <w:rsid w:val="00977772"/>
    <w:rsid w:val="00977C8F"/>
    <w:rsid w:val="00977CC5"/>
    <w:rsid w:val="009805F7"/>
    <w:rsid w:val="00980969"/>
    <w:rsid w:val="00980ADC"/>
    <w:rsid w:val="009819A3"/>
    <w:rsid w:val="009821A4"/>
    <w:rsid w:val="009824B7"/>
    <w:rsid w:val="00982B99"/>
    <w:rsid w:val="009832DA"/>
    <w:rsid w:val="00983A26"/>
    <w:rsid w:val="00983E59"/>
    <w:rsid w:val="009841B0"/>
    <w:rsid w:val="0098424F"/>
    <w:rsid w:val="009842F6"/>
    <w:rsid w:val="00984724"/>
    <w:rsid w:val="00985231"/>
    <w:rsid w:val="00985DFC"/>
    <w:rsid w:val="0098612D"/>
    <w:rsid w:val="0098639C"/>
    <w:rsid w:val="00986B0D"/>
    <w:rsid w:val="00986B6D"/>
    <w:rsid w:val="00986CF7"/>
    <w:rsid w:val="009878ED"/>
    <w:rsid w:val="00987932"/>
    <w:rsid w:val="009900DA"/>
    <w:rsid w:val="00990106"/>
    <w:rsid w:val="009901F0"/>
    <w:rsid w:val="0099044D"/>
    <w:rsid w:val="00990EBC"/>
    <w:rsid w:val="009919C7"/>
    <w:rsid w:val="00991A50"/>
    <w:rsid w:val="00991B11"/>
    <w:rsid w:val="00991C91"/>
    <w:rsid w:val="009922AB"/>
    <w:rsid w:val="00992B49"/>
    <w:rsid w:val="00992BC5"/>
    <w:rsid w:val="00992C66"/>
    <w:rsid w:val="00992CC1"/>
    <w:rsid w:val="00992D0F"/>
    <w:rsid w:val="00992E54"/>
    <w:rsid w:val="009931C9"/>
    <w:rsid w:val="009935FE"/>
    <w:rsid w:val="00993775"/>
    <w:rsid w:val="00993B4A"/>
    <w:rsid w:val="00993E69"/>
    <w:rsid w:val="00994537"/>
    <w:rsid w:val="009951A4"/>
    <w:rsid w:val="009951C3"/>
    <w:rsid w:val="00995B00"/>
    <w:rsid w:val="00995BD4"/>
    <w:rsid w:val="0099619D"/>
    <w:rsid w:val="00996AAD"/>
    <w:rsid w:val="009978B5"/>
    <w:rsid w:val="009A0AE2"/>
    <w:rsid w:val="009A116A"/>
    <w:rsid w:val="009A29B2"/>
    <w:rsid w:val="009A2D28"/>
    <w:rsid w:val="009A39BD"/>
    <w:rsid w:val="009A3DB7"/>
    <w:rsid w:val="009A3E24"/>
    <w:rsid w:val="009A4196"/>
    <w:rsid w:val="009A4250"/>
    <w:rsid w:val="009A4802"/>
    <w:rsid w:val="009A4E8F"/>
    <w:rsid w:val="009A4FFD"/>
    <w:rsid w:val="009A51AE"/>
    <w:rsid w:val="009A56BD"/>
    <w:rsid w:val="009A5C0A"/>
    <w:rsid w:val="009B12D5"/>
    <w:rsid w:val="009B1672"/>
    <w:rsid w:val="009B2179"/>
    <w:rsid w:val="009B2991"/>
    <w:rsid w:val="009B2BD1"/>
    <w:rsid w:val="009B3237"/>
    <w:rsid w:val="009B3855"/>
    <w:rsid w:val="009B4B48"/>
    <w:rsid w:val="009B5188"/>
    <w:rsid w:val="009B5815"/>
    <w:rsid w:val="009B5876"/>
    <w:rsid w:val="009B5BB5"/>
    <w:rsid w:val="009B5F1C"/>
    <w:rsid w:val="009B5FFC"/>
    <w:rsid w:val="009B63E0"/>
    <w:rsid w:val="009B65F4"/>
    <w:rsid w:val="009B6A4D"/>
    <w:rsid w:val="009B6EFD"/>
    <w:rsid w:val="009B7176"/>
    <w:rsid w:val="009B774B"/>
    <w:rsid w:val="009B7A4E"/>
    <w:rsid w:val="009B7CE8"/>
    <w:rsid w:val="009C098A"/>
    <w:rsid w:val="009C0DF2"/>
    <w:rsid w:val="009C13EA"/>
    <w:rsid w:val="009C1568"/>
    <w:rsid w:val="009C1973"/>
    <w:rsid w:val="009C2229"/>
    <w:rsid w:val="009C256F"/>
    <w:rsid w:val="009C28DD"/>
    <w:rsid w:val="009C2A57"/>
    <w:rsid w:val="009C3876"/>
    <w:rsid w:val="009C3B6C"/>
    <w:rsid w:val="009C421C"/>
    <w:rsid w:val="009C4279"/>
    <w:rsid w:val="009C4301"/>
    <w:rsid w:val="009C52DA"/>
    <w:rsid w:val="009C5719"/>
    <w:rsid w:val="009C5C2C"/>
    <w:rsid w:val="009C5EF6"/>
    <w:rsid w:val="009C69BB"/>
    <w:rsid w:val="009C704A"/>
    <w:rsid w:val="009C73E5"/>
    <w:rsid w:val="009C79F5"/>
    <w:rsid w:val="009C7A8B"/>
    <w:rsid w:val="009D0208"/>
    <w:rsid w:val="009D0B05"/>
    <w:rsid w:val="009D1F54"/>
    <w:rsid w:val="009D2059"/>
    <w:rsid w:val="009D20BB"/>
    <w:rsid w:val="009D219E"/>
    <w:rsid w:val="009D275D"/>
    <w:rsid w:val="009D2A95"/>
    <w:rsid w:val="009D3C08"/>
    <w:rsid w:val="009D3D11"/>
    <w:rsid w:val="009D3F0B"/>
    <w:rsid w:val="009D408E"/>
    <w:rsid w:val="009D4A62"/>
    <w:rsid w:val="009D4AEB"/>
    <w:rsid w:val="009D4B71"/>
    <w:rsid w:val="009D4C87"/>
    <w:rsid w:val="009D4CCD"/>
    <w:rsid w:val="009D4D6D"/>
    <w:rsid w:val="009D52DB"/>
    <w:rsid w:val="009D6118"/>
    <w:rsid w:val="009D6910"/>
    <w:rsid w:val="009D6A63"/>
    <w:rsid w:val="009D720C"/>
    <w:rsid w:val="009D724B"/>
    <w:rsid w:val="009D7611"/>
    <w:rsid w:val="009D7B66"/>
    <w:rsid w:val="009E134A"/>
    <w:rsid w:val="009E1756"/>
    <w:rsid w:val="009E19EC"/>
    <w:rsid w:val="009E1D33"/>
    <w:rsid w:val="009E2182"/>
    <w:rsid w:val="009E22C3"/>
    <w:rsid w:val="009E250D"/>
    <w:rsid w:val="009E26BC"/>
    <w:rsid w:val="009E3700"/>
    <w:rsid w:val="009E3A0F"/>
    <w:rsid w:val="009E3E16"/>
    <w:rsid w:val="009E3F8F"/>
    <w:rsid w:val="009E4000"/>
    <w:rsid w:val="009E4889"/>
    <w:rsid w:val="009E4970"/>
    <w:rsid w:val="009E5357"/>
    <w:rsid w:val="009E5611"/>
    <w:rsid w:val="009E5720"/>
    <w:rsid w:val="009E5CE7"/>
    <w:rsid w:val="009E5EFD"/>
    <w:rsid w:val="009E5FFC"/>
    <w:rsid w:val="009E686A"/>
    <w:rsid w:val="009E6B52"/>
    <w:rsid w:val="009E6F73"/>
    <w:rsid w:val="009E709A"/>
    <w:rsid w:val="009E777F"/>
    <w:rsid w:val="009E7D5E"/>
    <w:rsid w:val="009E7D7E"/>
    <w:rsid w:val="009F01AD"/>
    <w:rsid w:val="009F04F9"/>
    <w:rsid w:val="009F0585"/>
    <w:rsid w:val="009F1534"/>
    <w:rsid w:val="009F1661"/>
    <w:rsid w:val="009F17EF"/>
    <w:rsid w:val="009F35F5"/>
    <w:rsid w:val="009F3CCB"/>
    <w:rsid w:val="009F3DEF"/>
    <w:rsid w:val="009F471F"/>
    <w:rsid w:val="009F48ED"/>
    <w:rsid w:val="009F4B99"/>
    <w:rsid w:val="009F4E17"/>
    <w:rsid w:val="009F55E6"/>
    <w:rsid w:val="009F5AD5"/>
    <w:rsid w:val="009F5C4A"/>
    <w:rsid w:val="009F5F23"/>
    <w:rsid w:val="009F6480"/>
    <w:rsid w:val="009F680E"/>
    <w:rsid w:val="009F68E7"/>
    <w:rsid w:val="009F6A64"/>
    <w:rsid w:val="009F7551"/>
    <w:rsid w:val="009F7744"/>
    <w:rsid w:val="009F7826"/>
    <w:rsid w:val="009F7A6F"/>
    <w:rsid w:val="00A00788"/>
    <w:rsid w:val="00A012F2"/>
    <w:rsid w:val="00A01684"/>
    <w:rsid w:val="00A0172A"/>
    <w:rsid w:val="00A017D6"/>
    <w:rsid w:val="00A018F4"/>
    <w:rsid w:val="00A01B53"/>
    <w:rsid w:val="00A02212"/>
    <w:rsid w:val="00A028FE"/>
    <w:rsid w:val="00A03B3F"/>
    <w:rsid w:val="00A042D0"/>
    <w:rsid w:val="00A049D1"/>
    <w:rsid w:val="00A04D81"/>
    <w:rsid w:val="00A05400"/>
    <w:rsid w:val="00A05572"/>
    <w:rsid w:val="00A057BC"/>
    <w:rsid w:val="00A05DD2"/>
    <w:rsid w:val="00A06665"/>
    <w:rsid w:val="00A06E04"/>
    <w:rsid w:val="00A07B5A"/>
    <w:rsid w:val="00A07D61"/>
    <w:rsid w:val="00A07FC0"/>
    <w:rsid w:val="00A10CA2"/>
    <w:rsid w:val="00A116AD"/>
    <w:rsid w:val="00A11A56"/>
    <w:rsid w:val="00A120AA"/>
    <w:rsid w:val="00A1223C"/>
    <w:rsid w:val="00A12383"/>
    <w:rsid w:val="00A1325D"/>
    <w:rsid w:val="00A13868"/>
    <w:rsid w:val="00A13FB4"/>
    <w:rsid w:val="00A1428B"/>
    <w:rsid w:val="00A14B13"/>
    <w:rsid w:val="00A14CC3"/>
    <w:rsid w:val="00A14F00"/>
    <w:rsid w:val="00A15A0F"/>
    <w:rsid w:val="00A15EFC"/>
    <w:rsid w:val="00A16B50"/>
    <w:rsid w:val="00A16BA3"/>
    <w:rsid w:val="00A17501"/>
    <w:rsid w:val="00A17CB7"/>
    <w:rsid w:val="00A207F1"/>
    <w:rsid w:val="00A21550"/>
    <w:rsid w:val="00A21CBA"/>
    <w:rsid w:val="00A22B23"/>
    <w:rsid w:val="00A2307C"/>
    <w:rsid w:val="00A230B8"/>
    <w:rsid w:val="00A23377"/>
    <w:rsid w:val="00A233B1"/>
    <w:rsid w:val="00A236DD"/>
    <w:rsid w:val="00A24172"/>
    <w:rsid w:val="00A246F8"/>
    <w:rsid w:val="00A24CAB"/>
    <w:rsid w:val="00A2541B"/>
    <w:rsid w:val="00A25472"/>
    <w:rsid w:val="00A2592F"/>
    <w:rsid w:val="00A26327"/>
    <w:rsid w:val="00A26FAE"/>
    <w:rsid w:val="00A2719F"/>
    <w:rsid w:val="00A27227"/>
    <w:rsid w:val="00A30272"/>
    <w:rsid w:val="00A30415"/>
    <w:rsid w:val="00A30A8D"/>
    <w:rsid w:val="00A31E69"/>
    <w:rsid w:val="00A3224D"/>
    <w:rsid w:val="00A32A47"/>
    <w:rsid w:val="00A331D1"/>
    <w:rsid w:val="00A33D9B"/>
    <w:rsid w:val="00A3425D"/>
    <w:rsid w:val="00A345B2"/>
    <w:rsid w:val="00A34704"/>
    <w:rsid w:val="00A35D52"/>
    <w:rsid w:val="00A365D8"/>
    <w:rsid w:val="00A36D13"/>
    <w:rsid w:val="00A37015"/>
    <w:rsid w:val="00A37211"/>
    <w:rsid w:val="00A37579"/>
    <w:rsid w:val="00A37791"/>
    <w:rsid w:val="00A401E1"/>
    <w:rsid w:val="00A4029C"/>
    <w:rsid w:val="00A403B8"/>
    <w:rsid w:val="00A4049D"/>
    <w:rsid w:val="00A410D7"/>
    <w:rsid w:val="00A4156C"/>
    <w:rsid w:val="00A41DED"/>
    <w:rsid w:val="00A4241F"/>
    <w:rsid w:val="00A42744"/>
    <w:rsid w:val="00A42BD6"/>
    <w:rsid w:val="00A42C80"/>
    <w:rsid w:val="00A42FF6"/>
    <w:rsid w:val="00A435EA"/>
    <w:rsid w:val="00A43886"/>
    <w:rsid w:val="00A439CB"/>
    <w:rsid w:val="00A43B5D"/>
    <w:rsid w:val="00A43CED"/>
    <w:rsid w:val="00A43E4C"/>
    <w:rsid w:val="00A440C0"/>
    <w:rsid w:val="00A455CA"/>
    <w:rsid w:val="00A45777"/>
    <w:rsid w:val="00A45832"/>
    <w:rsid w:val="00A45881"/>
    <w:rsid w:val="00A45CAA"/>
    <w:rsid w:val="00A4634E"/>
    <w:rsid w:val="00A4638F"/>
    <w:rsid w:val="00A4667C"/>
    <w:rsid w:val="00A466DA"/>
    <w:rsid w:val="00A46C9D"/>
    <w:rsid w:val="00A46E3A"/>
    <w:rsid w:val="00A4711F"/>
    <w:rsid w:val="00A51130"/>
    <w:rsid w:val="00A514F9"/>
    <w:rsid w:val="00A51668"/>
    <w:rsid w:val="00A5181B"/>
    <w:rsid w:val="00A51CEA"/>
    <w:rsid w:val="00A52F52"/>
    <w:rsid w:val="00A532A6"/>
    <w:rsid w:val="00A53494"/>
    <w:rsid w:val="00A549DD"/>
    <w:rsid w:val="00A54D5F"/>
    <w:rsid w:val="00A554CC"/>
    <w:rsid w:val="00A5583E"/>
    <w:rsid w:val="00A563E3"/>
    <w:rsid w:val="00A56979"/>
    <w:rsid w:val="00A56A93"/>
    <w:rsid w:val="00A56DD7"/>
    <w:rsid w:val="00A57132"/>
    <w:rsid w:val="00A573C9"/>
    <w:rsid w:val="00A609C1"/>
    <w:rsid w:val="00A60D18"/>
    <w:rsid w:val="00A617C7"/>
    <w:rsid w:val="00A625E9"/>
    <w:rsid w:val="00A6260E"/>
    <w:rsid w:val="00A63464"/>
    <w:rsid w:val="00A634F2"/>
    <w:rsid w:val="00A639A8"/>
    <w:rsid w:val="00A63A2B"/>
    <w:rsid w:val="00A645CB"/>
    <w:rsid w:val="00A65483"/>
    <w:rsid w:val="00A655F6"/>
    <w:rsid w:val="00A65969"/>
    <w:rsid w:val="00A660E2"/>
    <w:rsid w:val="00A661F8"/>
    <w:rsid w:val="00A66AB0"/>
    <w:rsid w:val="00A66BDA"/>
    <w:rsid w:val="00A66C45"/>
    <w:rsid w:val="00A66D1F"/>
    <w:rsid w:val="00A67306"/>
    <w:rsid w:val="00A67FEA"/>
    <w:rsid w:val="00A7096E"/>
    <w:rsid w:val="00A70AFD"/>
    <w:rsid w:val="00A70D00"/>
    <w:rsid w:val="00A71CD2"/>
    <w:rsid w:val="00A71DDF"/>
    <w:rsid w:val="00A73491"/>
    <w:rsid w:val="00A73B30"/>
    <w:rsid w:val="00A73C67"/>
    <w:rsid w:val="00A73DD8"/>
    <w:rsid w:val="00A73E7A"/>
    <w:rsid w:val="00A74399"/>
    <w:rsid w:val="00A7445F"/>
    <w:rsid w:val="00A74A1C"/>
    <w:rsid w:val="00A75031"/>
    <w:rsid w:val="00A75110"/>
    <w:rsid w:val="00A7522C"/>
    <w:rsid w:val="00A752DD"/>
    <w:rsid w:val="00A75380"/>
    <w:rsid w:val="00A75490"/>
    <w:rsid w:val="00A757B8"/>
    <w:rsid w:val="00A75F19"/>
    <w:rsid w:val="00A7617A"/>
    <w:rsid w:val="00A76262"/>
    <w:rsid w:val="00A770CA"/>
    <w:rsid w:val="00A777EC"/>
    <w:rsid w:val="00A77BDA"/>
    <w:rsid w:val="00A80276"/>
    <w:rsid w:val="00A8048F"/>
    <w:rsid w:val="00A808E3"/>
    <w:rsid w:val="00A80E96"/>
    <w:rsid w:val="00A8153F"/>
    <w:rsid w:val="00A817F0"/>
    <w:rsid w:val="00A81A4F"/>
    <w:rsid w:val="00A82340"/>
    <w:rsid w:val="00A82A47"/>
    <w:rsid w:val="00A82A5C"/>
    <w:rsid w:val="00A82B19"/>
    <w:rsid w:val="00A834FF"/>
    <w:rsid w:val="00A83743"/>
    <w:rsid w:val="00A83F72"/>
    <w:rsid w:val="00A845B0"/>
    <w:rsid w:val="00A84630"/>
    <w:rsid w:val="00A84FF3"/>
    <w:rsid w:val="00A85ECB"/>
    <w:rsid w:val="00A86BDF"/>
    <w:rsid w:val="00A8748D"/>
    <w:rsid w:val="00A874A2"/>
    <w:rsid w:val="00A87886"/>
    <w:rsid w:val="00A87A70"/>
    <w:rsid w:val="00A87C55"/>
    <w:rsid w:val="00A9014B"/>
    <w:rsid w:val="00A90EE1"/>
    <w:rsid w:val="00A91BD9"/>
    <w:rsid w:val="00A92399"/>
    <w:rsid w:val="00A930FF"/>
    <w:rsid w:val="00A93643"/>
    <w:rsid w:val="00A939BC"/>
    <w:rsid w:val="00A93BC7"/>
    <w:rsid w:val="00A93DF3"/>
    <w:rsid w:val="00A9405B"/>
    <w:rsid w:val="00A9408C"/>
    <w:rsid w:val="00A95048"/>
    <w:rsid w:val="00A954D8"/>
    <w:rsid w:val="00A9650E"/>
    <w:rsid w:val="00A96FA6"/>
    <w:rsid w:val="00A97173"/>
    <w:rsid w:val="00A974E3"/>
    <w:rsid w:val="00A97671"/>
    <w:rsid w:val="00A9783D"/>
    <w:rsid w:val="00A97842"/>
    <w:rsid w:val="00A97BE3"/>
    <w:rsid w:val="00AA070D"/>
    <w:rsid w:val="00AA1065"/>
    <w:rsid w:val="00AA139A"/>
    <w:rsid w:val="00AA180F"/>
    <w:rsid w:val="00AA1AAA"/>
    <w:rsid w:val="00AA236B"/>
    <w:rsid w:val="00AA2F5D"/>
    <w:rsid w:val="00AA36A8"/>
    <w:rsid w:val="00AA3947"/>
    <w:rsid w:val="00AA3A72"/>
    <w:rsid w:val="00AA3DD2"/>
    <w:rsid w:val="00AA409C"/>
    <w:rsid w:val="00AA487C"/>
    <w:rsid w:val="00AA52E8"/>
    <w:rsid w:val="00AA5485"/>
    <w:rsid w:val="00AA549C"/>
    <w:rsid w:val="00AA56DB"/>
    <w:rsid w:val="00AA5FD2"/>
    <w:rsid w:val="00AA6317"/>
    <w:rsid w:val="00AA6501"/>
    <w:rsid w:val="00AA6D94"/>
    <w:rsid w:val="00AA7310"/>
    <w:rsid w:val="00AA7706"/>
    <w:rsid w:val="00AA7A02"/>
    <w:rsid w:val="00AA7AEB"/>
    <w:rsid w:val="00AA7B0B"/>
    <w:rsid w:val="00AA7D29"/>
    <w:rsid w:val="00AA7DD6"/>
    <w:rsid w:val="00AB0185"/>
    <w:rsid w:val="00AB03E6"/>
    <w:rsid w:val="00AB061E"/>
    <w:rsid w:val="00AB1F7F"/>
    <w:rsid w:val="00AB2909"/>
    <w:rsid w:val="00AB29C2"/>
    <w:rsid w:val="00AB2FD5"/>
    <w:rsid w:val="00AB3051"/>
    <w:rsid w:val="00AB34F3"/>
    <w:rsid w:val="00AB361B"/>
    <w:rsid w:val="00AB49A6"/>
    <w:rsid w:val="00AB4E8B"/>
    <w:rsid w:val="00AB51F7"/>
    <w:rsid w:val="00AB6A12"/>
    <w:rsid w:val="00AB70FF"/>
    <w:rsid w:val="00AB7261"/>
    <w:rsid w:val="00AB782F"/>
    <w:rsid w:val="00AB7BCC"/>
    <w:rsid w:val="00AB7C11"/>
    <w:rsid w:val="00AB7DD0"/>
    <w:rsid w:val="00AC05F3"/>
    <w:rsid w:val="00AC0921"/>
    <w:rsid w:val="00AC0983"/>
    <w:rsid w:val="00AC0DA0"/>
    <w:rsid w:val="00AC1679"/>
    <w:rsid w:val="00AC1785"/>
    <w:rsid w:val="00AC2034"/>
    <w:rsid w:val="00AC268E"/>
    <w:rsid w:val="00AC353E"/>
    <w:rsid w:val="00AC366C"/>
    <w:rsid w:val="00AC3E6A"/>
    <w:rsid w:val="00AC4573"/>
    <w:rsid w:val="00AC462D"/>
    <w:rsid w:val="00AC5565"/>
    <w:rsid w:val="00AC5A35"/>
    <w:rsid w:val="00AC5FBF"/>
    <w:rsid w:val="00AC6918"/>
    <w:rsid w:val="00AC7096"/>
    <w:rsid w:val="00AC70D2"/>
    <w:rsid w:val="00AC76EC"/>
    <w:rsid w:val="00AD05BD"/>
    <w:rsid w:val="00AD11AB"/>
    <w:rsid w:val="00AD1517"/>
    <w:rsid w:val="00AD1AFE"/>
    <w:rsid w:val="00AD2F29"/>
    <w:rsid w:val="00AD411F"/>
    <w:rsid w:val="00AD4380"/>
    <w:rsid w:val="00AD4402"/>
    <w:rsid w:val="00AD44BC"/>
    <w:rsid w:val="00AD4930"/>
    <w:rsid w:val="00AD4B9B"/>
    <w:rsid w:val="00AD4C46"/>
    <w:rsid w:val="00AD56A2"/>
    <w:rsid w:val="00AD5C53"/>
    <w:rsid w:val="00AD6300"/>
    <w:rsid w:val="00AD631B"/>
    <w:rsid w:val="00AD69C4"/>
    <w:rsid w:val="00AD6D7A"/>
    <w:rsid w:val="00AD6E4D"/>
    <w:rsid w:val="00AD6F6A"/>
    <w:rsid w:val="00AD71E3"/>
    <w:rsid w:val="00AD789B"/>
    <w:rsid w:val="00AD7DCC"/>
    <w:rsid w:val="00AD7F9C"/>
    <w:rsid w:val="00AE0069"/>
    <w:rsid w:val="00AE0181"/>
    <w:rsid w:val="00AE08B9"/>
    <w:rsid w:val="00AE0CA5"/>
    <w:rsid w:val="00AE1110"/>
    <w:rsid w:val="00AE1540"/>
    <w:rsid w:val="00AE176F"/>
    <w:rsid w:val="00AE1C9D"/>
    <w:rsid w:val="00AE26E7"/>
    <w:rsid w:val="00AE2CCC"/>
    <w:rsid w:val="00AE2E90"/>
    <w:rsid w:val="00AE3332"/>
    <w:rsid w:val="00AE36FD"/>
    <w:rsid w:val="00AE3824"/>
    <w:rsid w:val="00AE3884"/>
    <w:rsid w:val="00AE3E92"/>
    <w:rsid w:val="00AE421F"/>
    <w:rsid w:val="00AE4778"/>
    <w:rsid w:val="00AE5567"/>
    <w:rsid w:val="00AE58BB"/>
    <w:rsid w:val="00AE6350"/>
    <w:rsid w:val="00AE6884"/>
    <w:rsid w:val="00AE691B"/>
    <w:rsid w:val="00AE730A"/>
    <w:rsid w:val="00AE78B9"/>
    <w:rsid w:val="00AF04F9"/>
    <w:rsid w:val="00AF077F"/>
    <w:rsid w:val="00AF0980"/>
    <w:rsid w:val="00AF123F"/>
    <w:rsid w:val="00AF1B05"/>
    <w:rsid w:val="00AF1F2B"/>
    <w:rsid w:val="00AF28DD"/>
    <w:rsid w:val="00AF28FF"/>
    <w:rsid w:val="00AF2B6D"/>
    <w:rsid w:val="00AF3102"/>
    <w:rsid w:val="00AF32B2"/>
    <w:rsid w:val="00AF4118"/>
    <w:rsid w:val="00AF4503"/>
    <w:rsid w:val="00AF4570"/>
    <w:rsid w:val="00AF4839"/>
    <w:rsid w:val="00AF48F6"/>
    <w:rsid w:val="00AF552F"/>
    <w:rsid w:val="00AF6007"/>
    <w:rsid w:val="00AF659E"/>
    <w:rsid w:val="00AF6BD6"/>
    <w:rsid w:val="00AF6C0F"/>
    <w:rsid w:val="00B00CD8"/>
    <w:rsid w:val="00B015D9"/>
    <w:rsid w:val="00B017B6"/>
    <w:rsid w:val="00B018AB"/>
    <w:rsid w:val="00B0220B"/>
    <w:rsid w:val="00B02311"/>
    <w:rsid w:val="00B025D3"/>
    <w:rsid w:val="00B027D8"/>
    <w:rsid w:val="00B0319E"/>
    <w:rsid w:val="00B0322B"/>
    <w:rsid w:val="00B032B8"/>
    <w:rsid w:val="00B032D6"/>
    <w:rsid w:val="00B0331A"/>
    <w:rsid w:val="00B03598"/>
    <w:rsid w:val="00B0386B"/>
    <w:rsid w:val="00B03F4C"/>
    <w:rsid w:val="00B041B8"/>
    <w:rsid w:val="00B0492A"/>
    <w:rsid w:val="00B049B6"/>
    <w:rsid w:val="00B04E08"/>
    <w:rsid w:val="00B05124"/>
    <w:rsid w:val="00B058E3"/>
    <w:rsid w:val="00B06CC6"/>
    <w:rsid w:val="00B06EAB"/>
    <w:rsid w:val="00B072CE"/>
    <w:rsid w:val="00B0768F"/>
    <w:rsid w:val="00B07DC6"/>
    <w:rsid w:val="00B103A4"/>
    <w:rsid w:val="00B103B4"/>
    <w:rsid w:val="00B10494"/>
    <w:rsid w:val="00B10707"/>
    <w:rsid w:val="00B11208"/>
    <w:rsid w:val="00B11CBD"/>
    <w:rsid w:val="00B120F5"/>
    <w:rsid w:val="00B12769"/>
    <w:rsid w:val="00B1362E"/>
    <w:rsid w:val="00B139BC"/>
    <w:rsid w:val="00B140D8"/>
    <w:rsid w:val="00B14C88"/>
    <w:rsid w:val="00B14D8E"/>
    <w:rsid w:val="00B14FC9"/>
    <w:rsid w:val="00B1555E"/>
    <w:rsid w:val="00B15E4C"/>
    <w:rsid w:val="00B16283"/>
    <w:rsid w:val="00B16C54"/>
    <w:rsid w:val="00B16E67"/>
    <w:rsid w:val="00B17DF8"/>
    <w:rsid w:val="00B201FB"/>
    <w:rsid w:val="00B20565"/>
    <w:rsid w:val="00B20573"/>
    <w:rsid w:val="00B2066C"/>
    <w:rsid w:val="00B20A2E"/>
    <w:rsid w:val="00B20BBA"/>
    <w:rsid w:val="00B2138C"/>
    <w:rsid w:val="00B21531"/>
    <w:rsid w:val="00B21D29"/>
    <w:rsid w:val="00B21FF9"/>
    <w:rsid w:val="00B2233A"/>
    <w:rsid w:val="00B2283F"/>
    <w:rsid w:val="00B229C0"/>
    <w:rsid w:val="00B22D75"/>
    <w:rsid w:val="00B22F21"/>
    <w:rsid w:val="00B23DDC"/>
    <w:rsid w:val="00B247EF"/>
    <w:rsid w:val="00B24A46"/>
    <w:rsid w:val="00B25486"/>
    <w:rsid w:val="00B255BD"/>
    <w:rsid w:val="00B25659"/>
    <w:rsid w:val="00B25D74"/>
    <w:rsid w:val="00B2649E"/>
    <w:rsid w:val="00B273A9"/>
    <w:rsid w:val="00B274BD"/>
    <w:rsid w:val="00B2769E"/>
    <w:rsid w:val="00B277DF"/>
    <w:rsid w:val="00B27D1F"/>
    <w:rsid w:val="00B3018D"/>
    <w:rsid w:val="00B30AAF"/>
    <w:rsid w:val="00B30F7B"/>
    <w:rsid w:val="00B31068"/>
    <w:rsid w:val="00B33268"/>
    <w:rsid w:val="00B33B3A"/>
    <w:rsid w:val="00B3402F"/>
    <w:rsid w:val="00B346AC"/>
    <w:rsid w:val="00B34C0A"/>
    <w:rsid w:val="00B3527B"/>
    <w:rsid w:val="00B35D79"/>
    <w:rsid w:val="00B35DEB"/>
    <w:rsid w:val="00B36E77"/>
    <w:rsid w:val="00B36E85"/>
    <w:rsid w:val="00B37529"/>
    <w:rsid w:val="00B37DA8"/>
    <w:rsid w:val="00B409A8"/>
    <w:rsid w:val="00B40B6F"/>
    <w:rsid w:val="00B41801"/>
    <w:rsid w:val="00B4195E"/>
    <w:rsid w:val="00B41FC4"/>
    <w:rsid w:val="00B42290"/>
    <w:rsid w:val="00B42EC7"/>
    <w:rsid w:val="00B42F9A"/>
    <w:rsid w:val="00B43629"/>
    <w:rsid w:val="00B4397E"/>
    <w:rsid w:val="00B43DA6"/>
    <w:rsid w:val="00B43F8A"/>
    <w:rsid w:val="00B44175"/>
    <w:rsid w:val="00B44C58"/>
    <w:rsid w:val="00B45014"/>
    <w:rsid w:val="00B46BF8"/>
    <w:rsid w:val="00B46E84"/>
    <w:rsid w:val="00B47DE4"/>
    <w:rsid w:val="00B502B0"/>
    <w:rsid w:val="00B5242C"/>
    <w:rsid w:val="00B52814"/>
    <w:rsid w:val="00B52E92"/>
    <w:rsid w:val="00B534DB"/>
    <w:rsid w:val="00B54830"/>
    <w:rsid w:val="00B54E33"/>
    <w:rsid w:val="00B55589"/>
    <w:rsid w:val="00B56015"/>
    <w:rsid w:val="00B57318"/>
    <w:rsid w:val="00B579D6"/>
    <w:rsid w:val="00B57C2E"/>
    <w:rsid w:val="00B606CC"/>
    <w:rsid w:val="00B60A7A"/>
    <w:rsid w:val="00B614D0"/>
    <w:rsid w:val="00B61AEC"/>
    <w:rsid w:val="00B62119"/>
    <w:rsid w:val="00B6297C"/>
    <w:rsid w:val="00B6304C"/>
    <w:rsid w:val="00B632D6"/>
    <w:rsid w:val="00B63343"/>
    <w:rsid w:val="00B63816"/>
    <w:rsid w:val="00B63CD3"/>
    <w:rsid w:val="00B63ED4"/>
    <w:rsid w:val="00B647E1"/>
    <w:rsid w:val="00B64CD5"/>
    <w:rsid w:val="00B64D52"/>
    <w:rsid w:val="00B64E21"/>
    <w:rsid w:val="00B64F61"/>
    <w:rsid w:val="00B654B1"/>
    <w:rsid w:val="00B664F8"/>
    <w:rsid w:val="00B66635"/>
    <w:rsid w:val="00B66730"/>
    <w:rsid w:val="00B66A20"/>
    <w:rsid w:val="00B6702D"/>
    <w:rsid w:val="00B70617"/>
    <w:rsid w:val="00B70990"/>
    <w:rsid w:val="00B70B5F"/>
    <w:rsid w:val="00B70C93"/>
    <w:rsid w:val="00B716EC"/>
    <w:rsid w:val="00B71853"/>
    <w:rsid w:val="00B71AFB"/>
    <w:rsid w:val="00B71B21"/>
    <w:rsid w:val="00B71B8F"/>
    <w:rsid w:val="00B71FE9"/>
    <w:rsid w:val="00B7315E"/>
    <w:rsid w:val="00B73FCC"/>
    <w:rsid w:val="00B74166"/>
    <w:rsid w:val="00B74539"/>
    <w:rsid w:val="00B755C9"/>
    <w:rsid w:val="00B755F1"/>
    <w:rsid w:val="00B758E8"/>
    <w:rsid w:val="00B75DBA"/>
    <w:rsid w:val="00B75E18"/>
    <w:rsid w:val="00B763F0"/>
    <w:rsid w:val="00B76578"/>
    <w:rsid w:val="00B76AD9"/>
    <w:rsid w:val="00B77106"/>
    <w:rsid w:val="00B774A3"/>
    <w:rsid w:val="00B77798"/>
    <w:rsid w:val="00B77858"/>
    <w:rsid w:val="00B77B79"/>
    <w:rsid w:val="00B80036"/>
    <w:rsid w:val="00B80680"/>
    <w:rsid w:val="00B80767"/>
    <w:rsid w:val="00B80B8D"/>
    <w:rsid w:val="00B80F40"/>
    <w:rsid w:val="00B81578"/>
    <w:rsid w:val="00B815D8"/>
    <w:rsid w:val="00B81849"/>
    <w:rsid w:val="00B81894"/>
    <w:rsid w:val="00B81CFE"/>
    <w:rsid w:val="00B82817"/>
    <w:rsid w:val="00B82F3F"/>
    <w:rsid w:val="00B830FE"/>
    <w:rsid w:val="00B83153"/>
    <w:rsid w:val="00B83327"/>
    <w:rsid w:val="00B83878"/>
    <w:rsid w:val="00B839AC"/>
    <w:rsid w:val="00B84D82"/>
    <w:rsid w:val="00B85AEF"/>
    <w:rsid w:val="00B85C5F"/>
    <w:rsid w:val="00B85F36"/>
    <w:rsid w:val="00B8601D"/>
    <w:rsid w:val="00B8634E"/>
    <w:rsid w:val="00B86E1D"/>
    <w:rsid w:val="00B874CD"/>
    <w:rsid w:val="00B8750D"/>
    <w:rsid w:val="00B876B8"/>
    <w:rsid w:val="00B8789B"/>
    <w:rsid w:val="00B900C5"/>
    <w:rsid w:val="00B901C4"/>
    <w:rsid w:val="00B910DF"/>
    <w:rsid w:val="00B915D0"/>
    <w:rsid w:val="00B91E02"/>
    <w:rsid w:val="00B92098"/>
    <w:rsid w:val="00B9290A"/>
    <w:rsid w:val="00B92B1F"/>
    <w:rsid w:val="00B92CC6"/>
    <w:rsid w:val="00B92E74"/>
    <w:rsid w:val="00B92FEE"/>
    <w:rsid w:val="00B9320D"/>
    <w:rsid w:val="00B93C8D"/>
    <w:rsid w:val="00B94BEB"/>
    <w:rsid w:val="00B95464"/>
    <w:rsid w:val="00B95817"/>
    <w:rsid w:val="00B964B6"/>
    <w:rsid w:val="00B96612"/>
    <w:rsid w:val="00B968D7"/>
    <w:rsid w:val="00B968F0"/>
    <w:rsid w:val="00B970CA"/>
    <w:rsid w:val="00B97C2A"/>
    <w:rsid w:val="00B97CD8"/>
    <w:rsid w:val="00B97FAB"/>
    <w:rsid w:val="00BA00BD"/>
    <w:rsid w:val="00BA078A"/>
    <w:rsid w:val="00BA1001"/>
    <w:rsid w:val="00BA1A64"/>
    <w:rsid w:val="00BA24A8"/>
    <w:rsid w:val="00BA2AB2"/>
    <w:rsid w:val="00BA3CE0"/>
    <w:rsid w:val="00BA3E0B"/>
    <w:rsid w:val="00BA4725"/>
    <w:rsid w:val="00BA4811"/>
    <w:rsid w:val="00BA50A3"/>
    <w:rsid w:val="00BA56EB"/>
    <w:rsid w:val="00BA57F6"/>
    <w:rsid w:val="00BA6A42"/>
    <w:rsid w:val="00BA74F7"/>
    <w:rsid w:val="00BA7537"/>
    <w:rsid w:val="00BA75A6"/>
    <w:rsid w:val="00BA7CAF"/>
    <w:rsid w:val="00BB00FD"/>
    <w:rsid w:val="00BB0807"/>
    <w:rsid w:val="00BB0B3E"/>
    <w:rsid w:val="00BB0C4A"/>
    <w:rsid w:val="00BB0D5F"/>
    <w:rsid w:val="00BB12E6"/>
    <w:rsid w:val="00BB1490"/>
    <w:rsid w:val="00BB1604"/>
    <w:rsid w:val="00BB1882"/>
    <w:rsid w:val="00BB2611"/>
    <w:rsid w:val="00BB2889"/>
    <w:rsid w:val="00BB3553"/>
    <w:rsid w:val="00BB39B1"/>
    <w:rsid w:val="00BB3B7D"/>
    <w:rsid w:val="00BB3E87"/>
    <w:rsid w:val="00BB46E5"/>
    <w:rsid w:val="00BB52F1"/>
    <w:rsid w:val="00BB5D1D"/>
    <w:rsid w:val="00BB635A"/>
    <w:rsid w:val="00BB6B35"/>
    <w:rsid w:val="00BB70C0"/>
    <w:rsid w:val="00BB7206"/>
    <w:rsid w:val="00BB7389"/>
    <w:rsid w:val="00BB7459"/>
    <w:rsid w:val="00BB74C9"/>
    <w:rsid w:val="00BB7A35"/>
    <w:rsid w:val="00BB7A66"/>
    <w:rsid w:val="00BC01C2"/>
    <w:rsid w:val="00BC06E5"/>
    <w:rsid w:val="00BC11FB"/>
    <w:rsid w:val="00BC1973"/>
    <w:rsid w:val="00BC1A1A"/>
    <w:rsid w:val="00BC255E"/>
    <w:rsid w:val="00BC2749"/>
    <w:rsid w:val="00BC3669"/>
    <w:rsid w:val="00BC36C3"/>
    <w:rsid w:val="00BC3A19"/>
    <w:rsid w:val="00BC436B"/>
    <w:rsid w:val="00BC4543"/>
    <w:rsid w:val="00BC494A"/>
    <w:rsid w:val="00BC5405"/>
    <w:rsid w:val="00BC58B4"/>
    <w:rsid w:val="00BC5997"/>
    <w:rsid w:val="00BC59C2"/>
    <w:rsid w:val="00BC5C07"/>
    <w:rsid w:val="00BC5FBF"/>
    <w:rsid w:val="00BC5FD5"/>
    <w:rsid w:val="00BC60F7"/>
    <w:rsid w:val="00BC6731"/>
    <w:rsid w:val="00BC6A10"/>
    <w:rsid w:val="00BC6E13"/>
    <w:rsid w:val="00BC7944"/>
    <w:rsid w:val="00BC7BF9"/>
    <w:rsid w:val="00BC7D49"/>
    <w:rsid w:val="00BD0150"/>
    <w:rsid w:val="00BD028A"/>
    <w:rsid w:val="00BD0329"/>
    <w:rsid w:val="00BD03C1"/>
    <w:rsid w:val="00BD0815"/>
    <w:rsid w:val="00BD1218"/>
    <w:rsid w:val="00BD18E8"/>
    <w:rsid w:val="00BD2B80"/>
    <w:rsid w:val="00BD2BFA"/>
    <w:rsid w:val="00BD2E16"/>
    <w:rsid w:val="00BD31CD"/>
    <w:rsid w:val="00BD384E"/>
    <w:rsid w:val="00BD3C20"/>
    <w:rsid w:val="00BD3ECB"/>
    <w:rsid w:val="00BD40F9"/>
    <w:rsid w:val="00BD4135"/>
    <w:rsid w:val="00BD4A25"/>
    <w:rsid w:val="00BD4A93"/>
    <w:rsid w:val="00BD4C1D"/>
    <w:rsid w:val="00BD515B"/>
    <w:rsid w:val="00BD5C1B"/>
    <w:rsid w:val="00BD65AD"/>
    <w:rsid w:val="00BD688C"/>
    <w:rsid w:val="00BD7308"/>
    <w:rsid w:val="00BD79A0"/>
    <w:rsid w:val="00BD7E90"/>
    <w:rsid w:val="00BE0879"/>
    <w:rsid w:val="00BE13DD"/>
    <w:rsid w:val="00BE17FD"/>
    <w:rsid w:val="00BE1B80"/>
    <w:rsid w:val="00BE2100"/>
    <w:rsid w:val="00BE2E93"/>
    <w:rsid w:val="00BE30C1"/>
    <w:rsid w:val="00BE3391"/>
    <w:rsid w:val="00BE4B36"/>
    <w:rsid w:val="00BE50D0"/>
    <w:rsid w:val="00BE5734"/>
    <w:rsid w:val="00BE587A"/>
    <w:rsid w:val="00BE5E46"/>
    <w:rsid w:val="00BE5E9F"/>
    <w:rsid w:val="00BE6042"/>
    <w:rsid w:val="00BE6A40"/>
    <w:rsid w:val="00BE7020"/>
    <w:rsid w:val="00BE71BE"/>
    <w:rsid w:val="00BE72DA"/>
    <w:rsid w:val="00BF0063"/>
    <w:rsid w:val="00BF0756"/>
    <w:rsid w:val="00BF09C9"/>
    <w:rsid w:val="00BF0B81"/>
    <w:rsid w:val="00BF139C"/>
    <w:rsid w:val="00BF1895"/>
    <w:rsid w:val="00BF1C0E"/>
    <w:rsid w:val="00BF1FDB"/>
    <w:rsid w:val="00BF2491"/>
    <w:rsid w:val="00BF3000"/>
    <w:rsid w:val="00BF38E7"/>
    <w:rsid w:val="00BF3FCB"/>
    <w:rsid w:val="00BF44E9"/>
    <w:rsid w:val="00BF4761"/>
    <w:rsid w:val="00BF4BC0"/>
    <w:rsid w:val="00BF4F91"/>
    <w:rsid w:val="00BF6466"/>
    <w:rsid w:val="00BF7C59"/>
    <w:rsid w:val="00C0043B"/>
    <w:rsid w:val="00C005DB"/>
    <w:rsid w:val="00C007C7"/>
    <w:rsid w:val="00C00871"/>
    <w:rsid w:val="00C00D48"/>
    <w:rsid w:val="00C01D5F"/>
    <w:rsid w:val="00C021CD"/>
    <w:rsid w:val="00C0264C"/>
    <w:rsid w:val="00C0371D"/>
    <w:rsid w:val="00C03796"/>
    <w:rsid w:val="00C03D75"/>
    <w:rsid w:val="00C03F6C"/>
    <w:rsid w:val="00C05452"/>
    <w:rsid w:val="00C05891"/>
    <w:rsid w:val="00C06539"/>
    <w:rsid w:val="00C06937"/>
    <w:rsid w:val="00C06ED2"/>
    <w:rsid w:val="00C10336"/>
    <w:rsid w:val="00C1044A"/>
    <w:rsid w:val="00C10E76"/>
    <w:rsid w:val="00C10FB3"/>
    <w:rsid w:val="00C1136C"/>
    <w:rsid w:val="00C1178A"/>
    <w:rsid w:val="00C117F2"/>
    <w:rsid w:val="00C11B4C"/>
    <w:rsid w:val="00C12260"/>
    <w:rsid w:val="00C12B7B"/>
    <w:rsid w:val="00C130F2"/>
    <w:rsid w:val="00C13256"/>
    <w:rsid w:val="00C1350D"/>
    <w:rsid w:val="00C1353A"/>
    <w:rsid w:val="00C1402E"/>
    <w:rsid w:val="00C14263"/>
    <w:rsid w:val="00C14939"/>
    <w:rsid w:val="00C14C63"/>
    <w:rsid w:val="00C15702"/>
    <w:rsid w:val="00C15A7F"/>
    <w:rsid w:val="00C1651D"/>
    <w:rsid w:val="00C16598"/>
    <w:rsid w:val="00C169A7"/>
    <w:rsid w:val="00C16A46"/>
    <w:rsid w:val="00C170D1"/>
    <w:rsid w:val="00C1714C"/>
    <w:rsid w:val="00C17880"/>
    <w:rsid w:val="00C207A7"/>
    <w:rsid w:val="00C20E18"/>
    <w:rsid w:val="00C213BE"/>
    <w:rsid w:val="00C22651"/>
    <w:rsid w:val="00C23226"/>
    <w:rsid w:val="00C2354C"/>
    <w:rsid w:val="00C239CD"/>
    <w:rsid w:val="00C23CB9"/>
    <w:rsid w:val="00C23DBD"/>
    <w:rsid w:val="00C2503A"/>
    <w:rsid w:val="00C25255"/>
    <w:rsid w:val="00C26B0A"/>
    <w:rsid w:val="00C279DF"/>
    <w:rsid w:val="00C27BD9"/>
    <w:rsid w:val="00C3065C"/>
    <w:rsid w:val="00C30865"/>
    <w:rsid w:val="00C30930"/>
    <w:rsid w:val="00C30BE0"/>
    <w:rsid w:val="00C318FC"/>
    <w:rsid w:val="00C31ADB"/>
    <w:rsid w:val="00C31EA1"/>
    <w:rsid w:val="00C32206"/>
    <w:rsid w:val="00C3261A"/>
    <w:rsid w:val="00C327F0"/>
    <w:rsid w:val="00C3290B"/>
    <w:rsid w:val="00C32F07"/>
    <w:rsid w:val="00C33CD0"/>
    <w:rsid w:val="00C33D4C"/>
    <w:rsid w:val="00C347D7"/>
    <w:rsid w:val="00C34EDF"/>
    <w:rsid w:val="00C35733"/>
    <w:rsid w:val="00C3655D"/>
    <w:rsid w:val="00C365CF"/>
    <w:rsid w:val="00C36CE8"/>
    <w:rsid w:val="00C37AB6"/>
    <w:rsid w:val="00C37B0A"/>
    <w:rsid w:val="00C37CFA"/>
    <w:rsid w:val="00C37E97"/>
    <w:rsid w:val="00C40023"/>
    <w:rsid w:val="00C40370"/>
    <w:rsid w:val="00C40B96"/>
    <w:rsid w:val="00C40C59"/>
    <w:rsid w:val="00C40DA5"/>
    <w:rsid w:val="00C40DD1"/>
    <w:rsid w:val="00C40FB1"/>
    <w:rsid w:val="00C41697"/>
    <w:rsid w:val="00C419FA"/>
    <w:rsid w:val="00C41CF9"/>
    <w:rsid w:val="00C425EF"/>
    <w:rsid w:val="00C42735"/>
    <w:rsid w:val="00C42B40"/>
    <w:rsid w:val="00C43139"/>
    <w:rsid w:val="00C4359B"/>
    <w:rsid w:val="00C437FF"/>
    <w:rsid w:val="00C43C28"/>
    <w:rsid w:val="00C448C0"/>
    <w:rsid w:val="00C4512A"/>
    <w:rsid w:val="00C4543E"/>
    <w:rsid w:val="00C455E1"/>
    <w:rsid w:val="00C45B62"/>
    <w:rsid w:val="00C45F37"/>
    <w:rsid w:val="00C46123"/>
    <w:rsid w:val="00C465C7"/>
    <w:rsid w:val="00C46B98"/>
    <w:rsid w:val="00C47A7D"/>
    <w:rsid w:val="00C47CB7"/>
    <w:rsid w:val="00C47CB8"/>
    <w:rsid w:val="00C508C1"/>
    <w:rsid w:val="00C50A13"/>
    <w:rsid w:val="00C50D23"/>
    <w:rsid w:val="00C50D7A"/>
    <w:rsid w:val="00C50E37"/>
    <w:rsid w:val="00C517A4"/>
    <w:rsid w:val="00C51912"/>
    <w:rsid w:val="00C51943"/>
    <w:rsid w:val="00C52119"/>
    <w:rsid w:val="00C5268B"/>
    <w:rsid w:val="00C52B32"/>
    <w:rsid w:val="00C52C10"/>
    <w:rsid w:val="00C52C2B"/>
    <w:rsid w:val="00C52C54"/>
    <w:rsid w:val="00C52D78"/>
    <w:rsid w:val="00C53115"/>
    <w:rsid w:val="00C532B5"/>
    <w:rsid w:val="00C534BB"/>
    <w:rsid w:val="00C534C8"/>
    <w:rsid w:val="00C53BF7"/>
    <w:rsid w:val="00C53E3B"/>
    <w:rsid w:val="00C5491C"/>
    <w:rsid w:val="00C54E45"/>
    <w:rsid w:val="00C55050"/>
    <w:rsid w:val="00C551CB"/>
    <w:rsid w:val="00C552C6"/>
    <w:rsid w:val="00C55301"/>
    <w:rsid w:val="00C557D7"/>
    <w:rsid w:val="00C5643A"/>
    <w:rsid w:val="00C60285"/>
    <w:rsid w:val="00C6058E"/>
    <w:rsid w:val="00C60D26"/>
    <w:rsid w:val="00C60F3B"/>
    <w:rsid w:val="00C60F48"/>
    <w:rsid w:val="00C615AC"/>
    <w:rsid w:val="00C6182A"/>
    <w:rsid w:val="00C6233A"/>
    <w:rsid w:val="00C624E8"/>
    <w:rsid w:val="00C6276C"/>
    <w:rsid w:val="00C629BA"/>
    <w:rsid w:val="00C63531"/>
    <w:rsid w:val="00C635DA"/>
    <w:rsid w:val="00C64059"/>
    <w:rsid w:val="00C6425C"/>
    <w:rsid w:val="00C6491E"/>
    <w:rsid w:val="00C64B43"/>
    <w:rsid w:val="00C64DD4"/>
    <w:rsid w:val="00C65665"/>
    <w:rsid w:val="00C66028"/>
    <w:rsid w:val="00C663B4"/>
    <w:rsid w:val="00C663D8"/>
    <w:rsid w:val="00C66D3E"/>
    <w:rsid w:val="00C67322"/>
    <w:rsid w:val="00C67490"/>
    <w:rsid w:val="00C67D0C"/>
    <w:rsid w:val="00C70847"/>
    <w:rsid w:val="00C70881"/>
    <w:rsid w:val="00C70CA9"/>
    <w:rsid w:val="00C70D6F"/>
    <w:rsid w:val="00C70D82"/>
    <w:rsid w:val="00C70F2B"/>
    <w:rsid w:val="00C7104D"/>
    <w:rsid w:val="00C7120A"/>
    <w:rsid w:val="00C71B1B"/>
    <w:rsid w:val="00C7202B"/>
    <w:rsid w:val="00C725D4"/>
    <w:rsid w:val="00C725ED"/>
    <w:rsid w:val="00C72CC7"/>
    <w:rsid w:val="00C72F0B"/>
    <w:rsid w:val="00C72F5B"/>
    <w:rsid w:val="00C73BB4"/>
    <w:rsid w:val="00C7440C"/>
    <w:rsid w:val="00C74C0F"/>
    <w:rsid w:val="00C75088"/>
    <w:rsid w:val="00C7598F"/>
    <w:rsid w:val="00C75C2C"/>
    <w:rsid w:val="00C75E65"/>
    <w:rsid w:val="00C764C1"/>
    <w:rsid w:val="00C76702"/>
    <w:rsid w:val="00C7786A"/>
    <w:rsid w:val="00C77B95"/>
    <w:rsid w:val="00C77BC9"/>
    <w:rsid w:val="00C77C0E"/>
    <w:rsid w:val="00C77C94"/>
    <w:rsid w:val="00C803FC"/>
    <w:rsid w:val="00C80C6B"/>
    <w:rsid w:val="00C81012"/>
    <w:rsid w:val="00C8144D"/>
    <w:rsid w:val="00C81588"/>
    <w:rsid w:val="00C817DE"/>
    <w:rsid w:val="00C81BC4"/>
    <w:rsid w:val="00C81DDC"/>
    <w:rsid w:val="00C81E39"/>
    <w:rsid w:val="00C81EA7"/>
    <w:rsid w:val="00C8206E"/>
    <w:rsid w:val="00C8248C"/>
    <w:rsid w:val="00C82BA3"/>
    <w:rsid w:val="00C8344E"/>
    <w:rsid w:val="00C840C8"/>
    <w:rsid w:val="00C844D4"/>
    <w:rsid w:val="00C8451F"/>
    <w:rsid w:val="00C84D88"/>
    <w:rsid w:val="00C854A0"/>
    <w:rsid w:val="00C8560D"/>
    <w:rsid w:val="00C858CA"/>
    <w:rsid w:val="00C85BCD"/>
    <w:rsid w:val="00C863A5"/>
    <w:rsid w:val="00C86475"/>
    <w:rsid w:val="00C86BDF"/>
    <w:rsid w:val="00C875AE"/>
    <w:rsid w:val="00C8786C"/>
    <w:rsid w:val="00C878A5"/>
    <w:rsid w:val="00C9071E"/>
    <w:rsid w:val="00C908C4"/>
    <w:rsid w:val="00C90CC9"/>
    <w:rsid w:val="00C90E37"/>
    <w:rsid w:val="00C915B9"/>
    <w:rsid w:val="00C93083"/>
    <w:rsid w:val="00C930AD"/>
    <w:rsid w:val="00C9461C"/>
    <w:rsid w:val="00C949CE"/>
    <w:rsid w:val="00C94B07"/>
    <w:rsid w:val="00C9506C"/>
    <w:rsid w:val="00C9650B"/>
    <w:rsid w:val="00C9673B"/>
    <w:rsid w:val="00C96996"/>
    <w:rsid w:val="00C969F4"/>
    <w:rsid w:val="00C96B76"/>
    <w:rsid w:val="00C96D33"/>
    <w:rsid w:val="00C96EBA"/>
    <w:rsid w:val="00C9748D"/>
    <w:rsid w:val="00C974FA"/>
    <w:rsid w:val="00C97D28"/>
    <w:rsid w:val="00C97F0A"/>
    <w:rsid w:val="00CA00F3"/>
    <w:rsid w:val="00CA0360"/>
    <w:rsid w:val="00CA11E0"/>
    <w:rsid w:val="00CA1CCB"/>
    <w:rsid w:val="00CA2F1B"/>
    <w:rsid w:val="00CA31B6"/>
    <w:rsid w:val="00CA3F40"/>
    <w:rsid w:val="00CA410B"/>
    <w:rsid w:val="00CA41C3"/>
    <w:rsid w:val="00CA4674"/>
    <w:rsid w:val="00CA5384"/>
    <w:rsid w:val="00CA619B"/>
    <w:rsid w:val="00CA62D0"/>
    <w:rsid w:val="00CA6E30"/>
    <w:rsid w:val="00CA7813"/>
    <w:rsid w:val="00CB0548"/>
    <w:rsid w:val="00CB0A70"/>
    <w:rsid w:val="00CB19DD"/>
    <w:rsid w:val="00CB2677"/>
    <w:rsid w:val="00CB28A3"/>
    <w:rsid w:val="00CB2940"/>
    <w:rsid w:val="00CB2AA2"/>
    <w:rsid w:val="00CB2D82"/>
    <w:rsid w:val="00CB37ED"/>
    <w:rsid w:val="00CB3A4D"/>
    <w:rsid w:val="00CB3B59"/>
    <w:rsid w:val="00CB3B7A"/>
    <w:rsid w:val="00CB440E"/>
    <w:rsid w:val="00CB4781"/>
    <w:rsid w:val="00CB4786"/>
    <w:rsid w:val="00CB4A4D"/>
    <w:rsid w:val="00CB572E"/>
    <w:rsid w:val="00CB5868"/>
    <w:rsid w:val="00CB59CB"/>
    <w:rsid w:val="00CB5A3C"/>
    <w:rsid w:val="00CB5CE8"/>
    <w:rsid w:val="00CB5D44"/>
    <w:rsid w:val="00CB5F53"/>
    <w:rsid w:val="00CB5F54"/>
    <w:rsid w:val="00CB605C"/>
    <w:rsid w:val="00CB67D7"/>
    <w:rsid w:val="00CB6ADC"/>
    <w:rsid w:val="00CB6D75"/>
    <w:rsid w:val="00CB7161"/>
    <w:rsid w:val="00CB72A2"/>
    <w:rsid w:val="00CB7433"/>
    <w:rsid w:val="00CB75EF"/>
    <w:rsid w:val="00CC03AF"/>
    <w:rsid w:val="00CC04BF"/>
    <w:rsid w:val="00CC067E"/>
    <w:rsid w:val="00CC14E0"/>
    <w:rsid w:val="00CC14FD"/>
    <w:rsid w:val="00CC1C66"/>
    <w:rsid w:val="00CC2C9F"/>
    <w:rsid w:val="00CC3104"/>
    <w:rsid w:val="00CC315E"/>
    <w:rsid w:val="00CC36DE"/>
    <w:rsid w:val="00CC3972"/>
    <w:rsid w:val="00CC3974"/>
    <w:rsid w:val="00CC3C40"/>
    <w:rsid w:val="00CC3D7E"/>
    <w:rsid w:val="00CC4019"/>
    <w:rsid w:val="00CC46F2"/>
    <w:rsid w:val="00CC4792"/>
    <w:rsid w:val="00CC4FB1"/>
    <w:rsid w:val="00CC5084"/>
    <w:rsid w:val="00CC5817"/>
    <w:rsid w:val="00CC65A2"/>
    <w:rsid w:val="00CC6A6B"/>
    <w:rsid w:val="00CC7320"/>
    <w:rsid w:val="00CC79C5"/>
    <w:rsid w:val="00CC7A77"/>
    <w:rsid w:val="00CC7A94"/>
    <w:rsid w:val="00CD01C0"/>
    <w:rsid w:val="00CD09A1"/>
    <w:rsid w:val="00CD124D"/>
    <w:rsid w:val="00CD13CB"/>
    <w:rsid w:val="00CD14C9"/>
    <w:rsid w:val="00CD2045"/>
    <w:rsid w:val="00CD2587"/>
    <w:rsid w:val="00CD32A5"/>
    <w:rsid w:val="00CD35A1"/>
    <w:rsid w:val="00CD3FF8"/>
    <w:rsid w:val="00CD4781"/>
    <w:rsid w:val="00CD4898"/>
    <w:rsid w:val="00CD4FAF"/>
    <w:rsid w:val="00CD5005"/>
    <w:rsid w:val="00CD5429"/>
    <w:rsid w:val="00CD54E0"/>
    <w:rsid w:val="00CD5D30"/>
    <w:rsid w:val="00CD5F9D"/>
    <w:rsid w:val="00CD6FE7"/>
    <w:rsid w:val="00CD73BB"/>
    <w:rsid w:val="00CD7519"/>
    <w:rsid w:val="00CD7557"/>
    <w:rsid w:val="00CD7D0E"/>
    <w:rsid w:val="00CE0787"/>
    <w:rsid w:val="00CE0801"/>
    <w:rsid w:val="00CE0D1B"/>
    <w:rsid w:val="00CE115F"/>
    <w:rsid w:val="00CE15C3"/>
    <w:rsid w:val="00CE15DB"/>
    <w:rsid w:val="00CE1B4C"/>
    <w:rsid w:val="00CE1C11"/>
    <w:rsid w:val="00CE2086"/>
    <w:rsid w:val="00CE27D1"/>
    <w:rsid w:val="00CE293F"/>
    <w:rsid w:val="00CE2A2D"/>
    <w:rsid w:val="00CE2BD3"/>
    <w:rsid w:val="00CE2DE6"/>
    <w:rsid w:val="00CE31A3"/>
    <w:rsid w:val="00CE36C1"/>
    <w:rsid w:val="00CE3FE9"/>
    <w:rsid w:val="00CE4209"/>
    <w:rsid w:val="00CE4384"/>
    <w:rsid w:val="00CE4C70"/>
    <w:rsid w:val="00CE4D2F"/>
    <w:rsid w:val="00CE4E39"/>
    <w:rsid w:val="00CE535A"/>
    <w:rsid w:val="00CE5A24"/>
    <w:rsid w:val="00CE5AC0"/>
    <w:rsid w:val="00CE5D92"/>
    <w:rsid w:val="00CE6288"/>
    <w:rsid w:val="00CE66A4"/>
    <w:rsid w:val="00CE6BB6"/>
    <w:rsid w:val="00CE794D"/>
    <w:rsid w:val="00CE7C0C"/>
    <w:rsid w:val="00CE7CDF"/>
    <w:rsid w:val="00CE7EA4"/>
    <w:rsid w:val="00CF004F"/>
    <w:rsid w:val="00CF0166"/>
    <w:rsid w:val="00CF15D5"/>
    <w:rsid w:val="00CF1B42"/>
    <w:rsid w:val="00CF2230"/>
    <w:rsid w:val="00CF24C4"/>
    <w:rsid w:val="00CF353D"/>
    <w:rsid w:val="00CF3A9F"/>
    <w:rsid w:val="00CF3B6A"/>
    <w:rsid w:val="00CF3C38"/>
    <w:rsid w:val="00CF3F58"/>
    <w:rsid w:val="00CF49AC"/>
    <w:rsid w:val="00CF50FB"/>
    <w:rsid w:val="00CF52E2"/>
    <w:rsid w:val="00CF54DA"/>
    <w:rsid w:val="00CF5EB7"/>
    <w:rsid w:val="00CF6968"/>
    <w:rsid w:val="00CF6C0D"/>
    <w:rsid w:val="00CF6C1D"/>
    <w:rsid w:val="00CF7274"/>
    <w:rsid w:val="00CF76B4"/>
    <w:rsid w:val="00CF790D"/>
    <w:rsid w:val="00D009A4"/>
    <w:rsid w:val="00D01849"/>
    <w:rsid w:val="00D018C4"/>
    <w:rsid w:val="00D01A8E"/>
    <w:rsid w:val="00D01B71"/>
    <w:rsid w:val="00D01CDB"/>
    <w:rsid w:val="00D02479"/>
    <w:rsid w:val="00D027E5"/>
    <w:rsid w:val="00D02872"/>
    <w:rsid w:val="00D03075"/>
    <w:rsid w:val="00D031F7"/>
    <w:rsid w:val="00D035CF"/>
    <w:rsid w:val="00D038C2"/>
    <w:rsid w:val="00D03F99"/>
    <w:rsid w:val="00D03FE2"/>
    <w:rsid w:val="00D0407B"/>
    <w:rsid w:val="00D04AA1"/>
    <w:rsid w:val="00D052DC"/>
    <w:rsid w:val="00D056D3"/>
    <w:rsid w:val="00D05781"/>
    <w:rsid w:val="00D05E54"/>
    <w:rsid w:val="00D06309"/>
    <w:rsid w:val="00D063C4"/>
    <w:rsid w:val="00D06434"/>
    <w:rsid w:val="00D0655C"/>
    <w:rsid w:val="00D06A58"/>
    <w:rsid w:val="00D07D15"/>
    <w:rsid w:val="00D07FA4"/>
    <w:rsid w:val="00D10640"/>
    <w:rsid w:val="00D109D7"/>
    <w:rsid w:val="00D11993"/>
    <w:rsid w:val="00D11F0C"/>
    <w:rsid w:val="00D120A3"/>
    <w:rsid w:val="00D122F6"/>
    <w:rsid w:val="00D125F8"/>
    <w:rsid w:val="00D12873"/>
    <w:rsid w:val="00D136B8"/>
    <w:rsid w:val="00D138D1"/>
    <w:rsid w:val="00D139FB"/>
    <w:rsid w:val="00D140F8"/>
    <w:rsid w:val="00D141A3"/>
    <w:rsid w:val="00D14206"/>
    <w:rsid w:val="00D14297"/>
    <w:rsid w:val="00D1550B"/>
    <w:rsid w:val="00D15754"/>
    <w:rsid w:val="00D15A75"/>
    <w:rsid w:val="00D15ABA"/>
    <w:rsid w:val="00D15DBB"/>
    <w:rsid w:val="00D160EE"/>
    <w:rsid w:val="00D16208"/>
    <w:rsid w:val="00D16749"/>
    <w:rsid w:val="00D174BA"/>
    <w:rsid w:val="00D1778A"/>
    <w:rsid w:val="00D17E4B"/>
    <w:rsid w:val="00D20A90"/>
    <w:rsid w:val="00D21466"/>
    <w:rsid w:val="00D215CA"/>
    <w:rsid w:val="00D21969"/>
    <w:rsid w:val="00D219BB"/>
    <w:rsid w:val="00D21E8E"/>
    <w:rsid w:val="00D2219B"/>
    <w:rsid w:val="00D22A89"/>
    <w:rsid w:val="00D22F33"/>
    <w:rsid w:val="00D232CD"/>
    <w:rsid w:val="00D24F4D"/>
    <w:rsid w:val="00D25176"/>
    <w:rsid w:val="00D253D0"/>
    <w:rsid w:val="00D25BD6"/>
    <w:rsid w:val="00D25DEC"/>
    <w:rsid w:val="00D26298"/>
    <w:rsid w:val="00D264FF"/>
    <w:rsid w:val="00D2745F"/>
    <w:rsid w:val="00D275F3"/>
    <w:rsid w:val="00D27760"/>
    <w:rsid w:val="00D2797E"/>
    <w:rsid w:val="00D279CC"/>
    <w:rsid w:val="00D27B45"/>
    <w:rsid w:val="00D30370"/>
    <w:rsid w:val="00D307FE"/>
    <w:rsid w:val="00D30B4E"/>
    <w:rsid w:val="00D30F84"/>
    <w:rsid w:val="00D31899"/>
    <w:rsid w:val="00D31A2D"/>
    <w:rsid w:val="00D31CF7"/>
    <w:rsid w:val="00D32850"/>
    <w:rsid w:val="00D32B8A"/>
    <w:rsid w:val="00D32C55"/>
    <w:rsid w:val="00D340AA"/>
    <w:rsid w:val="00D3456D"/>
    <w:rsid w:val="00D34ACB"/>
    <w:rsid w:val="00D34D60"/>
    <w:rsid w:val="00D35856"/>
    <w:rsid w:val="00D35F74"/>
    <w:rsid w:val="00D3671C"/>
    <w:rsid w:val="00D376B1"/>
    <w:rsid w:val="00D37E4F"/>
    <w:rsid w:val="00D4098E"/>
    <w:rsid w:val="00D40B66"/>
    <w:rsid w:val="00D40F4A"/>
    <w:rsid w:val="00D41C3A"/>
    <w:rsid w:val="00D420A6"/>
    <w:rsid w:val="00D42480"/>
    <w:rsid w:val="00D4292D"/>
    <w:rsid w:val="00D4367C"/>
    <w:rsid w:val="00D43859"/>
    <w:rsid w:val="00D43D87"/>
    <w:rsid w:val="00D43E71"/>
    <w:rsid w:val="00D44205"/>
    <w:rsid w:val="00D448BB"/>
    <w:rsid w:val="00D44E21"/>
    <w:rsid w:val="00D44FD1"/>
    <w:rsid w:val="00D457B2"/>
    <w:rsid w:val="00D45870"/>
    <w:rsid w:val="00D45EA6"/>
    <w:rsid w:val="00D476C9"/>
    <w:rsid w:val="00D47AFD"/>
    <w:rsid w:val="00D47B24"/>
    <w:rsid w:val="00D47FD2"/>
    <w:rsid w:val="00D503C4"/>
    <w:rsid w:val="00D511AE"/>
    <w:rsid w:val="00D51248"/>
    <w:rsid w:val="00D51601"/>
    <w:rsid w:val="00D51700"/>
    <w:rsid w:val="00D51918"/>
    <w:rsid w:val="00D52639"/>
    <w:rsid w:val="00D53279"/>
    <w:rsid w:val="00D533AF"/>
    <w:rsid w:val="00D534B7"/>
    <w:rsid w:val="00D53A1F"/>
    <w:rsid w:val="00D53A65"/>
    <w:rsid w:val="00D5441A"/>
    <w:rsid w:val="00D547AA"/>
    <w:rsid w:val="00D55F15"/>
    <w:rsid w:val="00D56879"/>
    <w:rsid w:val="00D56B10"/>
    <w:rsid w:val="00D56FF3"/>
    <w:rsid w:val="00D57959"/>
    <w:rsid w:val="00D57BD2"/>
    <w:rsid w:val="00D57D1D"/>
    <w:rsid w:val="00D57E3C"/>
    <w:rsid w:val="00D6073A"/>
    <w:rsid w:val="00D61877"/>
    <w:rsid w:val="00D62038"/>
    <w:rsid w:val="00D622CD"/>
    <w:rsid w:val="00D623A8"/>
    <w:rsid w:val="00D62ADA"/>
    <w:rsid w:val="00D62E5C"/>
    <w:rsid w:val="00D630B0"/>
    <w:rsid w:val="00D6345B"/>
    <w:rsid w:val="00D63A63"/>
    <w:rsid w:val="00D6437A"/>
    <w:rsid w:val="00D64521"/>
    <w:rsid w:val="00D64AF7"/>
    <w:rsid w:val="00D64D18"/>
    <w:rsid w:val="00D64F89"/>
    <w:rsid w:val="00D65098"/>
    <w:rsid w:val="00D6528F"/>
    <w:rsid w:val="00D65780"/>
    <w:rsid w:val="00D65C33"/>
    <w:rsid w:val="00D65DF4"/>
    <w:rsid w:val="00D66435"/>
    <w:rsid w:val="00D667AE"/>
    <w:rsid w:val="00D667B1"/>
    <w:rsid w:val="00D66C01"/>
    <w:rsid w:val="00D66F02"/>
    <w:rsid w:val="00D66FF3"/>
    <w:rsid w:val="00D6709F"/>
    <w:rsid w:val="00D67515"/>
    <w:rsid w:val="00D67583"/>
    <w:rsid w:val="00D67B82"/>
    <w:rsid w:val="00D67BA5"/>
    <w:rsid w:val="00D67FDE"/>
    <w:rsid w:val="00D70F98"/>
    <w:rsid w:val="00D71433"/>
    <w:rsid w:val="00D721D2"/>
    <w:rsid w:val="00D724B9"/>
    <w:rsid w:val="00D72A87"/>
    <w:rsid w:val="00D7316E"/>
    <w:rsid w:val="00D731F9"/>
    <w:rsid w:val="00D7336D"/>
    <w:rsid w:val="00D73DD4"/>
    <w:rsid w:val="00D74217"/>
    <w:rsid w:val="00D744D7"/>
    <w:rsid w:val="00D74788"/>
    <w:rsid w:val="00D75702"/>
    <w:rsid w:val="00D75A62"/>
    <w:rsid w:val="00D75F4E"/>
    <w:rsid w:val="00D762F6"/>
    <w:rsid w:val="00D76C48"/>
    <w:rsid w:val="00D77579"/>
    <w:rsid w:val="00D77BA5"/>
    <w:rsid w:val="00D77DE2"/>
    <w:rsid w:val="00D80AB0"/>
    <w:rsid w:val="00D80BE9"/>
    <w:rsid w:val="00D80F67"/>
    <w:rsid w:val="00D814FB"/>
    <w:rsid w:val="00D8172E"/>
    <w:rsid w:val="00D81D79"/>
    <w:rsid w:val="00D82217"/>
    <w:rsid w:val="00D82261"/>
    <w:rsid w:val="00D82E4C"/>
    <w:rsid w:val="00D83253"/>
    <w:rsid w:val="00D83567"/>
    <w:rsid w:val="00D83CA9"/>
    <w:rsid w:val="00D83FDC"/>
    <w:rsid w:val="00D840F9"/>
    <w:rsid w:val="00D842EA"/>
    <w:rsid w:val="00D8499A"/>
    <w:rsid w:val="00D84F17"/>
    <w:rsid w:val="00D8538C"/>
    <w:rsid w:val="00D85C6B"/>
    <w:rsid w:val="00D86233"/>
    <w:rsid w:val="00D865ED"/>
    <w:rsid w:val="00D86C12"/>
    <w:rsid w:val="00D87381"/>
    <w:rsid w:val="00D87DA8"/>
    <w:rsid w:val="00D87E98"/>
    <w:rsid w:val="00D87F6C"/>
    <w:rsid w:val="00D91431"/>
    <w:rsid w:val="00D914D6"/>
    <w:rsid w:val="00D91679"/>
    <w:rsid w:val="00D9169F"/>
    <w:rsid w:val="00D9281E"/>
    <w:rsid w:val="00D92DA2"/>
    <w:rsid w:val="00D92EE3"/>
    <w:rsid w:val="00D935D6"/>
    <w:rsid w:val="00D939A0"/>
    <w:rsid w:val="00D93CA5"/>
    <w:rsid w:val="00D93DA5"/>
    <w:rsid w:val="00D945B9"/>
    <w:rsid w:val="00D94699"/>
    <w:rsid w:val="00D9476B"/>
    <w:rsid w:val="00D94B91"/>
    <w:rsid w:val="00D95433"/>
    <w:rsid w:val="00D95A1B"/>
    <w:rsid w:val="00D95FF5"/>
    <w:rsid w:val="00D9616D"/>
    <w:rsid w:val="00D96527"/>
    <w:rsid w:val="00D96965"/>
    <w:rsid w:val="00D96E54"/>
    <w:rsid w:val="00D97015"/>
    <w:rsid w:val="00D972D1"/>
    <w:rsid w:val="00D97C57"/>
    <w:rsid w:val="00D97F03"/>
    <w:rsid w:val="00DA03FF"/>
    <w:rsid w:val="00DA07E1"/>
    <w:rsid w:val="00DA0BAA"/>
    <w:rsid w:val="00DA0FA7"/>
    <w:rsid w:val="00DA1396"/>
    <w:rsid w:val="00DA17B9"/>
    <w:rsid w:val="00DA18C2"/>
    <w:rsid w:val="00DA1CC3"/>
    <w:rsid w:val="00DA1FDF"/>
    <w:rsid w:val="00DA20EC"/>
    <w:rsid w:val="00DA2439"/>
    <w:rsid w:val="00DA445E"/>
    <w:rsid w:val="00DA4CBA"/>
    <w:rsid w:val="00DA5035"/>
    <w:rsid w:val="00DA5439"/>
    <w:rsid w:val="00DA5477"/>
    <w:rsid w:val="00DA54A2"/>
    <w:rsid w:val="00DA60AB"/>
    <w:rsid w:val="00DA6518"/>
    <w:rsid w:val="00DA68A1"/>
    <w:rsid w:val="00DA6ABB"/>
    <w:rsid w:val="00DA6B62"/>
    <w:rsid w:val="00DA6CFF"/>
    <w:rsid w:val="00DA6DBF"/>
    <w:rsid w:val="00DA7050"/>
    <w:rsid w:val="00DA7FC1"/>
    <w:rsid w:val="00DB02B3"/>
    <w:rsid w:val="00DB0793"/>
    <w:rsid w:val="00DB0993"/>
    <w:rsid w:val="00DB0B91"/>
    <w:rsid w:val="00DB0C99"/>
    <w:rsid w:val="00DB2187"/>
    <w:rsid w:val="00DB2C13"/>
    <w:rsid w:val="00DB3257"/>
    <w:rsid w:val="00DB3D15"/>
    <w:rsid w:val="00DB4349"/>
    <w:rsid w:val="00DB446E"/>
    <w:rsid w:val="00DB4540"/>
    <w:rsid w:val="00DB4646"/>
    <w:rsid w:val="00DB4923"/>
    <w:rsid w:val="00DB51AA"/>
    <w:rsid w:val="00DB55A3"/>
    <w:rsid w:val="00DB60E4"/>
    <w:rsid w:val="00DB7587"/>
    <w:rsid w:val="00DB76D3"/>
    <w:rsid w:val="00DB7800"/>
    <w:rsid w:val="00DB7D0F"/>
    <w:rsid w:val="00DB7ED2"/>
    <w:rsid w:val="00DC0341"/>
    <w:rsid w:val="00DC08E1"/>
    <w:rsid w:val="00DC0904"/>
    <w:rsid w:val="00DC0E41"/>
    <w:rsid w:val="00DC0F9B"/>
    <w:rsid w:val="00DC10C9"/>
    <w:rsid w:val="00DC13D5"/>
    <w:rsid w:val="00DC168B"/>
    <w:rsid w:val="00DC1AA7"/>
    <w:rsid w:val="00DC1BE3"/>
    <w:rsid w:val="00DC1CD6"/>
    <w:rsid w:val="00DC2798"/>
    <w:rsid w:val="00DC27BF"/>
    <w:rsid w:val="00DC27E1"/>
    <w:rsid w:val="00DC2870"/>
    <w:rsid w:val="00DC2A64"/>
    <w:rsid w:val="00DC30C9"/>
    <w:rsid w:val="00DC31B9"/>
    <w:rsid w:val="00DC380F"/>
    <w:rsid w:val="00DC404A"/>
    <w:rsid w:val="00DC4BBC"/>
    <w:rsid w:val="00DC5ACD"/>
    <w:rsid w:val="00DC5DCA"/>
    <w:rsid w:val="00DC6019"/>
    <w:rsid w:val="00DC6406"/>
    <w:rsid w:val="00DC6658"/>
    <w:rsid w:val="00DC67C3"/>
    <w:rsid w:val="00DC78EA"/>
    <w:rsid w:val="00DC7934"/>
    <w:rsid w:val="00DC7A00"/>
    <w:rsid w:val="00DC7C33"/>
    <w:rsid w:val="00DC7C56"/>
    <w:rsid w:val="00DC7EEC"/>
    <w:rsid w:val="00DD08EC"/>
    <w:rsid w:val="00DD0D68"/>
    <w:rsid w:val="00DD12C9"/>
    <w:rsid w:val="00DD18CD"/>
    <w:rsid w:val="00DD2430"/>
    <w:rsid w:val="00DD2AAF"/>
    <w:rsid w:val="00DD3AA6"/>
    <w:rsid w:val="00DD3CFF"/>
    <w:rsid w:val="00DD44E4"/>
    <w:rsid w:val="00DD54EF"/>
    <w:rsid w:val="00DD5F01"/>
    <w:rsid w:val="00DD5F54"/>
    <w:rsid w:val="00DD5F75"/>
    <w:rsid w:val="00DD62D5"/>
    <w:rsid w:val="00DD67DE"/>
    <w:rsid w:val="00DD68D9"/>
    <w:rsid w:val="00DD6A3F"/>
    <w:rsid w:val="00DD6AF1"/>
    <w:rsid w:val="00DD6D0E"/>
    <w:rsid w:val="00DD71F6"/>
    <w:rsid w:val="00DD74A1"/>
    <w:rsid w:val="00DD7E86"/>
    <w:rsid w:val="00DE01B6"/>
    <w:rsid w:val="00DE0B44"/>
    <w:rsid w:val="00DE0E31"/>
    <w:rsid w:val="00DE0F31"/>
    <w:rsid w:val="00DE1067"/>
    <w:rsid w:val="00DE15A1"/>
    <w:rsid w:val="00DE1B9D"/>
    <w:rsid w:val="00DE2110"/>
    <w:rsid w:val="00DE22B9"/>
    <w:rsid w:val="00DE2637"/>
    <w:rsid w:val="00DE2BBB"/>
    <w:rsid w:val="00DE2F88"/>
    <w:rsid w:val="00DE3461"/>
    <w:rsid w:val="00DE3641"/>
    <w:rsid w:val="00DE36A8"/>
    <w:rsid w:val="00DE39BB"/>
    <w:rsid w:val="00DE3BA3"/>
    <w:rsid w:val="00DE4192"/>
    <w:rsid w:val="00DE4513"/>
    <w:rsid w:val="00DE52F2"/>
    <w:rsid w:val="00DE5669"/>
    <w:rsid w:val="00DE6613"/>
    <w:rsid w:val="00DE6700"/>
    <w:rsid w:val="00DE6876"/>
    <w:rsid w:val="00DE68DE"/>
    <w:rsid w:val="00DE703C"/>
    <w:rsid w:val="00DE7399"/>
    <w:rsid w:val="00DE7591"/>
    <w:rsid w:val="00DE7E9A"/>
    <w:rsid w:val="00DF0CE0"/>
    <w:rsid w:val="00DF1310"/>
    <w:rsid w:val="00DF1456"/>
    <w:rsid w:val="00DF17B9"/>
    <w:rsid w:val="00DF1998"/>
    <w:rsid w:val="00DF2428"/>
    <w:rsid w:val="00DF24BD"/>
    <w:rsid w:val="00DF2502"/>
    <w:rsid w:val="00DF355A"/>
    <w:rsid w:val="00DF42D9"/>
    <w:rsid w:val="00DF45CA"/>
    <w:rsid w:val="00DF4E94"/>
    <w:rsid w:val="00DF51A1"/>
    <w:rsid w:val="00DF6147"/>
    <w:rsid w:val="00DF74BC"/>
    <w:rsid w:val="00DF7C9E"/>
    <w:rsid w:val="00E00168"/>
    <w:rsid w:val="00E00710"/>
    <w:rsid w:val="00E0099C"/>
    <w:rsid w:val="00E00AA0"/>
    <w:rsid w:val="00E00F07"/>
    <w:rsid w:val="00E01415"/>
    <w:rsid w:val="00E01EF6"/>
    <w:rsid w:val="00E02AB0"/>
    <w:rsid w:val="00E037E5"/>
    <w:rsid w:val="00E037F9"/>
    <w:rsid w:val="00E03E14"/>
    <w:rsid w:val="00E04A25"/>
    <w:rsid w:val="00E04D30"/>
    <w:rsid w:val="00E04EA7"/>
    <w:rsid w:val="00E05594"/>
    <w:rsid w:val="00E058CF"/>
    <w:rsid w:val="00E05F53"/>
    <w:rsid w:val="00E0673B"/>
    <w:rsid w:val="00E0685C"/>
    <w:rsid w:val="00E06F5F"/>
    <w:rsid w:val="00E07AFC"/>
    <w:rsid w:val="00E07C48"/>
    <w:rsid w:val="00E10826"/>
    <w:rsid w:val="00E1082A"/>
    <w:rsid w:val="00E1086A"/>
    <w:rsid w:val="00E11C25"/>
    <w:rsid w:val="00E11DBC"/>
    <w:rsid w:val="00E12795"/>
    <w:rsid w:val="00E12A12"/>
    <w:rsid w:val="00E12BC3"/>
    <w:rsid w:val="00E12CD8"/>
    <w:rsid w:val="00E12D3D"/>
    <w:rsid w:val="00E12F22"/>
    <w:rsid w:val="00E13598"/>
    <w:rsid w:val="00E13A53"/>
    <w:rsid w:val="00E13A67"/>
    <w:rsid w:val="00E13C83"/>
    <w:rsid w:val="00E143A2"/>
    <w:rsid w:val="00E15465"/>
    <w:rsid w:val="00E15683"/>
    <w:rsid w:val="00E16A91"/>
    <w:rsid w:val="00E17007"/>
    <w:rsid w:val="00E17827"/>
    <w:rsid w:val="00E179A1"/>
    <w:rsid w:val="00E203DD"/>
    <w:rsid w:val="00E20E08"/>
    <w:rsid w:val="00E212A1"/>
    <w:rsid w:val="00E21326"/>
    <w:rsid w:val="00E21F59"/>
    <w:rsid w:val="00E221A1"/>
    <w:rsid w:val="00E2285C"/>
    <w:rsid w:val="00E229C5"/>
    <w:rsid w:val="00E22D25"/>
    <w:rsid w:val="00E2319B"/>
    <w:rsid w:val="00E23840"/>
    <w:rsid w:val="00E24871"/>
    <w:rsid w:val="00E249A3"/>
    <w:rsid w:val="00E24B71"/>
    <w:rsid w:val="00E24C1F"/>
    <w:rsid w:val="00E24D48"/>
    <w:rsid w:val="00E25026"/>
    <w:rsid w:val="00E251D4"/>
    <w:rsid w:val="00E256C0"/>
    <w:rsid w:val="00E258F6"/>
    <w:rsid w:val="00E26347"/>
    <w:rsid w:val="00E26F10"/>
    <w:rsid w:val="00E26FD0"/>
    <w:rsid w:val="00E27B09"/>
    <w:rsid w:val="00E27F19"/>
    <w:rsid w:val="00E30392"/>
    <w:rsid w:val="00E30D4B"/>
    <w:rsid w:val="00E316B3"/>
    <w:rsid w:val="00E31A88"/>
    <w:rsid w:val="00E32196"/>
    <w:rsid w:val="00E32712"/>
    <w:rsid w:val="00E32D10"/>
    <w:rsid w:val="00E3345D"/>
    <w:rsid w:val="00E33C0B"/>
    <w:rsid w:val="00E33EA5"/>
    <w:rsid w:val="00E3488B"/>
    <w:rsid w:val="00E34FA9"/>
    <w:rsid w:val="00E35462"/>
    <w:rsid w:val="00E35588"/>
    <w:rsid w:val="00E355B0"/>
    <w:rsid w:val="00E3582B"/>
    <w:rsid w:val="00E36964"/>
    <w:rsid w:val="00E370F7"/>
    <w:rsid w:val="00E37578"/>
    <w:rsid w:val="00E37798"/>
    <w:rsid w:val="00E378ED"/>
    <w:rsid w:val="00E37B39"/>
    <w:rsid w:val="00E40291"/>
    <w:rsid w:val="00E405E7"/>
    <w:rsid w:val="00E40B03"/>
    <w:rsid w:val="00E41253"/>
    <w:rsid w:val="00E41624"/>
    <w:rsid w:val="00E4175E"/>
    <w:rsid w:val="00E41A5E"/>
    <w:rsid w:val="00E4240A"/>
    <w:rsid w:val="00E436D1"/>
    <w:rsid w:val="00E44A7A"/>
    <w:rsid w:val="00E44C99"/>
    <w:rsid w:val="00E44DEE"/>
    <w:rsid w:val="00E4538B"/>
    <w:rsid w:val="00E45449"/>
    <w:rsid w:val="00E4589B"/>
    <w:rsid w:val="00E45D06"/>
    <w:rsid w:val="00E46086"/>
    <w:rsid w:val="00E460D1"/>
    <w:rsid w:val="00E46178"/>
    <w:rsid w:val="00E466C4"/>
    <w:rsid w:val="00E466E8"/>
    <w:rsid w:val="00E46EC3"/>
    <w:rsid w:val="00E47297"/>
    <w:rsid w:val="00E4747D"/>
    <w:rsid w:val="00E50369"/>
    <w:rsid w:val="00E508FC"/>
    <w:rsid w:val="00E50EF5"/>
    <w:rsid w:val="00E510DE"/>
    <w:rsid w:val="00E51509"/>
    <w:rsid w:val="00E516F8"/>
    <w:rsid w:val="00E51A33"/>
    <w:rsid w:val="00E51EDB"/>
    <w:rsid w:val="00E51FC9"/>
    <w:rsid w:val="00E52580"/>
    <w:rsid w:val="00E5306B"/>
    <w:rsid w:val="00E533F7"/>
    <w:rsid w:val="00E5364C"/>
    <w:rsid w:val="00E545C1"/>
    <w:rsid w:val="00E54726"/>
    <w:rsid w:val="00E548C8"/>
    <w:rsid w:val="00E54E78"/>
    <w:rsid w:val="00E5534B"/>
    <w:rsid w:val="00E55552"/>
    <w:rsid w:val="00E555EC"/>
    <w:rsid w:val="00E5574D"/>
    <w:rsid w:val="00E5590A"/>
    <w:rsid w:val="00E5626C"/>
    <w:rsid w:val="00E56368"/>
    <w:rsid w:val="00E56C2A"/>
    <w:rsid w:val="00E57548"/>
    <w:rsid w:val="00E57FC7"/>
    <w:rsid w:val="00E60364"/>
    <w:rsid w:val="00E6098B"/>
    <w:rsid w:val="00E60B67"/>
    <w:rsid w:val="00E60C3F"/>
    <w:rsid w:val="00E614D5"/>
    <w:rsid w:val="00E615B9"/>
    <w:rsid w:val="00E61A94"/>
    <w:rsid w:val="00E63F5E"/>
    <w:rsid w:val="00E647C8"/>
    <w:rsid w:val="00E6487B"/>
    <w:rsid w:val="00E64EE6"/>
    <w:rsid w:val="00E64FAF"/>
    <w:rsid w:val="00E65057"/>
    <w:rsid w:val="00E664AD"/>
    <w:rsid w:val="00E669BD"/>
    <w:rsid w:val="00E669E2"/>
    <w:rsid w:val="00E66AE7"/>
    <w:rsid w:val="00E67357"/>
    <w:rsid w:val="00E67472"/>
    <w:rsid w:val="00E67C44"/>
    <w:rsid w:val="00E67DFB"/>
    <w:rsid w:val="00E70815"/>
    <w:rsid w:val="00E70F05"/>
    <w:rsid w:val="00E70F9C"/>
    <w:rsid w:val="00E713C6"/>
    <w:rsid w:val="00E7228C"/>
    <w:rsid w:val="00E723BC"/>
    <w:rsid w:val="00E735E3"/>
    <w:rsid w:val="00E73B55"/>
    <w:rsid w:val="00E74028"/>
    <w:rsid w:val="00E74126"/>
    <w:rsid w:val="00E74B4B"/>
    <w:rsid w:val="00E751B1"/>
    <w:rsid w:val="00E75435"/>
    <w:rsid w:val="00E759FA"/>
    <w:rsid w:val="00E75C03"/>
    <w:rsid w:val="00E75D33"/>
    <w:rsid w:val="00E75E0A"/>
    <w:rsid w:val="00E7705C"/>
    <w:rsid w:val="00E770D3"/>
    <w:rsid w:val="00E770D6"/>
    <w:rsid w:val="00E77102"/>
    <w:rsid w:val="00E7755B"/>
    <w:rsid w:val="00E77561"/>
    <w:rsid w:val="00E77C41"/>
    <w:rsid w:val="00E806A0"/>
    <w:rsid w:val="00E80EAE"/>
    <w:rsid w:val="00E81B23"/>
    <w:rsid w:val="00E81E1B"/>
    <w:rsid w:val="00E822BD"/>
    <w:rsid w:val="00E82570"/>
    <w:rsid w:val="00E825DC"/>
    <w:rsid w:val="00E82B11"/>
    <w:rsid w:val="00E83D04"/>
    <w:rsid w:val="00E83F79"/>
    <w:rsid w:val="00E848AC"/>
    <w:rsid w:val="00E84EED"/>
    <w:rsid w:val="00E85A7D"/>
    <w:rsid w:val="00E875EA"/>
    <w:rsid w:val="00E8768E"/>
    <w:rsid w:val="00E87DF3"/>
    <w:rsid w:val="00E907D6"/>
    <w:rsid w:val="00E90981"/>
    <w:rsid w:val="00E90B5E"/>
    <w:rsid w:val="00E90B9E"/>
    <w:rsid w:val="00E9117F"/>
    <w:rsid w:val="00E918D2"/>
    <w:rsid w:val="00E91EFA"/>
    <w:rsid w:val="00E92074"/>
    <w:rsid w:val="00E9286C"/>
    <w:rsid w:val="00E928BA"/>
    <w:rsid w:val="00E92900"/>
    <w:rsid w:val="00E93183"/>
    <w:rsid w:val="00E94E3F"/>
    <w:rsid w:val="00E94FED"/>
    <w:rsid w:val="00E9507F"/>
    <w:rsid w:val="00E951C4"/>
    <w:rsid w:val="00E9545C"/>
    <w:rsid w:val="00E95B28"/>
    <w:rsid w:val="00E97140"/>
    <w:rsid w:val="00E97937"/>
    <w:rsid w:val="00EA025E"/>
    <w:rsid w:val="00EA0615"/>
    <w:rsid w:val="00EA0671"/>
    <w:rsid w:val="00EA0E37"/>
    <w:rsid w:val="00EA138E"/>
    <w:rsid w:val="00EA13C3"/>
    <w:rsid w:val="00EA1454"/>
    <w:rsid w:val="00EA22E8"/>
    <w:rsid w:val="00EA2A39"/>
    <w:rsid w:val="00EA2DE2"/>
    <w:rsid w:val="00EA35DE"/>
    <w:rsid w:val="00EA390D"/>
    <w:rsid w:val="00EA4030"/>
    <w:rsid w:val="00EA43C7"/>
    <w:rsid w:val="00EA462A"/>
    <w:rsid w:val="00EA5677"/>
    <w:rsid w:val="00EA56F0"/>
    <w:rsid w:val="00EA5946"/>
    <w:rsid w:val="00EA60DF"/>
    <w:rsid w:val="00EA6354"/>
    <w:rsid w:val="00EA6443"/>
    <w:rsid w:val="00EA6CFC"/>
    <w:rsid w:val="00EA7826"/>
    <w:rsid w:val="00EA7958"/>
    <w:rsid w:val="00EB0C22"/>
    <w:rsid w:val="00EB17D1"/>
    <w:rsid w:val="00EB1A53"/>
    <w:rsid w:val="00EB1DEE"/>
    <w:rsid w:val="00EB2701"/>
    <w:rsid w:val="00EB2A9F"/>
    <w:rsid w:val="00EB2C0B"/>
    <w:rsid w:val="00EB33C4"/>
    <w:rsid w:val="00EB37FB"/>
    <w:rsid w:val="00EB394E"/>
    <w:rsid w:val="00EB4097"/>
    <w:rsid w:val="00EB4272"/>
    <w:rsid w:val="00EB4495"/>
    <w:rsid w:val="00EB449B"/>
    <w:rsid w:val="00EB48D1"/>
    <w:rsid w:val="00EB5549"/>
    <w:rsid w:val="00EB5954"/>
    <w:rsid w:val="00EB5DFA"/>
    <w:rsid w:val="00EB608C"/>
    <w:rsid w:val="00EB665C"/>
    <w:rsid w:val="00EB66F1"/>
    <w:rsid w:val="00EB6800"/>
    <w:rsid w:val="00EB70B6"/>
    <w:rsid w:val="00EB74E4"/>
    <w:rsid w:val="00EB778F"/>
    <w:rsid w:val="00EB7BEA"/>
    <w:rsid w:val="00EC0104"/>
    <w:rsid w:val="00EC037C"/>
    <w:rsid w:val="00EC03AF"/>
    <w:rsid w:val="00EC0C96"/>
    <w:rsid w:val="00EC0DDF"/>
    <w:rsid w:val="00EC1D69"/>
    <w:rsid w:val="00EC1DA2"/>
    <w:rsid w:val="00EC1FC3"/>
    <w:rsid w:val="00EC20AB"/>
    <w:rsid w:val="00EC2364"/>
    <w:rsid w:val="00EC2A39"/>
    <w:rsid w:val="00EC31FA"/>
    <w:rsid w:val="00EC3A02"/>
    <w:rsid w:val="00EC3B0C"/>
    <w:rsid w:val="00EC4461"/>
    <w:rsid w:val="00EC452D"/>
    <w:rsid w:val="00EC46F4"/>
    <w:rsid w:val="00EC53EE"/>
    <w:rsid w:val="00EC5524"/>
    <w:rsid w:val="00EC57C4"/>
    <w:rsid w:val="00EC5CF6"/>
    <w:rsid w:val="00EC62BE"/>
    <w:rsid w:val="00EC65EF"/>
    <w:rsid w:val="00EC6B38"/>
    <w:rsid w:val="00EC70B6"/>
    <w:rsid w:val="00EC75F2"/>
    <w:rsid w:val="00ED01F8"/>
    <w:rsid w:val="00ED0311"/>
    <w:rsid w:val="00ED16A1"/>
    <w:rsid w:val="00ED1CDA"/>
    <w:rsid w:val="00ED29C6"/>
    <w:rsid w:val="00ED3408"/>
    <w:rsid w:val="00ED38A7"/>
    <w:rsid w:val="00ED3D16"/>
    <w:rsid w:val="00ED3D1F"/>
    <w:rsid w:val="00ED53D6"/>
    <w:rsid w:val="00ED5503"/>
    <w:rsid w:val="00ED5923"/>
    <w:rsid w:val="00ED5A63"/>
    <w:rsid w:val="00ED62FD"/>
    <w:rsid w:val="00ED662F"/>
    <w:rsid w:val="00ED6E87"/>
    <w:rsid w:val="00ED7B9C"/>
    <w:rsid w:val="00EE053B"/>
    <w:rsid w:val="00EE0A4D"/>
    <w:rsid w:val="00EE15CE"/>
    <w:rsid w:val="00EE1CD5"/>
    <w:rsid w:val="00EE20DE"/>
    <w:rsid w:val="00EE2350"/>
    <w:rsid w:val="00EE263E"/>
    <w:rsid w:val="00EE2F5C"/>
    <w:rsid w:val="00EE3E49"/>
    <w:rsid w:val="00EE3FEE"/>
    <w:rsid w:val="00EE4119"/>
    <w:rsid w:val="00EE4494"/>
    <w:rsid w:val="00EE47A1"/>
    <w:rsid w:val="00EE4C62"/>
    <w:rsid w:val="00EE6BDE"/>
    <w:rsid w:val="00EE7267"/>
    <w:rsid w:val="00EE77A0"/>
    <w:rsid w:val="00EE7B17"/>
    <w:rsid w:val="00EE7D0A"/>
    <w:rsid w:val="00EF0216"/>
    <w:rsid w:val="00EF0253"/>
    <w:rsid w:val="00EF1117"/>
    <w:rsid w:val="00EF1839"/>
    <w:rsid w:val="00EF18D4"/>
    <w:rsid w:val="00EF1E64"/>
    <w:rsid w:val="00EF2193"/>
    <w:rsid w:val="00EF21C6"/>
    <w:rsid w:val="00EF24F2"/>
    <w:rsid w:val="00EF2D8C"/>
    <w:rsid w:val="00EF3766"/>
    <w:rsid w:val="00EF3FB4"/>
    <w:rsid w:val="00EF3FFA"/>
    <w:rsid w:val="00EF44F8"/>
    <w:rsid w:val="00EF48A6"/>
    <w:rsid w:val="00EF4B9C"/>
    <w:rsid w:val="00EF5E88"/>
    <w:rsid w:val="00EF5FAA"/>
    <w:rsid w:val="00EF60FA"/>
    <w:rsid w:val="00EF66D0"/>
    <w:rsid w:val="00EF6AB6"/>
    <w:rsid w:val="00EF758D"/>
    <w:rsid w:val="00EF76A9"/>
    <w:rsid w:val="00EF7EA0"/>
    <w:rsid w:val="00EF7F99"/>
    <w:rsid w:val="00F0064F"/>
    <w:rsid w:val="00F0112F"/>
    <w:rsid w:val="00F023CF"/>
    <w:rsid w:val="00F023F1"/>
    <w:rsid w:val="00F02459"/>
    <w:rsid w:val="00F02A87"/>
    <w:rsid w:val="00F035D3"/>
    <w:rsid w:val="00F03EDF"/>
    <w:rsid w:val="00F04EDF"/>
    <w:rsid w:val="00F05489"/>
    <w:rsid w:val="00F05E42"/>
    <w:rsid w:val="00F06437"/>
    <w:rsid w:val="00F0649E"/>
    <w:rsid w:val="00F06FA3"/>
    <w:rsid w:val="00F11415"/>
    <w:rsid w:val="00F119FB"/>
    <w:rsid w:val="00F11BEB"/>
    <w:rsid w:val="00F11F92"/>
    <w:rsid w:val="00F12081"/>
    <w:rsid w:val="00F121D5"/>
    <w:rsid w:val="00F12699"/>
    <w:rsid w:val="00F12B41"/>
    <w:rsid w:val="00F12DAB"/>
    <w:rsid w:val="00F132AB"/>
    <w:rsid w:val="00F13483"/>
    <w:rsid w:val="00F13B87"/>
    <w:rsid w:val="00F13DB0"/>
    <w:rsid w:val="00F14345"/>
    <w:rsid w:val="00F14467"/>
    <w:rsid w:val="00F14598"/>
    <w:rsid w:val="00F14962"/>
    <w:rsid w:val="00F149C1"/>
    <w:rsid w:val="00F1523A"/>
    <w:rsid w:val="00F15828"/>
    <w:rsid w:val="00F15B5D"/>
    <w:rsid w:val="00F15F7F"/>
    <w:rsid w:val="00F16BB6"/>
    <w:rsid w:val="00F20356"/>
    <w:rsid w:val="00F20530"/>
    <w:rsid w:val="00F2090E"/>
    <w:rsid w:val="00F20AC4"/>
    <w:rsid w:val="00F20B72"/>
    <w:rsid w:val="00F21976"/>
    <w:rsid w:val="00F2236A"/>
    <w:rsid w:val="00F2236C"/>
    <w:rsid w:val="00F22AE5"/>
    <w:rsid w:val="00F22BFF"/>
    <w:rsid w:val="00F23083"/>
    <w:rsid w:val="00F233ED"/>
    <w:rsid w:val="00F2372D"/>
    <w:rsid w:val="00F23C86"/>
    <w:rsid w:val="00F252A4"/>
    <w:rsid w:val="00F260E5"/>
    <w:rsid w:val="00F26333"/>
    <w:rsid w:val="00F2637C"/>
    <w:rsid w:val="00F26700"/>
    <w:rsid w:val="00F27575"/>
    <w:rsid w:val="00F2776F"/>
    <w:rsid w:val="00F27777"/>
    <w:rsid w:val="00F27ABB"/>
    <w:rsid w:val="00F27E56"/>
    <w:rsid w:val="00F3042D"/>
    <w:rsid w:val="00F30E95"/>
    <w:rsid w:val="00F31264"/>
    <w:rsid w:val="00F31291"/>
    <w:rsid w:val="00F31541"/>
    <w:rsid w:val="00F3154E"/>
    <w:rsid w:val="00F31C07"/>
    <w:rsid w:val="00F31DD6"/>
    <w:rsid w:val="00F31EA3"/>
    <w:rsid w:val="00F32A4C"/>
    <w:rsid w:val="00F32AD8"/>
    <w:rsid w:val="00F32CCC"/>
    <w:rsid w:val="00F32E54"/>
    <w:rsid w:val="00F32F32"/>
    <w:rsid w:val="00F33295"/>
    <w:rsid w:val="00F33541"/>
    <w:rsid w:val="00F33878"/>
    <w:rsid w:val="00F33927"/>
    <w:rsid w:val="00F33A20"/>
    <w:rsid w:val="00F345EA"/>
    <w:rsid w:val="00F34640"/>
    <w:rsid w:val="00F34F1B"/>
    <w:rsid w:val="00F35932"/>
    <w:rsid w:val="00F35CB7"/>
    <w:rsid w:val="00F36CF3"/>
    <w:rsid w:val="00F372E5"/>
    <w:rsid w:val="00F37C05"/>
    <w:rsid w:val="00F40106"/>
    <w:rsid w:val="00F40493"/>
    <w:rsid w:val="00F4072A"/>
    <w:rsid w:val="00F40756"/>
    <w:rsid w:val="00F409E2"/>
    <w:rsid w:val="00F416CC"/>
    <w:rsid w:val="00F416FA"/>
    <w:rsid w:val="00F41795"/>
    <w:rsid w:val="00F419E2"/>
    <w:rsid w:val="00F41C35"/>
    <w:rsid w:val="00F41EC4"/>
    <w:rsid w:val="00F428C7"/>
    <w:rsid w:val="00F42D7D"/>
    <w:rsid w:val="00F43108"/>
    <w:rsid w:val="00F43182"/>
    <w:rsid w:val="00F43868"/>
    <w:rsid w:val="00F44114"/>
    <w:rsid w:val="00F441FC"/>
    <w:rsid w:val="00F44549"/>
    <w:rsid w:val="00F447E2"/>
    <w:rsid w:val="00F44ABA"/>
    <w:rsid w:val="00F44AF3"/>
    <w:rsid w:val="00F44D62"/>
    <w:rsid w:val="00F45957"/>
    <w:rsid w:val="00F45C1C"/>
    <w:rsid w:val="00F46483"/>
    <w:rsid w:val="00F46733"/>
    <w:rsid w:val="00F46BFE"/>
    <w:rsid w:val="00F46F75"/>
    <w:rsid w:val="00F47B38"/>
    <w:rsid w:val="00F503CA"/>
    <w:rsid w:val="00F50EE3"/>
    <w:rsid w:val="00F50F7B"/>
    <w:rsid w:val="00F51089"/>
    <w:rsid w:val="00F510F3"/>
    <w:rsid w:val="00F51914"/>
    <w:rsid w:val="00F5207D"/>
    <w:rsid w:val="00F522B0"/>
    <w:rsid w:val="00F523A4"/>
    <w:rsid w:val="00F52586"/>
    <w:rsid w:val="00F526E0"/>
    <w:rsid w:val="00F53304"/>
    <w:rsid w:val="00F533B6"/>
    <w:rsid w:val="00F53D32"/>
    <w:rsid w:val="00F540AC"/>
    <w:rsid w:val="00F54134"/>
    <w:rsid w:val="00F5446A"/>
    <w:rsid w:val="00F545EF"/>
    <w:rsid w:val="00F547AB"/>
    <w:rsid w:val="00F54928"/>
    <w:rsid w:val="00F54F8A"/>
    <w:rsid w:val="00F5549E"/>
    <w:rsid w:val="00F555D1"/>
    <w:rsid w:val="00F55C7B"/>
    <w:rsid w:val="00F55DF6"/>
    <w:rsid w:val="00F56019"/>
    <w:rsid w:val="00F5643A"/>
    <w:rsid w:val="00F5644B"/>
    <w:rsid w:val="00F57289"/>
    <w:rsid w:val="00F5737C"/>
    <w:rsid w:val="00F5780E"/>
    <w:rsid w:val="00F57C61"/>
    <w:rsid w:val="00F57CC5"/>
    <w:rsid w:val="00F57FD4"/>
    <w:rsid w:val="00F60641"/>
    <w:rsid w:val="00F606C7"/>
    <w:rsid w:val="00F6084A"/>
    <w:rsid w:val="00F6090A"/>
    <w:rsid w:val="00F60C43"/>
    <w:rsid w:val="00F613C8"/>
    <w:rsid w:val="00F615EE"/>
    <w:rsid w:val="00F62751"/>
    <w:rsid w:val="00F6288F"/>
    <w:rsid w:val="00F62A69"/>
    <w:rsid w:val="00F62B5F"/>
    <w:rsid w:val="00F62C56"/>
    <w:rsid w:val="00F62D0C"/>
    <w:rsid w:val="00F638F8"/>
    <w:rsid w:val="00F63C63"/>
    <w:rsid w:val="00F6476A"/>
    <w:rsid w:val="00F64F86"/>
    <w:rsid w:val="00F65964"/>
    <w:rsid w:val="00F65BAD"/>
    <w:rsid w:val="00F65EC0"/>
    <w:rsid w:val="00F662E5"/>
    <w:rsid w:val="00F66CAB"/>
    <w:rsid w:val="00F66E92"/>
    <w:rsid w:val="00F6708B"/>
    <w:rsid w:val="00F67107"/>
    <w:rsid w:val="00F6748E"/>
    <w:rsid w:val="00F67B4B"/>
    <w:rsid w:val="00F70064"/>
    <w:rsid w:val="00F710D1"/>
    <w:rsid w:val="00F713AA"/>
    <w:rsid w:val="00F718ED"/>
    <w:rsid w:val="00F71A7D"/>
    <w:rsid w:val="00F72660"/>
    <w:rsid w:val="00F72811"/>
    <w:rsid w:val="00F72DA4"/>
    <w:rsid w:val="00F72F53"/>
    <w:rsid w:val="00F730B0"/>
    <w:rsid w:val="00F73E9B"/>
    <w:rsid w:val="00F744C5"/>
    <w:rsid w:val="00F744E4"/>
    <w:rsid w:val="00F74705"/>
    <w:rsid w:val="00F7528E"/>
    <w:rsid w:val="00F7536A"/>
    <w:rsid w:val="00F75ABF"/>
    <w:rsid w:val="00F75FFF"/>
    <w:rsid w:val="00F7645E"/>
    <w:rsid w:val="00F76A4E"/>
    <w:rsid w:val="00F77C75"/>
    <w:rsid w:val="00F808F0"/>
    <w:rsid w:val="00F80FE8"/>
    <w:rsid w:val="00F81033"/>
    <w:rsid w:val="00F8120E"/>
    <w:rsid w:val="00F8131E"/>
    <w:rsid w:val="00F81D94"/>
    <w:rsid w:val="00F825DD"/>
    <w:rsid w:val="00F82C5F"/>
    <w:rsid w:val="00F82F75"/>
    <w:rsid w:val="00F8353B"/>
    <w:rsid w:val="00F83BAA"/>
    <w:rsid w:val="00F84878"/>
    <w:rsid w:val="00F854C7"/>
    <w:rsid w:val="00F8570A"/>
    <w:rsid w:val="00F85D4E"/>
    <w:rsid w:val="00F861C3"/>
    <w:rsid w:val="00F86830"/>
    <w:rsid w:val="00F86E12"/>
    <w:rsid w:val="00F87B39"/>
    <w:rsid w:val="00F90624"/>
    <w:rsid w:val="00F90CE3"/>
    <w:rsid w:val="00F921B0"/>
    <w:rsid w:val="00F924DC"/>
    <w:rsid w:val="00F92C52"/>
    <w:rsid w:val="00F9359A"/>
    <w:rsid w:val="00F94249"/>
    <w:rsid w:val="00F946BC"/>
    <w:rsid w:val="00F952B9"/>
    <w:rsid w:val="00F96302"/>
    <w:rsid w:val="00F96861"/>
    <w:rsid w:val="00F96A03"/>
    <w:rsid w:val="00F96CBF"/>
    <w:rsid w:val="00F96E25"/>
    <w:rsid w:val="00F97EBB"/>
    <w:rsid w:val="00F97F6D"/>
    <w:rsid w:val="00FA0A84"/>
    <w:rsid w:val="00FA0B48"/>
    <w:rsid w:val="00FA0C8D"/>
    <w:rsid w:val="00FA0DE8"/>
    <w:rsid w:val="00FA0FFB"/>
    <w:rsid w:val="00FA11C1"/>
    <w:rsid w:val="00FA15AA"/>
    <w:rsid w:val="00FA1C76"/>
    <w:rsid w:val="00FA2159"/>
    <w:rsid w:val="00FA2B3E"/>
    <w:rsid w:val="00FA2BB5"/>
    <w:rsid w:val="00FA2F47"/>
    <w:rsid w:val="00FA31AB"/>
    <w:rsid w:val="00FA3689"/>
    <w:rsid w:val="00FA3E4A"/>
    <w:rsid w:val="00FA4714"/>
    <w:rsid w:val="00FA4A31"/>
    <w:rsid w:val="00FA55D5"/>
    <w:rsid w:val="00FA5C0C"/>
    <w:rsid w:val="00FA6211"/>
    <w:rsid w:val="00FA65C7"/>
    <w:rsid w:val="00FA6BF3"/>
    <w:rsid w:val="00FA7FA1"/>
    <w:rsid w:val="00FB01E0"/>
    <w:rsid w:val="00FB0576"/>
    <w:rsid w:val="00FB0646"/>
    <w:rsid w:val="00FB0DF6"/>
    <w:rsid w:val="00FB1011"/>
    <w:rsid w:val="00FB133D"/>
    <w:rsid w:val="00FB179C"/>
    <w:rsid w:val="00FB2557"/>
    <w:rsid w:val="00FB3C6C"/>
    <w:rsid w:val="00FB3CBD"/>
    <w:rsid w:val="00FB3DB7"/>
    <w:rsid w:val="00FB4BDB"/>
    <w:rsid w:val="00FB5364"/>
    <w:rsid w:val="00FB59A4"/>
    <w:rsid w:val="00FB7221"/>
    <w:rsid w:val="00FB72E5"/>
    <w:rsid w:val="00FB7FF4"/>
    <w:rsid w:val="00FC05A2"/>
    <w:rsid w:val="00FC0CFF"/>
    <w:rsid w:val="00FC0F0A"/>
    <w:rsid w:val="00FC125D"/>
    <w:rsid w:val="00FC12B5"/>
    <w:rsid w:val="00FC1DE1"/>
    <w:rsid w:val="00FC23E4"/>
    <w:rsid w:val="00FC36AF"/>
    <w:rsid w:val="00FC3CAE"/>
    <w:rsid w:val="00FC4243"/>
    <w:rsid w:val="00FC4567"/>
    <w:rsid w:val="00FC47EF"/>
    <w:rsid w:val="00FC4849"/>
    <w:rsid w:val="00FC4FB8"/>
    <w:rsid w:val="00FC524F"/>
    <w:rsid w:val="00FC5F3B"/>
    <w:rsid w:val="00FC60B8"/>
    <w:rsid w:val="00FC694B"/>
    <w:rsid w:val="00FC6F76"/>
    <w:rsid w:val="00FD03DF"/>
    <w:rsid w:val="00FD04D7"/>
    <w:rsid w:val="00FD0CD5"/>
    <w:rsid w:val="00FD159F"/>
    <w:rsid w:val="00FD1E04"/>
    <w:rsid w:val="00FD2044"/>
    <w:rsid w:val="00FD29FB"/>
    <w:rsid w:val="00FD3B1D"/>
    <w:rsid w:val="00FD47F1"/>
    <w:rsid w:val="00FD4B36"/>
    <w:rsid w:val="00FD4CA4"/>
    <w:rsid w:val="00FD5545"/>
    <w:rsid w:val="00FD5DC5"/>
    <w:rsid w:val="00FD5E6E"/>
    <w:rsid w:val="00FD6320"/>
    <w:rsid w:val="00FD63C5"/>
    <w:rsid w:val="00FD7277"/>
    <w:rsid w:val="00FD7329"/>
    <w:rsid w:val="00FD7552"/>
    <w:rsid w:val="00FD76E6"/>
    <w:rsid w:val="00FE07B8"/>
    <w:rsid w:val="00FE108E"/>
    <w:rsid w:val="00FE12C9"/>
    <w:rsid w:val="00FE1C1F"/>
    <w:rsid w:val="00FE1E32"/>
    <w:rsid w:val="00FE2523"/>
    <w:rsid w:val="00FE2930"/>
    <w:rsid w:val="00FE298B"/>
    <w:rsid w:val="00FE3184"/>
    <w:rsid w:val="00FE3396"/>
    <w:rsid w:val="00FE3988"/>
    <w:rsid w:val="00FE4125"/>
    <w:rsid w:val="00FE444D"/>
    <w:rsid w:val="00FE49AA"/>
    <w:rsid w:val="00FE4C98"/>
    <w:rsid w:val="00FE53D5"/>
    <w:rsid w:val="00FE53FB"/>
    <w:rsid w:val="00FE5BFA"/>
    <w:rsid w:val="00FE6422"/>
    <w:rsid w:val="00FE671A"/>
    <w:rsid w:val="00FE6791"/>
    <w:rsid w:val="00FE6AA9"/>
    <w:rsid w:val="00FE7029"/>
    <w:rsid w:val="00FE7A14"/>
    <w:rsid w:val="00FE7A80"/>
    <w:rsid w:val="00FF047B"/>
    <w:rsid w:val="00FF0B80"/>
    <w:rsid w:val="00FF0CFB"/>
    <w:rsid w:val="00FF1485"/>
    <w:rsid w:val="00FF2036"/>
    <w:rsid w:val="00FF3180"/>
    <w:rsid w:val="00FF3193"/>
    <w:rsid w:val="00FF338C"/>
    <w:rsid w:val="00FF3539"/>
    <w:rsid w:val="00FF3FFB"/>
    <w:rsid w:val="00FF5297"/>
    <w:rsid w:val="00FF55D2"/>
    <w:rsid w:val="00FF5970"/>
    <w:rsid w:val="00FF5AF1"/>
    <w:rsid w:val="00FF5C1D"/>
    <w:rsid w:val="00FF5C1E"/>
    <w:rsid w:val="00FF694B"/>
    <w:rsid w:val="00FF7847"/>
    <w:rsid w:val="00FF7C09"/>
    <w:rsid w:val="00FF7C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1EF99"/>
  <w15:chartTrackingRefBased/>
  <w15:docId w15:val="{FF60DF9D-2106-400C-9934-87E817BD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1FA"/>
    <w:pPr>
      <w:spacing w:after="0" w:line="240" w:lineRule="auto"/>
      <w:jc w:val="both"/>
    </w:pPr>
    <w:rPr>
      <w:rFonts w:ascii="ZapfCalligr BT" w:eastAsia="Batang" w:hAnsi="ZapfCalligr BT" w:cs="ZapfCalligr BT"/>
      <w:lang w:eastAsia="en-GB"/>
    </w:rPr>
  </w:style>
  <w:style w:type="paragraph" w:styleId="Heading1">
    <w:name w:val="heading 1"/>
    <w:basedOn w:val="Normal"/>
    <w:next w:val="Normal"/>
    <w:link w:val="Heading1Char"/>
    <w:uiPriority w:val="99"/>
    <w:qFormat/>
    <w:rsid w:val="00084627"/>
    <w:pPr>
      <w:keepNext/>
      <w:shd w:val="clear" w:color="auto" w:fill="3366FF"/>
      <w:outlineLvl w:val="0"/>
    </w:pPr>
    <w:rPr>
      <w:rFonts w:ascii="Arial" w:hAnsi="Arial" w:cs="Arial"/>
      <w:b/>
      <w:bCs/>
      <w:color w:val="FFCC00"/>
      <w:sz w:val="28"/>
      <w:szCs w:val="28"/>
      <w:lang w:eastAsia="en-US"/>
    </w:rPr>
  </w:style>
  <w:style w:type="paragraph" w:styleId="Heading2">
    <w:name w:val="heading 2"/>
    <w:basedOn w:val="Normal"/>
    <w:next w:val="Normal"/>
    <w:link w:val="Heading2Char"/>
    <w:uiPriority w:val="99"/>
    <w:qFormat/>
    <w:rsid w:val="00084627"/>
    <w:pPr>
      <w:keepNext/>
      <w:shd w:val="clear" w:color="auto" w:fill="99CCFF"/>
      <w:outlineLvl w:val="1"/>
    </w:pPr>
    <w:rPr>
      <w:rFonts w:ascii="Arial" w:hAnsi="Arial" w:cs="Arial"/>
      <w:b/>
      <w:bCs/>
      <w:sz w:val="24"/>
      <w:szCs w:val="24"/>
      <w:lang w:eastAsia="en-US"/>
    </w:rPr>
  </w:style>
  <w:style w:type="paragraph" w:styleId="Heading3">
    <w:name w:val="heading 3"/>
    <w:basedOn w:val="Normal"/>
    <w:next w:val="Normal"/>
    <w:link w:val="Heading3Char"/>
    <w:uiPriority w:val="99"/>
    <w:qFormat/>
    <w:rsid w:val="00084627"/>
    <w:pPr>
      <w:keepNext/>
      <w:tabs>
        <w:tab w:val="left" w:pos="1560"/>
        <w:tab w:val="left" w:pos="2410"/>
        <w:tab w:val="decimal" w:leader="dot" w:pos="8732"/>
      </w:tabs>
      <w:jc w:val="center"/>
      <w:outlineLvl w:val="2"/>
    </w:pPr>
    <w:rPr>
      <w:b/>
      <w:bCs/>
      <w:sz w:val="28"/>
      <w:szCs w:val="28"/>
      <w:u w:val="single"/>
      <w:lang w:eastAsia="en-US"/>
    </w:rPr>
  </w:style>
  <w:style w:type="paragraph" w:styleId="Heading4">
    <w:name w:val="heading 4"/>
    <w:basedOn w:val="Normal"/>
    <w:next w:val="Normal"/>
    <w:link w:val="Heading4Char"/>
    <w:uiPriority w:val="99"/>
    <w:qFormat/>
    <w:rsid w:val="00084627"/>
    <w:pPr>
      <w:keepNext/>
      <w:tabs>
        <w:tab w:val="left" w:pos="1560"/>
        <w:tab w:val="left" w:pos="2410"/>
        <w:tab w:val="decimal" w:leader="dot" w:pos="8732"/>
      </w:tabs>
      <w:jc w:val="center"/>
      <w:outlineLvl w:val="3"/>
    </w:pPr>
    <w:rPr>
      <w:b/>
      <w:bCs/>
      <w:sz w:val="26"/>
      <w:szCs w:val="26"/>
      <w:u w:val="single"/>
      <w:lang w:eastAsia="en-US"/>
    </w:rPr>
  </w:style>
  <w:style w:type="paragraph" w:styleId="Heading5">
    <w:name w:val="heading 5"/>
    <w:basedOn w:val="Normal"/>
    <w:next w:val="Normal"/>
    <w:link w:val="Heading5Char"/>
    <w:uiPriority w:val="99"/>
    <w:qFormat/>
    <w:rsid w:val="00084627"/>
    <w:pPr>
      <w:keepNext/>
      <w:tabs>
        <w:tab w:val="left" w:pos="1560"/>
        <w:tab w:val="left" w:pos="2410"/>
        <w:tab w:val="decimal" w:leader="dot" w:pos="8732"/>
      </w:tabs>
      <w:outlineLvl w:val="4"/>
    </w:pPr>
    <w:rPr>
      <w:b/>
      <w:bCs/>
      <w:sz w:val="28"/>
      <w:szCs w:val="28"/>
      <w:u w:val="single"/>
      <w:lang w:eastAsia="en-US"/>
    </w:rPr>
  </w:style>
  <w:style w:type="paragraph" w:styleId="Heading6">
    <w:name w:val="heading 6"/>
    <w:basedOn w:val="Normal"/>
    <w:next w:val="Normal"/>
    <w:link w:val="Heading6Char"/>
    <w:uiPriority w:val="99"/>
    <w:qFormat/>
    <w:rsid w:val="00084627"/>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084627"/>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084627"/>
    <w:pPr>
      <w:keepNext/>
      <w:outlineLvl w:val="7"/>
    </w:pPr>
    <w:rPr>
      <w:sz w:val="26"/>
      <w:szCs w:val="26"/>
      <w:u w:val="single"/>
      <w:lang w:eastAsia="en-US"/>
    </w:rPr>
  </w:style>
  <w:style w:type="paragraph" w:styleId="Heading9">
    <w:name w:val="heading 9"/>
    <w:basedOn w:val="Normal"/>
    <w:next w:val="Normal"/>
    <w:link w:val="Heading9Char"/>
    <w:uiPriority w:val="99"/>
    <w:qFormat/>
    <w:rsid w:val="00084627"/>
    <w:pPr>
      <w:keepNext/>
      <w:outlineLvl w:val="8"/>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B32"/>
    <w:pPr>
      <w:spacing w:after="0" w:line="240" w:lineRule="auto"/>
      <w:jc w:val="both"/>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52B32"/>
    <w:rPr>
      <w:rFonts w:cs="Times New Roman"/>
      <w:color w:val="0000FF"/>
      <w:u w:val="single"/>
    </w:rPr>
  </w:style>
  <w:style w:type="paragraph" w:styleId="ListParagraph">
    <w:name w:val="List Paragraph"/>
    <w:aliases w:val="Bulleted List Paragraph,Lettre d'introduction,Bullet List,FooterText,List Paragraph1"/>
    <w:basedOn w:val="Normal"/>
    <w:link w:val="ListParagraphChar"/>
    <w:uiPriority w:val="34"/>
    <w:qFormat/>
    <w:rsid w:val="00C52B32"/>
    <w:pPr>
      <w:ind w:left="720"/>
    </w:pPr>
  </w:style>
  <w:style w:type="character" w:customStyle="1" w:styleId="ListParagraphChar">
    <w:name w:val="List Paragraph Char"/>
    <w:aliases w:val="Bulleted List Paragraph Char,Lettre d'introduction Char,Bullet List Char,FooterText Char,List Paragraph1 Char"/>
    <w:link w:val="ListParagraph"/>
    <w:uiPriority w:val="34"/>
    <w:locked/>
    <w:rsid w:val="00C52B32"/>
    <w:rPr>
      <w:rFonts w:ascii="ZapfCalligr BT" w:eastAsia="Batang" w:hAnsi="ZapfCalligr BT" w:cs="ZapfCalligr BT"/>
      <w:lang w:eastAsia="en-GB"/>
    </w:rPr>
  </w:style>
  <w:style w:type="paragraph" w:styleId="Header">
    <w:name w:val="header"/>
    <w:basedOn w:val="Normal"/>
    <w:link w:val="HeaderChar"/>
    <w:uiPriority w:val="99"/>
    <w:unhideWhenUsed/>
    <w:rsid w:val="00C52B32"/>
    <w:pPr>
      <w:tabs>
        <w:tab w:val="center" w:pos="4513"/>
        <w:tab w:val="right" w:pos="9026"/>
      </w:tabs>
    </w:pPr>
  </w:style>
  <w:style w:type="character" w:customStyle="1" w:styleId="HeaderChar">
    <w:name w:val="Header Char"/>
    <w:basedOn w:val="DefaultParagraphFont"/>
    <w:link w:val="Header"/>
    <w:uiPriority w:val="99"/>
    <w:rsid w:val="00C52B32"/>
    <w:rPr>
      <w:rFonts w:ascii="ZapfCalligr BT" w:eastAsia="Batang" w:hAnsi="ZapfCalligr BT" w:cs="ZapfCalligr BT"/>
      <w:lang w:eastAsia="en-GB"/>
    </w:rPr>
  </w:style>
  <w:style w:type="paragraph" w:styleId="Footer">
    <w:name w:val="footer"/>
    <w:basedOn w:val="Normal"/>
    <w:link w:val="FooterChar"/>
    <w:uiPriority w:val="99"/>
    <w:unhideWhenUsed/>
    <w:rsid w:val="00C52B32"/>
    <w:pPr>
      <w:tabs>
        <w:tab w:val="center" w:pos="4513"/>
        <w:tab w:val="right" w:pos="9026"/>
      </w:tabs>
    </w:pPr>
  </w:style>
  <w:style w:type="character" w:customStyle="1" w:styleId="FooterChar">
    <w:name w:val="Footer Char"/>
    <w:basedOn w:val="DefaultParagraphFont"/>
    <w:link w:val="Footer"/>
    <w:uiPriority w:val="99"/>
    <w:rsid w:val="00C52B32"/>
    <w:rPr>
      <w:rFonts w:ascii="ZapfCalligr BT" w:eastAsia="Batang" w:hAnsi="ZapfCalligr BT" w:cs="ZapfCalligr BT"/>
      <w:lang w:eastAsia="en-GB"/>
    </w:rPr>
  </w:style>
  <w:style w:type="character" w:styleId="CommentReference">
    <w:name w:val="annotation reference"/>
    <w:basedOn w:val="DefaultParagraphFont"/>
    <w:uiPriority w:val="99"/>
    <w:semiHidden/>
    <w:unhideWhenUsed/>
    <w:rsid w:val="00A2307C"/>
    <w:rPr>
      <w:sz w:val="16"/>
      <w:szCs w:val="16"/>
    </w:rPr>
  </w:style>
  <w:style w:type="paragraph" w:styleId="CommentText">
    <w:name w:val="annotation text"/>
    <w:basedOn w:val="Normal"/>
    <w:link w:val="CommentTextChar"/>
    <w:uiPriority w:val="99"/>
    <w:unhideWhenUsed/>
    <w:rsid w:val="00A2307C"/>
    <w:rPr>
      <w:sz w:val="20"/>
      <w:szCs w:val="20"/>
    </w:rPr>
  </w:style>
  <w:style w:type="character" w:customStyle="1" w:styleId="CommentTextChar">
    <w:name w:val="Comment Text Char"/>
    <w:basedOn w:val="DefaultParagraphFont"/>
    <w:link w:val="CommentText"/>
    <w:uiPriority w:val="99"/>
    <w:rsid w:val="00A2307C"/>
    <w:rPr>
      <w:rFonts w:ascii="ZapfCalligr BT" w:eastAsia="Batang" w:hAnsi="ZapfCalligr BT" w:cs="ZapfCalligr BT"/>
      <w:sz w:val="20"/>
      <w:szCs w:val="20"/>
      <w:lang w:eastAsia="en-GB"/>
    </w:rPr>
  </w:style>
  <w:style w:type="paragraph" w:styleId="CommentSubject">
    <w:name w:val="annotation subject"/>
    <w:basedOn w:val="CommentText"/>
    <w:next w:val="CommentText"/>
    <w:link w:val="CommentSubjectChar"/>
    <w:uiPriority w:val="99"/>
    <w:semiHidden/>
    <w:unhideWhenUsed/>
    <w:rsid w:val="00A2307C"/>
    <w:rPr>
      <w:b/>
      <w:bCs/>
    </w:rPr>
  </w:style>
  <w:style w:type="character" w:customStyle="1" w:styleId="CommentSubjectChar">
    <w:name w:val="Comment Subject Char"/>
    <w:basedOn w:val="CommentTextChar"/>
    <w:link w:val="CommentSubject"/>
    <w:uiPriority w:val="99"/>
    <w:semiHidden/>
    <w:rsid w:val="00A2307C"/>
    <w:rPr>
      <w:rFonts w:ascii="ZapfCalligr BT" w:eastAsia="Batang" w:hAnsi="ZapfCalligr BT" w:cs="ZapfCalligr BT"/>
      <w:b/>
      <w:bCs/>
      <w:sz w:val="20"/>
      <w:szCs w:val="20"/>
      <w:lang w:eastAsia="en-GB"/>
    </w:rPr>
  </w:style>
  <w:style w:type="paragraph" w:styleId="Revision">
    <w:name w:val="Revision"/>
    <w:hidden/>
    <w:uiPriority w:val="99"/>
    <w:semiHidden/>
    <w:rsid w:val="007F4683"/>
    <w:pPr>
      <w:spacing w:after="0" w:line="240" w:lineRule="auto"/>
    </w:pPr>
    <w:rPr>
      <w:rFonts w:ascii="ZapfCalligr BT" w:eastAsia="Batang" w:hAnsi="ZapfCalligr BT" w:cs="ZapfCalligr BT"/>
      <w:lang w:eastAsia="en-GB"/>
    </w:rPr>
  </w:style>
  <w:style w:type="character" w:customStyle="1" w:styleId="Heading1Char">
    <w:name w:val="Heading 1 Char"/>
    <w:basedOn w:val="DefaultParagraphFont"/>
    <w:link w:val="Heading1"/>
    <w:uiPriority w:val="99"/>
    <w:rsid w:val="00084627"/>
    <w:rPr>
      <w:rFonts w:ascii="Arial" w:eastAsia="Batang" w:hAnsi="Arial" w:cs="Arial"/>
      <w:b/>
      <w:bCs/>
      <w:color w:val="FFCC00"/>
      <w:sz w:val="28"/>
      <w:szCs w:val="28"/>
      <w:shd w:val="clear" w:color="auto" w:fill="3366FF"/>
    </w:rPr>
  </w:style>
  <w:style w:type="character" w:customStyle="1" w:styleId="Heading2Char">
    <w:name w:val="Heading 2 Char"/>
    <w:basedOn w:val="DefaultParagraphFont"/>
    <w:link w:val="Heading2"/>
    <w:uiPriority w:val="99"/>
    <w:rsid w:val="00084627"/>
    <w:rPr>
      <w:rFonts w:ascii="Arial" w:eastAsia="Batang" w:hAnsi="Arial" w:cs="Arial"/>
      <w:b/>
      <w:bCs/>
      <w:sz w:val="24"/>
      <w:szCs w:val="24"/>
      <w:shd w:val="clear" w:color="auto" w:fill="99CCFF"/>
    </w:rPr>
  </w:style>
  <w:style w:type="character" w:customStyle="1" w:styleId="Heading3Char">
    <w:name w:val="Heading 3 Char"/>
    <w:basedOn w:val="DefaultParagraphFont"/>
    <w:link w:val="Heading3"/>
    <w:uiPriority w:val="99"/>
    <w:rsid w:val="00084627"/>
    <w:rPr>
      <w:rFonts w:ascii="ZapfCalligr BT" w:eastAsia="Batang" w:hAnsi="ZapfCalligr BT" w:cs="ZapfCalligr BT"/>
      <w:b/>
      <w:bCs/>
      <w:sz w:val="28"/>
      <w:szCs w:val="28"/>
      <w:u w:val="single"/>
    </w:rPr>
  </w:style>
  <w:style w:type="character" w:customStyle="1" w:styleId="Heading4Char">
    <w:name w:val="Heading 4 Char"/>
    <w:basedOn w:val="DefaultParagraphFont"/>
    <w:link w:val="Heading4"/>
    <w:uiPriority w:val="99"/>
    <w:rsid w:val="00084627"/>
    <w:rPr>
      <w:rFonts w:ascii="ZapfCalligr BT" w:eastAsia="Batang" w:hAnsi="ZapfCalligr BT" w:cs="ZapfCalligr BT"/>
      <w:b/>
      <w:bCs/>
      <w:sz w:val="26"/>
      <w:szCs w:val="26"/>
      <w:u w:val="single"/>
    </w:rPr>
  </w:style>
  <w:style w:type="character" w:customStyle="1" w:styleId="Heading5Char">
    <w:name w:val="Heading 5 Char"/>
    <w:basedOn w:val="DefaultParagraphFont"/>
    <w:link w:val="Heading5"/>
    <w:uiPriority w:val="99"/>
    <w:rsid w:val="00084627"/>
    <w:rPr>
      <w:rFonts w:ascii="ZapfCalligr BT" w:eastAsia="Batang" w:hAnsi="ZapfCalligr BT" w:cs="ZapfCalligr BT"/>
      <w:b/>
      <w:bCs/>
      <w:sz w:val="28"/>
      <w:szCs w:val="28"/>
      <w:u w:val="single"/>
    </w:rPr>
  </w:style>
  <w:style w:type="character" w:customStyle="1" w:styleId="Heading6Char">
    <w:name w:val="Heading 6 Char"/>
    <w:basedOn w:val="DefaultParagraphFont"/>
    <w:link w:val="Heading6"/>
    <w:uiPriority w:val="99"/>
    <w:rsid w:val="00084627"/>
    <w:rPr>
      <w:rFonts w:ascii="Arial" w:eastAsia="Batang" w:hAnsi="Arial" w:cs="Arial"/>
      <w:b/>
      <w:bCs/>
      <w:lang w:eastAsia="en-GB"/>
    </w:rPr>
  </w:style>
  <w:style w:type="character" w:customStyle="1" w:styleId="Heading7Char">
    <w:name w:val="Heading 7 Char"/>
    <w:basedOn w:val="DefaultParagraphFont"/>
    <w:link w:val="Heading7"/>
    <w:uiPriority w:val="99"/>
    <w:rsid w:val="00084627"/>
    <w:rPr>
      <w:rFonts w:ascii="Times New Roman" w:eastAsia="Batang" w:hAnsi="Times New Roman" w:cs="Times New Roman"/>
      <w:sz w:val="24"/>
      <w:szCs w:val="24"/>
      <w:lang w:eastAsia="en-GB"/>
    </w:rPr>
  </w:style>
  <w:style w:type="character" w:customStyle="1" w:styleId="Heading8Char">
    <w:name w:val="Heading 8 Char"/>
    <w:basedOn w:val="DefaultParagraphFont"/>
    <w:link w:val="Heading8"/>
    <w:uiPriority w:val="99"/>
    <w:rsid w:val="00084627"/>
    <w:rPr>
      <w:rFonts w:ascii="ZapfCalligr BT" w:eastAsia="Batang" w:hAnsi="ZapfCalligr BT" w:cs="ZapfCalligr BT"/>
      <w:sz w:val="26"/>
      <w:szCs w:val="26"/>
      <w:u w:val="single"/>
    </w:rPr>
  </w:style>
  <w:style w:type="character" w:customStyle="1" w:styleId="Heading9Char">
    <w:name w:val="Heading 9 Char"/>
    <w:basedOn w:val="DefaultParagraphFont"/>
    <w:link w:val="Heading9"/>
    <w:uiPriority w:val="99"/>
    <w:rsid w:val="00084627"/>
    <w:rPr>
      <w:rFonts w:ascii="ZapfCalligr BT" w:eastAsia="Batang" w:hAnsi="ZapfCalligr BT" w:cs="ZapfCalligr BT"/>
      <w:b/>
      <w:bCs/>
      <w:sz w:val="28"/>
      <w:szCs w:val="28"/>
    </w:rPr>
  </w:style>
  <w:style w:type="character" w:styleId="UnresolvedMention">
    <w:name w:val="Unresolved Mention"/>
    <w:basedOn w:val="DefaultParagraphFont"/>
    <w:uiPriority w:val="99"/>
    <w:semiHidden/>
    <w:unhideWhenUsed/>
    <w:rsid w:val="00084627"/>
    <w:rPr>
      <w:color w:val="605E5C"/>
      <w:shd w:val="clear" w:color="auto" w:fill="E1DFDD"/>
    </w:rPr>
  </w:style>
  <w:style w:type="character" w:styleId="PageNumber">
    <w:name w:val="page number"/>
    <w:basedOn w:val="DefaultParagraphFont"/>
    <w:uiPriority w:val="99"/>
    <w:rsid w:val="00084627"/>
    <w:rPr>
      <w:rFonts w:cs="Times New Roman"/>
    </w:rPr>
  </w:style>
  <w:style w:type="paragraph" w:styleId="BalloonText">
    <w:name w:val="Balloon Text"/>
    <w:basedOn w:val="Normal"/>
    <w:link w:val="BalloonTextChar"/>
    <w:uiPriority w:val="99"/>
    <w:semiHidden/>
    <w:rsid w:val="00084627"/>
    <w:rPr>
      <w:rFonts w:ascii="Tahoma" w:hAnsi="Tahoma" w:cs="Tahoma"/>
      <w:sz w:val="16"/>
      <w:szCs w:val="16"/>
    </w:rPr>
  </w:style>
  <w:style w:type="character" w:customStyle="1" w:styleId="BalloonTextChar">
    <w:name w:val="Balloon Text Char"/>
    <w:basedOn w:val="DefaultParagraphFont"/>
    <w:link w:val="BalloonText"/>
    <w:uiPriority w:val="99"/>
    <w:semiHidden/>
    <w:rsid w:val="00084627"/>
    <w:rPr>
      <w:rFonts w:ascii="Tahoma" w:eastAsia="Batang" w:hAnsi="Tahoma" w:cs="Tahoma"/>
      <w:sz w:val="16"/>
      <w:szCs w:val="16"/>
      <w:lang w:eastAsia="en-GB"/>
    </w:rPr>
  </w:style>
  <w:style w:type="paragraph" w:styleId="BodyText">
    <w:name w:val="Body Text"/>
    <w:basedOn w:val="Normal"/>
    <w:link w:val="BodyTextChar"/>
    <w:uiPriority w:val="99"/>
    <w:rsid w:val="00084627"/>
    <w:rPr>
      <w:sz w:val="28"/>
      <w:szCs w:val="28"/>
      <w:lang w:eastAsia="en-US"/>
    </w:rPr>
  </w:style>
  <w:style w:type="character" w:customStyle="1" w:styleId="BodyTextChar">
    <w:name w:val="Body Text Char"/>
    <w:basedOn w:val="DefaultParagraphFont"/>
    <w:link w:val="BodyText"/>
    <w:uiPriority w:val="99"/>
    <w:rsid w:val="00084627"/>
    <w:rPr>
      <w:rFonts w:ascii="ZapfCalligr BT" w:eastAsia="Batang" w:hAnsi="ZapfCalligr BT" w:cs="ZapfCalligr BT"/>
      <w:sz w:val="28"/>
      <w:szCs w:val="28"/>
    </w:rPr>
  </w:style>
  <w:style w:type="paragraph" w:styleId="BodyTextIndent2">
    <w:name w:val="Body Text Indent 2"/>
    <w:basedOn w:val="Normal"/>
    <w:link w:val="BodyTextIndent2Char"/>
    <w:uiPriority w:val="99"/>
    <w:rsid w:val="00084627"/>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uiPriority w:val="99"/>
    <w:rsid w:val="00084627"/>
    <w:rPr>
      <w:rFonts w:ascii="Arial" w:eastAsia="Batang" w:hAnsi="Arial" w:cs="Arial"/>
      <w:sz w:val="24"/>
      <w:szCs w:val="24"/>
      <w:lang w:eastAsia="en-GB"/>
    </w:rPr>
  </w:style>
  <w:style w:type="paragraph" w:styleId="BodyText2">
    <w:name w:val="Body Text 2"/>
    <w:basedOn w:val="Normal"/>
    <w:link w:val="BodyText2Char"/>
    <w:uiPriority w:val="99"/>
    <w:rsid w:val="00084627"/>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rsid w:val="00084627"/>
    <w:rPr>
      <w:rFonts w:ascii="Arial" w:eastAsia="Batang" w:hAnsi="Arial" w:cs="Arial"/>
      <w:sz w:val="24"/>
      <w:szCs w:val="24"/>
      <w:lang w:eastAsia="en-GB"/>
    </w:rPr>
  </w:style>
  <w:style w:type="paragraph" w:styleId="BodyText3">
    <w:name w:val="Body Text 3"/>
    <w:basedOn w:val="Normal"/>
    <w:link w:val="BodyText3Char"/>
    <w:uiPriority w:val="99"/>
    <w:rsid w:val="00084627"/>
    <w:pPr>
      <w:spacing w:after="120"/>
    </w:pPr>
    <w:rPr>
      <w:rFonts w:ascii="Arial" w:hAnsi="Arial" w:cs="Arial"/>
      <w:sz w:val="16"/>
      <w:szCs w:val="16"/>
    </w:rPr>
  </w:style>
  <w:style w:type="character" w:customStyle="1" w:styleId="BodyText3Char">
    <w:name w:val="Body Text 3 Char"/>
    <w:basedOn w:val="DefaultParagraphFont"/>
    <w:link w:val="BodyText3"/>
    <w:uiPriority w:val="99"/>
    <w:rsid w:val="00084627"/>
    <w:rPr>
      <w:rFonts w:ascii="Arial" w:eastAsia="Batang" w:hAnsi="Arial" w:cs="Arial"/>
      <w:sz w:val="16"/>
      <w:szCs w:val="16"/>
      <w:lang w:eastAsia="en-GB"/>
    </w:rPr>
  </w:style>
  <w:style w:type="character" w:styleId="FollowedHyperlink">
    <w:name w:val="FollowedHyperlink"/>
    <w:basedOn w:val="DefaultParagraphFont"/>
    <w:uiPriority w:val="99"/>
    <w:rsid w:val="00084627"/>
    <w:rPr>
      <w:rFonts w:cs="Times New Roman"/>
      <w:color w:val="800080"/>
      <w:u w:val="single"/>
    </w:rPr>
  </w:style>
  <w:style w:type="paragraph" w:styleId="BodyTextIndent">
    <w:name w:val="Body Text Indent"/>
    <w:basedOn w:val="Normal"/>
    <w:link w:val="BodyTextIndentChar"/>
    <w:uiPriority w:val="99"/>
    <w:rsid w:val="00084627"/>
    <w:pPr>
      <w:tabs>
        <w:tab w:val="left" w:pos="567"/>
        <w:tab w:val="decimal" w:pos="4537"/>
        <w:tab w:val="left" w:pos="5245"/>
        <w:tab w:val="left" w:pos="6804"/>
      </w:tabs>
      <w:ind w:left="540" w:hanging="540"/>
    </w:pPr>
    <w:rPr>
      <w:sz w:val="24"/>
      <w:szCs w:val="24"/>
      <w:lang w:eastAsia="en-US"/>
    </w:rPr>
  </w:style>
  <w:style w:type="character" w:customStyle="1" w:styleId="BodyTextIndentChar">
    <w:name w:val="Body Text Indent Char"/>
    <w:basedOn w:val="DefaultParagraphFont"/>
    <w:link w:val="BodyTextIndent"/>
    <w:uiPriority w:val="99"/>
    <w:rsid w:val="00084627"/>
    <w:rPr>
      <w:rFonts w:ascii="ZapfCalligr BT" w:eastAsia="Batang" w:hAnsi="ZapfCalligr BT" w:cs="ZapfCalligr BT"/>
      <w:sz w:val="24"/>
      <w:szCs w:val="24"/>
    </w:rPr>
  </w:style>
  <w:style w:type="paragraph" w:styleId="BodyTextIndent3">
    <w:name w:val="Body Text Indent 3"/>
    <w:basedOn w:val="Normal"/>
    <w:link w:val="BodyTextIndent3Char"/>
    <w:uiPriority w:val="99"/>
    <w:rsid w:val="00084627"/>
    <w:pPr>
      <w:ind w:left="180" w:hanging="180"/>
    </w:pPr>
    <w:rPr>
      <w:sz w:val="26"/>
      <w:szCs w:val="26"/>
      <w:lang w:eastAsia="en-US"/>
    </w:rPr>
  </w:style>
  <w:style w:type="character" w:customStyle="1" w:styleId="BodyTextIndent3Char">
    <w:name w:val="Body Text Indent 3 Char"/>
    <w:basedOn w:val="DefaultParagraphFont"/>
    <w:link w:val="BodyTextIndent3"/>
    <w:uiPriority w:val="99"/>
    <w:rsid w:val="00084627"/>
    <w:rPr>
      <w:rFonts w:ascii="ZapfCalligr BT" w:eastAsia="Batang" w:hAnsi="ZapfCalligr BT" w:cs="ZapfCalligr BT"/>
      <w:sz w:val="26"/>
      <w:szCs w:val="26"/>
    </w:rPr>
  </w:style>
  <w:style w:type="paragraph" w:styleId="NoSpacing">
    <w:name w:val="No Spacing"/>
    <w:uiPriority w:val="99"/>
    <w:qFormat/>
    <w:rsid w:val="00084627"/>
    <w:pPr>
      <w:spacing w:after="0" w:line="240" w:lineRule="auto"/>
    </w:pPr>
    <w:rPr>
      <w:rFonts w:ascii="Calibri" w:eastAsia="Batang" w:hAnsi="Calibri" w:cs="Calibri"/>
    </w:rPr>
  </w:style>
  <w:style w:type="paragraph" w:styleId="PlainText">
    <w:name w:val="Plain Text"/>
    <w:basedOn w:val="Normal"/>
    <w:link w:val="PlainTextChar"/>
    <w:uiPriority w:val="99"/>
    <w:rsid w:val="00084627"/>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rsid w:val="00084627"/>
    <w:rPr>
      <w:rFonts w:ascii="Courier New" w:eastAsia="Batang" w:hAnsi="Courier New" w:cs="Courier New"/>
      <w:sz w:val="20"/>
      <w:szCs w:val="20"/>
      <w:lang w:eastAsia="en-GB"/>
    </w:rPr>
  </w:style>
  <w:style w:type="character" w:customStyle="1" w:styleId="n66611listyle">
    <w:name w:val="n66611 listyle"/>
    <w:basedOn w:val="DefaultParagraphFont"/>
    <w:uiPriority w:val="99"/>
    <w:rsid w:val="00084627"/>
    <w:rPr>
      <w:rFonts w:cs="Times New Roman"/>
    </w:rPr>
  </w:style>
  <w:style w:type="paragraph" w:styleId="NormalWeb">
    <w:name w:val="Normal (Web)"/>
    <w:basedOn w:val="Normal"/>
    <w:uiPriority w:val="99"/>
    <w:rsid w:val="00084627"/>
    <w:pPr>
      <w:spacing w:before="100" w:beforeAutospacing="1" w:after="100" w:afterAutospacing="1"/>
      <w:jc w:val="left"/>
    </w:pPr>
    <w:rPr>
      <w:rFonts w:ascii="Times New Roman" w:hAnsi="Times New Roman" w:cs="Times New Roman"/>
      <w:sz w:val="24"/>
      <w:szCs w:val="24"/>
    </w:rPr>
  </w:style>
  <w:style w:type="paragraph" w:customStyle="1" w:styleId="Default">
    <w:name w:val="Default"/>
    <w:rsid w:val="00084627"/>
    <w:pPr>
      <w:autoSpaceDE w:val="0"/>
      <w:autoSpaceDN w:val="0"/>
      <w:adjustRightInd w:val="0"/>
      <w:spacing w:after="0" w:line="240" w:lineRule="auto"/>
    </w:pPr>
    <w:rPr>
      <w:rFonts w:ascii="Avenir 35" w:eastAsia="Batang" w:hAnsi="Avenir 35" w:cs="Avenir 35"/>
      <w:color w:val="000000"/>
      <w:sz w:val="24"/>
      <w:szCs w:val="24"/>
      <w:lang w:eastAsia="en-GB"/>
    </w:rPr>
  </w:style>
  <w:style w:type="character" w:customStyle="1" w:styleId="EmailStyle52">
    <w:name w:val="EmailStyle52"/>
    <w:basedOn w:val="DefaultParagraphFont"/>
    <w:uiPriority w:val="99"/>
    <w:semiHidden/>
    <w:rsid w:val="00084627"/>
    <w:rPr>
      <w:rFonts w:ascii="Arial" w:hAnsi="Arial" w:cs="Arial"/>
      <w:color w:val="auto"/>
      <w:sz w:val="20"/>
      <w:szCs w:val="20"/>
    </w:rPr>
  </w:style>
  <w:style w:type="paragraph" w:customStyle="1" w:styleId="smalltext">
    <w:name w:val="smalltext"/>
    <w:basedOn w:val="Normal"/>
    <w:uiPriority w:val="99"/>
    <w:rsid w:val="00084627"/>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20"/>
    <w:qFormat/>
    <w:rsid w:val="00084627"/>
    <w:rPr>
      <w:rFonts w:cs="Times New Roman"/>
      <w:i/>
      <w:iCs/>
    </w:rPr>
  </w:style>
  <w:style w:type="character" w:styleId="SubtleEmphasis">
    <w:name w:val="Subtle Emphasis"/>
    <w:basedOn w:val="DefaultParagraphFont"/>
    <w:uiPriority w:val="19"/>
    <w:qFormat/>
    <w:rsid w:val="00084627"/>
    <w:rPr>
      <w:i/>
      <w:iCs/>
      <w:color w:val="808080" w:themeColor="text1" w:themeTint="7F"/>
    </w:rPr>
  </w:style>
  <w:style w:type="character" w:customStyle="1" w:styleId="gerrans">
    <w:name w:val="gerrans"/>
    <w:basedOn w:val="DefaultParagraphFont"/>
    <w:semiHidden/>
    <w:rsid w:val="00084627"/>
    <w:rPr>
      <w:rFonts w:ascii="Arial" w:hAnsi="Arial" w:cs="Arial"/>
      <w:color w:val="auto"/>
      <w:sz w:val="20"/>
      <w:szCs w:val="20"/>
    </w:rPr>
  </w:style>
  <w:style w:type="table" w:styleId="LightShading">
    <w:name w:val="Light Shading"/>
    <w:basedOn w:val="TableNormal"/>
    <w:uiPriority w:val="60"/>
    <w:rsid w:val="00084627"/>
    <w:pPr>
      <w:spacing w:after="0" w:line="240" w:lineRule="auto"/>
    </w:pPr>
    <w:rPr>
      <w:rFonts w:ascii="Times New Roman" w:eastAsia="Batang" w:hAnsi="Times New Roman" w:cs="Times New Roman"/>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84627"/>
    <w:pPr>
      <w:spacing w:after="0" w:line="240" w:lineRule="auto"/>
    </w:pPr>
    <w:rPr>
      <w:rFonts w:ascii="Times New Roman" w:eastAsia="Batang" w:hAnsi="Times New Roman" w:cs="Times New Roman"/>
      <w:color w:val="2F5496" w:themeColor="accent1" w:themeShade="BF"/>
      <w:lang w:eastAsia="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List">
    <w:name w:val="Light List"/>
    <w:basedOn w:val="TableNormal"/>
    <w:uiPriority w:val="61"/>
    <w:rsid w:val="00084627"/>
    <w:pPr>
      <w:spacing w:after="0" w:line="240" w:lineRule="auto"/>
    </w:pPr>
    <w:rPr>
      <w:rFonts w:ascii="Times New Roman" w:eastAsia="Batang" w:hAnsi="Times New Roman" w:cs="Times New Roman"/>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AfterTables">
    <w:name w:val="Bodytext AfterTables"/>
    <w:basedOn w:val="Normal"/>
    <w:rsid w:val="00084627"/>
    <w:pPr>
      <w:spacing w:before="120" w:after="105" w:line="210" w:lineRule="exact"/>
      <w:jc w:val="left"/>
    </w:pPr>
    <w:rPr>
      <w:rFonts w:ascii="Trade Gothic LT Std Light" w:eastAsia="Times New Roman" w:hAnsi="Trade Gothic LT Std Light" w:cs="Times New Roman"/>
      <w:spacing w:val="-3"/>
      <w:sz w:val="18"/>
      <w:szCs w:val="24"/>
    </w:rPr>
  </w:style>
  <w:style w:type="paragraph" w:customStyle="1" w:styleId="Tabletext">
    <w:name w:val="Tabletext"/>
    <w:basedOn w:val="Normal"/>
    <w:rsid w:val="00084627"/>
    <w:pPr>
      <w:tabs>
        <w:tab w:val="left" w:pos="284"/>
      </w:tabs>
      <w:spacing w:before="20" w:after="20" w:line="180" w:lineRule="exact"/>
      <w:jc w:val="left"/>
    </w:pPr>
    <w:rPr>
      <w:rFonts w:ascii="Trade Gothic LT Std Light" w:eastAsia="Times New Roman" w:hAnsi="Trade Gothic LT Std Light" w:cs="Times New Roman"/>
      <w:spacing w:val="-3"/>
      <w:sz w:val="16"/>
      <w:szCs w:val="20"/>
    </w:rPr>
  </w:style>
  <w:style w:type="paragraph" w:customStyle="1" w:styleId="TableColHeads">
    <w:name w:val="TableColHeads"/>
    <w:basedOn w:val="Tabletext"/>
    <w:rsid w:val="00084627"/>
    <w:pPr>
      <w:spacing w:before="40" w:after="40" w:line="160" w:lineRule="exact"/>
      <w:ind w:right="57"/>
      <w:jc w:val="right"/>
    </w:pPr>
    <w:rPr>
      <w:sz w:val="14"/>
    </w:rPr>
  </w:style>
  <w:style w:type="paragraph" w:customStyle="1" w:styleId="TableFigures">
    <w:name w:val="TableFigures"/>
    <w:basedOn w:val="Tabletext"/>
    <w:rsid w:val="00084627"/>
    <w:pPr>
      <w:ind w:right="57"/>
      <w:jc w:val="right"/>
    </w:pPr>
  </w:style>
  <w:style w:type="paragraph" w:customStyle="1" w:styleId="TableFiguresBold">
    <w:name w:val="TableFigures Bold"/>
    <w:basedOn w:val="TableFigures"/>
    <w:rsid w:val="00084627"/>
    <w:rPr>
      <w:rFonts w:ascii="Trade Gothic LT Std Bold" w:hAnsi="Trade Gothic LT Std Bold"/>
      <w:bCs/>
    </w:rPr>
  </w:style>
  <w:style w:type="paragraph" w:customStyle="1" w:styleId="Footnotes">
    <w:name w:val="Footnotes"/>
    <w:basedOn w:val="Normal"/>
    <w:rsid w:val="00084627"/>
    <w:pPr>
      <w:spacing w:before="85" w:line="170" w:lineRule="exact"/>
      <w:ind w:left="170" w:hanging="170"/>
      <w:jc w:val="left"/>
    </w:pPr>
    <w:rPr>
      <w:rFonts w:ascii="Trade Gothic LT Std Light" w:eastAsia="Times New Roman" w:hAnsi="Trade Gothic LT Std Light" w:cs="Times New Roman"/>
      <w:spacing w:val="-3"/>
      <w:sz w:val="15"/>
      <w:szCs w:val="24"/>
    </w:rPr>
  </w:style>
  <w:style w:type="paragraph" w:customStyle="1" w:styleId="TableColHeadsLeft">
    <w:name w:val="TableColHeads Left"/>
    <w:basedOn w:val="TableColHeads"/>
    <w:rsid w:val="00084627"/>
    <w:pPr>
      <w:jc w:val="left"/>
    </w:pPr>
  </w:style>
  <w:style w:type="paragraph" w:customStyle="1" w:styleId="TableFiguresBrackets">
    <w:name w:val="TableFigures Brackets"/>
    <w:basedOn w:val="TableFigures"/>
    <w:rsid w:val="00084627"/>
    <w:pPr>
      <w:ind w:right="17"/>
    </w:pPr>
  </w:style>
  <w:style w:type="paragraph" w:customStyle="1" w:styleId="Bullets">
    <w:name w:val="Bullets"/>
    <w:basedOn w:val="Normal"/>
    <w:rsid w:val="00084627"/>
    <w:pPr>
      <w:numPr>
        <w:numId w:val="6"/>
      </w:numPr>
      <w:spacing w:after="105" w:line="210" w:lineRule="exact"/>
      <w:jc w:val="left"/>
    </w:pPr>
    <w:rPr>
      <w:rFonts w:ascii="Trade Gothic LT Std Light" w:eastAsia="Times New Roman" w:hAnsi="Trade Gothic LT Std Light" w:cs="Times New Roman"/>
      <w:spacing w:val="-3"/>
      <w:sz w:val="18"/>
      <w:szCs w:val="24"/>
    </w:rPr>
  </w:style>
  <w:style w:type="paragraph" w:styleId="ListBullet4">
    <w:name w:val="List Bullet 4"/>
    <w:basedOn w:val="Normal"/>
    <w:uiPriority w:val="99"/>
    <w:semiHidden/>
    <w:unhideWhenUsed/>
    <w:rsid w:val="00084627"/>
    <w:pPr>
      <w:numPr>
        <w:numId w:val="7"/>
      </w:numPr>
      <w:spacing w:after="80" w:line="210" w:lineRule="exact"/>
      <w:jc w:val="left"/>
    </w:pPr>
    <w:rPr>
      <w:rFonts w:ascii="Trade Gothic LT Std Light" w:eastAsiaTheme="minorHAnsi" w:hAnsi="Trade Gothic LT Std Light" w:cs="Times New Roman"/>
      <w:spacing w:val="-4"/>
      <w:sz w:val="18"/>
      <w:szCs w:val="18"/>
    </w:rPr>
  </w:style>
  <w:style w:type="paragraph" w:customStyle="1" w:styleId="Heading1NoSpace">
    <w:name w:val="Heading 1 NoSpace"/>
    <w:basedOn w:val="Heading1"/>
    <w:rsid w:val="00084627"/>
    <w:pPr>
      <w:pBdr>
        <w:bottom w:val="single" w:sz="8" w:space="4" w:color="auto"/>
      </w:pBdr>
      <w:shd w:val="clear" w:color="auto" w:fill="auto"/>
      <w:tabs>
        <w:tab w:val="left" w:pos="284"/>
        <w:tab w:val="left" w:pos="340"/>
      </w:tabs>
      <w:spacing w:after="60" w:line="280" w:lineRule="exact"/>
      <w:jc w:val="left"/>
    </w:pPr>
    <w:rPr>
      <w:rFonts w:ascii="Trade Gothic LT Std Bold" w:eastAsia="Times New Roman" w:hAnsi="Trade Gothic LT Std Bold" w:cs="Times New Roman"/>
      <w:bCs w:val="0"/>
      <w:color w:val="auto"/>
      <w:spacing w:val="-3"/>
      <w:kern w:val="32"/>
      <w:sz w:val="24"/>
      <w:szCs w:val="20"/>
      <w:lang w:eastAsia="en-GB"/>
    </w:rPr>
  </w:style>
  <w:style w:type="character" w:customStyle="1" w:styleId="Bold">
    <w:name w:val="Bold"/>
    <w:rsid w:val="00084627"/>
    <w:rPr>
      <w:rFonts w:ascii="Trade Gothic LT Std Bold" w:hAnsi="Trade Gothic LT Std Bold"/>
    </w:rPr>
  </w:style>
  <w:style w:type="paragraph" w:styleId="Bibliography">
    <w:name w:val="Bibliography"/>
    <w:basedOn w:val="Normal"/>
    <w:next w:val="Normal"/>
    <w:uiPriority w:val="37"/>
    <w:semiHidden/>
    <w:unhideWhenUsed/>
    <w:rsid w:val="00084627"/>
  </w:style>
  <w:style w:type="paragraph" w:styleId="BlockText">
    <w:name w:val="Block Text"/>
    <w:basedOn w:val="Normal"/>
    <w:uiPriority w:val="99"/>
    <w:semiHidden/>
    <w:unhideWhenUsed/>
    <w:rsid w:val="0008462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dyTextFirstIndent">
    <w:name w:val="Body Text First Indent"/>
    <w:basedOn w:val="BodyText"/>
    <w:link w:val="BodyTextFirstIndentChar"/>
    <w:uiPriority w:val="99"/>
    <w:semiHidden/>
    <w:unhideWhenUsed/>
    <w:rsid w:val="00084627"/>
    <w:pPr>
      <w:ind w:firstLine="360"/>
    </w:pPr>
    <w:rPr>
      <w:sz w:val="22"/>
      <w:szCs w:val="22"/>
      <w:lang w:eastAsia="en-GB"/>
    </w:rPr>
  </w:style>
  <w:style w:type="character" w:customStyle="1" w:styleId="BodyTextFirstIndentChar">
    <w:name w:val="Body Text First Indent Char"/>
    <w:basedOn w:val="BodyTextChar"/>
    <w:link w:val="BodyTextFirstIndent"/>
    <w:uiPriority w:val="99"/>
    <w:semiHidden/>
    <w:rsid w:val="00084627"/>
    <w:rPr>
      <w:rFonts w:ascii="ZapfCalligr BT" w:eastAsia="Batang" w:hAnsi="ZapfCalligr BT" w:cs="ZapfCalligr BT"/>
      <w:sz w:val="28"/>
      <w:szCs w:val="28"/>
      <w:lang w:eastAsia="en-GB"/>
    </w:rPr>
  </w:style>
  <w:style w:type="paragraph" w:styleId="BodyTextFirstIndent2">
    <w:name w:val="Body Text First Indent 2"/>
    <w:basedOn w:val="BodyTextIndent"/>
    <w:link w:val="BodyTextFirstIndent2Char"/>
    <w:uiPriority w:val="99"/>
    <w:semiHidden/>
    <w:unhideWhenUsed/>
    <w:rsid w:val="00084627"/>
    <w:pPr>
      <w:tabs>
        <w:tab w:val="clear" w:pos="567"/>
        <w:tab w:val="clear" w:pos="4537"/>
        <w:tab w:val="clear" w:pos="5245"/>
        <w:tab w:val="clear" w:pos="6804"/>
      </w:tabs>
      <w:ind w:left="360" w:firstLine="360"/>
    </w:pPr>
    <w:rPr>
      <w:sz w:val="22"/>
      <w:szCs w:val="22"/>
      <w:lang w:eastAsia="en-GB"/>
    </w:rPr>
  </w:style>
  <w:style w:type="character" w:customStyle="1" w:styleId="BodyTextFirstIndent2Char">
    <w:name w:val="Body Text First Indent 2 Char"/>
    <w:basedOn w:val="BodyTextIndentChar"/>
    <w:link w:val="BodyTextFirstIndent2"/>
    <w:uiPriority w:val="99"/>
    <w:semiHidden/>
    <w:rsid w:val="00084627"/>
    <w:rPr>
      <w:rFonts w:ascii="ZapfCalligr BT" w:eastAsia="Batang" w:hAnsi="ZapfCalligr BT" w:cs="ZapfCalligr BT"/>
      <w:sz w:val="24"/>
      <w:szCs w:val="24"/>
      <w:lang w:eastAsia="en-GB"/>
    </w:rPr>
  </w:style>
  <w:style w:type="paragraph" w:styleId="Caption">
    <w:name w:val="caption"/>
    <w:basedOn w:val="Normal"/>
    <w:next w:val="Normal"/>
    <w:uiPriority w:val="35"/>
    <w:semiHidden/>
    <w:unhideWhenUsed/>
    <w:qFormat/>
    <w:rsid w:val="00084627"/>
    <w:pPr>
      <w:spacing w:after="200"/>
    </w:pPr>
    <w:rPr>
      <w:i/>
      <w:iCs/>
      <w:color w:val="44546A" w:themeColor="text2"/>
      <w:sz w:val="18"/>
      <w:szCs w:val="18"/>
    </w:rPr>
  </w:style>
  <w:style w:type="paragraph" w:styleId="Closing">
    <w:name w:val="Closing"/>
    <w:basedOn w:val="Normal"/>
    <w:link w:val="ClosingChar"/>
    <w:uiPriority w:val="99"/>
    <w:semiHidden/>
    <w:unhideWhenUsed/>
    <w:rsid w:val="00084627"/>
    <w:pPr>
      <w:ind w:left="4252"/>
    </w:pPr>
  </w:style>
  <w:style w:type="character" w:customStyle="1" w:styleId="ClosingChar">
    <w:name w:val="Closing Char"/>
    <w:basedOn w:val="DefaultParagraphFont"/>
    <w:link w:val="Closing"/>
    <w:uiPriority w:val="99"/>
    <w:semiHidden/>
    <w:rsid w:val="00084627"/>
    <w:rPr>
      <w:rFonts w:ascii="ZapfCalligr BT" w:eastAsia="Batang" w:hAnsi="ZapfCalligr BT" w:cs="ZapfCalligr BT"/>
      <w:lang w:eastAsia="en-GB"/>
    </w:rPr>
  </w:style>
  <w:style w:type="paragraph" w:styleId="Date">
    <w:name w:val="Date"/>
    <w:basedOn w:val="Normal"/>
    <w:next w:val="Normal"/>
    <w:link w:val="DateChar"/>
    <w:uiPriority w:val="99"/>
    <w:semiHidden/>
    <w:unhideWhenUsed/>
    <w:rsid w:val="00084627"/>
  </w:style>
  <w:style w:type="character" w:customStyle="1" w:styleId="DateChar">
    <w:name w:val="Date Char"/>
    <w:basedOn w:val="DefaultParagraphFont"/>
    <w:link w:val="Date"/>
    <w:uiPriority w:val="99"/>
    <w:semiHidden/>
    <w:rsid w:val="00084627"/>
    <w:rPr>
      <w:rFonts w:ascii="ZapfCalligr BT" w:eastAsia="Batang" w:hAnsi="ZapfCalligr BT" w:cs="ZapfCalligr BT"/>
      <w:lang w:eastAsia="en-GB"/>
    </w:rPr>
  </w:style>
  <w:style w:type="paragraph" w:styleId="DocumentMap">
    <w:name w:val="Document Map"/>
    <w:basedOn w:val="Normal"/>
    <w:link w:val="DocumentMapChar"/>
    <w:uiPriority w:val="99"/>
    <w:semiHidden/>
    <w:unhideWhenUsed/>
    <w:rsid w:val="0008462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84627"/>
    <w:rPr>
      <w:rFonts w:ascii="Segoe UI" w:eastAsia="Batang" w:hAnsi="Segoe UI" w:cs="Segoe UI"/>
      <w:sz w:val="16"/>
      <w:szCs w:val="16"/>
      <w:lang w:eastAsia="en-GB"/>
    </w:rPr>
  </w:style>
  <w:style w:type="paragraph" w:styleId="E-mailSignature">
    <w:name w:val="E-mail Signature"/>
    <w:basedOn w:val="Normal"/>
    <w:link w:val="E-mailSignatureChar"/>
    <w:uiPriority w:val="99"/>
    <w:semiHidden/>
    <w:unhideWhenUsed/>
    <w:rsid w:val="00084627"/>
  </w:style>
  <w:style w:type="character" w:customStyle="1" w:styleId="E-mailSignatureChar">
    <w:name w:val="E-mail Signature Char"/>
    <w:basedOn w:val="DefaultParagraphFont"/>
    <w:link w:val="E-mailSignature"/>
    <w:uiPriority w:val="99"/>
    <w:semiHidden/>
    <w:rsid w:val="00084627"/>
    <w:rPr>
      <w:rFonts w:ascii="ZapfCalligr BT" w:eastAsia="Batang" w:hAnsi="ZapfCalligr BT" w:cs="ZapfCalligr BT"/>
      <w:lang w:eastAsia="en-GB"/>
    </w:rPr>
  </w:style>
  <w:style w:type="paragraph" w:styleId="EndnoteText">
    <w:name w:val="endnote text"/>
    <w:basedOn w:val="Normal"/>
    <w:link w:val="EndnoteTextChar"/>
    <w:uiPriority w:val="99"/>
    <w:semiHidden/>
    <w:unhideWhenUsed/>
    <w:rsid w:val="00084627"/>
    <w:rPr>
      <w:sz w:val="20"/>
      <w:szCs w:val="20"/>
    </w:rPr>
  </w:style>
  <w:style w:type="character" w:customStyle="1" w:styleId="EndnoteTextChar">
    <w:name w:val="Endnote Text Char"/>
    <w:basedOn w:val="DefaultParagraphFont"/>
    <w:link w:val="EndnoteText"/>
    <w:uiPriority w:val="99"/>
    <w:semiHidden/>
    <w:rsid w:val="00084627"/>
    <w:rPr>
      <w:rFonts w:ascii="ZapfCalligr BT" w:eastAsia="Batang" w:hAnsi="ZapfCalligr BT" w:cs="ZapfCalligr BT"/>
      <w:sz w:val="20"/>
      <w:szCs w:val="20"/>
      <w:lang w:eastAsia="en-GB"/>
    </w:rPr>
  </w:style>
  <w:style w:type="paragraph" w:styleId="EnvelopeAddress">
    <w:name w:val="envelope address"/>
    <w:basedOn w:val="Normal"/>
    <w:uiPriority w:val="99"/>
    <w:semiHidden/>
    <w:unhideWhenUsed/>
    <w:rsid w:val="0008462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8462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84627"/>
    <w:rPr>
      <w:sz w:val="20"/>
      <w:szCs w:val="20"/>
    </w:rPr>
  </w:style>
  <w:style w:type="character" w:customStyle="1" w:styleId="FootnoteTextChar">
    <w:name w:val="Footnote Text Char"/>
    <w:basedOn w:val="DefaultParagraphFont"/>
    <w:link w:val="FootnoteText"/>
    <w:uiPriority w:val="99"/>
    <w:semiHidden/>
    <w:rsid w:val="00084627"/>
    <w:rPr>
      <w:rFonts w:ascii="ZapfCalligr BT" w:eastAsia="Batang" w:hAnsi="ZapfCalligr BT" w:cs="ZapfCalligr BT"/>
      <w:sz w:val="20"/>
      <w:szCs w:val="20"/>
      <w:lang w:eastAsia="en-GB"/>
    </w:rPr>
  </w:style>
  <w:style w:type="paragraph" w:styleId="HTMLAddress">
    <w:name w:val="HTML Address"/>
    <w:basedOn w:val="Normal"/>
    <w:link w:val="HTMLAddressChar"/>
    <w:uiPriority w:val="99"/>
    <w:semiHidden/>
    <w:unhideWhenUsed/>
    <w:rsid w:val="00084627"/>
    <w:rPr>
      <w:i/>
      <w:iCs/>
    </w:rPr>
  </w:style>
  <w:style w:type="character" w:customStyle="1" w:styleId="HTMLAddressChar">
    <w:name w:val="HTML Address Char"/>
    <w:basedOn w:val="DefaultParagraphFont"/>
    <w:link w:val="HTMLAddress"/>
    <w:uiPriority w:val="99"/>
    <w:semiHidden/>
    <w:rsid w:val="00084627"/>
    <w:rPr>
      <w:rFonts w:ascii="ZapfCalligr BT" w:eastAsia="Batang" w:hAnsi="ZapfCalligr BT" w:cs="ZapfCalligr BT"/>
      <w:i/>
      <w:iCs/>
      <w:lang w:eastAsia="en-GB"/>
    </w:rPr>
  </w:style>
  <w:style w:type="paragraph" w:styleId="HTMLPreformatted">
    <w:name w:val="HTML Preformatted"/>
    <w:basedOn w:val="Normal"/>
    <w:link w:val="HTMLPreformattedChar"/>
    <w:uiPriority w:val="99"/>
    <w:semiHidden/>
    <w:unhideWhenUsed/>
    <w:rsid w:val="0008462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84627"/>
    <w:rPr>
      <w:rFonts w:ascii="Consolas" w:eastAsia="Batang" w:hAnsi="Consolas" w:cs="Consolas"/>
      <w:sz w:val="20"/>
      <w:szCs w:val="20"/>
      <w:lang w:eastAsia="en-GB"/>
    </w:rPr>
  </w:style>
  <w:style w:type="paragraph" w:styleId="Index1">
    <w:name w:val="index 1"/>
    <w:basedOn w:val="Normal"/>
    <w:next w:val="Normal"/>
    <w:autoRedefine/>
    <w:uiPriority w:val="99"/>
    <w:semiHidden/>
    <w:unhideWhenUsed/>
    <w:rsid w:val="00084627"/>
    <w:pPr>
      <w:ind w:left="220" w:hanging="220"/>
    </w:pPr>
  </w:style>
  <w:style w:type="paragraph" w:styleId="Index2">
    <w:name w:val="index 2"/>
    <w:basedOn w:val="Normal"/>
    <w:next w:val="Normal"/>
    <w:autoRedefine/>
    <w:uiPriority w:val="99"/>
    <w:semiHidden/>
    <w:unhideWhenUsed/>
    <w:rsid w:val="00084627"/>
    <w:pPr>
      <w:ind w:left="440" w:hanging="220"/>
    </w:pPr>
  </w:style>
  <w:style w:type="paragraph" w:styleId="Index3">
    <w:name w:val="index 3"/>
    <w:basedOn w:val="Normal"/>
    <w:next w:val="Normal"/>
    <w:autoRedefine/>
    <w:uiPriority w:val="99"/>
    <w:semiHidden/>
    <w:unhideWhenUsed/>
    <w:rsid w:val="00084627"/>
    <w:pPr>
      <w:ind w:left="660" w:hanging="220"/>
    </w:pPr>
  </w:style>
  <w:style w:type="paragraph" w:styleId="Index4">
    <w:name w:val="index 4"/>
    <w:basedOn w:val="Normal"/>
    <w:next w:val="Normal"/>
    <w:autoRedefine/>
    <w:uiPriority w:val="99"/>
    <w:semiHidden/>
    <w:unhideWhenUsed/>
    <w:rsid w:val="00084627"/>
    <w:pPr>
      <w:ind w:left="880" w:hanging="220"/>
    </w:pPr>
  </w:style>
  <w:style w:type="paragraph" w:styleId="Index5">
    <w:name w:val="index 5"/>
    <w:basedOn w:val="Normal"/>
    <w:next w:val="Normal"/>
    <w:autoRedefine/>
    <w:uiPriority w:val="99"/>
    <w:semiHidden/>
    <w:unhideWhenUsed/>
    <w:rsid w:val="00084627"/>
    <w:pPr>
      <w:ind w:left="1100" w:hanging="220"/>
    </w:pPr>
  </w:style>
  <w:style w:type="paragraph" w:styleId="Index6">
    <w:name w:val="index 6"/>
    <w:basedOn w:val="Normal"/>
    <w:next w:val="Normal"/>
    <w:autoRedefine/>
    <w:uiPriority w:val="99"/>
    <w:semiHidden/>
    <w:unhideWhenUsed/>
    <w:rsid w:val="00084627"/>
    <w:pPr>
      <w:ind w:left="1320" w:hanging="220"/>
    </w:pPr>
  </w:style>
  <w:style w:type="paragraph" w:styleId="Index7">
    <w:name w:val="index 7"/>
    <w:basedOn w:val="Normal"/>
    <w:next w:val="Normal"/>
    <w:autoRedefine/>
    <w:uiPriority w:val="99"/>
    <w:semiHidden/>
    <w:unhideWhenUsed/>
    <w:rsid w:val="00084627"/>
    <w:pPr>
      <w:ind w:left="1540" w:hanging="220"/>
    </w:pPr>
  </w:style>
  <w:style w:type="paragraph" w:styleId="Index8">
    <w:name w:val="index 8"/>
    <w:basedOn w:val="Normal"/>
    <w:next w:val="Normal"/>
    <w:autoRedefine/>
    <w:uiPriority w:val="99"/>
    <w:semiHidden/>
    <w:unhideWhenUsed/>
    <w:rsid w:val="00084627"/>
    <w:pPr>
      <w:ind w:left="1760" w:hanging="220"/>
    </w:pPr>
  </w:style>
  <w:style w:type="paragraph" w:styleId="Index9">
    <w:name w:val="index 9"/>
    <w:basedOn w:val="Normal"/>
    <w:next w:val="Normal"/>
    <w:autoRedefine/>
    <w:uiPriority w:val="99"/>
    <w:semiHidden/>
    <w:unhideWhenUsed/>
    <w:rsid w:val="00084627"/>
    <w:pPr>
      <w:ind w:left="1980" w:hanging="220"/>
    </w:pPr>
  </w:style>
  <w:style w:type="paragraph" w:styleId="IndexHeading">
    <w:name w:val="index heading"/>
    <w:basedOn w:val="Normal"/>
    <w:next w:val="Index1"/>
    <w:uiPriority w:val="99"/>
    <w:semiHidden/>
    <w:unhideWhenUsed/>
    <w:rsid w:val="0008462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8462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84627"/>
    <w:rPr>
      <w:rFonts w:ascii="ZapfCalligr BT" w:eastAsia="Batang" w:hAnsi="ZapfCalligr BT" w:cs="ZapfCalligr BT"/>
      <w:i/>
      <w:iCs/>
      <w:color w:val="4472C4" w:themeColor="accent1"/>
      <w:lang w:eastAsia="en-GB"/>
    </w:rPr>
  </w:style>
  <w:style w:type="paragraph" w:styleId="List">
    <w:name w:val="List"/>
    <w:basedOn w:val="Normal"/>
    <w:uiPriority w:val="99"/>
    <w:semiHidden/>
    <w:unhideWhenUsed/>
    <w:rsid w:val="00084627"/>
    <w:pPr>
      <w:ind w:left="283" w:hanging="283"/>
      <w:contextualSpacing/>
    </w:pPr>
  </w:style>
  <w:style w:type="paragraph" w:styleId="List2">
    <w:name w:val="List 2"/>
    <w:basedOn w:val="Normal"/>
    <w:uiPriority w:val="99"/>
    <w:semiHidden/>
    <w:unhideWhenUsed/>
    <w:rsid w:val="00084627"/>
    <w:pPr>
      <w:ind w:left="566" w:hanging="283"/>
      <w:contextualSpacing/>
    </w:pPr>
  </w:style>
  <w:style w:type="paragraph" w:styleId="List3">
    <w:name w:val="List 3"/>
    <w:basedOn w:val="Normal"/>
    <w:uiPriority w:val="99"/>
    <w:semiHidden/>
    <w:unhideWhenUsed/>
    <w:rsid w:val="00084627"/>
    <w:pPr>
      <w:ind w:left="849" w:hanging="283"/>
      <w:contextualSpacing/>
    </w:pPr>
  </w:style>
  <w:style w:type="paragraph" w:styleId="List4">
    <w:name w:val="List 4"/>
    <w:basedOn w:val="Normal"/>
    <w:uiPriority w:val="99"/>
    <w:semiHidden/>
    <w:unhideWhenUsed/>
    <w:rsid w:val="00084627"/>
    <w:pPr>
      <w:ind w:left="1132" w:hanging="283"/>
      <w:contextualSpacing/>
    </w:pPr>
  </w:style>
  <w:style w:type="paragraph" w:styleId="List5">
    <w:name w:val="List 5"/>
    <w:basedOn w:val="Normal"/>
    <w:uiPriority w:val="99"/>
    <w:semiHidden/>
    <w:unhideWhenUsed/>
    <w:rsid w:val="00084627"/>
    <w:pPr>
      <w:ind w:left="1415" w:hanging="283"/>
      <w:contextualSpacing/>
    </w:pPr>
  </w:style>
  <w:style w:type="paragraph" w:styleId="ListBullet">
    <w:name w:val="List Bullet"/>
    <w:basedOn w:val="Normal"/>
    <w:uiPriority w:val="99"/>
    <w:semiHidden/>
    <w:unhideWhenUsed/>
    <w:rsid w:val="00084627"/>
    <w:pPr>
      <w:numPr>
        <w:numId w:val="8"/>
      </w:numPr>
      <w:contextualSpacing/>
    </w:pPr>
  </w:style>
  <w:style w:type="paragraph" w:styleId="ListBullet2">
    <w:name w:val="List Bullet 2"/>
    <w:basedOn w:val="Normal"/>
    <w:uiPriority w:val="99"/>
    <w:semiHidden/>
    <w:unhideWhenUsed/>
    <w:rsid w:val="00084627"/>
    <w:pPr>
      <w:numPr>
        <w:numId w:val="9"/>
      </w:numPr>
      <w:contextualSpacing/>
    </w:pPr>
  </w:style>
  <w:style w:type="paragraph" w:styleId="ListBullet3">
    <w:name w:val="List Bullet 3"/>
    <w:basedOn w:val="Normal"/>
    <w:uiPriority w:val="99"/>
    <w:semiHidden/>
    <w:unhideWhenUsed/>
    <w:rsid w:val="00084627"/>
    <w:pPr>
      <w:numPr>
        <w:numId w:val="10"/>
      </w:numPr>
      <w:contextualSpacing/>
    </w:pPr>
  </w:style>
  <w:style w:type="paragraph" w:styleId="ListBullet5">
    <w:name w:val="List Bullet 5"/>
    <w:basedOn w:val="Normal"/>
    <w:uiPriority w:val="99"/>
    <w:semiHidden/>
    <w:unhideWhenUsed/>
    <w:rsid w:val="00084627"/>
    <w:pPr>
      <w:numPr>
        <w:numId w:val="11"/>
      </w:numPr>
      <w:contextualSpacing/>
    </w:pPr>
  </w:style>
  <w:style w:type="paragraph" w:styleId="ListContinue">
    <w:name w:val="List Continue"/>
    <w:basedOn w:val="Normal"/>
    <w:uiPriority w:val="99"/>
    <w:semiHidden/>
    <w:unhideWhenUsed/>
    <w:rsid w:val="00084627"/>
    <w:pPr>
      <w:spacing w:after="120"/>
      <w:ind w:left="283"/>
      <w:contextualSpacing/>
    </w:pPr>
  </w:style>
  <w:style w:type="paragraph" w:styleId="ListContinue2">
    <w:name w:val="List Continue 2"/>
    <w:basedOn w:val="Normal"/>
    <w:uiPriority w:val="99"/>
    <w:semiHidden/>
    <w:unhideWhenUsed/>
    <w:rsid w:val="00084627"/>
    <w:pPr>
      <w:spacing w:after="120"/>
      <w:ind w:left="566"/>
      <w:contextualSpacing/>
    </w:pPr>
  </w:style>
  <w:style w:type="paragraph" w:styleId="ListContinue3">
    <w:name w:val="List Continue 3"/>
    <w:basedOn w:val="Normal"/>
    <w:uiPriority w:val="99"/>
    <w:semiHidden/>
    <w:unhideWhenUsed/>
    <w:rsid w:val="00084627"/>
    <w:pPr>
      <w:spacing w:after="120"/>
      <w:ind w:left="849"/>
      <w:contextualSpacing/>
    </w:pPr>
  </w:style>
  <w:style w:type="paragraph" w:styleId="ListContinue4">
    <w:name w:val="List Continue 4"/>
    <w:basedOn w:val="Normal"/>
    <w:uiPriority w:val="99"/>
    <w:semiHidden/>
    <w:unhideWhenUsed/>
    <w:rsid w:val="00084627"/>
    <w:pPr>
      <w:spacing w:after="120"/>
      <w:ind w:left="1132"/>
      <w:contextualSpacing/>
    </w:pPr>
  </w:style>
  <w:style w:type="paragraph" w:styleId="ListContinue5">
    <w:name w:val="List Continue 5"/>
    <w:basedOn w:val="Normal"/>
    <w:uiPriority w:val="99"/>
    <w:semiHidden/>
    <w:unhideWhenUsed/>
    <w:rsid w:val="00084627"/>
    <w:pPr>
      <w:spacing w:after="120"/>
      <w:ind w:left="1415"/>
      <w:contextualSpacing/>
    </w:pPr>
  </w:style>
  <w:style w:type="paragraph" w:styleId="ListNumber">
    <w:name w:val="List Number"/>
    <w:basedOn w:val="Normal"/>
    <w:uiPriority w:val="99"/>
    <w:semiHidden/>
    <w:unhideWhenUsed/>
    <w:rsid w:val="00084627"/>
    <w:pPr>
      <w:numPr>
        <w:numId w:val="12"/>
      </w:numPr>
      <w:contextualSpacing/>
    </w:pPr>
  </w:style>
  <w:style w:type="paragraph" w:styleId="ListNumber2">
    <w:name w:val="List Number 2"/>
    <w:basedOn w:val="Normal"/>
    <w:uiPriority w:val="99"/>
    <w:semiHidden/>
    <w:unhideWhenUsed/>
    <w:rsid w:val="00084627"/>
    <w:pPr>
      <w:numPr>
        <w:numId w:val="13"/>
      </w:numPr>
      <w:contextualSpacing/>
    </w:pPr>
  </w:style>
  <w:style w:type="paragraph" w:styleId="ListNumber3">
    <w:name w:val="List Number 3"/>
    <w:basedOn w:val="Normal"/>
    <w:uiPriority w:val="99"/>
    <w:semiHidden/>
    <w:unhideWhenUsed/>
    <w:rsid w:val="00084627"/>
    <w:pPr>
      <w:numPr>
        <w:numId w:val="14"/>
      </w:numPr>
      <w:contextualSpacing/>
    </w:pPr>
  </w:style>
  <w:style w:type="paragraph" w:styleId="ListNumber4">
    <w:name w:val="List Number 4"/>
    <w:basedOn w:val="Normal"/>
    <w:uiPriority w:val="99"/>
    <w:semiHidden/>
    <w:unhideWhenUsed/>
    <w:rsid w:val="00084627"/>
    <w:pPr>
      <w:numPr>
        <w:numId w:val="15"/>
      </w:numPr>
      <w:contextualSpacing/>
    </w:pPr>
  </w:style>
  <w:style w:type="paragraph" w:styleId="ListNumber5">
    <w:name w:val="List Number 5"/>
    <w:basedOn w:val="Normal"/>
    <w:uiPriority w:val="99"/>
    <w:semiHidden/>
    <w:unhideWhenUsed/>
    <w:rsid w:val="00084627"/>
    <w:pPr>
      <w:numPr>
        <w:numId w:val="16"/>
      </w:numPr>
      <w:contextualSpacing/>
    </w:pPr>
  </w:style>
  <w:style w:type="paragraph" w:styleId="MacroText">
    <w:name w:val="macro"/>
    <w:link w:val="MacroTextChar"/>
    <w:uiPriority w:val="99"/>
    <w:semiHidden/>
    <w:unhideWhenUsed/>
    <w:rsid w:val="0008462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Batang" w:hAnsi="Consolas" w:cs="Consolas"/>
      <w:sz w:val="20"/>
      <w:szCs w:val="20"/>
      <w:lang w:eastAsia="en-GB"/>
    </w:rPr>
  </w:style>
  <w:style w:type="character" w:customStyle="1" w:styleId="MacroTextChar">
    <w:name w:val="Macro Text Char"/>
    <w:basedOn w:val="DefaultParagraphFont"/>
    <w:link w:val="MacroText"/>
    <w:uiPriority w:val="99"/>
    <w:semiHidden/>
    <w:rsid w:val="00084627"/>
    <w:rPr>
      <w:rFonts w:ascii="Consolas" w:eastAsia="Batang" w:hAnsi="Consolas" w:cs="Consolas"/>
      <w:sz w:val="20"/>
      <w:szCs w:val="20"/>
      <w:lang w:eastAsia="en-GB"/>
    </w:rPr>
  </w:style>
  <w:style w:type="paragraph" w:styleId="MessageHeader">
    <w:name w:val="Message Header"/>
    <w:basedOn w:val="Normal"/>
    <w:link w:val="MessageHeaderChar"/>
    <w:uiPriority w:val="99"/>
    <w:semiHidden/>
    <w:unhideWhenUsed/>
    <w:rsid w:val="000846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84627"/>
    <w:rPr>
      <w:rFonts w:asciiTheme="majorHAnsi" w:eastAsiaTheme="majorEastAsia" w:hAnsiTheme="majorHAnsi" w:cstheme="majorBidi"/>
      <w:sz w:val="24"/>
      <w:szCs w:val="24"/>
      <w:shd w:val="pct20" w:color="auto" w:fill="auto"/>
      <w:lang w:eastAsia="en-GB"/>
    </w:rPr>
  </w:style>
  <w:style w:type="paragraph" w:styleId="NormalIndent">
    <w:name w:val="Normal Indent"/>
    <w:basedOn w:val="Normal"/>
    <w:uiPriority w:val="99"/>
    <w:semiHidden/>
    <w:unhideWhenUsed/>
    <w:rsid w:val="00084627"/>
    <w:pPr>
      <w:ind w:left="720"/>
    </w:pPr>
  </w:style>
  <w:style w:type="paragraph" w:styleId="NoteHeading">
    <w:name w:val="Note Heading"/>
    <w:basedOn w:val="Normal"/>
    <w:next w:val="Normal"/>
    <w:link w:val="NoteHeadingChar"/>
    <w:uiPriority w:val="99"/>
    <w:semiHidden/>
    <w:unhideWhenUsed/>
    <w:rsid w:val="00084627"/>
  </w:style>
  <w:style w:type="character" w:customStyle="1" w:styleId="NoteHeadingChar">
    <w:name w:val="Note Heading Char"/>
    <w:basedOn w:val="DefaultParagraphFont"/>
    <w:link w:val="NoteHeading"/>
    <w:uiPriority w:val="99"/>
    <w:semiHidden/>
    <w:rsid w:val="00084627"/>
    <w:rPr>
      <w:rFonts w:ascii="ZapfCalligr BT" w:eastAsia="Batang" w:hAnsi="ZapfCalligr BT" w:cs="ZapfCalligr BT"/>
      <w:lang w:eastAsia="en-GB"/>
    </w:rPr>
  </w:style>
  <w:style w:type="paragraph" w:styleId="Quote">
    <w:name w:val="Quote"/>
    <w:basedOn w:val="Normal"/>
    <w:next w:val="Normal"/>
    <w:link w:val="QuoteChar"/>
    <w:uiPriority w:val="29"/>
    <w:qFormat/>
    <w:rsid w:val="000846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84627"/>
    <w:rPr>
      <w:rFonts w:ascii="ZapfCalligr BT" w:eastAsia="Batang" w:hAnsi="ZapfCalligr BT" w:cs="ZapfCalligr BT"/>
      <w:i/>
      <w:iCs/>
      <w:color w:val="404040" w:themeColor="text1" w:themeTint="BF"/>
      <w:lang w:eastAsia="en-GB"/>
    </w:rPr>
  </w:style>
  <w:style w:type="paragraph" w:styleId="Salutation">
    <w:name w:val="Salutation"/>
    <w:basedOn w:val="Normal"/>
    <w:next w:val="Normal"/>
    <w:link w:val="SalutationChar"/>
    <w:uiPriority w:val="99"/>
    <w:semiHidden/>
    <w:unhideWhenUsed/>
    <w:rsid w:val="00084627"/>
  </w:style>
  <w:style w:type="character" w:customStyle="1" w:styleId="SalutationChar">
    <w:name w:val="Salutation Char"/>
    <w:basedOn w:val="DefaultParagraphFont"/>
    <w:link w:val="Salutation"/>
    <w:uiPriority w:val="99"/>
    <w:semiHidden/>
    <w:rsid w:val="00084627"/>
    <w:rPr>
      <w:rFonts w:ascii="ZapfCalligr BT" w:eastAsia="Batang" w:hAnsi="ZapfCalligr BT" w:cs="ZapfCalligr BT"/>
      <w:lang w:eastAsia="en-GB"/>
    </w:rPr>
  </w:style>
  <w:style w:type="paragraph" w:styleId="Signature">
    <w:name w:val="Signature"/>
    <w:basedOn w:val="Normal"/>
    <w:link w:val="SignatureChar"/>
    <w:uiPriority w:val="99"/>
    <w:semiHidden/>
    <w:unhideWhenUsed/>
    <w:rsid w:val="00084627"/>
    <w:pPr>
      <w:ind w:left="4252"/>
    </w:pPr>
  </w:style>
  <w:style w:type="character" w:customStyle="1" w:styleId="SignatureChar">
    <w:name w:val="Signature Char"/>
    <w:basedOn w:val="DefaultParagraphFont"/>
    <w:link w:val="Signature"/>
    <w:uiPriority w:val="99"/>
    <w:semiHidden/>
    <w:rsid w:val="00084627"/>
    <w:rPr>
      <w:rFonts w:ascii="ZapfCalligr BT" w:eastAsia="Batang" w:hAnsi="ZapfCalligr BT" w:cs="ZapfCalligr BT"/>
      <w:lang w:eastAsia="en-GB"/>
    </w:rPr>
  </w:style>
  <w:style w:type="paragraph" w:styleId="Subtitle">
    <w:name w:val="Subtitle"/>
    <w:basedOn w:val="Normal"/>
    <w:next w:val="Normal"/>
    <w:link w:val="SubtitleChar"/>
    <w:uiPriority w:val="11"/>
    <w:qFormat/>
    <w:rsid w:val="000846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84627"/>
    <w:rPr>
      <w:rFonts w:eastAsiaTheme="minorEastAsia"/>
      <w:color w:val="5A5A5A" w:themeColor="text1" w:themeTint="A5"/>
      <w:spacing w:val="15"/>
      <w:lang w:eastAsia="en-GB"/>
    </w:rPr>
  </w:style>
  <w:style w:type="paragraph" w:styleId="TableofAuthorities">
    <w:name w:val="table of authorities"/>
    <w:basedOn w:val="Normal"/>
    <w:next w:val="Normal"/>
    <w:uiPriority w:val="99"/>
    <w:semiHidden/>
    <w:unhideWhenUsed/>
    <w:rsid w:val="00084627"/>
    <w:pPr>
      <w:ind w:left="220" w:hanging="220"/>
    </w:pPr>
  </w:style>
  <w:style w:type="paragraph" w:styleId="TableofFigures">
    <w:name w:val="table of figures"/>
    <w:basedOn w:val="Normal"/>
    <w:next w:val="Normal"/>
    <w:uiPriority w:val="99"/>
    <w:semiHidden/>
    <w:unhideWhenUsed/>
    <w:rsid w:val="00084627"/>
  </w:style>
  <w:style w:type="paragraph" w:styleId="Title">
    <w:name w:val="Title"/>
    <w:basedOn w:val="Normal"/>
    <w:next w:val="Normal"/>
    <w:link w:val="TitleChar"/>
    <w:uiPriority w:val="10"/>
    <w:qFormat/>
    <w:rsid w:val="000846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4627"/>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08462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84627"/>
    <w:pPr>
      <w:spacing w:after="100"/>
    </w:pPr>
  </w:style>
  <w:style w:type="paragraph" w:styleId="TOC2">
    <w:name w:val="toc 2"/>
    <w:basedOn w:val="Normal"/>
    <w:next w:val="Normal"/>
    <w:autoRedefine/>
    <w:uiPriority w:val="39"/>
    <w:semiHidden/>
    <w:unhideWhenUsed/>
    <w:rsid w:val="00084627"/>
    <w:pPr>
      <w:spacing w:after="100"/>
      <w:ind w:left="220"/>
    </w:pPr>
  </w:style>
  <w:style w:type="paragraph" w:styleId="TOC3">
    <w:name w:val="toc 3"/>
    <w:basedOn w:val="Normal"/>
    <w:next w:val="Normal"/>
    <w:autoRedefine/>
    <w:uiPriority w:val="39"/>
    <w:semiHidden/>
    <w:unhideWhenUsed/>
    <w:rsid w:val="00084627"/>
    <w:pPr>
      <w:spacing w:after="100"/>
      <w:ind w:left="440"/>
    </w:pPr>
  </w:style>
  <w:style w:type="paragraph" w:styleId="TOC4">
    <w:name w:val="toc 4"/>
    <w:basedOn w:val="Normal"/>
    <w:next w:val="Normal"/>
    <w:autoRedefine/>
    <w:uiPriority w:val="39"/>
    <w:semiHidden/>
    <w:unhideWhenUsed/>
    <w:rsid w:val="00084627"/>
    <w:pPr>
      <w:spacing w:after="100"/>
      <w:ind w:left="660"/>
    </w:pPr>
  </w:style>
  <w:style w:type="paragraph" w:styleId="TOC5">
    <w:name w:val="toc 5"/>
    <w:basedOn w:val="Normal"/>
    <w:next w:val="Normal"/>
    <w:autoRedefine/>
    <w:uiPriority w:val="39"/>
    <w:semiHidden/>
    <w:unhideWhenUsed/>
    <w:rsid w:val="00084627"/>
    <w:pPr>
      <w:spacing w:after="100"/>
      <w:ind w:left="880"/>
    </w:pPr>
  </w:style>
  <w:style w:type="paragraph" w:styleId="TOC6">
    <w:name w:val="toc 6"/>
    <w:basedOn w:val="Normal"/>
    <w:next w:val="Normal"/>
    <w:autoRedefine/>
    <w:uiPriority w:val="39"/>
    <w:semiHidden/>
    <w:unhideWhenUsed/>
    <w:rsid w:val="00084627"/>
    <w:pPr>
      <w:spacing w:after="100"/>
      <w:ind w:left="1100"/>
    </w:pPr>
  </w:style>
  <w:style w:type="paragraph" w:styleId="TOC7">
    <w:name w:val="toc 7"/>
    <w:basedOn w:val="Normal"/>
    <w:next w:val="Normal"/>
    <w:autoRedefine/>
    <w:uiPriority w:val="39"/>
    <w:semiHidden/>
    <w:unhideWhenUsed/>
    <w:rsid w:val="00084627"/>
    <w:pPr>
      <w:spacing w:after="100"/>
      <w:ind w:left="1320"/>
    </w:pPr>
  </w:style>
  <w:style w:type="paragraph" w:styleId="TOC8">
    <w:name w:val="toc 8"/>
    <w:basedOn w:val="Normal"/>
    <w:next w:val="Normal"/>
    <w:autoRedefine/>
    <w:uiPriority w:val="39"/>
    <w:semiHidden/>
    <w:unhideWhenUsed/>
    <w:rsid w:val="00084627"/>
    <w:pPr>
      <w:spacing w:after="100"/>
      <w:ind w:left="1540"/>
    </w:pPr>
  </w:style>
  <w:style w:type="paragraph" w:styleId="TOC9">
    <w:name w:val="toc 9"/>
    <w:basedOn w:val="Normal"/>
    <w:next w:val="Normal"/>
    <w:autoRedefine/>
    <w:uiPriority w:val="39"/>
    <w:semiHidden/>
    <w:unhideWhenUsed/>
    <w:rsid w:val="00084627"/>
    <w:pPr>
      <w:spacing w:after="100"/>
      <w:ind w:left="1760"/>
    </w:pPr>
  </w:style>
  <w:style w:type="paragraph" w:styleId="TOCHeading">
    <w:name w:val="TOC Heading"/>
    <w:basedOn w:val="Heading1"/>
    <w:next w:val="Normal"/>
    <w:uiPriority w:val="39"/>
    <w:semiHidden/>
    <w:unhideWhenUsed/>
    <w:qFormat/>
    <w:rsid w:val="00084627"/>
    <w:pPr>
      <w:keepLines/>
      <w:shd w:val="clear" w:color="auto" w:fill="auto"/>
      <w:spacing w:before="240"/>
      <w:outlineLvl w:val="9"/>
    </w:pPr>
    <w:rPr>
      <w:rFonts w:asciiTheme="majorHAnsi" w:eastAsiaTheme="majorEastAsia" w:hAnsiTheme="majorHAnsi" w:cstheme="majorBidi"/>
      <w:b w:val="0"/>
      <w:bCs w:val="0"/>
      <w:color w:val="2F5496" w:themeColor="accent1" w:themeShade="BF"/>
      <w:sz w:val="32"/>
      <w:szCs w:val="32"/>
      <w:lang w:eastAsia="en-GB"/>
    </w:rPr>
  </w:style>
  <w:style w:type="table" w:customStyle="1" w:styleId="TableGrid1">
    <w:name w:val="Table Grid1"/>
    <w:basedOn w:val="TableNormal"/>
    <w:next w:val="TableGrid"/>
    <w:uiPriority w:val="39"/>
    <w:rsid w:val="00084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
    <w:rsid w:val="00084627"/>
    <w:pPr>
      <w:spacing w:before="100" w:beforeAutospacing="1" w:after="100" w:afterAutospacing="1"/>
      <w:jc w:val="left"/>
    </w:pPr>
    <w:rPr>
      <w:rFonts w:ascii="Times New Roman" w:eastAsia="Times New Roman" w:hAnsi="Times New Roman" w:cs="Times New Roman"/>
      <w:sz w:val="24"/>
      <w:szCs w:val="24"/>
    </w:rPr>
  </w:style>
  <w:style w:type="paragraph" w:customStyle="1" w:styleId="mr">
    <w:name w:val="mr"/>
    <w:basedOn w:val="Normal"/>
    <w:rsid w:val="00084627"/>
    <w:pPr>
      <w:spacing w:before="100" w:beforeAutospacing="1" w:after="100" w:afterAutospacing="1"/>
      <w:jc w:val="left"/>
    </w:pPr>
    <w:rPr>
      <w:rFonts w:ascii="Times New Roman" w:eastAsia="Times New Roman" w:hAnsi="Times New Roman" w:cs="Times New Roman"/>
      <w:sz w:val="24"/>
      <w:szCs w:val="24"/>
    </w:rPr>
  </w:style>
  <w:style w:type="character" w:customStyle="1" w:styleId="ky">
    <w:name w:val="ky"/>
    <w:basedOn w:val="DefaultParagraphFont"/>
    <w:rsid w:val="00084627"/>
  </w:style>
  <w:style w:type="paragraph" w:customStyle="1" w:styleId="GenericStylesListsBulletedList1">
    <w:name w:val="Generic Styles Lists Bulleted List 1"/>
    <w:basedOn w:val="Normal"/>
    <w:rsid w:val="00084627"/>
    <w:pPr>
      <w:spacing w:after="57"/>
      <w:jc w:val="left"/>
    </w:pPr>
    <w:rPr>
      <w:rFonts w:ascii="GoodHome" w:eastAsiaTheme="majorEastAsia" w:hAnsi="GoodHome" w:cstheme="majorBidi"/>
      <w:sz w:val="16"/>
      <w:szCs w:val="24"/>
      <w:lang w:val="en-US" w:eastAsia="ja-JP"/>
    </w:rPr>
  </w:style>
  <w:style w:type="paragraph" w:customStyle="1" w:styleId="GenericStylesBodytext">
    <w:name w:val="Generic Styles Bodytext"/>
    <w:basedOn w:val="Normal"/>
    <w:rsid w:val="00084627"/>
    <w:pPr>
      <w:spacing w:after="186"/>
      <w:jc w:val="left"/>
    </w:pPr>
    <w:rPr>
      <w:rFonts w:ascii="GoodHome" w:eastAsiaTheme="majorEastAsia" w:hAnsi="GoodHome" w:cstheme="majorBidi"/>
      <w:sz w:val="16"/>
      <w:szCs w:val="24"/>
      <w:lang w:val="en-US" w:eastAsia="ja-JP"/>
    </w:rPr>
  </w:style>
  <w:style w:type="character" w:customStyle="1" w:styleId="IDNocharacterstyle">
    <w:name w:val="ID No character style"/>
    <w:rsid w:val="00084627"/>
  </w:style>
  <w:style w:type="character" w:styleId="Mention">
    <w:name w:val="Mention"/>
    <w:basedOn w:val="DefaultParagraphFont"/>
    <w:uiPriority w:val="99"/>
    <w:unhideWhenUsed/>
    <w:rsid w:val="00084627"/>
    <w:rPr>
      <w:color w:val="2B579A"/>
      <w:shd w:val="clear" w:color="auto" w:fill="E1DFDD"/>
    </w:rPr>
  </w:style>
  <w:style w:type="character" w:customStyle="1" w:styleId="normaltextrun">
    <w:name w:val="normaltextrun"/>
    <w:basedOn w:val="DefaultParagraphFont"/>
    <w:rsid w:val="0031070E"/>
  </w:style>
  <w:style w:type="character" w:styleId="FootnoteReference">
    <w:name w:val="footnote reference"/>
    <w:basedOn w:val="DefaultParagraphFont"/>
    <w:uiPriority w:val="99"/>
    <w:semiHidden/>
    <w:unhideWhenUsed/>
    <w:rsid w:val="00DA1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3055">
      <w:bodyDiv w:val="1"/>
      <w:marLeft w:val="0"/>
      <w:marRight w:val="0"/>
      <w:marTop w:val="0"/>
      <w:marBottom w:val="0"/>
      <w:divBdr>
        <w:top w:val="none" w:sz="0" w:space="0" w:color="auto"/>
        <w:left w:val="none" w:sz="0" w:space="0" w:color="auto"/>
        <w:bottom w:val="none" w:sz="0" w:space="0" w:color="auto"/>
        <w:right w:val="none" w:sz="0" w:space="0" w:color="auto"/>
      </w:divBdr>
    </w:div>
    <w:div w:id="246616582">
      <w:bodyDiv w:val="1"/>
      <w:marLeft w:val="0"/>
      <w:marRight w:val="0"/>
      <w:marTop w:val="0"/>
      <w:marBottom w:val="0"/>
      <w:divBdr>
        <w:top w:val="none" w:sz="0" w:space="0" w:color="auto"/>
        <w:left w:val="none" w:sz="0" w:space="0" w:color="auto"/>
        <w:bottom w:val="none" w:sz="0" w:space="0" w:color="auto"/>
        <w:right w:val="none" w:sz="0" w:space="0" w:color="auto"/>
      </w:divBdr>
    </w:div>
    <w:div w:id="247808714">
      <w:bodyDiv w:val="1"/>
      <w:marLeft w:val="0"/>
      <w:marRight w:val="0"/>
      <w:marTop w:val="0"/>
      <w:marBottom w:val="0"/>
      <w:divBdr>
        <w:top w:val="none" w:sz="0" w:space="0" w:color="auto"/>
        <w:left w:val="none" w:sz="0" w:space="0" w:color="auto"/>
        <w:bottom w:val="none" w:sz="0" w:space="0" w:color="auto"/>
        <w:right w:val="none" w:sz="0" w:space="0" w:color="auto"/>
      </w:divBdr>
    </w:div>
    <w:div w:id="289550807">
      <w:bodyDiv w:val="1"/>
      <w:marLeft w:val="0"/>
      <w:marRight w:val="0"/>
      <w:marTop w:val="0"/>
      <w:marBottom w:val="0"/>
      <w:divBdr>
        <w:top w:val="none" w:sz="0" w:space="0" w:color="auto"/>
        <w:left w:val="none" w:sz="0" w:space="0" w:color="auto"/>
        <w:bottom w:val="none" w:sz="0" w:space="0" w:color="auto"/>
        <w:right w:val="none" w:sz="0" w:space="0" w:color="auto"/>
      </w:divBdr>
    </w:div>
    <w:div w:id="303704200">
      <w:bodyDiv w:val="1"/>
      <w:marLeft w:val="0"/>
      <w:marRight w:val="0"/>
      <w:marTop w:val="0"/>
      <w:marBottom w:val="0"/>
      <w:divBdr>
        <w:top w:val="none" w:sz="0" w:space="0" w:color="auto"/>
        <w:left w:val="none" w:sz="0" w:space="0" w:color="auto"/>
        <w:bottom w:val="none" w:sz="0" w:space="0" w:color="auto"/>
        <w:right w:val="none" w:sz="0" w:space="0" w:color="auto"/>
      </w:divBdr>
    </w:div>
    <w:div w:id="308748148">
      <w:bodyDiv w:val="1"/>
      <w:marLeft w:val="0"/>
      <w:marRight w:val="0"/>
      <w:marTop w:val="0"/>
      <w:marBottom w:val="0"/>
      <w:divBdr>
        <w:top w:val="none" w:sz="0" w:space="0" w:color="auto"/>
        <w:left w:val="none" w:sz="0" w:space="0" w:color="auto"/>
        <w:bottom w:val="none" w:sz="0" w:space="0" w:color="auto"/>
        <w:right w:val="none" w:sz="0" w:space="0" w:color="auto"/>
      </w:divBdr>
    </w:div>
    <w:div w:id="375203304">
      <w:bodyDiv w:val="1"/>
      <w:marLeft w:val="0"/>
      <w:marRight w:val="0"/>
      <w:marTop w:val="0"/>
      <w:marBottom w:val="0"/>
      <w:divBdr>
        <w:top w:val="none" w:sz="0" w:space="0" w:color="auto"/>
        <w:left w:val="none" w:sz="0" w:space="0" w:color="auto"/>
        <w:bottom w:val="none" w:sz="0" w:space="0" w:color="auto"/>
        <w:right w:val="none" w:sz="0" w:space="0" w:color="auto"/>
      </w:divBdr>
    </w:div>
    <w:div w:id="377094509">
      <w:bodyDiv w:val="1"/>
      <w:marLeft w:val="0"/>
      <w:marRight w:val="0"/>
      <w:marTop w:val="0"/>
      <w:marBottom w:val="0"/>
      <w:divBdr>
        <w:top w:val="none" w:sz="0" w:space="0" w:color="auto"/>
        <w:left w:val="none" w:sz="0" w:space="0" w:color="auto"/>
        <w:bottom w:val="none" w:sz="0" w:space="0" w:color="auto"/>
        <w:right w:val="none" w:sz="0" w:space="0" w:color="auto"/>
      </w:divBdr>
    </w:div>
    <w:div w:id="404187565">
      <w:bodyDiv w:val="1"/>
      <w:marLeft w:val="0"/>
      <w:marRight w:val="0"/>
      <w:marTop w:val="0"/>
      <w:marBottom w:val="0"/>
      <w:divBdr>
        <w:top w:val="none" w:sz="0" w:space="0" w:color="auto"/>
        <w:left w:val="none" w:sz="0" w:space="0" w:color="auto"/>
        <w:bottom w:val="none" w:sz="0" w:space="0" w:color="auto"/>
        <w:right w:val="none" w:sz="0" w:space="0" w:color="auto"/>
      </w:divBdr>
    </w:div>
    <w:div w:id="459885511">
      <w:bodyDiv w:val="1"/>
      <w:marLeft w:val="0"/>
      <w:marRight w:val="0"/>
      <w:marTop w:val="0"/>
      <w:marBottom w:val="0"/>
      <w:divBdr>
        <w:top w:val="none" w:sz="0" w:space="0" w:color="auto"/>
        <w:left w:val="none" w:sz="0" w:space="0" w:color="auto"/>
        <w:bottom w:val="none" w:sz="0" w:space="0" w:color="auto"/>
        <w:right w:val="none" w:sz="0" w:space="0" w:color="auto"/>
      </w:divBdr>
    </w:div>
    <w:div w:id="548103690">
      <w:bodyDiv w:val="1"/>
      <w:marLeft w:val="0"/>
      <w:marRight w:val="0"/>
      <w:marTop w:val="0"/>
      <w:marBottom w:val="0"/>
      <w:divBdr>
        <w:top w:val="none" w:sz="0" w:space="0" w:color="auto"/>
        <w:left w:val="none" w:sz="0" w:space="0" w:color="auto"/>
        <w:bottom w:val="none" w:sz="0" w:space="0" w:color="auto"/>
        <w:right w:val="none" w:sz="0" w:space="0" w:color="auto"/>
      </w:divBdr>
    </w:div>
    <w:div w:id="674770856">
      <w:bodyDiv w:val="1"/>
      <w:marLeft w:val="0"/>
      <w:marRight w:val="0"/>
      <w:marTop w:val="0"/>
      <w:marBottom w:val="0"/>
      <w:divBdr>
        <w:top w:val="none" w:sz="0" w:space="0" w:color="auto"/>
        <w:left w:val="none" w:sz="0" w:space="0" w:color="auto"/>
        <w:bottom w:val="none" w:sz="0" w:space="0" w:color="auto"/>
        <w:right w:val="none" w:sz="0" w:space="0" w:color="auto"/>
      </w:divBdr>
    </w:div>
    <w:div w:id="685133517">
      <w:bodyDiv w:val="1"/>
      <w:marLeft w:val="0"/>
      <w:marRight w:val="0"/>
      <w:marTop w:val="0"/>
      <w:marBottom w:val="0"/>
      <w:divBdr>
        <w:top w:val="none" w:sz="0" w:space="0" w:color="auto"/>
        <w:left w:val="none" w:sz="0" w:space="0" w:color="auto"/>
        <w:bottom w:val="none" w:sz="0" w:space="0" w:color="auto"/>
        <w:right w:val="none" w:sz="0" w:space="0" w:color="auto"/>
      </w:divBdr>
    </w:div>
    <w:div w:id="738868236">
      <w:bodyDiv w:val="1"/>
      <w:marLeft w:val="0"/>
      <w:marRight w:val="0"/>
      <w:marTop w:val="0"/>
      <w:marBottom w:val="0"/>
      <w:divBdr>
        <w:top w:val="none" w:sz="0" w:space="0" w:color="auto"/>
        <w:left w:val="none" w:sz="0" w:space="0" w:color="auto"/>
        <w:bottom w:val="none" w:sz="0" w:space="0" w:color="auto"/>
        <w:right w:val="none" w:sz="0" w:space="0" w:color="auto"/>
      </w:divBdr>
    </w:div>
    <w:div w:id="751315851">
      <w:bodyDiv w:val="1"/>
      <w:marLeft w:val="0"/>
      <w:marRight w:val="0"/>
      <w:marTop w:val="0"/>
      <w:marBottom w:val="0"/>
      <w:divBdr>
        <w:top w:val="none" w:sz="0" w:space="0" w:color="auto"/>
        <w:left w:val="none" w:sz="0" w:space="0" w:color="auto"/>
        <w:bottom w:val="none" w:sz="0" w:space="0" w:color="auto"/>
        <w:right w:val="none" w:sz="0" w:space="0" w:color="auto"/>
      </w:divBdr>
    </w:div>
    <w:div w:id="799417554">
      <w:bodyDiv w:val="1"/>
      <w:marLeft w:val="0"/>
      <w:marRight w:val="0"/>
      <w:marTop w:val="0"/>
      <w:marBottom w:val="0"/>
      <w:divBdr>
        <w:top w:val="none" w:sz="0" w:space="0" w:color="auto"/>
        <w:left w:val="none" w:sz="0" w:space="0" w:color="auto"/>
        <w:bottom w:val="none" w:sz="0" w:space="0" w:color="auto"/>
        <w:right w:val="none" w:sz="0" w:space="0" w:color="auto"/>
      </w:divBdr>
    </w:div>
    <w:div w:id="820774924">
      <w:bodyDiv w:val="1"/>
      <w:marLeft w:val="0"/>
      <w:marRight w:val="0"/>
      <w:marTop w:val="0"/>
      <w:marBottom w:val="0"/>
      <w:divBdr>
        <w:top w:val="none" w:sz="0" w:space="0" w:color="auto"/>
        <w:left w:val="none" w:sz="0" w:space="0" w:color="auto"/>
        <w:bottom w:val="none" w:sz="0" w:space="0" w:color="auto"/>
        <w:right w:val="none" w:sz="0" w:space="0" w:color="auto"/>
      </w:divBdr>
    </w:div>
    <w:div w:id="894856332">
      <w:bodyDiv w:val="1"/>
      <w:marLeft w:val="0"/>
      <w:marRight w:val="0"/>
      <w:marTop w:val="0"/>
      <w:marBottom w:val="0"/>
      <w:divBdr>
        <w:top w:val="none" w:sz="0" w:space="0" w:color="auto"/>
        <w:left w:val="none" w:sz="0" w:space="0" w:color="auto"/>
        <w:bottom w:val="none" w:sz="0" w:space="0" w:color="auto"/>
        <w:right w:val="none" w:sz="0" w:space="0" w:color="auto"/>
      </w:divBdr>
    </w:div>
    <w:div w:id="970676114">
      <w:bodyDiv w:val="1"/>
      <w:marLeft w:val="0"/>
      <w:marRight w:val="0"/>
      <w:marTop w:val="0"/>
      <w:marBottom w:val="0"/>
      <w:divBdr>
        <w:top w:val="none" w:sz="0" w:space="0" w:color="auto"/>
        <w:left w:val="none" w:sz="0" w:space="0" w:color="auto"/>
        <w:bottom w:val="none" w:sz="0" w:space="0" w:color="auto"/>
        <w:right w:val="none" w:sz="0" w:space="0" w:color="auto"/>
      </w:divBdr>
    </w:div>
    <w:div w:id="1228032312">
      <w:bodyDiv w:val="1"/>
      <w:marLeft w:val="0"/>
      <w:marRight w:val="0"/>
      <w:marTop w:val="0"/>
      <w:marBottom w:val="0"/>
      <w:divBdr>
        <w:top w:val="none" w:sz="0" w:space="0" w:color="auto"/>
        <w:left w:val="none" w:sz="0" w:space="0" w:color="auto"/>
        <w:bottom w:val="none" w:sz="0" w:space="0" w:color="auto"/>
        <w:right w:val="none" w:sz="0" w:space="0" w:color="auto"/>
      </w:divBdr>
    </w:div>
    <w:div w:id="1455365647">
      <w:bodyDiv w:val="1"/>
      <w:marLeft w:val="0"/>
      <w:marRight w:val="0"/>
      <w:marTop w:val="0"/>
      <w:marBottom w:val="0"/>
      <w:divBdr>
        <w:top w:val="none" w:sz="0" w:space="0" w:color="auto"/>
        <w:left w:val="none" w:sz="0" w:space="0" w:color="auto"/>
        <w:bottom w:val="none" w:sz="0" w:space="0" w:color="auto"/>
        <w:right w:val="none" w:sz="0" w:space="0" w:color="auto"/>
      </w:divBdr>
    </w:div>
    <w:div w:id="1629505534">
      <w:bodyDiv w:val="1"/>
      <w:marLeft w:val="0"/>
      <w:marRight w:val="0"/>
      <w:marTop w:val="0"/>
      <w:marBottom w:val="0"/>
      <w:divBdr>
        <w:top w:val="none" w:sz="0" w:space="0" w:color="auto"/>
        <w:left w:val="none" w:sz="0" w:space="0" w:color="auto"/>
        <w:bottom w:val="none" w:sz="0" w:space="0" w:color="auto"/>
        <w:right w:val="none" w:sz="0" w:space="0" w:color="auto"/>
      </w:divBdr>
    </w:div>
    <w:div w:id="1710105835">
      <w:bodyDiv w:val="1"/>
      <w:marLeft w:val="0"/>
      <w:marRight w:val="0"/>
      <w:marTop w:val="0"/>
      <w:marBottom w:val="0"/>
      <w:divBdr>
        <w:top w:val="none" w:sz="0" w:space="0" w:color="auto"/>
        <w:left w:val="none" w:sz="0" w:space="0" w:color="auto"/>
        <w:bottom w:val="none" w:sz="0" w:space="0" w:color="auto"/>
        <w:right w:val="none" w:sz="0" w:space="0" w:color="auto"/>
      </w:divBdr>
    </w:div>
    <w:div w:id="1711103323">
      <w:bodyDiv w:val="1"/>
      <w:marLeft w:val="0"/>
      <w:marRight w:val="0"/>
      <w:marTop w:val="0"/>
      <w:marBottom w:val="0"/>
      <w:divBdr>
        <w:top w:val="none" w:sz="0" w:space="0" w:color="auto"/>
        <w:left w:val="none" w:sz="0" w:space="0" w:color="auto"/>
        <w:bottom w:val="none" w:sz="0" w:space="0" w:color="auto"/>
        <w:right w:val="none" w:sz="0" w:space="0" w:color="auto"/>
      </w:divBdr>
    </w:div>
    <w:div w:id="1732117745">
      <w:bodyDiv w:val="1"/>
      <w:marLeft w:val="0"/>
      <w:marRight w:val="0"/>
      <w:marTop w:val="0"/>
      <w:marBottom w:val="0"/>
      <w:divBdr>
        <w:top w:val="none" w:sz="0" w:space="0" w:color="auto"/>
        <w:left w:val="none" w:sz="0" w:space="0" w:color="auto"/>
        <w:bottom w:val="none" w:sz="0" w:space="0" w:color="auto"/>
        <w:right w:val="none" w:sz="0" w:space="0" w:color="auto"/>
      </w:divBdr>
    </w:div>
    <w:div w:id="1819112293">
      <w:bodyDiv w:val="1"/>
      <w:marLeft w:val="0"/>
      <w:marRight w:val="0"/>
      <w:marTop w:val="0"/>
      <w:marBottom w:val="0"/>
      <w:divBdr>
        <w:top w:val="none" w:sz="0" w:space="0" w:color="auto"/>
        <w:left w:val="none" w:sz="0" w:space="0" w:color="auto"/>
        <w:bottom w:val="none" w:sz="0" w:space="0" w:color="auto"/>
        <w:right w:val="none" w:sz="0" w:space="0" w:color="auto"/>
      </w:divBdr>
    </w:div>
    <w:div w:id="1959871800">
      <w:bodyDiv w:val="1"/>
      <w:marLeft w:val="0"/>
      <w:marRight w:val="0"/>
      <w:marTop w:val="0"/>
      <w:marBottom w:val="0"/>
      <w:divBdr>
        <w:top w:val="none" w:sz="0" w:space="0" w:color="auto"/>
        <w:left w:val="none" w:sz="0" w:space="0" w:color="auto"/>
        <w:bottom w:val="none" w:sz="0" w:space="0" w:color="auto"/>
        <w:right w:val="none" w:sz="0" w:space="0" w:color="auto"/>
      </w:divBdr>
    </w:div>
    <w:div w:id="2000838427">
      <w:bodyDiv w:val="1"/>
      <w:marLeft w:val="0"/>
      <w:marRight w:val="0"/>
      <w:marTop w:val="0"/>
      <w:marBottom w:val="0"/>
      <w:divBdr>
        <w:top w:val="none" w:sz="0" w:space="0" w:color="auto"/>
        <w:left w:val="none" w:sz="0" w:space="0" w:color="auto"/>
        <w:bottom w:val="none" w:sz="0" w:space="0" w:color="auto"/>
        <w:right w:val="none" w:sz="0" w:space="0" w:color="auto"/>
      </w:divBdr>
    </w:div>
    <w:div w:id="20108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enquiries@kingfisher.com" TargetMode="External"/><Relationship Id="rId13" Type="http://schemas.openxmlformats.org/officeDocument/2006/relationships/hyperlink" Target="mailto:investorenquiries@kingfisher.com" TargetMode="External"/><Relationship Id="rId18" Type="http://schemas.openxmlformats.org/officeDocument/2006/relationships/hyperlink" Target="http://www.kingfisher.com/index.asp?pageid=7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ingfisher" TargetMode="External"/><Relationship Id="rId17" Type="http://schemas.openxmlformats.org/officeDocument/2006/relationships/hyperlink" Target="http://www.kingfisher.com" TargetMode="External"/><Relationship Id="rId2" Type="http://schemas.openxmlformats.org/officeDocument/2006/relationships/numbering" Target="numbering.xml"/><Relationship Id="rId16" Type="http://schemas.openxmlformats.org/officeDocument/2006/relationships/hyperlink" Target="https://racetozero.unfccc.int/breakthrough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fisher.com/investors" TargetMode="External"/><Relationship Id="rId5" Type="http://schemas.openxmlformats.org/officeDocument/2006/relationships/webSettings" Target="webSettings.xml"/><Relationship Id="rId15" Type="http://schemas.openxmlformats.org/officeDocument/2006/relationships/hyperlink" Target="https://www.alfuttaim.com/" TargetMode="External"/><Relationship Id="rId23" Type="http://schemas.openxmlformats.org/officeDocument/2006/relationships/theme" Target="theme/theme1.xml"/><Relationship Id="rId10" Type="http://schemas.openxmlformats.org/officeDocument/2006/relationships/hyperlink" Target="mailto:Kfteam@teneo.com" TargetMode="External"/><Relationship Id="rId19" Type="http://schemas.openxmlformats.org/officeDocument/2006/relationships/hyperlink" Target="https://webstat.banque-france.fr/fr/" TargetMode="External"/><Relationship Id="rId4" Type="http://schemas.openxmlformats.org/officeDocument/2006/relationships/settings" Target="settings.xml"/><Relationship Id="rId9" Type="http://schemas.openxmlformats.org/officeDocument/2006/relationships/hyperlink" Target="mailto:corpcomms@kingfisher.com" TargetMode="External"/><Relationship Id="rId14" Type="http://schemas.openxmlformats.org/officeDocument/2006/relationships/hyperlink" Target="http://www.otcmarkets.com/stock/KGFHY/quo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25FF5-4AA9-4DEA-9988-31FE5EE4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2650</TotalTime>
  <Pages>45</Pages>
  <Words>23705</Words>
  <Characters>135121</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Molinska, Karolina</dc:creator>
  <cp:keywords/>
  <dc:description/>
  <cp:lastModifiedBy>Nazir, Maj</cp:lastModifiedBy>
  <cp:revision>641</cp:revision>
  <cp:lastPrinted>2022-02-21T10:00:00Z</cp:lastPrinted>
  <dcterms:created xsi:type="dcterms:W3CDTF">2023-03-05T17:36:00Z</dcterms:created>
  <dcterms:modified xsi:type="dcterms:W3CDTF">2023-03-20T16:48:00Z</dcterms:modified>
</cp:coreProperties>
</file>