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9ACF" w14:textId="52562C51" w:rsidR="006352EC" w:rsidRDefault="006A71E0" w:rsidP="006352EC">
      <w:pPr>
        <w:jc w:val="center"/>
        <w:rPr>
          <w:rFonts w:ascii="Arial" w:hAnsi="Arial" w:cs="Arial"/>
          <w:b/>
          <w:sz w:val="24"/>
          <w:szCs w:val="24"/>
        </w:rPr>
      </w:pPr>
      <w:r>
        <w:rPr>
          <w:rFonts w:ascii="Arial" w:hAnsi="Arial" w:cs="Arial"/>
          <w:b/>
          <w:sz w:val="24"/>
          <w:szCs w:val="24"/>
        </w:rPr>
        <w:t>Wedne</w:t>
      </w:r>
      <w:r w:rsidR="005D5E70">
        <w:rPr>
          <w:rFonts w:ascii="Arial" w:hAnsi="Arial" w:cs="Arial"/>
          <w:b/>
          <w:sz w:val="24"/>
          <w:szCs w:val="24"/>
        </w:rPr>
        <w:t>s</w:t>
      </w:r>
      <w:r w:rsidR="005D5E70" w:rsidRPr="00E92345">
        <w:rPr>
          <w:rFonts w:ascii="Arial" w:hAnsi="Arial" w:cs="Arial"/>
          <w:b/>
          <w:sz w:val="24"/>
          <w:szCs w:val="24"/>
        </w:rPr>
        <w:t xml:space="preserve">day </w:t>
      </w:r>
      <w:r w:rsidR="00352860">
        <w:rPr>
          <w:rFonts w:ascii="Arial" w:hAnsi="Arial" w:cs="Arial"/>
          <w:b/>
          <w:sz w:val="24"/>
          <w:szCs w:val="24"/>
        </w:rPr>
        <w:t>21</w:t>
      </w:r>
      <w:r w:rsidR="00352860" w:rsidRPr="00E92345">
        <w:rPr>
          <w:rFonts w:ascii="Arial" w:hAnsi="Arial" w:cs="Arial"/>
          <w:b/>
          <w:sz w:val="24"/>
          <w:szCs w:val="24"/>
        </w:rPr>
        <w:t xml:space="preserve"> </w:t>
      </w:r>
      <w:r w:rsidR="00352860">
        <w:rPr>
          <w:rFonts w:ascii="Arial" w:hAnsi="Arial" w:cs="Arial"/>
          <w:b/>
          <w:sz w:val="24"/>
          <w:szCs w:val="24"/>
        </w:rPr>
        <w:t>November</w:t>
      </w:r>
      <w:r w:rsidR="00352860" w:rsidRPr="00E92345">
        <w:rPr>
          <w:rFonts w:ascii="Arial" w:hAnsi="Arial" w:cs="Arial"/>
          <w:b/>
          <w:sz w:val="24"/>
          <w:szCs w:val="24"/>
        </w:rPr>
        <w:t xml:space="preserve"> </w:t>
      </w:r>
      <w:r w:rsidR="006A4324" w:rsidRPr="00E92345">
        <w:rPr>
          <w:rFonts w:ascii="Arial" w:hAnsi="Arial" w:cs="Arial"/>
          <w:b/>
          <w:sz w:val="24"/>
          <w:szCs w:val="24"/>
        </w:rPr>
        <w:t>201</w:t>
      </w:r>
      <w:r>
        <w:rPr>
          <w:rFonts w:ascii="Arial" w:hAnsi="Arial" w:cs="Arial"/>
          <w:b/>
          <w:sz w:val="24"/>
          <w:szCs w:val="24"/>
        </w:rPr>
        <w:t>8</w:t>
      </w:r>
      <w:r w:rsidR="006A4324">
        <w:rPr>
          <w:rFonts w:ascii="Arial" w:hAnsi="Arial" w:cs="Arial"/>
          <w:b/>
          <w:sz w:val="24"/>
          <w:szCs w:val="24"/>
        </w:rPr>
        <w:t xml:space="preserve">: </w:t>
      </w:r>
      <w:r w:rsidR="00FE0303">
        <w:rPr>
          <w:rFonts w:ascii="Arial" w:hAnsi="Arial" w:cs="Arial"/>
          <w:b/>
          <w:sz w:val="24"/>
          <w:szCs w:val="24"/>
        </w:rPr>
        <w:t>Q</w:t>
      </w:r>
      <w:r w:rsidR="00352860">
        <w:rPr>
          <w:rFonts w:ascii="Arial" w:hAnsi="Arial" w:cs="Arial"/>
          <w:b/>
          <w:sz w:val="24"/>
          <w:szCs w:val="24"/>
        </w:rPr>
        <w:t>3</w:t>
      </w:r>
      <w:r w:rsidR="006352EC">
        <w:rPr>
          <w:rFonts w:ascii="Arial" w:hAnsi="Arial" w:cs="Arial"/>
          <w:b/>
          <w:sz w:val="24"/>
          <w:szCs w:val="24"/>
        </w:rPr>
        <w:t xml:space="preserve"> to </w:t>
      </w:r>
      <w:r w:rsidR="00AB4792">
        <w:rPr>
          <w:rFonts w:ascii="Arial" w:hAnsi="Arial" w:cs="Arial"/>
          <w:b/>
          <w:sz w:val="24"/>
          <w:szCs w:val="24"/>
        </w:rPr>
        <w:t xml:space="preserve">31 </w:t>
      </w:r>
      <w:r w:rsidR="00352860">
        <w:rPr>
          <w:rFonts w:ascii="Arial" w:hAnsi="Arial" w:cs="Arial"/>
          <w:b/>
          <w:sz w:val="24"/>
          <w:szCs w:val="24"/>
        </w:rPr>
        <w:t xml:space="preserve">October </w:t>
      </w:r>
      <w:r w:rsidR="006352EC">
        <w:rPr>
          <w:rFonts w:ascii="Arial" w:hAnsi="Arial" w:cs="Arial"/>
          <w:b/>
          <w:sz w:val="24"/>
          <w:szCs w:val="24"/>
        </w:rPr>
        <w:t>201</w:t>
      </w:r>
      <w:r w:rsidR="00E27CC7">
        <w:rPr>
          <w:rFonts w:ascii="Arial" w:hAnsi="Arial" w:cs="Arial"/>
          <w:b/>
          <w:sz w:val="24"/>
          <w:szCs w:val="24"/>
        </w:rPr>
        <w:t>8</w:t>
      </w:r>
      <w:r w:rsidR="006352EC">
        <w:rPr>
          <w:rFonts w:ascii="Arial" w:hAnsi="Arial" w:cs="Arial"/>
          <w:b/>
          <w:sz w:val="24"/>
          <w:szCs w:val="24"/>
        </w:rPr>
        <w:t xml:space="preserve"> </w:t>
      </w:r>
    </w:p>
    <w:p w14:paraId="1992AD3A" w14:textId="7214B37E" w:rsidR="002F23A0" w:rsidRDefault="009C58A0" w:rsidP="00745E46">
      <w:pP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 xml:space="preserve">sales </w:t>
      </w:r>
      <w:r w:rsidR="007870F3" w:rsidRPr="008276FA">
        <w:rPr>
          <w:rFonts w:ascii="Arial" w:hAnsi="Arial" w:cs="Arial"/>
          <w:b/>
          <w:sz w:val="24"/>
          <w:szCs w:val="24"/>
        </w:rPr>
        <w:t>of £</w:t>
      </w:r>
      <w:r w:rsidR="00812698">
        <w:rPr>
          <w:rFonts w:ascii="Arial" w:hAnsi="Arial" w:cs="Arial"/>
          <w:b/>
          <w:sz w:val="24"/>
          <w:szCs w:val="24"/>
        </w:rPr>
        <w:t>3</w:t>
      </w:r>
      <w:r w:rsidR="00E27CC7">
        <w:rPr>
          <w:rFonts w:ascii="Arial" w:hAnsi="Arial" w:cs="Arial"/>
          <w:b/>
          <w:sz w:val="24"/>
          <w:szCs w:val="24"/>
        </w:rPr>
        <w:t>.</w:t>
      </w:r>
      <w:r w:rsidR="00812698">
        <w:rPr>
          <w:rFonts w:ascii="Arial" w:hAnsi="Arial" w:cs="Arial"/>
          <w:b/>
          <w:sz w:val="24"/>
          <w:szCs w:val="24"/>
        </w:rPr>
        <w:t>0</w:t>
      </w:r>
      <w:r w:rsidR="00352860" w:rsidRPr="00473E4B">
        <w:rPr>
          <w:rFonts w:ascii="Arial" w:hAnsi="Arial" w:cs="Arial"/>
          <w:b/>
          <w:sz w:val="24"/>
          <w:szCs w:val="24"/>
        </w:rPr>
        <w:t xml:space="preserve"> </w:t>
      </w:r>
      <w:r w:rsidR="00247B65" w:rsidRPr="00473E4B">
        <w:rPr>
          <w:rFonts w:ascii="Arial" w:hAnsi="Arial" w:cs="Arial"/>
          <w:b/>
          <w:sz w:val="24"/>
          <w:szCs w:val="24"/>
        </w:rPr>
        <w:t>billion</w:t>
      </w:r>
      <w:r w:rsidR="00745E46">
        <w:rPr>
          <w:rFonts w:ascii="Arial" w:hAnsi="Arial" w:cs="Arial"/>
          <w:b/>
          <w:sz w:val="24"/>
          <w:szCs w:val="24"/>
        </w:rPr>
        <w:t xml:space="preserve"> up 1.2% in constant currency</w:t>
      </w:r>
      <w:r w:rsidR="00247B65" w:rsidRPr="00473E4B">
        <w:rPr>
          <w:rFonts w:ascii="Arial" w:hAnsi="Arial" w:cs="Arial"/>
          <w:b/>
          <w:sz w:val="24"/>
          <w:szCs w:val="24"/>
        </w:rPr>
        <w:t>,</w:t>
      </w:r>
      <w:r w:rsidR="007870F3" w:rsidRPr="00473E4B">
        <w:rPr>
          <w:rFonts w:ascii="Arial" w:hAnsi="Arial" w:cs="Arial"/>
          <w:b/>
          <w:sz w:val="24"/>
          <w:szCs w:val="24"/>
        </w:rPr>
        <w:t xml:space="preserve"> </w:t>
      </w:r>
      <w:proofErr w:type="gramStart"/>
      <w:r w:rsidR="007870F3" w:rsidRPr="00473E4B">
        <w:rPr>
          <w:rFonts w:ascii="Arial" w:hAnsi="Arial" w:cs="Arial"/>
          <w:b/>
          <w:sz w:val="24"/>
          <w:szCs w:val="24"/>
        </w:rPr>
        <w:t>LFL</w:t>
      </w:r>
      <w:r w:rsidR="006A4324" w:rsidRPr="00473E4B">
        <w:rPr>
          <w:rFonts w:ascii="Arial" w:hAnsi="Arial" w:cs="Arial"/>
          <w:b/>
          <w:sz w:val="24"/>
          <w:szCs w:val="24"/>
          <w:vertAlign w:val="superscript"/>
        </w:rPr>
        <w:t>(</w:t>
      </w:r>
      <w:proofErr w:type="gramEnd"/>
      <w:r w:rsidR="006A4324" w:rsidRPr="00473E4B">
        <w:rPr>
          <w:rFonts w:ascii="Arial" w:hAnsi="Arial" w:cs="Arial"/>
          <w:b/>
          <w:sz w:val="24"/>
          <w:szCs w:val="24"/>
          <w:vertAlign w:val="superscript"/>
        </w:rPr>
        <w:t>1)</w:t>
      </w:r>
      <w:r w:rsidR="006A4324" w:rsidRPr="00473E4B">
        <w:rPr>
          <w:rFonts w:ascii="Arial" w:hAnsi="Arial" w:cs="Arial"/>
          <w:b/>
          <w:sz w:val="24"/>
          <w:szCs w:val="24"/>
        </w:rPr>
        <w:t xml:space="preserve"> down </w:t>
      </w:r>
      <w:r w:rsidR="00B554FB">
        <w:rPr>
          <w:rFonts w:ascii="Arial" w:hAnsi="Arial" w:cs="Arial"/>
          <w:b/>
          <w:sz w:val="24"/>
          <w:szCs w:val="24"/>
        </w:rPr>
        <w:t>1</w:t>
      </w:r>
      <w:r w:rsidR="00E27CC7">
        <w:rPr>
          <w:rFonts w:ascii="Arial" w:hAnsi="Arial" w:cs="Arial"/>
          <w:b/>
          <w:sz w:val="24"/>
          <w:szCs w:val="24"/>
        </w:rPr>
        <w:t>.</w:t>
      </w:r>
      <w:r w:rsidR="0096042B">
        <w:rPr>
          <w:rFonts w:ascii="Arial" w:hAnsi="Arial" w:cs="Arial"/>
          <w:b/>
          <w:sz w:val="24"/>
          <w:szCs w:val="24"/>
        </w:rPr>
        <w:t>3%</w:t>
      </w:r>
      <w:r w:rsidR="00F8083A" w:rsidRPr="00E46DD1">
        <w:rPr>
          <w:rFonts w:ascii="Arial" w:hAnsi="Arial" w:cs="Arial"/>
          <w:b/>
          <w:sz w:val="24"/>
          <w:szCs w:val="24"/>
        </w:rPr>
        <w:t xml:space="preserve"> </w:t>
      </w:r>
    </w:p>
    <w:p w14:paraId="285F9B1E" w14:textId="77777777" w:rsidR="008A6A37" w:rsidRDefault="008A6A37" w:rsidP="00F55522">
      <w:pPr>
        <w:jc w:val="center"/>
        <w:rPr>
          <w:rFonts w:ascii="Arial" w:hAnsi="Arial" w:cs="Arial"/>
          <w:b/>
          <w:sz w:val="24"/>
          <w:szCs w:val="24"/>
        </w:rPr>
      </w:pPr>
    </w:p>
    <w:p w14:paraId="2B0C3C20" w14:textId="4A442687" w:rsidR="00783D32" w:rsidRDefault="00D93444" w:rsidP="00783D32">
      <w:pPr>
        <w:jc w:val="left"/>
        <w:rPr>
          <w:rFonts w:ascii="Arial" w:hAnsi="Arial" w:cs="Arial"/>
          <w:b/>
          <w:sz w:val="24"/>
          <w:szCs w:val="24"/>
        </w:rPr>
      </w:pPr>
      <w:r>
        <w:rPr>
          <w:rFonts w:ascii="Arial" w:hAnsi="Arial" w:cs="Arial"/>
          <w:b/>
          <w:sz w:val="24"/>
          <w:szCs w:val="24"/>
        </w:rPr>
        <w:t>Financial highlights</w:t>
      </w:r>
    </w:p>
    <w:p w14:paraId="3386D7F2" w14:textId="77777777" w:rsidR="0096042B" w:rsidRDefault="0096042B" w:rsidP="00783D32">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783D32" w14:paraId="165F1320" w14:textId="77777777" w:rsidTr="00783D32">
        <w:trPr>
          <w:trHeight w:val="5203"/>
        </w:trPr>
        <w:tc>
          <w:tcPr>
            <w:tcW w:w="9776" w:type="dxa"/>
          </w:tcPr>
          <w:p w14:paraId="0F6B57FE" w14:textId="77777777" w:rsidR="00783D32" w:rsidRDefault="00783D32" w:rsidP="00783D32">
            <w:pPr>
              <w:jc w:val="left"/>
              <w:rPr>
                <w:rFonts w:ascii="Arial" w:hAnsi="Arial" w:cs="Arial"/>
                <w:b/>
                <w:sz w:val="24"/>
                <w:szCs w:val="24"/>
              </w:rPr>
            </w:pPr>
          </w:p>
          <w:tbl>
            <w:tblPr>
              <w:tblW w:w="4981" w:type="pct"/>
              <w:tblLook w:val="01E0" w:firstRow="1" w:lastRow="1" w:firstColumn="1" w:lastColumn="1" w:noHBand="0" w:noVBand="0"/>
            </w:tblPr>
            <w:tblGrid>
              <w:gridCol w:w="3294"/>
              <w:gridCol w:w="1312"/>
              <w:gridCol w:w="1722"/>
              <w:gridCol w:w="1722"/>
              <w:gridCol w:w="1474"/>
            </w:tblGrid>
            <w:tr w:rsidR="008B0415" w:rsidRPr="00E92345" w14:paraId="0BDE938F" w14:textId="77777777" w:rsidTr="004C463D">
              <w:trPr>
                <w:trHeight w:val="91"/>
              </w:trPr>
              <w:tc>
                <w:tcPr>
                  <w:tcW w:w="1729" w:type="pct"/>
                  <w:tcBorders>
                    <w:bottom w:val="single" w:sz="4" w:space="0" w:color="auto"/>
                  </w:tcBorders>
                </w:tcPr>
                <w:p w14:paraId="241B5FE0" w14:textId="53EDED9F" w:rsidR="00783D32" w:rsidRPr="0024140E" w:rsidRDefault="00783D32" w:rsidP="00783D32">
                  <w:pPr>
                    <w:jc w:val="left"/>
                    <w:rPr>
                      <w:rFonts w:ascii="Arial" w:hAnsi="Arial" w:cs="Arial"/>
                      <w:b/>
                      <w:sz w:val="24"/>
                      <w:szCs w:val="24"/>
                    </w:rPr>
                  </w:pPr>
                </w:p>
              </w:tc>
              <w:tc>
                <w:tcPr>
                  <w:tcW w:w="689" w:type="pct"/>
                  <w:tcBorders>
                    <w:bottom w:val="single" w:sz="4" w:space="0" w:color="auto"/>
                  </w:tcBorders>
                </w:tcPr>
                <w:p w14:paraId="4939DB7B" w14:textId="77777777" w:rsidR="00783D32" w:rsidRPr="00CC6ECD" w:rsidRDefault="00783D32" w:rsidP="00783D32">
                  <w:pPr>
                    <w:jc w:val="right"/>
                    <w:rPr>
                      <w:rFonts w:ascii="Arial" w:hAnsi="Arial" w:cs="Arial"/>
                      <w:b/>
                      <w:szCs w:val="22"/>
                    </w:rPr>
                  </w:pPr>
                  <w:r w:rsidRPr="00CC6ECD">
                    <w:rPr>
                      <w:rFonts w:ascii="Arial" w:hAnsi="Arial" w:cs="Arial"/>
                      <w:b/>
                      <w:szCs w:val="22"/>
                    </w:rPr>
                    <w:t>Sales</w:t>
                  </w:r>
                </w:p>
                <w:p w14:paraId="4BA5E5FC" w14:textId="71E8F438" w:rsidR="00783D32" w:rsidRPr="00CC6ECD" w:rsidRDefault="00783D32" w:rsidP="00783D32">
                  <w:pPr>
                    <w:jc w:val="right"/>
                    <w:rPr>
                      <w:rFonts w:ascii="Arial" w:hAnsi="Arial" w:cs="Arial"/>
                      <w:b/>
                      <w:szCs w:val="22"/>
                    </w:rPr>
                  </w:pPr>
                  <w:r w:rsidRPr="00CC6ECD">
                    <w:rPr>
                      <w:rFonts w:ascii="Arial" w:hAnsi="Arial" w:cs="Arial"/>
                      <w:b/>
                      <w:szCs w:val="22"/>
                    </w:rPr>
                    <w:t>201</w:t>
                  </w:r>
                  <w:r w:rsidR="00E27CC7">
                    <w:rPr>
                      <w:rFonts w:ascii="Arial" w:hAnsi="Arial" w:cs="Arial"/>
                      <w:b/>
                      <w:szCs w:val="22"/>
                    </w:rPr>
                    <w:t>8</w:t>
                  </w:r>
                  <w:r w:rsidRPr="00CC6ECD">
                    <w:rPr>
                      <w:rFonts w:ascii="Arial" w:hAnsi="Arial" w:cs="Arial"/>
                      <w:b/>
                      <w:szCs w:val="22"/>
                    </w:rPr>
                    <w:t>/1</w:t>
                  </w:r>
                  <w:r w:rsidR="00E27CC7">
                    <w:rPr>
                      <w:rFonts w:ascii="Arial" w:hAnsi="Arial" w:cs="Arial"/>
                      <w:b/>
                      <w:szCs w:val="22"/>
                    </w:rPr>
                    <w:t>9</w:t>
                  </w:r>
                </w:p>
              </w:tc>
              <w:tc>
                <w:tcPr>
                  <w:tcW w:w="904" w:type="pct"/>
                  <w:tcBorders>
                    <w:bottom w:val="single" w:sz="4" w:space="0" w:color="auto"/>
                  </w:tcBorders>
                </w:tcPr>
                <w:p w14:paraId="3674C864" w14:textId="77777777" w:rsidR="00783D32" w:rsidRPr="00CC6ECD" w:rsidRDefault="00783D32" w:rsidP="00783D32">
                  <w:pPr>
                    <w:jc w:val="right"/>
                    <w:rPr>
                      <w:rFonts w:ascii="Arial" w:hAnsi="Arial" w:cs="Arial"/>
                      <w:b/>
                      <w:szCs w:val="22"/>
                    </w:rPr>
                  </w:pPr>
                  <w:r w:rsidRPr="00CC6ECD">
                    <w:rPr>
                      <w:rFonts w:ascii="Arial" w:hAnsi="Arial" w:cs="Arial"/>
                      <w:b/>
                      <w:szCs w:val="22"/>
                    </w:rPr>
                    <w:t>% Total</w:t>
                  </w:r>
                </w:p>
                <w:p w14:paraId="393887FC" w14:textId="77777777" w:rsidR="00783D32" w:rsidRPr="00CC6ECD" w:rsidRDefault="00783D32" w:rsidP="00783D32">
                  <w:pPr>
                    <w:jc w:val="right"/>
                    <w:rPr>
                      <w:rFonts w:ascii="Arial" w:hAnsi="Arial" w:cs="Arial"/>
                      <w:szCs w:val="22"/>
                    </w:rPr>
                  </w:pPr>
                  <w:r w:rsidRPr="00CC6ECD">
                    <w:rPr>
                      <w:rFonts w:ascii="Arial" w:hAnsi="Arial" w:cs="Arial"/>
                      <w:b/>
                      <w:szCs w:val="22"/>
                    </w:rPr>
                    <w:t>Change</w:t>
                  </w:r>
                </w:p>
              </w:tc>
              <w:tc>
                <w:tcPr>
                  <w:tcW w:w="904" w:type="pct"/>
                  <w:tcBorders>
                    <w:bottom w:val="single" w:sz="4" w:space="0" w:color="auto"/>
                  </w:tcBorders>
                </w:tcPr>
                <w:p w14:paraId="48C5985A" w14:textId="77777777" w:rsidR="00783D32" w:rsidRPr="00CC6ECD" w:rsidRDefault="00783D32" w:rsidP="00783D32">
                  <w:pPr>
                    <w:jc w:val="right"/>
                    <w:rPr>
                      <w:rFonts w:ascii="Arial" w:hAnsi="Arial" w:cs="Arial"/>
                      <w:b/>
                      <w:szCs w:val="22"/>
                    </w:rPr>
                  </w:pPr>
                  <w:r w:rsidRPr="00CC6ECD">
                    <w:rPr>
                      <w:rFonts w:ascii="Arial" w:hAnsi="Arial" w:cs="Arial"/>
                      <w:b/>
                      <w:szCs w:val="22"/>
                    </w:rPr>
                    <w:t>% Total</w:t>
                  </w:r>
                </w:p>
                <w:p w14:paraId="5F728B50" w14:textId="77777777" w:rsidR="00783D32" w:rsidRPr="00CC6ECD" w:rsidRDefault="00783D32" w:rsidP="00783D32">
                  <w:pPr>
                    <w:jc w:val="right"/>
                    <w:rPr>
                      <w:rFonts w:ascii="Arial" w:hAnsi="Arial" w:cs="Arial"/>
                      <w:b/>
                      <w:szCs w:val="22"/>
                    </w:rPr>
                  </w:pPr>
                  <w:r w:rsidRPr="00CC6ECD">
                    <w:rPr>
                      <w:rFonts w:ascii="Arial" w:hAnsi="Arial" w:cs="Arial"/>
                      <w:b/>
                      <w:szCs w:val="22"/>
                    </w:rPr>
                    <w:t>Change</w:t>
                  </w:r>
                </w:p>
              </w:tc>
              <w:tc>
                <w:tcPr>
                  <w:tcW w:w="774" w:type="pct"/>
                  <w:tcBorders>
                    <w:bottom w:val="single" w:sz="4" w:space="0" w:color="auto"/>
                  </w:tcBorders>
                </w:tcPr>
                <w:p w14:paraId="48575501" w14:textId="77777777" w:rsidR="00EE53FC" w:rsidRPr="00CC6ECD" w:rsidRDefault="00783D32" w:rsidP="00783D32">
                  <w:pPr>
                    <w:jc w:val="right"/>
                    <w:rPr>
                      <w:rFonts w:ascii="Arial" w:hAnsi="Arial" w:cs="Arial"/>
                      <w:b/>
                      <w:szCs w:val="22"/>
                    </w:rPr>
                  </w:pPr>
                  <w:r w:rsidRPr="00CC6ECD">
                    <w:rPr>
                      <w:rFonts w:ascii="Arial" w:hAnsi="Arial" w:cs="Arial"/>
                      <w:b/>
                      <w:szCs w:val="22"/>
                    </w:rPr>
                    <w:t xml:space="preserve">% LFL </w:t>
                  </w:r>
                </w:p>
                <w:p w14:paraId="5964D224" w14:textId="77777777" w:rsidR="00783D32" w:rsidRPr="00CC6ECD" w:rsidRDefault="00783D32" w:rsidP="00783D32">
                  <w:pPr>
                    <w:jc w:val="right"/>
                    <w:rPr>
                      <w:rFonts w:ascii="Arial" w:hAnsi="Arial" w:cs="Arial"/>
                      <w:b/>
                      <w:szCs w:val="22"/>
                    </w:rPr>
                  </w:pPr>
                  <w:r w:rsidRPr="00CC6ECD">
                    <w:rPr>
                      <w:rFonts w:ascii="Arial" w:hAnsi="Arial" w:cs="Arial"/>
                      <w:b/>
                      <w:szCs w:val="22"/>
                    </w:rPr>
                    <w:t>Change</w:t>
                  </w:r>
                </w:p>
              </w:tc>
            </w:tr>
            <w:tr w:rsidR="008B0415" w:rsidRPr="00E92345" w14:paraId="52B33D54" w14:textId="77777777" w:rsidTr="004C463D">
              <w:trPr>
                <w:trHeight w:val="567"/>
              </w:trPr>
              <w:tc>
                <w:tcPr>
                  <w:tcW w:w="1729" w:type="pct"/>
                  <w:tcBorders>
                    <w:top w:val="single" w:sz="4" w:space="0" w:color="auto"/>
                  </w:tcBorders>
                </w:tcPr>
                <w:p w14:paraId="74CF9EAD" w14:textId="77777777" w:rsidR="00783D32" w:rsidRPr="00E92345" w:rsidRDefault="00783D32" w:rsidP="00783D32">
                  <w:pPr>
                    <w:jc w:val="left"/>
                    <w:rPr>
                      <w:rFonts w:ascii="Arial" w:hAnsi="Arial" w:cs="Arial"/>
                      <w:sz w:val="24"/>
                      <w:szCs w:val="24"/>
                    </w:rPr>
                  </w:pPr>
                </w:p>
              </w:tc>
              <w:tc>
                <w:tcPr>
                  <w:tcW w:w="689" w:type="pct"/>
                  <w:tcBorders>
                    <w:top w:val="single" w:sz="4" w:space="0" w:color="auto"/>
                  </w:tcBorders>
                </w:tcPr>
                <w:p w14:paraId="5C0748DC" w14:textId="77777777" w:rsidR="00783D32" w:rsidRPr="00CC6ECD" w:rsidRDefault="00783D32" w:rsidP="00783D32">
                  <w:pPr>
                    <w:jc w:val="right"/>
                    <w:rPr>
                      <w:rFonts w:ascii="Arial" w:hAnsi="Arial" w:cs="Arial"/>
                      <w:b/>
                      <w:szCs w:val="22"/>
                    </w:rPr>
                  </w:pPr>
                  <w:r w:rsidRPr="00CC6ECD">
                    <w:rPr>
                      <w:rFonts w:ascii="Arial" w:hAnsi="Arial" w:cs="Arial"/>
                      <w:b/>
                      <w:szCs w:val="22"/>
                    </w:rPr>
                    <w:t>£m</w:t>
                  </w:r>
                </w:p>
              </w:tc>
              <w:tc>
                <w:tcPr>
                  <w:tcW w:w="904" w:type="pct"/>
                  <w:tcBorders>
                    <w:top w:val="single" w:sz="4" w:space="0" w:color="auto"/>
                  </w:tcBorders>
                </w:tcPr>
                <w:p w14:paraId="1E82FD0F" w14:textId="77777777" w:rsidR="00783D32" w:rsidRPr="00CC6ECD" w:rsidRDefault="00783D32" w:rsidP="00783D32">
                  <w:pPr>
                    <w:jc w:val="right"/>
                    <w:rPr>
                      <w:rFonts w:ascii="Arial" w:hAnsi="Arial" w:cs="Arial"/>
                      <w:b/>
                      <w:szCs w:val="22"/>
                    </w:rPr>
                  </w:pPr>
                  <w:r w:rsidRPr="00CC6ECD">
                    <w:rPr>
                      <w:rFonts w:ascii="Arial" w:hAnsi="Arial" w:cs="Arial"/>
                      <w:b/>
                      <w:szCs w:val="22"/>
                    </w:rPr>
                    <w:t>Reported</w:t>
                  </w:r>
                </w:p>
              </w:tc>
              <w:tc>
                <w:tcPr>
                  <w:tcW w:w="904" w:type="pct"/>
                  <w:tcBorders>
                    <w:top w:val="single" w:sz="4" w:space="0" w:color="auto"/>
                  </w:tcBorders>
                </w:tcPr>
                <w:p w14:paraId="2232F9D3" w14:textId="77777777" w:rsidR="00783D32" w:rsidRPr="00CC6ECD" w:rsidRDefault="00783D32" w:rsidP="00783D32">
                  <w:pPr>
                    <w:jc w:val="right"/>
                    <w:rPr>
                      <w:rFonts w:ascii="Arial" w:hAnsi="Arial" w:cs="Arial"/>
                      <w:b/>
                      <w:szCs w:val="22"/>
                    </w:rPr>
                  </w:pPr>
                  <w:r w:rsidRPr="00CC6ECD">
                    <w:rPr>
                      <w:rFonts w:ascii="Arial" w:hAnsi="Arial" w:cs="Arial"/>
                      <w:b/>
                      <w:szCs w:val="22"/>
                    </w:rPr>
                    <w:t>Constant currency</w:t>
                  </w:r>
                </w:p>
              </w:tc>
              <w:tc>
                <w:tcPr>
                  <w:tcW w:w="774" w:type="pct"/>
                  <w:tcBorders>
                    <w:top w:val="single" w:sz="4" w:space="0" w:color="auto"/>
                  </w:tcBorders>
                </w:tcPr>
                <w:p w14:paraId="18A6D12C" w14:textId="77777777" w:rsidR="00783D32" w:rsidRPr="00CC6ECD" w:rsidRDefault="00783D32" w:rsidP="00783D32">
                  <w:pPr>
                    <w:jc w:val="right"/>
                    <w:rPr>
                      <w:rFonts w:ascii="Arial" w:hAnsi="Arial" w:cs="Arial"/>
                      <w:b/>
                      <w:szCs w:val="22"/>
                    </w:rPr>
                  </w:pPr>
                  <w:r w:rsidRPr="00CC6ECD">
                    <w:rPr>
                      <w:rFonts w:ascii="Arial" w:hAnsi="Arial" w:cs="Arial"/>
                      <w:b/>
                      <w:szCs w:val="22"/>
                    </w:rPr>
                    <w:t>Constant currency</w:t>
                  </w:r>
                </w:p>
              </w:tc>
            </w:tr>
            <w:tr w:rsidR="00B554FB" w:rsidRPr="005C0137" w14:paraId="7E38AE1A" w14:textId="77777777" w:rsidTr="004C463D">
              <w:trPr>
                <w:trHeight w:hRule="exact" w:val="303"/>
              </w:trPr>
              <w:tc>
                <w:tcPr>
                  <w:tcW w:w="1729" w:type="pct"/>
                  <w:tcBorders>
                    <w:top w:val="single" w:sz="4" w:space="0" w:color="auto"/>
                  </w:tcBorders>
                </w:tcPr>
                <w:p w14:paraId="4144B022" w14:textId="6B74A00A" w:rsidR="00B554FB" w:rsidRPr="00B70DD6" w:rsidRDefault="00B554FB" w:rsidP="00B554FB">
                  <w:pPr>
                    <w:spacing w:before="40"/>
                    <w:jc w:val="left"/>
                    <w:rPr>
                      <w:rFonts w:ascii="Arial" w:hAnsi="Arial" w:cs="Arial"/>
                      <w:b/>
                      <w:szCs w:val="22"/>
                    </w:rPr>
                  </w:pPr>
                  <w:r w:rsidRPr="00FA574F">
                    <w:rPr>
                      <w:rFonts w:ascii="Arial" w:hAnsi="Arial" w:cs="Arial"/>
                      <w:b/>
                      <w:szCs w:val="22"/>
                    </w:rPr>
                    <w:t>UK &amp; Ireland</w:t>
                  </w:r>
                  <w:r w:rsidRPr="001B6DA5">
                    <w:rPr>
                      <w:szCs w:val="22"/>
                      <w:vertAlign w:val="superscript"/>
                    </w:rPr>
                    <w:t>   </w:t>
                  </w:r>
                </w:p>
              </w:tc>
              <w:tc>
                <w:tcPr>
                  <w:tcW w:w="689" w:type="pct"/>
                  <w:tcBorders>
                    <w:top w:val="single" w:sz="4" w:space="0" w:color="auto"/>
                  </w:tcBorders>
                </w:tcPr>
                <w:p w14:paraId="0325E26B" w14:textId="44F2E09C" w:rsidR="00B554FB" w:rsidRPr="00B70DD6" w:rsidRDefault="0096042B" w:rsidP="00B554FB">
                  <w:pPr>
                    <w:spacing w:before="40"/>
                    <w:jc w:val="right"/>
                    <w:rPr>
                      <w:rFonts w:ascii="Arial" w:hAnsi="Arial" w:cs="Arial"/>
                      <w:b/>
                      <w:szCs w:val="22"/>
                    </w:rPr>
                  </w:pPr>
                  <w:r>
                    <w:rPr>
                      <w:rFonts w:ascii="Arial" w:hAnsi="Arial" w:cs="Arial"/>
                      <w:b/>
                      <w:szCs w:val="22"/>
                    </w:rPr>
                    <w:t>1,292</w:t>
                  </w:r>
                </w:p>
              </w:tc>
              <w:tc>
                <w:tcPr>
                  <w:tcW w:w="904" w:type="pct"/>
                  <w:tcBorders>
                    <w:top w:val="single" w:sz="4" w:space="0" w:color="auto"/>
                  </w:tcBorders>
                </w:tcPr>
                <w:p w14:paraId="5F6BE315" w14:textId="0AFF9DD4" w:rsidR="00B554FB" w:rsidRPr="00745E46" w:rsidRDefault="00B554FB" w:rsidP="00B554FB">
                  <w:pPr>
                    <w:spacing w:before="40"/>
                    <w:jc w:val="right"/>
                    <w:rPr>
                      <w:rFonts w:ascii="Arial" w:hAnsi="Arial" w:cs="Arial"/>
                      <w:b/>
                      <w:szCs w:val="22"/>
                    </w:rPr>
                  </w:pPr>
                  <w:r w:rsidRPr="00745E46">
                    <w:rPr>
                      <w:rFonts w:ascii="Arial" w:hAnsi="Arial" w:cs="Arial"/>
                      <w:b/>
                      <w:szCs w:val="22"/>
                    </w:rPr>
                    <w:t>+</w:t>
                  </w:r>
                  <w:r w:rsidR="00745E46" w:rsidRPr="00745E46">
                    <w:rPr>
                      <w:rFonts w:ascii="Arial" w:hAnsi="Arial" w:cs="Arial"/>
                      <w:b/>
                      <w:szCs w:val="22"/>
                    </w:rPr>
                    <w:t>1.4</w:t>
                  </w:r>
                  <w:r w:rsidRPr="00745E46">
                    <w:rPr>
                      <w:rFonts w:ascii="Arial" w:hAnsi="Arial" w:cs="Arial"/>
                      <w:b/>
                      <w:szCs w:val="22"/>
                    </w:rPr>
                    <w:t>%</w:t>
                  </w:r>
                </w:p>
              </w:tc>
              <w:tc>
                <w:tcPr>
                  <w:tcW w:w="904" w:type="pct"/>
                  <w:tcBorders>
                    <w:top w:val="single" w:sz="4" w:space="0" w:color="auto"/>
                  </w:tcBorders>
                </w:tcPr>
                <w:p w14:paraId="48F39005" w14:textId="3930514F" w:rsidR="00B554FB" w:rsidRPr="00745E46" w:rsidRDefault="001654AC" w:rsidP="00B554FB">
                  <w:pPr>
                    <w:spacing w:before="40"/>
                    <w:jc w:val="right"/>
                    <w:rPr>
                      <w:rFonts w:ascii="Arial" w:hAnsi="Arial" w:cs="Arial"/>
                      <w:b/>
                      <w:szCs w:val="22"/>
                    </w:rPr>
                  </w:pPr>
                  <w:r>
                    <w:rPr>
                      <w:rFonts w:ascii="Arial" w:hAnsi="Arial" w:cs="Arial"/>
                      <w:b/>
                      <w:szCs w:val="22"/>
                    </w:rPr>
                    <w:t>+</w:t>
                  </w:r>
                  <w:r w:rsidR="00745E46">
                    <w:rPr>
                      <w:rFonts w:ascii="Arial" w:hAnsi="Arial" w:cs="Arial"/>
                      <w:b/>
                      <w:szCs w:val="22"/>
                    </w:rPr>
                    <w:t>1.4%</w:t>
                  </w:r>
                </w:p>
              </w:tc>
              <w:tc>
                <w:tcPr>
                  <w:tcW w:w="774" w:type="pct"/>
                  <w:tcBorders>
                    <w:top w:val="single" w:sz="4" w:space="0" w:color="auto"/>
                  </w:tcBorders>
                </w:tcPr>
                <w:p w14:paraId="42E8F62B" w14:textId="768E6718" w:rsidR="00B554FB" w:rsidRPr="00857D32" w:rsidRDefault="00B554FB" w:rsidP="00B554FB">
                  <w:pPr>
                    <w:spacing w:before="40"/>
                    <w:jc w:val="right"/>
                    <w:rPr>
                      <w:rFonts w:ascii="Arial" w:hAnsi="Arial" w:cs="Arial"/>
                      <w:b/>
                      <w:szCs w:val="22"/>
                    </w:rPr>
                  </w:pPr>
                  <w:r w:rsidRPr="00857D32">
                    <w:rPr>
                      <w:rFonts w:ascii="Arial" w:hAnsi="Arial" w:cs="Arial"/>
                      <w:b/>
                      <w:szCs w:val="22"/>
                    </w:rPr>
                    <w:t>(</w:t>
                  </w:r>
                  <w:proofErr w:type="gramStart"/>
                  <w:r w:rsidR="009110E7" w:rsidRPr="00857D32">
                    <w:rPr>
                      <w:rFonts w:ascii="Arial" w:hAnsi="Arial" w:cs="Arial"/>
                      <w:b/>
                      <w:szCs w:val="22"/>
                    </w:rPr>
                    <w:t>0.7</w:t>
                  </w:r>
                  <w:r w:rsidRPr="00857D32">
                    <w:rPr>
                      <w:rFonts w:ascii="Arial" w:hAnsi="Arial" w:cs="Arial"/>
                      <w:b/>
                      <w:szCs w:val="22"/>
                    </w:rPr>
                    <w:t>)%</w:t>
                  </w:r>
                  <w:proofErr w:type="gramEnd"/>
                </w:p>
              </w:tc>
            </w:tr>
            <w:tr w:rsidR="00B554FB" w:rsidRPr="005C0137" w14:paraId="6A5FFE58" w14:textId="77777777" w:rsidTr="00846B19">
              <w:trPr>
                <w:trHeight w:hRule="exact" w:val="292"/>
              </w:trPr>
              <w:tc>
                <w:tcPr>
                  <w:tcW w:w="1729" w:type="pct"/>
                </w:tcPr>
                <w:p w14:paraId="5F7C1D85" w14:textId="1ED940DB" w:rsidR="00B554FB" w:rsidRPr="00B70DD6" w:rsidRDefault="00B554FB" w:rsidP="00B554FB">
                  <w:pPr>
                    <w:spacing w:before="40"/>
                    <w:jc w:val="left"/>
                    <w:rPr>
                      <w:rFonts w:ascii="Arial" w:hAnsi="Arial" w:cs="Arial"/>
                      <w:szCs w:val="22"/>
                    </w:rPr>
                  </w:pPr>
                  <w:r w:rsidRPr="001B6DA5">
                    <w:rPr>
                      <w:rFonts w:ascii="Arial" w:hAnsi="Arial" w:cs="Arial"/>
                      <w:szCs w:val="22"/>
                    </w:rPr>
                    <w:t>- B&amp;Q UK &amp; Ireland</w:t>
                  </w:r>
                </w:p>
              </w:tc>
              <w:tc>
                <w:tcPr>
                  <w:tcW w:w="689" w:type="pct"/>
                </w:tcPr>
                <w:p w14:paraId="37855DBF" w14:textId="47876435" w:rsidR="00B554FB" w:rsidRPr="00B70DD6" w:rsidRDefault="0096042B" w:rsidP="00B554FB">
                  <w:pPr>
                    <w:spacing w:before="40"/>
                    <w:jc w:val="right"/>
                    <w:rPr>
                      <w:rFonts w:ascii="Arial" w:hAnsi="Arial" w:cs="Arial"/>
                      <w:szCs w:val="22"/>
                    </w:rPr>
                  </w:pPr>
                  <w:r>
                    <w:rPr>
                      <w:rFonts w:ascii="Arial" w:hAnsi="Arial" w:cs="Arial"/>
                      <w:szCs w:val="22"/>
                    </w:rPr>
                    <w:t>850</w:t>
                  </w:r>
                </w:p>
              </w:tc>
              <w:tc>
                <w:tcPr>
                  <w:tcW w:w="904" w:type="pct"/>
                  <w:vAlign w:val="center"/>
                </w:tcPr>
                <w:p w14:paraId="126A277B" w14:textId="4873A433" w:rsidR="00B554FB" w:rsidRPr="00745E46" w:rsidRDefault="00B554FB" w:rsidP="00B554FB">
                  <w:pPr>
                    <w:spacing w:before="40"/>
                    <w:jc w:val="right"/>
                    <w:rPr>
                      <w:rFonts w:ascii="Arial" w:hAnsi="Arial" w:cs="Arial"/>
                      <w:szCs w:val="22"/>
                    </w:rPr>
                  </w:pPr>
                  <w:r w:rsidRPr="00745E46">
                    <w:rPr>
                      <w:rFonts w:ascii="Arial" w:hAnsi="Arial" w:cs="Arial"/>
                      <w:szCs w:val="22"/>
                    </w:rPr>
                    <w:t>(</w:t>
                  </w:r>
                  <w:proofErr w:type="gramStart"/>
                  <w:r w:rsidR="00745E46" w:rsidRPr="00745E46">
                    <w:rPr>
                      <w:rFonts w:ascii="Arial" w:hAnsi="Arial" w:cs="Arial"/>
                      <w:szCs w:val="22"/>
                    </w:rPr>
                    <w:t>2.8</w:t>
                  </w:r>
                  <w:r w:rsidRPr="00745E46">
                    <w:rPr>
                      <w:rFonts w:ascii="Arial" w:hAnsi="Arial" w:cs="Arial"/>
                      <w:szCs w:val="22"/>
                    </w:rPr>
                    <w:t>)%</w:t>
                  </w:r>
                  <w:proofErr w:type="gramEnd"/>
                </w:p>
              </w:tc>
              <w:tc>
                <w:tcPr>
                  <w:tcW w:w="904" w:type="pct"/>
                </w:tcPr>
                <w:p w14:paraId="0D794AEA" w14:textId="2EBFF986" w:rsidR="00B554FB" w:rsidRPr="00745E46" w:rsidRDefault="00745E46" w:rsidP="00B554FB">
                  <w:pPr>
                    <w:spacing w:before="40"/>
                    <w:jc w:val="right"/>
                    <w:rPr>
                      <w:rFonts w:ascii="Arial" w:hAnsi="Arial" w:cs="Arial"/>
                      <w:szCs w:val="22"/>
                    </w:rPr>
                  </w:pPr>
                  <w:r>
                    <w:rPr>
                      <w:rFonts w:ascii="Arial" w:hAnsi="Arial" w:cs="Arial"/>
                      <w:szCs w:val="22"/>
                    </w:rPr>
                    <w:t>(</w:t>
                  </w:r>
                  <w:proofErr w:type="gramStart"/>
                  <w:r>
                    <w:rPr>
                      <w:rFonts w:ascii="Arial" w:hAnsi="Arial" w:cs="Arial"/>
                      <w:szCs w:val="22"/>
                    </w:rPr>
                    <w:t>2.8)%</w:t>
                  </w:r>
                  <w:proofErr w:type="gramEnd"/>
                </w:p>
              </w:tc>
              <w:tc>
                <w:tcPr>
                  <w:tcW w:w="774" w:type="pct"/>
                </w:tcPr>
                <w:p w14:paraId="013BB373" w14:textId="6027B98E" w:rsidR="00B554FB" w:rsidRPr="00857D32" w:rsidRDefault="00B554FB" w:rsidP="00B554FB">
                  <w:pPr>
                    <w:spacing w:before="40"/>
                    <w:jc w:val="right"/>
                    <w:rPr>
                      <w:rFonts w:ascii="Arial" w:hAnsi="Arial" w:cs="Arial"/>
                      <w:szCs w:val="22"/>
                    </w:rPr>
                  </w:pPr>
                  <w:r w:rsidRPr="00857D32">
                    <w:rPr>
                      <w:rFonts w:ascii="Arial" w:hAnsi="Arial" w:cs="Arial"/>
                      <w:szCs w:val="22"/>
                    </w:rPr>
                    <w:t>(</w:t>
                  </w:r>
                  <w:proofErr w:type="gramStart"/>
                  <w:r w:rsidR="00CF13E1" w:rsidRPr="00857D32">
                    <w:rPr>
                      <w:rFonts w:ascii="Arial" w:hAnsi="Arial" w:cs="Arial"/>
                      <w:szCs w:val="22"/>
                    </w:rPr>
                    <w:t>2.9</w:t>
                  </w:r>
                  <w:r w:rsidRPr="00857D32">
                    <w:rPr>
                      <w:rFonts w:ascii="Arial" w:hAnsi="Arial" w:cs="Arial"/>
                      <w:szCs w:val="22"/>
                    </w:rPr>
                    <w:t>)%</w:t>
                  </w:r>
                  <w:proofErr w:type="gramEnd"/>
                </w:p>
              </w:tc>
            </w:tr>
            <w:tr w:rsidR="00B554FB" w:rsidRPr="005C0137" w14:paraId="2C864D23" w14:textId="77777777" w:rsidTr="00846B19">
              <w:trPr>
                <w:trHeight w:hRule="exact" w:val="281"/>
              </w:trPr>
              <w:tc>
                <w:tcPr>
                  <w:tcW w:w="1729" w:type="pct"/>
                </w:tcPr>
                <w:p w14:paraId="7FAD5F51" w14:textId="52A74B12" w:rsidR="00B554FB" w:rsidRPr="00B70DD6" w:rsidRDefault="00B554FB" w:rsidP="00B554FB">
                  <w:pPr>
                    <w:spacing w:before="40"/>
                    <w:jc w:val="left"/>
                    <w:rPr>
                      <w:rFonts w:ascii="Arial" w:hAnsi="Arial" w:cs="Arial"/>
                      <w:szCs w:val="22"/>
                    </w:rPr>
                  </w:pPr>
                  <w:r w:rsidRPr="001B6DA5">
                    <w:rPr>
                      <w:rFonts w:ascii="Arial" w:hAnsi="Arial" w:cs="Arial"/>
                      <w:szCs w:val="22"/>
                    </w:rPr>
                    <w:t>- Screwfix</w:t>
                  </w:r>
                </w:p>
              </w:tc>
              <w:tc>
                <w:tcPr>
                  <w:tcW w:w="689" w:type="pct"/>
                </w:tcPr>
                <w:p w14:paraId="392E9A91" w14:textId="79E7C647" w:rsidR="00B554FB" w:rsidRPr="00B70DD6" w:rsidRDefault="0096042B" w:rsidP="00B554FB">
                  <w:pPr>
                    <w:spacing w:before="40"/>
                    <w:jc w:val="right"/>
                    <w:rPr>
                      <w:rFonts w:ascii="Arial" w:hAnsi="Arial" w:cs="Arial"/>
                      <w:szCs w:val="22"/>
                    </w:rPr>
                  </w:pPr>
                  <w:r>
                    <w:rPr>
                      <w:rFonts w:ascii="Arial" w:hAnsi="Arial" w:cs="Arial"/>
                      <w:szCs w:val="22"/>
                    </w:rPr>
                    <w:t>442</w:t>
                  </w:r>
                </w:p>
              </w:tc>
              <w:tc>
                <w:tcPr>
                  <w:tcW w:w="904" w:type="pct"/>
                  <w:vAlign w:val="center"/>
                </w:tcPr>
                <w:p w14:paraId="4BEC7522" w14:textId="0DD9C932" w:rsidR="00B554FB" w:rsidRPr="00745E46" w:rsidRDefault="00B554FB" w:rsidP="00B554FB">
                  <w:pPr>
                    <w:spacing w:before="40"/>
                    <w:jc w:val="right"/>
                    <w:rPr>
                      <w:rFonts w:ascii="Arial" w:hAnsi="Arial" w:cs="Arial"/>
                      <w:szCs w:val="22"/>
                    </w:rPr>
                  </w:pPr>
                  <w:r w:rsidRPr="00745E46">
                    <w:rPr>
                      <w:rFonts w:ascii="Arial" w:hAnsi="Arial" w:cs="Arial"/>
                      <w:szCs w:val="22"/>
                    </w:rPr>
                    <w:t>+</w:t>
                  </w:r>
                  <w:r w:rsidR="000C506B" w:rsidRPr="00745E46">
                    <w:rPr>
                      <w:rFonts w:ascii="Arial" w:hAnsi="Arial" w:cs="Arial"/>
                      <w:szCs w:val="22"/>
                    </w:rPr>
                    <w:t>10.</w:t>
                  </w:r>
                  <w:r w:rsidR="00745E46" w:rsidRPr="00745E46">
                    <w:rPr>
                      <w:rFonts w:ascii="Arial" w:hAnsi="Arial" w:cs="Arial"/>
                      <w:szCs w:val="22"/>
                    </w:rPr>
                    <w:t>6</w:t>
                  </w:r>
                  <w:r w:rsidRPr="00745E46">
                    <w:rPr>
                      <w:rFonts w:ascii="Arial" w:hAnsi="Arial" w:cs="Arial"/>
                      <w:szCs w:val="22"/>
                    </w:rPr>
                    <w:t>%</w:t>
                  </w:r>
                </w:p>
              </w:tc>
              <w:tc>
                <w:tcPr>
                  <w:tcW w:w="904" w:type="pct"/>
                </w:tcPr>
                <w:p w14:paraId="495665A1" w14:textId="3AD6991E" w:rsidR="00B554FB" w:rsidRPr="00745E46" w:rsidRDefault="001654AC" w:rsidP="00B554FB">
                  <w:pPr>
                    <w:spacing w:before="40"/>
                    <w:jc w:val="right"/>
                    <w:rPr>
                      <w:rFonts w:ascii="Arial" w:hAnsi="Arial" w:cs="Arial"/>
                      <w:szCs w:val="22"/>
                    </w:rPr>
                  </w:pPr>
                  <w:r>
                    <w:rPr>
                      <w:rFonts w:ascii="Arial" w:hAnsi="Arial" w:cs="Arial"/>
                      <w:szCs w:val="22"/>
                    </w:rPr>
                    <w:t>+</w:t>
                  </w:r>
                  <w:r w:rsidR="00745E46">
                    <w:rPr>
                      <w:rFonts w:ascii="Arial" w:hAnsi="Arial" w:cs="Arial"/>
                      <w:szCs w:val="22"/>
                    </w:rPr>
                    <w:t>10.6%</w:t>
                  </w:r>
                </w:p>
              </w:tc>
              <w:tc>
                <w:tcPr>
                  <w:tcW w:w="774" w:type="pct"/>
                </w:tcPr>
                <w:p w14:paraId="1285A7E2" w14:textId="7C630807" w:rsidR="00B554FB" w:rsidRPr="00857D32" w:rsidRDefault="00B554FB" w:rsidP="00B554FB">
                  <w:pPr>
                    <w:spacing w:before="40"/>
                    <w:jc w:val="right"/>
                    <w:rPr>
                      <w:rFonts w:ascii="Arial" w:hAnsi="Arial" w:cs="Arial"/>
                      <w:szCs w:val="22"/>
                    </w:rPr>
                  </w:pPr>
                  <w:r w:rsidRPr="00857D32">
                    <w:rPr>
                      <w:rFonts w:ascii="Arial" w:hAnsi="Arial" w:cs="Arial"/>
                      <w:szCs w:val="22"/>
                    </w:rPr>
                    <w:t>+</w:t>
                  </w:r>
                  <w:r w:rsidR="009110E7" w:rsidRPr="00857D32">
                    <w:rPr>
                      <w:rFonts w:ascii="Arial" w:hAnsi="Arial" w:cs="Arial"/>
                      <w:szCs w:val="22"/>
                    </w:rPr>
                    <w:t>4.1</w:t>
                  </w:r>
                  <w:r w:rsidRPr="00857D32">
                    <w:rPr>
                      <w:rFonts w:ascii="Arial" w:hAnsi="Arial" w:cs="Arial"/>
                      <w:szCs w:val="22"/>
                    </w:rPr>
                    <w:t>%</w:t>
                  </w:r>
                </w:p>
              </w:tc>
            </w:tr>
            <w:tr w:rsidR="00B554FB" w:rsidRPr="005C0137" w14:paraId="3FF514E9" w14:textId="77777777" w:rsidTr="00846B19">
              <w:trPr>
                <w:trHeight w:hRule="exact" w:val="281"/>
              </w:trPr>
              <w:tc>
                <w:tcPr>
                  <w:tcW w:w="1729" w:type="pct"/>
                </w:tcPr>
                <w:p w14:paraId="374A0EDB" w14:textId="4A5DE517" w:rsidR="00B554FB" w:rsidRPr="00B70DD6" w:rsidRDefault="00B554FB" w:rsidP="00B554FB">
                  <w:pPr>
                    <w:spacing w:before="40"/>
                    <w:jc w:val="left"/>
                    <w:rPr>
                      <w:rFonts w:ascii="Arial" w:hAnsi="Arial" w:cs="Arial"/>
                      <w:b/>
                      <w:szCs w:val="22"/>
                    </w:rPr>
                  </w:pPr>
                  <w:r w:rsidRPr="00FA574F">
                    <w:rPr>
                      <w:rFonts w:ascii="Arial" w:hAnsi="Arial" w:cs="Arial"/>
                      <w:b/>
                      <w:szCs w:val="22"/>
                    </w:rPr>
                    <w:t>France</w:t>
                  </w:r>
                </w:p>
              </w:tc>
              <w:tc>
                <w:tcPr>
                  <w:tcW w:w="689" w:type="pct"/>
                </w:tcPr>
                <w:p w14:paraId="2F28CAEA" w14:textId="1C19E037" w:rsidR="00B554FB" w:rsidRPr="00B70DD6" w:rsidDel="007D6979" w:rsidRDefault="0096042B" w:rsidP="00B554FB">
                  <w:pPr>
                    <w:spacing w:before="40"/>
                    <w:jc w:val="right"/>
                    <w:rPr>
                      <w:rFonts w:ascii="Arial" w:hAnsi="Arial" w:cs="Arial"/>
                      <w:b/>
                      <w:szCs w:val="22"/>
                    </w:rPr>
                  </w:pPr>
                  <w:r>
                    <w:rPr>
                      <w:rFonts w:ascii="Arial" w:hAnsi="Arial" w:cs="Arial"/>
                      <w:b/>
                      <w:szCs w:val="22"/>
                    </w:rPr>
                    <w:t>1,107</w:t>
                  </w:r>
                </w:p>
              </w:tc>
              <w:tc>
                <w:tcPr>
                  <w:tcW w:w="904" w:type="pct"/>
                  <w:vAlign w:val="center"/>
                </w:tcPr>
                <w:p w14:paraId="4AFD474D" w14:textId="12583414" w:rsidR="00B554FB" w:rsidRPr="00745E46" w:rsidDel="007D6979" w:rsidRDefault="00B554FB" w:rsidP="00B554FB">
                  <w:pPr>
                    <w:spacing w:before="40"/>
                    <w:jc w:val="right"/>
                    <w:rPr>
                      <w:rFonts w:ascii="Arial" w:hAnsi="Arial" w:cs="Arial"/>
                      <w:b/>
                      <w:szCs w:val="22"/>
                    </w:rPr>
                  </w:pPr>
                  <w:r w:rsidRPr="00745E46">
                    <w:rPr>
                      <w:rFonts w:ascii="Arial" w:hAnsi="Arial" w:cs="Arial"/>
                      <w:b/>
                      <w:szCs w:val="22"/>
                    </w:rPr>
                    <w:t>(</w:t>
                  </w:r>
                  <w:proofErr w:type="gramStart"/>
                  <w:r w:rsidR="00745E46" w:rsidRPr="00745E46">
                    <w:rPr>
                      <w:rFonts w:ascii="Arial" w:hAnsi="Arial" w:cs="Arial"/>
                      <w:b/>
                      <w:szCs w:val="22"/>
                    </w:rPr>
                    <w:t>3.9</w:t>
                  </w:r>
                  <w:r w:rsidRPr="00745E46">
                    <w:rPr>
                      <w:rFonts w:ascii="Arial" w:hAnsi="Arial" w:cs="Arial"/>
                      <w:b/>
                      <w:szCs w:val="22"/>
                    </w:rPr>
                    <w:t>)%</w:t>
                  </w:r>
                  <w:proofErr w:type="gramEnd"/>
                </w:p>
              </w:tc>
              <w:tc>
                <w:tcPr>
                  <w:tcW w:w="904" w:type="pct"/>
                </w:tcPr>
                <w:p w14:paraId="71A53C12" w14:textId="58718E49" w:rsidR="00B554FB" w:rsidRPr="00745E46" w:rsidDel="007D6979" w:rsidRDefault="00745E46" w:rsidP="00B554FB">
                  <w:pPr>
                    <w:spacing w:before="40"/>
                    <w:jc w:val="right"/>
                    <w:rPr>
                      <w:rFonts w:ascii="Arial" w:hAnsi="Arial" w:cs="Arial"/>
                      <w:b/>
                      <w:szCs w:val="22"/>
                    </w:rPr>
                  </w:pPr>
                  <w:r>
                    <w:rPr>
                      <w:rFonts w:ascii="Arial" w:hAnsi="Arial" w:cs="Arial"/>
                      <w:b/>
                      <w:szCs w:val="22"/>
                    </w:rPr>
                    <w:t>(</w:t>
                  </w:r>
                  <w:proofErr w:type="gramStart"/>
                  <w:r>
                    <w:rPr>
                      <w:rFonts w:ascii="Arial" w:hAnsi="Arial" w:cs="Arial"/>
                      <w:b/>
                      <w:szCs w:val="22"/>
                    </w:rPr>
                    <w:t>3.1)%</w:t>
                  </w:r>
                  <w:proofErr w:type="gramEnd"/>
                </w:p>
              </w:tc>
              <w:tc>
                <w:tcPr>
                  <w:tcW w:w="774" w:type="pct"/>
                </w:tcPr>
                <w:p w14:paraId="6AFE7C57" w14:textId="6241CEDB" w:rsidR="00B554FB" w:rsidRPr="00857D32" w:rsidDel="007D6979" w:rsidRDefault="00B554FB" w:rsidP="00B554FB">
                  <w:pPr>
                    <w:spacing w:before="40"/>
                    <w:jc w:val="right"/>
                    <w:rPr>
                      <w:rFonts w:ascii="Arial" w:hAnsi="Arial" w:cs="Arial"/>
                      <w:b/>
                      <w:szCs w:val="22"/>
                    </w:rPr>
                  </w:pPr>
                  <w:r w:rsidRPr="00857D32">
                    <w:rPr>
                      <w:rFonts w:ascii="Arial" w:hAnsi="Arial" w:cs="Arial"/>
                      <w:b/>
                      <w:szCs w:val="22"/>
                    </w:rPr>
                    <w:t>(</w:t>
                  </w:r>
                  <w:proofErr w:type="gramStart"/>
                  <w:r w:rsidR="009110E7" w:rsidRPr="00857D32">
                    <w:rPr>
                      <w:rFonts w:ascii="Arial" w:hAnsi="Arial" w:cs="Arial"/>
                      <w:b/>
                      <w:szCs w:val="22"/>
                    </w:rPr>
                    <w:t>3.4</w:t>
                  </w:r>
                  <w:r w:rsidRPr="00857D32">
                    <w:rPr>
                      <w:rFonts w:ascii="Arial" w:hAnsi="Arial" w:cs="Arial"/>
                      <w:b/>
                      <w:szCs w:val="22"/>
                    </w:rPr>
                    <w:t>)%</w:t>
                  </w:r>
                  <w:proofErr w:type="gramEnd"/>
                </w:p>
              </w:tc>
            </w:tr>
            <w:tr w:rsidR="00745E46" w:rsidRPr="005C0137" w14:paraId="5872B184" w14:textId="77777777" w:rsidTr="00846B19">
              <w:trPr>
                <w:trHeight w:hRule="exact" w:val="281"/>
              </w:trPr>
              <w:tc>
                <w:tcPr>
                  <w:tcW w:w="1729" w:type="pct"/>
                </w:tcPr>
                <w:p w14:paraId="382FF980" w14:textId="50C3C4B1" w:rsidR="00745E46" w:rsidRPr="00B70DD6" w:rsidRDefault="00745E46" w:rsidP="00745E46">
                  <w:pPr>
                    <w:spacing w:before="40"/>
                    <w:jc w:val="left"/>
                    <w:rPr>
                      <w:rFonts w:ascii="Arial" w:hAnsi="Arial" w:cs="Arial"/>
                      <w:szCs w:val="22"/>
                    </w:rPr>
                  </w:pPr>
                  <w:r w:rsidRPr="001B6DA5">
                    <w:rPr>
                      <w:rFonts w:ascii="Arial" w:hAnsi="Arial" w:cs="Arial"/>
                      <w:szCs w:val="22"/>
                    </w:rPr>
                    <w:t>- Castorama</w:t>
                  </w:r>
                </w:p>
              </w:tc>
              <w:tc>
                <w:tcPr>
                  <w:tcW w:w="689" w:type="pct"/>
                </w:tcPr>
                <w:p w14:paraId="23836896" w14:textId="4E16ED86" w:rsidR="00745E46" w:rsidRPr="00B70DD6" w:rsidDel="007D6979" w:rsidRDefault="00745E46" w:rsidP="00745E46">
                  <w:pPr>
                    <w:spacing w:before="40"/>
                    <w:jc w:val="right"/>
                    <w:rPr>
                      <w:rFonts w:ascii="Arial" w:hAnsi="Arial" w:cs="Arial"/>
                      <w:szCs w:val="22"/>
                    </w:rPr>
                  </w:pPr>
                  <w:r>
                    <w:rPr>
                      <w:rFonts w:ascii="Arial" w:hAnsi="Arial" w:cs="Arial"/>
                      <w:szCs w:val="22"/>
                    </w:rPr>
                    <w:t>573</w:t>
                  </w:r>
                </w:p>
              </w:tc>
              <w:tc>
                <w:tcPr>
                  <w:tcW w:w="904" w:type="pct"/>
                  <w:vAlign w:val="center"/>
                </w:tcPr>
                <w:p w14:paraId="0350081B" w14:textId="0E7E81CC" w:rsidR="00745E46" w:rsidRPr="00745E46" w:rsidDel="007D6979" w:rsidRDefault="00745E46" w:rsidP="00745E46">
                  <w:pPr>
                    <w:spacing w:before="40"/>
                    <w:jc w:val="right"/>
                    <w:rPr>
                      <w:rFonts w:ascii="Arial" w:hAnsi="Arial" w:cs="Arial"/>
                      <w:szCs w:val="22"/>
                    </w:rPr>
                  </w:pPr>
                  <w:r w:rsidRPr="00745E46">
                    <w:rPr>
                      <w:rFonts w:ascii="Arial" w:hAnsi="Arial" w:cs="Arial"/>
                      <w:szCs w:val="22"/>
                    </w:rPr>
                    <w:t>(</w:t>
                  </w:r>
                  <w:proofErr w:type="gramStart"/>
                  <w:r w:rsidRPr="00745E46">
                    <w:rPr>
                      <w:rFonts w:ascii="Arial" w:hAnsi="Arial" w:cs="Arial"/>
                      <w:szCs w:val="22"/>
                    </w:rPr>
                    <w:t>8.5)%</w:t>
                  </w:r>
                  <w:proofErr w:type="gramEnd"/>
                </w:p>
              </w:tc>
              <w:tc>
                <w:tcPr>
                  <w:tcW w:w="904" w:type="pct"/>
                </w:tcPr>
                <w:p w14:paraId="30539D78" w14:textId="6FE375BF" w:rsidR="00745E46" w:rsidRPr="00745E46" w:rsidDel="007D6979" w:rsidRDefault="00745E46" w:rsidP="00745E46">
                  <w:pPr>
                    <w:spacing w:before="40"/>
                    <w:jc w:val="right"/>
                    <w:rPr>
                      <w:rFonts w:ascii="Arial" w:hAnsi="Arial" w:cs="Arial"/>
                      <w:szCs w:val="22"/>
                    </w:rPr>
                  </w:pPr>
                  <w:r w:rsidRPr="00857D32">
                    <w:rPr>
                      <w:rFonts w:ascii="Arial" w:hAnsi="Arial" w:cs="Arial"/>
                      <w:szCs w:val="22"/>
                    </w:rPr>
                    <w:t>(</w:t>
                  </w:r>
                  <w:proofErr w:type="gramStart"/>
                  <w:r>
                    <w:rPr>
                      <w:rFonts w:ascii="Arial" w:hAnsi="Arial" w:cs="Arial"/>
                      <w:szCs w:val="22"/>
                    </w:rPr>
                    <w:t>7.6</w:t>
                  </w:r>
                  <w:r w:rsidRPr="00857D32">
                    <w:rPr>
                      <w:rFonts w:ascii="Arial" w:hAnsi="Arial" w:cs="Arial"/>
                      <w:szCs w:val="22"/>
                    </w:rPr>
                    <w:t>)%</w:t>
                  </w:r>
                  <w:proofErr w:type="gramEnd"/>
                </w:p>
              </w:tc>
              <w:tc>
                <w:tcPr>
                  <w:tcW w:w="774" w:type="pct"/>
                </w:tcPr>
                <w:p w14:paraId="12CCDE23" w14:textId="1924530A" w:rsidR="00745E46" w:rsidRPr="00857D32" w:rsidDel="007D6979" w:rsidRDefault="00745E46" w:rsidP="00745E46">
                  <w:pPr>
                    <w:spacing w:before="40"/>
                    <w:jc w:val="right"/>
                    <w:rPr>
                      <w:rFonts w:ascii="Arial" w:hAnsi="Arial" w:cs="Arial"/>
                      <w:szCs w:val="22"/>
                    </w:rPr>
                  </w:pPr>
                  <w:r w:rsidRPr="00857D32">
                    <w:rPr>
                      <w:rFonts w:ascii="Arial" w:hAnsi="Arial" w:cs="Arial"/>
                      <w:szCs w:val="22"/>
                    </w:rPr>
                    <w:t>(</w:t>
                  </w:r>
                  <w:proofErr w:type="gramStart"/>
                  <w:r w:rsidRPr="00857D32">
                    <w:rPr>
                      <w:rFonts w:ascii="Arial" w:hAnsi="Arial" w:cs="Arial"/>
                      <w:szCs w:val="22"/>
                    </w:rPr>
                    <w:t>7.3)%</w:t>
                  </w:r>
                  <w:proofErr w:type="gramEnd"/>
                </w:p>
              </w:tc>
            </w:tr>
            <w:tr w:rsidR="00745E46" w:rsidRPr="005C0137" w14:paraId="66133D04" w14:textId="77777777" w:rsidTr="00846B19">
              <w:trPr>
                <w:trHeight w:hRule="exact" w:val="286"/>
              </w:trPr>
              <w:tc>
                <w:tcPr>
                  <w:tcW w:w="1729" w:type="pct"/>
                </w:tcPr>
                <w:p w14:paraId="4310F5C3" w14:textId="3BD0CCB5" w:rsidR="00745E46" w:rsidRPr="00B70DD6" w:rsidRDefault="00745E46" w:rsidP="00745E46">
                  <w:pPr>
                    <w:spacing w:before="40"/>
                    <w:jc w:val="left"/>
                    <w:rPr>
                      <w:rFonts w:ascii="Arial" w:hAnsi="Arial" w:cs="Arial"/>
                      <w:b/>
                      <w:szCs w:val="22"/>
                    </w:rPr>
                  </w:pPr>
                  <w:r w:rsidRPr="001B6DA5">
                    <w:rPr>
                      <w:rFonts w:ascii="Arial" w:hAnsi="Arial" w:cs="Arial"/>
                      <w:szCs w:val="22"/>
                    </w:rPr>
                    <w:t xml:space="preserve">- Brico </w:t>
                  </w:r>
                  <w:proofErr w:type="spellStart"/>
                  <w:r w:rsidRPr="001B6DA5">
                    <w:rPr>
                      <w:rFonts w:ascii="Arial" w:hAnsi="Arial" w:cs="Arial"/>
                      <w:szCs w:val="22"/>
                    </w:rPr>
                    <w:t>Dépôt</w:t>
                  </w:r>
                  <w:proofErr w:type="spellEnd"/>
                </w:p>
              </w:tc>
              <w:tc>
                <w:tcPr>
                  <w:tcW w:w="689" w:type="pct"/>
                </w:tcPr>
                <w:p w14:paraId="7CB10763" w14:textId="58EFC284" w:rsidR="00745E46" w:rsidRPr="00B70DD6" w:rsidRDefault="00745E46" w:rsidP="00745E46">
                  <w:pPr>
                    <w:spacing w:before="40"/>
                    <w:jc w:val="right"/>
                    <w:rPr>
                      <w:rFonts w:ascii="Arial" w:hAnsi="Arial" w:cs="Arial"/>
                      <w:szCs w:val="22"/>
                    </w:rPr>
                  </w:pPr>
                  <w:r>
                    <w:rPr>
                      <w:rFonts w:ascii="Arial" w:hAnsi="Arial" w:cs="Arial"/>
                      <w:szCs w:val="22"/>
                    </w:rPr>
                    <w:t>534</w:t>
                  </w:r>
                </w:p>
              </w:tc>
              <w:tc>
                <w:tcPr>
                  <w:tcW w:w="904" w:type="pct"/>
                  <w:vAlign w:val="center"/>
                </w:tcPr>
                <w:p w14:paraId="2E756118" w14:textId="57A86EE6" w:rsidR="00745E46" w:rsidRPr="00745E46" w:rsidRDefault="00745E46" w:rsidP="00745E46">
                  <w:pPr>
                    <w:spacing w:before="40"/>
                    <w:jc w:val="right"/>
                    <w:rPr>
                      <w:rFonts w:ascii="Arial" w:hAnsi="Arial" w:cs="Arial"/>
                      <w:szCs w:val="22"/>
                    </w:rPr>
                  </w:pPr>
                  <w:r w:rsidRPr="00745E46">
                    <w:rPr>
                      <w:rFonts w:ascii="Arial" w:hAnsi="Arial" w:cs="Arial"/>
                      <w:szCs w:val="22"/>
                    </w:rPr>
                    <w:t>+1.5%</w:t>
                  </w:r>
                </w:p>
              </w:tc>
              <w:tc>
                <w:tcPr>
                  <w:tcW w:w="904" w:type="pct"/>
                </w:tcPr>
                <w:p w14:paraId="681AA092" w14:textId="44C1ED17" w:rsidR="00745E46" w:rsidRPr="00745E46" w:rsidRDefault="00745E46" w:rsidP="00745E46">
                  <w:pPr>
                    <w:spacing w:before="40"/>
                    <w:jc w:val="right"/>
                    <w:rPr>
                      <w:rFonts w:ascii="Arial" w:hAnsi="Arial" w:cs="Arial"/>
                      <w:szCs w:val="22"/>
                    </w:rPr>
                  </w:pPr>
                  <w:r w:rsidRPr="00857D32">
                    <w:rPr>
                      <w:rFonts w:ascii="Arial" w:hAnsi="Arial" w:cs="Arial"/>
                      <w:szCs w:val="22"/>
                    </w:rPr>
                    <w:t>+</w:t>
                  </w:r>
                  <w:r>
                    <w:rPr>
                      <w:rFonts w:ascii="Arial" w:hAnsi="Arial" w:cs="Arial"/>
                      <w:szCs w:val="22"/>
                    </w:rPr>
                    <w:t>2.4</w:t>
                  </w:r>
                  <w:r w:rsidRPr="00857D32">
                    <w:rPr>
                      <w:rFonts w:ascii="Arial" w:hAnsi="Arial" w:cs="Arial"/>
                      <w:szCs w:val="22"/>
                    </w:rPr>
                    <w:t>%</w:t>
                  </w:r>
                </w:p>
              </w:tc>
              <w:tc>
                <w:tcPr>
                  <w:tcW w:w="774" w:type="pct"/>
                </w:tcPr>
                <w:p w14:paraId="608EEC7C" w14:textId="2F18A767" w:rsidR="00745E46" w:rsidRPr="00857D32" w:rsidRDefault="00745E46" w:rsidP="00745E46">
                  <w:pPr>
                    <w:spacing w:before="40"/>
                    <w:jc w:val="right"/>
                    <w:rPr>
                      <w:rFonts w:ascii="Arial" w:hAnsi="Arial" w:cs="Arial"/>
                      <w:szCs w:val="22"/>
                    </w:rPr>
                  </w:pPr>
                  <w:r w:rsidRPr="00857D32">
                    <w:rPr>
                      <w:rFonts w:ascii="Arial" w:hAnsi="Arial" w:cs="Arial"/>
                      <w:szCs w:val="22"/>
                    </w:rPr>
                    <w:t>+1.</w:t>
                  </w:r>
                  <w:r w:rsidR="004126A7">
                    <w:rPr>
                      <w:rFonts w:ascii="Arial" w:hAnsi="Arial" w:cs="Arial"/>
                      <w:szCs w:val="22"/>
                    </w:rPr>
                    <w:t>1</w:t>
                  </w:r>
                  <w:r w:rsidRPr="00857D32">
                    <w:rPr>
                      <w:rFonts w:ascii="Arial" w:hAnsi="Arial" w:cs="Arial"/>
                      <w:szCs w:val="22"/>
                    </w:rPr>
                    <w:t>%</w:t>
                  </w:r>
                </w:p>
              </w:tc>
            </w:tr>
            <w:tr w:rsidR="00745E46" w:rsidRPr="005C0137" w14:paraId="3C174DCB" w14:textId="77777777" w:rsidTr="00846B19">
              <w:trPr>
                <w:trHeight w:hRule="exact" w:val="286"/>
              </w:trPr>
              <w:tc>
                <w:tcPr>
                  <w:tcW w:w="1729" w:type="pct"/>
                </w:tcPr>
                <w:p w14:paraId="0B18B8D8" w14:textId="1173DA41" w:rsidR="00745E46" w:rsidRPr="00B70DD6" w:rsidRDefault="00745E46" w:rsidP="00745E46">
                  <w:pPr>
                    <w:spacing w:before="40"/>
                    <w:jc w:val="left"/>
                    <w:rPr>
                      <w:rFonts w:ascii="Arial" w:hAnsi="Arial" w:cs="Arial"/>
                      <w:b/>
                      <w:szCs w:val="22"/>
                    </w:rPr>
                  </w:pPr>
                  <w:r w:rsidRPr="00FA574F">
                    <w:rPr>
                      <w:rFonts w:ascii="Arial" w:hAnsi="Arial" w:cs="Arial"/>
                      <w:b/>
                      <w:szCs w:val="22"/>
                    </w:rPr>
                    <w:t>Other International</w:t>
                  </w:r>
                </w:p>
              </w:tc>
              <w:tc>
                <w:tcPr>
                  <w:tcW w:w="689" w:type="pct"/>
                </w:tcPr>
                <w:p w14:paraId="4E77E9A5" w14:textId="4AFC40DA" w:rsidR="00745E46" w:rsidRPr="00B70DD6" w:rsidRDefault="00745E46" w:rsidP="00745E46">
                  <w:pPr>
                    <w:spacing w:before="40"/>
                    <w:jc w:val="right"/>
                    <w:rPr>
                      <w:rFonts w:ascii="Arial" w:hAnsi="Arial" w:cs="Arial"/>
                      <w:b/>
                      <w:szCs w:val="22"/>
                    </w:rPr>
                  </w:pPr>
                  <w:r>
                    <w:rPr>
                      <w:rFonts w:ascii="Arial" w:hAnsi="Arial" w:cs="Arial"/>
                      <w:b/>
                      <w:szCs w:val="22"/>
                    </w:rPr>
                    <w:t>649</w:t>
                  </w:r>
                </w:p>
              </w:tc>
              <w:tc>
                <w:tcPr>
                  <w:tcW w:w="904" w:type="pct"/>
                  <w:vAlign w:val="center"/>
                </w:tcPr>
                <w:p w14:paraId="694B3B1A" w14:textId="52F47F9C" w:rsidR="00745E46" w:rsidRPr="00745E46" w:rsidRDefault="00745E46" w:rsidP="00745E46">
                  <w:pPr>
                    <w:spacing w:before="40"/>
                    <w:jc w:val="right"/>
                    <w:rPr>
                      <w:rFonts w:ascii="Arial" w:hAnsi="Arial" w:cs="Arial"/>
                      <w:b/>
                      <w:szCs w:val="22"/>
                    </w:rPr>
                  </w:pPr>
                  <w:r w:rsidRPr="00745E46">
                    <w:rPr>
                      <w:rFonts w:ascii="Arial" w:hAnsi="Arial" w:cs="Arial"/>
                      <w:b/>
                      <w:szCs w:val="22"/>
                    </w:rPr>
                    <w:t>+5.4%</w:t>
                  </w:r>
                </w:p>
              </w:tc>
              <w:tc>
                <w:tcPr>
                  <w:tcW w:w="904" w:type="pct"/>
                </w:tcPr>
                <w:p w14:paraId="06273E53" w14:textId="654566ED" w:rsidR="00745E46" w:rsidRPr="00745E46" w:rsidRDefault="00745E46" w:rsidP="00745E46">
                  <w:pPr>
                    <w:spacing w:before="40"/>
                    <w:jc w:val="right"/>
                    <w:rPr>
                      <w:rFonts w:ascii="Arial" w:hAnsi="Arial" w:cs="Arial"/>
                      <w:b/>
                      <w:szCs w:val="22"/>
                    </w:rPr>
                  </w:pPr>
                  <w:r w:rsidRPr="00857D32">
                    <w:rPr>
                      <w:rFonts w:ascii="Arial" w:hAnsi="Arial" w:cs="Arial"/>
                      <w:b/>
                      <w:szCs w:val="22"/>
                    </w:rPr>
                    <w:t>+</w:t>
                  </w:r>
                  <w:r>
                    <w:rPr>
                      <w:rFonts w:ascii="Arial" w:hAnsi="Arial" w:cs="Arial"/>
                      <w:b/>
                      <w:szCs w:val="22"/>
                    </w:rPr>
                    <w:t>8.7</w:t>
                  </w:r>
                  <w:r w:rsidRPr="00857D32">
                    <w:rPr>
                      <w:rFonts w:ascii="Arial" w:hAnsi="Arial" w:cs="Arial"/>
                      <w:b/>
                      <w:szCs w:val="22"/>
                    </w:rPr>
                    <w:t>%</w:t>
                  </w:r>
                </w:p>
              </w:tc>
              <w:tc>
                <w:tcPr>
                  <w:tcW w:w="774" w:type="pct"/>
                </w:tcPr>
                <w:p w14:paraId="2A8E9C84" w14:textId="3432EC5C" w:rsidR="00745E46" w:rsidRPr="00857D32" w:rsidRDefault="00745E46" w:rsidP="00745E46">
                  <w:pPr>
                    <w:spacing w:before="40"/>
                    <w:jc w:val="right"/>
                    <w:rPr>
                      <w:rFonts w:ascii="Arial" w:hAnsi="Arial" w:cs="Arial"/>
                      <w:b/>
                      <w:szCs w:val="22"/>
                    </w:rPr>
                  </w:pPr>
                  <w:r w:rsidRPr="00857D32">
                    <w:rPr>
                      <w:rFonts w:ascii="Arial" w:hAnsi="Arial" w:cs="Arial"/>
                      <w:b/>
                      <w:szCs w:val="22"/>
                    </w:rPr>
                    <w:t>+1.6%</w:t>
                  </w:r>
                </w:p>
              </w:tc>
            </w:tr>
            <w:tr w:rsidR="00745E46" w:rsidRPr="005C0137" w14:paraId="27C59112" w14:textId="77777777" w:rsidTr="004C463D">
              <w:trPr>
                <w:trHeight w:hRule="exact" w:val="275"/>
              </w:trPr>
              <w:tc>
                <w:tcPr>
                  <w:tcW w:w="1729" w:type="pct"/>
                </w:tcPr>
                <w:p w14:paraId="6510366A" w14:textId="411C37E0" w:rsidR="00745E46" w:rsidRPr="00B70DD6" w:rsidRDefault="00745E46" w:rsidP="00745E46">
                  <w:pPr>
                    <w:spacing w:before="40"/>
                    <w:jc w:val="left"/>
                    <w:rPr>
                      <w:rFonts w:ascii="Arial" w:hAnsi="Arial" w:cs="Arial"/>
                      <w:szCs w:val="22"/>
                    </w:rPr>
                  </w:pPr>
                  <w:r w:rsidRPr="001B6DA5">
                    <w:rPr>
                      <w:rFonts w:ascii="Arial" w:hAnsi="Arial" w:cs="Arial"/>
                      <w:szCs w:val="22"/>
                    </w:rPr>
                    <w:t>- Poland</w:t>
                  </w:r>
                </w:p>
              </w:tc>
              <w:tc>
                <w:tcPr>
                  <w:tcW w:w="689" w:type="pct"/>
                </w:tcPr>
                <w:p w14:paraId="3A048043" w14:textId="55313B80" w:rsidR="00745E46" w:rsidRPr="00B70DD6" w:rsidRDefault="00745E46" w:rsidP="00745E46">
                  <w:pPr>
                    <w:spacing w:before="40"/>
                    <w:jc w:val="right"/>
                    <w:rPr>
                      <w:rFonts w:ascii="Arial" w:hAnsi="Arial" w:cs="Arial"/>
                      <w:szCs w:val="22"/>
                    </w:rPr>
                  </w:pPr>
                  <w:r>
                    <w:rPr>
                      <w:rFonts w:ascii="Arial" w:hAnsi="Arial" w:cs="Arial"/>
                      <w:szCs w:val="22"/>
                    </w:rPr>
                    <w:t>388</w:t>
                  </w:r>
                </w:p>
              </w:tc>
              <w:tc>
                <w:tcPr>
                  <w:tcW w:w="904" w:type="pct"/>
                </w:tcPr>
                <w:p w14:paraId="59B95890" w14:textId="1D8CBFED" w:rsidR="00745E46" w:rsidRPr="00745E46" w:rsidRDefault="00745E46" w:rsidP="00745E46">
                  <w:pPr>
                    <w:spacing w:before="40"/>
                    <w:jc w:val="right"/>
                    <w:rPr>
                      <w:rFonts w:ascii="Arial" w:hAnsi="Arial" w:cs="Arial"/>
                      <w:szCs w:val="22"/>
                    </w:rPr>
                  </w:pPr>
                  <w:r w:rsidRPr="00745E46">
                    <w:rPr>
                      <w:rFonts w:ascii="Arial" w:hAnsi="Arial" w:cs="Arial"/>
                      <w:szCs w:val="22"/>
                    </w:rPr>
                    <w:t>+2.4%</w:t>
                  </w:r>
                </w:p>
              </w:tc>
              <w:tc>
                <w:tcPr>
                  <w:tcW w:w="904" w:type="pct"/>
                </w:tcPr>
                <w:p w14:paraId="36877E6E" w14:textId="7F81F709" w:rsidR="00745E46" w:rsidRPr="00745E46" w:rsidRDefault="00745E46" w:rsidP="00745E46">
                  <w:pPr>
                    <w:spacing w:before="40"/>
                    <w:jc w:val="right"/>
                    <w:rPr>
                      <w:rFonts w:ascii="Arial" w:hAnsi="Arial" w:cs="Arial"/>
                      <w:szCs w:val="22"/>
                    </w:rPr>
                  </w:pPr>
                  <w:r w:rsidRPr="00857D32">
                    <w:rPr>
                      <w:rFonts w:ascii="Arial" w:hAnsi="Arial" w:cs="Arial"/>
                      <w:szCs w:val="22"/>
                    </w:rPr>
                    <w:t>+</w:t>
                  </w:r>
                  <w:r>
                    <w:rPr>
                      <w:rFonts w:ascii="Arial" w:hAnsi="Arial" w:cs="Arial"/>
                      <w:szCs w:val="22"/>
                    </w:rPr>
                    <w:t>3.9</w:t>
                  </w:r>
                  <w:r w:rsidRPr="00857D32">
                    <w:rPr>
                      <w:rFonts w:ascii="Arial" w:hAnsi="Arial" w:cs="Arial"/>
                      <w:szCs w:val="22"/>
                    </w:rPr>
                    <w:t>%</w:t>
                  </w:r>
                </w:p>
              </w:tc>
              <w:tc>
                <w:tcPr>
                  <w:tcW w:w="774" w:type="pct"/>
                </w:tcPr>
                <w:p w14:paraId="070A0DF1" w14:textId="230966C0" w:rsidR="00745E46" w:rsidRPr="00857D32" w:rsidRDefault="00745E46" w:rsidP="00745E46">
                  <w:pPr>
                    <w:spacing w:before="40"/>
                    <w:jc w:val="right"/>
                    <w:rPr>
                      <w:rFonts w:ascii="Arial" w:hAnsi="Arial" w:cs="Arial"/>
                      <w:szCs w:val="22"/>
                    </w:rPr>
                  </w:pPr>
                  <w:r w:rsidRPr="00857D32">
                    <w:rPr>
                      <w:rFonts w:ascii="Arial" w:hAnsi="Arial" w:cs="Arial"/>
                      <w:szCs w:val="22"/>
                    </w:rPr>
                    <w:t>+1.</w:t>
                  </w:r>
                  <w:r>
                    <w:rPr>
                      <w:rFonts w:ascii="Arial" w:hAnsi="Arial" w:cs="Arial"/>
                      <w:szCs w:val="22"/>
                    </w:rPr>
                    <w:t>4</w:t>
                  </w:r>
                  <w:r w:rsidRPr="00857D32">
                    <w:rPr>
                      <w:rFonts w:ascii="Arial" w:hAnsi="Arial" w:cs="Arial"/>
                      <w:szCs w:val="22"/>
                    </w:rPr>
                    <w:t>%</w:t>
                  </w:r>
                </w:p>
              </w:tc>
            </w:tr>
            <w:tr w:rsidR="00745E46" w:rsidRPr="005C0137" w14:paraId="78CE1431" w14:textId="77777777" w:rsidTr="004C463D">
              <w:trPr>
                <w:trHeight w:hRule="exact" w:val="294"/>
              </w:trPr>
              <w:tc>
                <w:tcPr>
                  <w:tcW w:w="1729" w:type="pct"/>
                  <w:vAlign w:val="center"/>
                </w:tcPr>
                <w:p w14:paraId="20A1DCD6" w14:textId="7A5EF908" w:rsidR="00745E46" w:rsidRPr="00B70DD6" w:rsidRDefault="00745E46" w:rsidP="00745E46">
                  <w:pPr>
                    <w:spacing w:before="40"/>
                    <w:jc w:val="left"/>
                    <w:rPr>
                      <w:rFonts w:ascii="Arial" w:hAnsi="Arial" w:cs="Arial"/>
                      <w:szCs w:val="22"/>
                    </w:rPr>
                  </w:pPr>
                  <w:r w:rsidRPr="006E5440">
                    <w:rPr>
                      <w:rFonts w:ascii="Arial" w:hAnsi="Arial" w:cs="Arial"/>
                      <w:szCs w:val="22"/>
                    </w:rPr>
                    <w:t xml:space="preserve">- </w:t>
                  </w:r>
                  <w:proofErr w:type="gramStart"/>
                  <w:r>
                    <w:rPr>
                      <w:rFonts w:ascii="Arial" w:hAnsi="Arial" w:cs="Arial"/>
                      <w:szCs w:val="22"/>
                    </w:rPr>
                    <w:t>Iberia</w:t>
                  </w:r>
                  <w:r w:rsidR="001654AC" w:rsidRPr="006E5440">
                    <w:rPr>
                      <w:rFonts w:ascii="Arial" w:hAnsi="Arial" w:cs="Arial"/>
                      <w:szCs w:val="22"/>
                      <w:vertAlign w:val="superscript"/>
                    </w:rPr>
                    <w:t>(</w:t>
                  </w:r>
                  <w:proofErr w:type="gramEnd"/>
                  <w:r w:rsidR="001654AC">
                    <w:rPr>
                      <w:rFonts w:ascii="Arial" w:hAnsi="Arial" w:cs="Arial"/>
                      <w:szCs w:val="22"/>
                      <w:vertAlign w:val="superscript"/>
                    </w:rPr>
                    <w:t>2</w:t>
                  </w:r>
                  <w:r w:rsidR="001654AC" w:rsidRPr="006E5440">
                    <w:rPr>
                      <w:rFonts w:ascii="Arial" w:hAnsi="Arial" w:cs="Arial"/>
                      <w:szCs w:val="22"/>
                      <w:vertAlign w:val="superscript"/>
                    </w:rPr>
                    <w:t>)</w:t>
                  </w:r>
                </w:p>
              </w:tc>
              <w:tc>
                <w:tcPr>
                  <w:tcW w:w="689" w:type="pct"/>
                </w:tcPr>
                <w:p w14:paraId="7CA1B749" w14:textId="692DD25E" w:rsidR="00745E46" w:rsidRPr="004C463D" w:rsidRDefault="00745E46" w:rsidP="00745E46">
                  <w:pPr>
                    <w:spacing w:before="40"/>
                    <w:jc w:val="right"/>
                    <w:rPr>
                      <w:rFonts w:ascii="Arial" w:hAnsi="Arial" w:cs="Arial"/>
                      <w:szCs w:val="22"/>
                    </w:rPr>
                  </w:pPr>
                  <w:r>
                    <w:rPr>
                      <w:rFonts w:ascii="Arial" w:hAnsi="Arial" w:cs="Arial"/>
                      <w:szCs w:val="22"/>
                    </w:rPr>
                    <w:t>87</w:t>
                  </w:r>
                </w:p>
              </w:tc>
              <w:tc>
                <w:tcPr>
                  <w:tcW w:w="904" w:type="pct"/>
                </w:tcPr>
                <w:p w14:paraId="6301588A" w14:textId="31D69C54" w:rsidR="00745E46" w:rsidRPr="00745E46" w:rsidRDefault="00745E46" w:rsidP="00745E46">
                  <w:pPr>
                    <w:spacing w:before="40"/>
                    <w:jc w:val="right"/>
                    <w:rPr>
                      <w:rFonts w:ascii="Arial" w:hAnsi="Arial" w:cs="Arial"/>
                      <w:szCs w:val="22"/>
                    </w:rPr>
                  </w:pPr>
                  <w:r w:rsidRPr="00745E46">
                    <w:rPr>
                      <w:rFonts w:ascii="Arial" w:hAnsi="Arial" w:cs="Arial"/>
                      <w:szCs w:val="22"/>
                    </w:rPr>
                    <w:t>+0.9%</w:t>
                  </w:r>
                </w:p>
              </w:tc>
              <w:tc>
                <w:tcPr>
                  <w:tcW w:w="904" w:type="pct"/>
                </w:tcPr>
                <w:p w14:paraId="45AE8B10" w14:textId="186C507E" w:rsidR="00745E46" w:rsidRPr="00745E46" w:rsidRDefault="00745E46" w:rsidP="00745E46">
                  <w:pPr>
                    <w:spacing w:before="40"/>
                    <w:jc w:val="right"/>
                    <w:rPr>
                      <w:rFonts w:ascii="Arial" w:hAnsi="Arial" w:cs="Arial"/>
                      <w:szCs w:val="22"/>
                    </w:rPr>
                  </w:pPr>
                  <w:r w:rsidRPr="00857D32">
                    <w:rPr>
                      <w:rFonts w:ascii="Arial" w:hAnsi="Arial" w:cs="Arial"/>
                      <w:szCs w:val="22"/>
                    </w:rPr>
                    <w:t>+</w:t>
                  </w:r>
                  <w:r>
                    <w:rPr>
                      <w:rFonts w:ascii="Arial" w:hAnsi="Arial" w:cs="Arial"/>
                      <w:szCs w:val="22"/>
                    </w:rPr>
                    <w:t>2.0</w:t>
                  </w:r>
                  <w:r w:rsidRPr="00857D32">
                    <w:rPr>
                      <w:rFonts w:ascii="Arial" w:hAnsi="Arial" w:cs="Arial"/>
                      <w:szCs w:val="22"/>
                    </w:rPr>
                    <w:t>%</w:t>
                  </w:r>
                </w:p>
              </w:tc>
              <w:tc>
                <w:tcPr>
                  <w:tcW w:w="774" w:type="pct"/>
                </w:tcPr>
                <w:p w14:paraId="5419B1FD" w14:textId="450AA281" w:rsidR="00745E46" w:rsidRPr="00857D32" w:rsidRDefault="00745E46" w:rsidP="00745E46">
                  <w:pPr>
                    <w:spacing w:before="40"/>
                    <w:jc w:val="right"/>
                    <w:rPr>
                      <w:rFonts w:ascii="Arial" w:hAnsi="Arial" w:cs="Arial"/>
                      <w:szCs w:val="22"/>
                    </w:rPr>
                  </w:pPr>
                  <w:r w:rsidRPr="00857D32">
                    <w:rPr>
                      <w:rFonts w:ascii="Arial" w:hAnsi="Arial" w:cs="Arial"/>
                      <w:szCs w:val="22"/>
                    </w:rPr>
                    <w:t>+</w:t>
                  </w:r>
                  <w:r>
                    <w:rPr>
                      <w:rFonts w:ascii="Arial" w:hAnsi="Arial" w:cs="Arial"/>
                      <w:szCs w:val="22"/>
                    </w:rPr>
                    <w:t>2.0</w:t>
                  </w:r>
                  <w:r w:rsidRPr="00857D32">
                    <w:rPr>
                      <w:rFonts w:ascii="Arial" w:hAnsi="Arial" w:cs="Arial"/>
                      <w:szCs w:val="22"/>
                    </w:rPr>
                    <w:t>%</w:t>
                  </w:r>
                </w:p>
              </w:tc>
            </w:tr>
            <w:tr w:rsidR="00745E46" w:rsidRPr="005C0137" w14:paraId="0CF739D3" w14:textId="77777777" w:rsidTr="004C463D">
              <w:trPr>
                <w:trHeight w:hRule="exact" w:val="294"/>
              </w:trPr>
              <w:tc>
                <w:tcPr>
                  <w:tcW w:w="1729" w:type="pct"/>
                  <w:vAlign w:val="center"/>
                </w:tcPr>
                <w:p w14:paraId="615B340E" w14:textId="0D968426" w:rsidR="00745E46" w:rsidRPr="00B70DD6" w:rsidRDefault="00745E46" w:rsidP="00745E46">
                  <w:pPr>
                    <w:spacing w:before="40"/>
                    <w:jc w:val="left"/>
                    <w:rPr>
                      <w:rFonts w:ascii="Arial" w:hAnsi="Arial" w:cs="Arial"/>
                      <w:szCs w:val="22"/>
                    </w:rPr>
                  </w:pPr>
                  <w:r w:rsidRPr="001B6DA5">
                    <w:rPr>
                      <w:rFonts w:ascii="Arial" w:hAnsi="Arial" w:cs="Arial"/>
                      <w:szCs w:val="22"/>
                    </w:rPr>
                    <w:t xml:space="preserve">- </w:t>
                  </w:r>
                  <w:proofErr w:type="gramStart"/>
                  <w:r w:rsidRPr="001B6DA5">
                    <w:rPr>
                      <w:rFonts w:ascii="Arial" w:hAnsi="Arial" w:cs="Arial"/>
                      <w:szCs w:val="22"/>
                    </w:rPr>
                    <w:t>Russia</w:t>
                  </w:r>
                  <w:r w:rsidR="00282F73" w:rsidRPr="006E5440">
                    <w:rPr>
                      <w:rFonts w:ascii="Arial" w:hAnsi="Arial" w:cs="Arial"/>
                      <w:szCs w:val="22"/>
                      <w:vertAlign w:val="superscript"/>
                    </w:rPr>
                    <w:t>(</w:t>
                  </w:r>
                  <w:proofErr w:type="gramEnd"/>
                  <w:r w:rsidR="00282F73">
                    <w:rPr>
                      <w:rFonts w:ascii="Arial" w:hAnsi="Arial" w:cs="Arial"/>
                      <w:szCs w:val="22"/>
                      <w:vertAlign w:val="superscript"/>
                    </w:rPr>
                    <w:t>3</w:t>
                  </w:r>
                  <w:r w:rsidR="00282F73" w:rsidRPr="006E5440">
                    <w:rPr>
                      <w:rFonts w:ascii="Arial" w:hAnsi="Arial" w:cs="Arial"/>
                      <w:szCs w:val="22"/>
                      <w:vertAlign w:val="superscript"/>
                    </w:rPr>
                    <w:t>)</w:t>
                  </w:r>
                  <w:r>
                    <w:rPr>
                      <w:rFonts w:ascii="Arial" w:hAnsi="Arial" w:cs="Arial"/>
                      <w:szCs w:val="22"/>
                    </w:rPr>
                    <w:t xml:space="preserve"> </w:t>
                  </w:r>
                </w:p>
              </w:tc>
              <w:tc>
                <w:tcPr>
                  <w:tcW w:w="689" w:type="pct"/>
                </w:tcPr>
                <w:p w14:paraId="02E8F919" w14:textId="42E8D5AF" w:rsidR="00745E46" w:rsidRPr="00B70DD6" w:rsidRDefault="00745E46" w:rsidP="00745E46">
                  <w:pPr>
                    <w:spacing w:before="40"/>
                    <w:jc w:val="right"/>
                    <w:rPr>
                      <w:rFonts w:ascii="Arial" w:hAnsi="Arial" w:cs="Arial"/>
                      <w:szCs w:val="22"/>
                    </w:rPr>
                  </w:pPr>
                  <w:r>
                    <w:rPr>
                      <w:rFonts w:ascii="Arial" w:hAnsi="Arial" w:cs="Arial"/>
                      <w:szCs w:val="22"/>
                    </w:rPr>
                    <w:t>101</w:t>
                  </w:r>
                </w:p>
              </w:tc>
              <w:tc>
                <w:tcPr>
                  <w:tcW w:w="904" w:type="pct"/>
                </w:tcPr>
                <w:p w14:paraId="3EA8D8CC" w14:textId="09CF9C8A" w:rsidR="00745E46" w:rsidRPr="00745E46" w:rsidRDefault="00745E46" w:rsidP="00745E46">
                  <w:pPr>
                    <w:spacing w:before="40"/>
                    <w:jc w:val="right"/>
                    <w:rPr>
                      <w:rFonts w:ascii="Arial" w:hAnsi="Arial" w:cs="Arial"/>
                      <w:szCs w:val="22"/>
                    </w:rPr>
                  </w:pPr>
                  <w:r w:rsidRPr="00745E46">
                    <w:rPr>
                      <w:rFonts w:ascii="Arial" w:hAnsi="Arial" w:cs="Arial"/>
                      <w:szCs w:val="22"/>
                    </w:rPr>
                    <w:t>(</w:t>
                  </w:r>
                  <w:proofErr w:type="gramStart"/>
                  <w:r w:rsidRPr="00745E46">
                    <w:rPr>
                      <w:rFonts w:ascii="Arial" w:hAnsi="Arial" w:cs="Arial"/>
                      <w:szCs w:val="22"/>
                    </w:rPr>
                    <w:t>6.4)%</w:t>
                  </w:r>
                  <w:proofErr w:type="gramEnd"/>
                </w:p>
              </w:tc>
              <w:tc>
                <w:tcPr>
                  <w:tcW w:w="904" w:type="pct"/>
                </w:tcPr>
                <w:p w14:paraId="6E91E419" w14:textId="41900BC9" w:rsidR="00745E46" w:rsidRPr="00745E46" w:rsidRDefault="00745E46" w:rsidP="00745E46">
                  <w:pPr>
                    <w:spacing w:before="40"/>
                    <w:jc w:val="right"/>
                    <w:rPr>
                      <w:rFonts w:ascii="Arial" w:hAnsi="Arial" w:cs="Arial"/>
                      <w:szCs w:val="22"/>
                    </w:rPr>
                  </w:pPr>
                  <w:r w:rsidRPr="00857D32">
                    <w:rPr>
                      <w:rFonts w:ascii="Arial" w:hAnsi="Arial" w:cs="Arial"/>
                      <w:szCs w:val="22"/>
                    </w:rPr>
                    <w:t>+</w:t>
                  </w:r>
                  <w:r>
                    <w:rPr>
                      <w:rFonts w:ascii="Arial" w:hAnsi="Arial" w:cs="Arial"/>
                      <w:szCs w:val="22"/>
                    </w:rPr>
                    <w:t>5.2</w:t>
                  </w:r>
                  <w:r w:rsidRPr="00857D32">
                    <w:rPr>
                      <w:rFonts w:ascii="Arial" w:hAnsi="Arial" w:cs="Arial"/>
                      <w:szCs w:val="22"/>
                    </w:rPr>
                    <w:t>%</w:t>
                  </w:r>
                </w:p>
              </w:tc>
              <w:tc>
                <w:tcPr>
                  <w:tcW w:w="774" w:type="pct"/>
                </w:tcPr>
                <w:p w14:paraId="6DE889B1" w14:textId="2082E28C" w:rsidR="00745E46" w:rsidRPr="00857D32" w:rsidRDefault="00745E46" w:rsidP="00745E46">
                  <w:pPr>
                    <w:spacing w:before="40"/>
                    <w:jc w:val="right"/>
                    <w:rPr>
                      <w:rFonts w:ascii="Arial" w:hAnsi="Arial" w:cs="Arial"/>
                      <w:szCs w:val="22"/>
                    </w:rPr>
                  </w:pPr>
                  <w:r w:rsidRPr="00857D32">
                    <w:rPr>
                      <w:rFonts w:ascii="Arial" w:hAnsi="Arial" w:cs="Arial"/>
                      <w:szCs w:val="22"/>
                    </w:rPr>
                    <w:t>+2.</w:t>
                  </w:r>
                  <w:r w:rsidR="00312421">
                    <w:rPr>
                      <w:rFonts w:ascii="Arial" w:hAnsi="Arial" w:cs="Arial"/>
                      <w:szCs w:val="22"/>
                    </w:rPr>
                    <w:t>7</w:t>
                  </w:r>
                  <w:r w:rsidRPr="00857D32">
                    <w:rPr>
                      <w:rFonts w:ascii="Arial" w:hAnsi="Arial" w:cs="Arial"/>
                      <w:szCs w:val="22"/>
                    </w:rPr>
                    <w:t>%</w:t>
                  </w:r>
                </w:p>
              </w:tc>
            </w:tr>
            <w:tr w:rsidR="00745E46" w:rsidRPr="005C0137" w14:paraId="349C564C" w14:textId="77777777" w:rsidTr="00846B19">
              <w:trPr>
                <w:trHeight w:hRule="exact" w:val="294"/>
              </w:trPr>
              <w:tc>
                <w:tcPr>
                  <w:tcW w:w="1729" w:type="pct"/>
                </w:tcPr>
                <w:p w14:paraId="03720423" w14:textId="52DBC29F" w:rsidR="00745E46" w:rsidRPr="00B70DD6" w:rsidRDefault="00745E46" w:rsidP="00745E46">
                  <w:pPr>
                    <w:spacing w:before="40"/>
                    <w:jc w:val="left"/>
                    <w:rPr>
                      <w:rFonts w:ascii="Arial" w:hAnsi="Arial" w:cs="Arial"/>
                      <w:szCs w:val="22"/>
                    </w:rPr>
                  </w:pPr>
                  <w:r>
                    <w:rPr>
                      <w:rFonts w:ascii="Arial" w:hAnsi="Arial" w:cs="Arial"/>
                      <w:szCs w:val="22"/>
                    </w:rPr>
                    <w:t xml:space="preserve">- </w:t>
                  </w:r>
                  <w:proofErr w:type="gramStart"/>
                  <w:r>
                    <w:rPr>
                      <w:rFonts w:ascii="Arial" w:hAnsi="Arial" w:cs="Arial"/>
                      <w:szCs w:val="22"/>
                    </w:rPr>
                    <w:t>Romania</w:t>
                  </w:r>
                  <w:r w:rsidRPr="006E5440">
                    <w:rPr>
                      <w:rFonts w:ascii="Arial" w:hAnsi="Arial" w:cs="Arial"/>
                      <w:szCs w:val="22"/>
                      <w:vertAlign w:val="superscript"/>
                    </w:rPr>
                    <w:t>(</w:t>
                  </w:r>
                  <w:proofErr w:type="gramEnd"/>
                  <w:r w:rsidR="00282F73">
                    <w:rPr>
                      <w:rFonts w:ascii="Arial" w:hAnsi="Arial" w:cs="Arial"/>
                      <w:szCs w:val="22"/>
                      <w:vertAlign w:val="superscript"/>
                    </w:rPr>
                    <w:t>4</w:t>
                  </w:r>
                  <w:r w:rsidRPr="006E5440">
                    <w:rPr>
                      <w:rFonts w:ascii="Arial" w:hAnsi="Arial" w:cs="Arial"/>
                      <w:szCs w:val="22"/>
                      <w:vertAlign w:val="superscript"/>
                    </w:rPr>
                    <w:t>)</w:t>
                  </w:r>
                </w:p>
              </w:tc>
              <w:tc>
                <w:tcPr>
                  <w:tcW w:w="689" w:type="pct"/>
                </w:tcPr>
                <w:p w14:paraId="481553D5" w14:textId="3A74727E" w:rsidR="00745E46" w:rsidRPr="00B70DD6" w:rsidRDefault="00745E46" w:rsidP="00745E46">
                  <w:pPr>
                    <w:spacing w:before="40"/>
                    <w:jc w:val="right"/>
                    <w:rPr>
                      <w:rFonts w:ascii="Arial" w:hAnsi="Arial" w:cs="Arial"/>
                      <w:szCs w:val="22"/>
                    </w:rPr>
                  </w:pPr>
                  <w:r>
                    <w:rPr>
                      <w:rFonts w:ascii="Arial" w:hAnsi="Arial" w:cs="Arial"/>
                      <w:szCs w:val="22"/>
                    </w:rPr>
                    <w:t>69</w:t>
                  </w:r>
                </w:p>
              </w:tc>
              <w:tc>
                <w:tcPr>
                  <w:tcW w:w="904" w:type="pct"/>
                </w:tcPr>
                <w:p w14:paraId="753DF728" w14:textId="2E76CB2D" w:rsidR="00745E46" w:rsidRPr="00745E46" w:rsidRDefault="00745E46" w:rsidP="00745E46">
                  <w:pPr>
                    <w:spacing w:before="40"/>
                    <w:jc w:val="right"/>
                    <w:rPr>
                      <w:rFonts w:ascii="Arial" w:hAnsi="Arial" w:cs="Arial"/>
                      <w:szCs w:val="22"/>
                    </w:rPr>
                  </w:pPr>
                  <w:r w:rsidRPr="00745E46">
                    <w:rPr>
                      <w:rFonts w:ascii="Arial" w:hAnsi="Arial" w:cs="Arial"/>
                      <w:szCs w:val="22"/>
                    </w:rPr>
                    <w:t>+77.1%</w:t>
                  </w:r>
                </w:p>
              </w:tc>
              <w:tc>
                <w:tcPr>
                  <w:tcW w:w="904" w:type="pct"/>
                </w:tcPr>
                <w:p w14:paraId="653F9F22" w14:textId="6A1E9E72" w:rsidR="00745E46" w:rsidRPr="00745E46" w:rsidRDefault="00745E46" w:rsidP="00745E46">
                  <w:pPr>
                    <w:spacing w:before="40"/>
                    <w:jc w:val="right"/>
                    <w:rPr>
                      <w:rFonts w:ascii="Arial" w:hAnsi="Arial" w:cs="Arial"/>
                      <w:szCs w:val="22"/>
                    </w:rPr>
                  </w:pPr>
                  <w:r>
                    <w:rPr>
                      <w:rFonts w:ascii="Arial" w:hAnsi="Arial" w:cs="Arial"/>
                      <w:szCs w:val="22"/>
                    </w:rPr>
                    <w:t>+80.4</w:t>
                  </w:r>
                  <w:r w:rsidRPr="00857D32">
                    <w:rPr>
                      <w:rFonts w:ascii="Arial" w:hAnsi="Arial" w:cs="Arial"/>
                      <w:szCs w:val="22"/>
                    </w:rPr>
                    <w:t>%</w:t>
                  </w:r>
                </w:p>
              </w:tc>
              <w:tc>
                <w:tcPr>
                  <w:tcW w:w="774" w:type="pct"/>
                </w:tcPr>
                <w:p w14:paraId="54C8C0E1" w14:textId="35A8B14F" w:rsidR="00745E46" w:rsidRPr="00857D32" w:rsidRDefault="00745E46" w:rsidP="00745E46">
                  <w:pPr>
                    <w:spacing w:before="40"/>
                    <w:jc w:val="right"/>
                    <w:rPr>
                      <w:rFonts w:ascii="Arial" w:hAnsi="Arial" w:cs="Arial"/>
                      <w:szCs w:val="22"/>
                    </w:rPr>
                  </w:pPr>
                  <w:r w:rsidRPr="00857D32">
                    <w:rPr>
                      <w:rFonts w:ascii="Arial" w:hAnsi="Arial" w:cs="Arial"/>
                      <w:szCs w:val="22"/>
                    </w:rPr>
                    <w:t>(</w:t>
                  </w:r>
                  <w:proofErr w:type="gramStart"/>
                  <w:r w:rsidRPr="00857D32">
                    <w:rPr>
                      <w:rFonts w:ascii="Arial" w:hAnsi="Arial" w:cs="Arial"/>
                      <w:szCs w:val="22"/>
                    </w:rPr>
                    <w:t>0.5)%</w:t>
                  </w:r>
                  <w:proofErr w:type="gramEnd"/>
                </w:p>
              </w:tc>
            </w:tr>
            <w:tr w:rsidR="00745E46" w:rsidRPr="005C0137" w14:paraId="5060B2AA" w14:textId="77777777" w:rsidTr="004C463D">
              <w:trPr>
                <w:trHeight w:hRule="exact" w:val="294"/>
              </w:trPr>
              <w:tc>
                <w:tcPr>
                  <w:tcW w:w="1729" w:type="pct"/>
                  <w:tcBorders>
                    <w:bottom w:val="single" w:sz="4" w:space="0" w:color="auto"/>
                  </w:tcBorders>
                  <w:vAlign w:val="center"/>
                </w:tcPr>
                <w:p w14:paraId="54648959" w14:textId="77777777" w:rsidR="00745E46" w:rsidRPr="004750E1" w:rsidRDefault="00745E46" w:rsidP="00745E46">
                  <w:pPr>
                    <w:spacing w:before="40"/>
                    <w:jc w:val="left"/>
                    <w:rPr>
                      <w:rFonts w:ascii="Arial" w:hAnsi="Arial" w:cs="Arial"/>
                      <w:szCs w:val="22"/>
                    </w:rPr>
                  </w:pPr>
                  <w:r w:rsidRPr="006E5440">
                    <w:rPr>
                      <w:rFonts w:ascii="Arial" w:hAnsi="Arial" w:cs="Arial"/>
                      <w:szCs w:val="22"/>
                    </w:rPr>
                    <w:t xml:space="preserve">- </w:t>
                  </w:r>
                  <w:r w:rsidRPr="001730C4">
                    <w:rPr>
                      <w:rFonts w:ascii="Arial" w:hAnsi="Arial" w:cs="Arial"/>
                      <w:szCs w:val="22"/>
                    </w:rPr>
                    <w:t xml:space="preserve">Screwfix </w:t>
                  </w:r>
                  <w:r w:rsidRPr="006F4B55">
                    <w:rPr>
                      <w:rFonts w:ascii="Arial" w:hAnsi="Arial" w:cs="Arial"/>
                      <w:szCs w:val="22"/>
                    </w:rPr>
                    <w:t>Germany</w:t>
                  </w:r>
                </w:p>
                <w:p w14:paraId="718AED30" w14:textId="77777777" w:rsidR="00745E46" w:rsidRPr="00B70DD6" w:rsidRDefault="00745E46" w:rsidP="00745E46">
                  <w:pPr>
                    <w:spacing w:before="40"/>
                    <w:jc w:val="left"/>
                    <w:rPr>
                      <w:rFonts w:ascii="Arial" w:hAnsi="Arial" w:cs="Arial"/>
                      <w:szCs w:val="22"/>
                    </w:rPr>
                  </w:pPr>
                </w:p>
              </w:tc>
              <w:tc>
                <w:tcPr>
                  <w:tcW w:w="689" w:type="pct"/>
                  <w:tcBorders>
                    <w:bottom w:val="single" w:sz="4" w:space="0" w:color="auto"/>
                  </w:tcBorders>
                </w:tcPr>
                <w:p w14:paraId="79BA3043" w14:textId="03F5CEC2" w:rsidR="00745E46" w:rsidRPr="00B70DD6" w:rsidRDefault="00745E46" w:rsidP="00745E46">
                  <w:pPr>
                    <w:spacing w:before="40"/>
                    <w:jc w:val="right"/>
                    <w:rPr>
                      <w:rFonts w:ascii="Arial" w:hAnsi="Arial" w:cs="Arial"/>
                      <w:szCs w:val="22"/>
                    </w:rPr>
                  </w:pPr>
                  <w:r>
                    <w:rPr>
                      <w:rFonts w:ascii="Arial" w:hAnsi="Arial" w:cs="Arial"/>
                      <w:szCs w:val="22"/>
                    </w:rPr>
                    <w:t>4</w:t>
                  </w:r>
                </w:p>
              </w:tc>
              <w:tc>
                <w:tcPr>
                  <w:tcW w:w="904" w:type="pct"/>
                  <w:tcBorders>
                    <w:bottom w:val="single" w:sz="4" w:space="0" w:color="auto"/>
                  </w:tcBorders>
                </w:tcPr>
                <w:p w14:paraId="76DA74D8" w14:textId="739FFDEB" w:rsidR="00745E46" w:rsidRPr="00745E46" w:rsidRDefault="00745E46" w:rsidP="00745E46">
                  <w:pPr>
                    <w:spacing w:before="40"/>
                    <w:jc w:val="right"/>
                    <w:rPr>
                      <w:rFonts w:ascii="Arial" w:hAnsi="Arial" w:cs="Arial"/>
                      <w:szCs w:val="22"/>
                    </w:rPr>
                  </w:pPr>
                  <w:r w:rsidRPr="00745E46">
                    <w:rPr>
                      <w:rFonts w:ascii="Arial" w:hAnsi="Arial" w:cs="Arial"/>
                      <w:szCs w:val="22"/>
                    </w:rPr>
                    <w:t>+5.8%</w:t>
                  </w:r>
                </w:p>
              </w:tc>
              <w:tc>
                <w:tcPr>
                  <w:tcW w:w="904" w:type="pct"/>
                  <w:tcBorders>
                    <w:bottom w:val="single" w:sz="4" w:space="0" w:color="auto"/>
                  </w:tcBorders>
                </w:tcPr>
                <w:p w14:paraId="35C18213" w14:textId="56FAFBF5" w:rsidR="00745E46" w:rsidRPr="00745E46" w:rsidRDefault="00745E46" w:rsidP="00745E46">
                  <w:pPr>
                    <w:spacing w:before="40"/>
                    <w:jc w:val="right"/>
                    <w:rPr>
                      <w:rFonts w:ascii="Arial" w:hAnsi="Arial" w:cs="Arial"/>
                      <w:szCs w:val="22"/>
                    </w:rPr>
                  </w:pPr>
                  <w:r w:rsidRPr="00857D32">
                    <w:rPr>
                      <w:rFonts w:ascii="Arial" w:hAnsi="Arial" w:cs="Arial"/>
                      <w:szCs w:val="22"/>
                    </w:rPr>
                    <w:t>+</w:t>
                  </w:r>
                  <w:r>
                    <w:rPr>
                      <w:rFonts w:ascii="Arial" w:hAnsi="Arial" w:cs="Arial"/>
                      <w:szCs w:val="22"/>
                    </w:rPr>
                    <w:t>6.3</w:t>
                  </w:r>
                  <w:r w:rsidRPr="00857D32">
                    <w:rPr>
                      <w:rFonts w:ascii="Arial" w:hAnsi="Arial" w:cs="Arial"/>
                      <w:szCs w:val="22"/>
                    </w:rPr>
                    <w:t>%</w:t>
                  </w:r>
                </w:p>
              </w:tc>
              <w:tc>
                <w:tcPr>
                  <w:tcW w:w="774" w:type="pct"/>
                  <w:tcBorders>
                    <w:bottom w:val="single" w:sz="4" w:space="0" w:color="auto"/>
                  </w:tcBorders>
                </w:tcPr>
                <w:p w14:paraId="5BA7D344" w14:textId="52563F3A" w:rsidR="00745E46" w:rsidRPr="00857D32" w:rsidRDefault="00745E46" w:rsidP="00745E46">
                  <w:pPr>
                    <w:spacing w:before="40"/>
                    <w:jc w:val="right"/>
                    <w:rPr>
                      <w:rFonts w:ascii="Arial" w:hAnsi="Arial" w:cs="Arial"/>
                      <w:szCs w:val="22"/>
                    </w:rPr>
                  </w:pPr>
                  <w:r w:rsidRPr="00857D32">
                    <w:rPr>
                      <w:rFonts w:ascii="Arial" w:hAnsi="Arial" w:cs="Arial"/>
                      <w:szCs w:val="22"/>
                    </w:rPr>
                    <w:t>+6.</w:t>
                  </w:r>
                  <w:r w:rsidR="00312421">
                    <w:rPr>
                      <w:rFonts w:ascii="Arial" w:hAnsi="Arial" w:cs="Arial"/>
                      <w:szCs w:val="22"/>
                    </w:rPr>
                    <w:t>4</w:t>
                  </w:r>
                  <w:r w:rsidRPr="00857D32">
                    <w:rPr>
                      <w:rFonts w:ascii="Arial" w:hAnsi="Arial" w:cs="Arial"/>
                      <w:szCs w:val="22"/>
                    </w:rPr>
                    <w:t>%</w:t>
                  </w:r>
                </w:p>
              </w:tc>
            </w:tr>
            <w:tr w:rsidR="00745E46" w:rsidRPr="005C0137" w14:paraId="3B3CDAE6" w14:textId="77777777" w:rsidTr="004C463D">
              <w:trPr>
                <w:trHeight w:hRule="exact" w:val="338"/>
              </w:trPr>
              <w:tc>
                <w:tcPr>
                  <w:tcW w:w="1729" w:type="pct"/>
                  <w:tcBorders>
                    <w:top w:val="single" w:sz="4" w:space="0" w:color="auto"/>
                    <w:bottom w:val="single" w:sz="4" w:space="0" w:color="auto"/>
                  </w:tcBorders>
                </w:tcPr>
                <w:p w14:paraId="28B3113B" w14:textId="7AC111B6" w:rsidR="00745E46" w:rsidRPr="00B70DD6" w:rsidRDefault="00745E46" w:rsidP="00745E46">
                  <w:pPr>
                    <w:spacing w:before="40"/>
                    <w:jc w:val="left"/>
                    <w:rPr>
                      <w:rFonts w:ascii="Arial" w:hAnsi="Arial" w:cs="Arial"/>
                      <w:szCs w:val="22"/>
                    </w:rPr>
                  </w:pPr>
                  <w:r w:rsidRPr="00FA574F">
                    <w:rPr>
                      <w:rFonts w:ascii="Arial" w:hAnsi="Arial" w:cs="Arial"/>
                      <w:b/>
                      <w:szCs w:val="22"/>
                    </w:rPr>
                    <w:t xml:space="preserve">Total Group </w:t>
                  </w:r>
                </w:p>
              </w:tc>
              <w:tc>
                <w:tcPr>
                  <w:tcW w:w="689" w:type="pct"/>
                  <w:tcBorders>
                    <w:top w:val="single" w:sz="4" w:space="0" w:color="auto"/>
                    <w:bottom w:val="single" w:sz="4" w:space="0" w:color="auto"/>
                  </w:tcBorders>
                </w:tcPr>
                <w:p w14:paraId="78A8C65E" w14:textId="19549822" w:rsidR="00745E46" w:rsidRPr="00B70DD6" w:rsidRDefault="00745E46" w:rsidP="00745E46">
                  <w:pPr>
                    <w:spacing w:before="40"/>
                    <w:jc w:val="right"/>
                    <w:rPr>
                      <w:rFonts w:ascii="Arial" w:hAnsi="Arial" w:cs="Arial"/>
                      <w:b/>
                      <w:szCs w:val="22"/>
                    </w:rPr>
                  </w:pPr>
                  <w:r>
                    <w:rPr>
                      <w:rFonts w:ascii="Arial" w:hAnsi="Arial" w:cs="Arial"/>
                      <w:b/>
                      <w:szCs w:val="22"/>
                    </w:rPr>
                    <w:t>3,048</w:t>
                  </w:r>
                </w:p>
              </w:tc>
              <w:tc>
                <w:tcPr>
                  <w:tcW w:w="904" w:type="pct"/>
                  <w:tcBorders>
                    <w:top w:val="single" w:sz="4" w:space="0" w:color="auto"/>
                    <w:bottom w:val="single" w:sz="4" w:space="0" w:color="auto"/>
                  </w:tcBorders>
                  <w:shd w:val="clear" w:color="auto" w:fill="auto"/>
                </w:tcPr>
                <w:p w14:paraId="7DCEFE5A" w14:textId="3FA20370" w:rsidR="00745E46" w:rsidRPr="00745E46" w:rsidRDefault="00745E46" w:rsidP="00745E46">
                  <w:pPr>
                    <w:spacing w:before="40"/>
                    <w:jc w:val="right"/>
                    <w:rPr>
                      <w:rFonts w:ascii="Arial" w:hAnsi="Arial" w:cs="Arial"/>
                      <w:b/>
                      <w:szCs w:val="22"/>
                    </w:rPr>
                  </w:pPr>
                  <w:r w:rsidRPr="00745E46">
                    <w:rPr>
                      <w:rFonts w:ascii="Arial" w:hAnsi="Arial" w:cs="Arial"/>
                      <w:b/>
                      <w:szCs w:val="22"/>
                    </w:rPr>
                    <w:t>+0.2%</w:t>
                  </w:r>
                </w:p>
              </w:tc>
              <w:tc>
                <w:tcPr>
                  <w:tcW w:w="904" w:type="pct"/>
                  <w:tcBorders>
                    <w:top w:val="single" w:sz="4" w:space="0" w:color="auto"/>
                    <w:bottom w:val="single" w:sz="4" w:space="0" w:color="auto"/>
                  </w:tcBorders>
                </w:tcPr>
                <w:p w14:paraId="0900CCCB" w14:textId="10C58A34" w:rsidR="00745E46" w:rsidRPr="00745E46" w:rsidRDefault="00745E46" w:rsidP="00745E46">
                  <w:pPr>
                    <w:spacing w:before="40"/>
                    <w:jc w:val="right"/>
                    <w:rPr>
                      <w:rFonts w:ascii="Arial" w:hAnsi="Arial" w:cs="Arial"/>
                      <w:b/>
                      <w:szCs w:val="22"/>
                    </w:rPr>
                  </w:pPr>
                  <w:r>
                    <w:rPr>
                      <w:rFonts w:ascii="Arial" w:hAnsi="Arial" w:cs="Arial"/>
                      <w:b/>
                      <w:szCs w:val="22"/>
                    </w:rPr>
                    <w:t>+1.2</w:t>
                  </w:r>
                  <w:r w:rsidRPr="00857D32">
                    <w:rPr>
                      <w:rFonts w:ascii="Arial" w:hAnsi="Arial" w:cs="Arial"/>
                      <w:b/>
                      <w:szCs w:val="22"/>
                    </w:rPr>
                    <w:t>%</w:t>
                  </w:r>
                </w:p>
              </w:tc>
              <w:tc>
                <w:tcPr>
                  <w:tcW w:w="774" w:type="pct"/>
                  <w:tcBorders>
                    <w:top w:val="single" w:sz="4" w:space="0" w:color="auto"/>
                    <w:bottom w:val="single" w:sz="4" w:space="0" w:color="auto"/>
                  </w:tcBorders>
                </w:tcPr>
                <w:p w14:paraId="7EBD323A" w14:textId="1E901766" w:rsidR="00745E46" w:rsidRPr="00857D32" w:rsidRDefault="00745E46" w:rsidP="00745E46">
                  <w:pPr>
                    <w:spacing w:before="40"/>
                    <w:jc w:val="right"/>
                    <w:rPr>
                      <w:rFonts w:ascii="Arial" w:hAnsi="Arial" w:cs="Arial"/>
                      <w:b/>
                      <w:szCs w:val="22"/>
                    </w:rPr>
                  </w:pPr>
                  <w:r w:rsidRPr="00857D32">
                    <w:rPr>
                      <w:rFonts w:ascii="Arial" w:hAnsi="Arial" w:cs="Arial"/>
                      <w:b/>
                      <w:szCs w:val="22"/>
                    </w:rPr>
                    <w:t>(</w:t>
                  </w:r>
                  <w:proofErr w:type="gramStart"/>
                  <w:r w:rsidRPr="00857D32">
                    <w:rPr>
                      <w:rFonts w:ascii="Arial" w:hAnsi="Arial" w:cs="Arial"/>
                      <w:b/>
                      <w:szCs w:val="22"/>
                    </w:rPr>
                    <w:t>1.3)%</w:t>
                  </w:r>
                  <w:proofErr w:type="gramEnd"/>
                </w:p>
              </w:tc>
            </w:tr>
          </w:tbl>
          <w:p w14:paraId="28A67EE6" w14:textId="77777777" w:rsidR="00783D32" w:rsidRPr="00CC72C1" w:rsidRDefault="00783D32" w:rsidP="00783D32">
            <w:pPr>
              <w:jc w:val="left"/>
              <w:rPr>
                <w:rFonts w:ascii="Arial" w:hAnsi="Arial" w:cs="Arial"/>
                <w:b/>
                <w:sz w:val="24"/>
                <w:szCs w:val="24"/>
              </w:rPr>
            </w:pPr>
          </w:p>
        </w:tc>
      </w:tr>
    </w:tbl>
    <w:p w14:paraId="71AE350B" w14:textId="77777777" w:rsidR="006D503C" w:rsidRDefault="006D503C" w:rsidP="008A515C">
      <w:pPr>
        <w:jc w:val="left"/>
        <w:rPr>
          <w:rFonts w:ascii="Arial" w:hAnsi="Arial" w:cs="Arial"/>
          <w:b/>
          <w:szCs w:val="22"/>
        </w:rPr>
      </w:pPr>
      <w:bookmarkStart w:id="0" w:name="_Hlk498675617"/>
    </w:p>
    <w:p w14:paraId="34441347" w14:textId="70B88409" w:rsidR="00816BDD" w:rsidRDefault="00816BDD" w:rsidP="008A515C">
      <w:pPr>
        <w:jc w:val="left"/>
        <w:rPr>
          <w:rFonts w:ascii="Arial" w:hAnsi="Arial" w:cs="Arial"/>
          <w:color w:val="000000"/>
          <w:szCs w:val="22"/>
        </w:rPr>
      </w:pPr>
      <w:proofErr w:type="spellStart"/>
      <w:r w:rsidRPr="00BF2289">
        <w:rPr>
          <w:rFonts w:ascii="Arial" w:hAnsi="Arial" w:cs="Arial"/>
          <w:b/>
          <w:szCs w:val="22"/>
        </w:rPr>
        <w:t>Véronique</w:t>
      </w:r>
      <w:proofErr w:type="spellEnd"/>
      <w:r w:rsidRPr="00BF2289">
        <w:rPr>
          <w:rFonts w:ascii="Arial" w:hAnsi="Arial" w:cs="Arial"/>
          <w:b/>
          <w:szCs w:val="22"/>
        </w:rPr>
        <w:t xml:space="preserve"> Laury, </w:t>
      </w:r>
      <w:r w:rsidR="00A93CA5" w:rsidRPr="00BF2289">
        <w:rPr>
          <w:rFonts w:ascii="Arial" w:hAnsi="Arial" w:cs="Arial"/>
          <w:b/>
          <w:szCs w:val="22"/>
        </w:rPr>
        <w:t>Chief Executive Officer</w:t>
      </w:r>
      <w:r w:rsidRPr="00BF2289">
        <w:rPr>
          <w:rFonts w:ascii="Arial" w:hAnsi="Arial" w:cs="Arial"/>
          <w:b/>
          <w:szCs w:val="22"/>
        </w:rPr>
        <w:t>, said:</w:t>
      </w:r>
      <w:r w:rsidRPr="00BF2289">
        <w:rPr>
          <w:rFonts w:ascii="Arial" w:hAnsi="Arial" w:cs="Arial"/>
          <w:color w:val="000000"/>
          <w:szCs w:val="22"/>
        </w:rPr>
        <w:t xml:space="preserve"> </w:t>
      </w:r>
    </w:p>
    <w:p w14:paraId="32A45FD6" w14:textId="227E0220" w:rsidR="00244C5B" w:rsidRDefault="00244C5B" w:rsidP="008A515C">
      <w:pPr>
        <w:jc w:val="left"/>
        <w:rPr>
          <w:rFonts w:ascii="Arial" w:hAnsi="Arial" w:cs="Arial"/>
          <w:color w:val="000000"/>
          <w:szCs w:val="22"/>
        </w:rPr>
      </w:pPr>
    </w:p>
    <w:p w14:paraId="4D162DDF" w14:textId="5F5664C3" w:rsidR="001654AC" w:rsidRPr="001654AC" w:rsidRDefault="001654AC" w:rsidP="001654AC">
      <w:pPr>
        <w:jc w:val="left"/>
        <w:rPr>
          <w:rFonts w:ascii="Arial" w:hAnsi="Arial" w:cs="Arial"/>
        </w:rPr>
      </w:pPr>
      <w:bookmarkStart w:id="1" w:name="_Hlk490472872"/>
      <w:r>
        <w:rPr>
          <w:rFonts w:ascii="Arial" w:hAnsi="Arial" w:cs="Arial"/>
        </w:rPr>
        <w:t>“</w:t>
      </w:r>
      <w:r w:rsidRPr="001654AC">
        <w:rPr>
          <w:rFonts w:ascii="Arial" w:hAnsi="Arial" w:cs="Arial"/>
        </w:rPr>
        <w:t xml:space="preserve">We continue to </w:t>
      </w:r>
      <w:r w:rsidR="000D4654">
        <w:rPr>
          <w:rFonts w:ascii="Arial" w:hAnsi="Arial" w:cs="Arial"/>
        </w:rPr>
        <w:t>make progress</w:t>
      </w:r>
      <w:r w:rsidRPr="001654AC">
        <w:rPr>
          <w:rFonts w:ascii="Arial" w:hAnsi="Arial" w:cs="Arial"/>
        </w:rPr>
        <w:t xml:space="preserve"> </w:t>
      </w:r>
      <w:r w:rsidR="000D4654">
        <w:rPr>
          <w:rFonts w:ascii="Arial" w:hAnsi="Arial" w:cs="Arial"/>
        </w:rPr>
        <w:t xml:space="preserve">on </w:t>
      </w:r>
      <w:r w:rsidRPr="001654AC">
        <w:rPr>
          <w:rFonts w:ascii="Arial" w:hAnsi="Arial" w:cs="Arial"/>
        </w:rPr>
        <w:t xml:space="preserve">our ONE Kingfisher transformation. We remain on track to achieve our key strategic milestones for the third year in a row, and </w:t>
      </w:r>
      <w:r w:rsidRPr="00B85CD0">
        <w:rPr>
          <w:rFonts w:ascii="Arial" w:hAnsi="Arial" w:cs="Arial"/>
        </w:rPr>
        <w:t xml:space="preserve">increased our gross </w:t>
      </w:r>
      <w:r w:rsidRPr="001654AC">
        <w:rPr>
          <w:rFonts w:ascii="Arial" w:hAnsi="Arial" w:cs="Arial"/>
        </w:rPr>
        <w:t xml:space="preserve">margin in the quarter.  </w:t>
      </w:r>
    </w:p>
    <w:p w14:paraId="66EA9468" w14:textId="77777777" w:rsidR="001654AC" w:rsidRPr="001654AC" w:rsidRDefault="001654AC" w:rsidP="001654AC">
      <w:pPr>
        <w:jc w:val="left"/>
        <w:rPr>
          <w:rFonts w:ascii="Arial" w:hAnsi="Arial" w:cs="Arial"/>
        </w:rPr>
      </w:pPr>
    </w:p>
    <w:p w14:paraId="5733274F" w14:textId="5CCE47F0" w:rsidR="001654AC" w:rsidRPr="001654AC" w:rsidRDefault="001654AC" w:rsidP="001654AC">
      <w:pPr>
        <w:jc w:val="left"/>
        <w:rPr>
          <w:rFonts w:ascii="Arial" w:hAnsi="Arial" w:cs="Arial"/>
        </w:rPr>
      </w:pPr>
      <w:r>
        <w:rPr>
          <w:rFonts w:ascii="Arial" w:hAnsi="Arial" w:cs="Arial"/>
        </w:rPr>
        <w:t>“</w:t>
      </w:r>
      <w:r w:rsidRPr="001654AC">
        <w:rPr>
          <w:rFonts w:ascii="Arial" w:hAnsi="Arial" w:cs="Arial"/>
        </w:rPr>
        <w:t>Transformation on this scale is tough, and we are operating in a difficult retail environment. We face challenges and we are addressing them.</w:t>
      </w:r>
      <w:r w:rsidR="00DB644E">
        <w:rPr>
          <w:rFonts w:ascii="Arial" w:hAnsi="Arial" w:cs="Arial"/>
        </w:rPr>
        <w:t xml:space="preserve"> </w:t>
      </w:r>
      <w:r w:rsidRPr="001654AC">
        <w:rPr>
          <w:rFonts w:ascii="Arial" w:hAnsi="Arial" w:cs="Arial"/>
        </w:rPr>
        <w:t xml:space="preserve">Our main challenge is Castorama France and we shared our action plan to fix it at the half year. Our action plan is now implemented for this year. We have accelerated our move to an everyday </w:t>
      </w:r>
      <w:proofErr w:type="gramStart"/>
      <w:r w:rsidRPr="001654AC">
        <w:rPr>
          <w:rFonts w:ascii="Arial" w:hAnsi="Arial" w:cs="Arial"/>
        </w:rPr>
        <w:t>low price</w:t>
      </w:r>
      <w:proofErr w:type="gramEnd"/>
      <w:r w:rsidRPr="001654AC">
        <w:rPr>
          <w:rFonts w:ascii="Arial" w:hAnsi="Arial" w:cs="Arial"/>
        </w:rPr>
        <w:t xml:space="preserve"> strategy and have launched a new marketing campaign to make it visible to our customers, however there is no quick fix.</w:t>
      </w:r>
    </w:p>
    <w:p w14:paraId="6077E32E" w14:textId="77777777" w:rsidR="001654AC" w:rsidRPr="001654AC" w:rsidRDefault="001654AC" w:rsidP="001654AC">
      <w:pPr>
        <w:jc w:val="left"/>
        <w:rPr>
          <w:rFonts w:ascii="Arial" w:hAnsi="Arial" w:cs="Arial"/>
        </w:rPr>
      </w:pPr>
    </w:p>
    <w:p w14:paraId="7253419C" w14:textId="6AD90597" w:rsidR="001654AC" w:rsidRPr="001654AC" w:rsidRDefault="001654AC" w:rsidP="001654AC">
      <w:pPr>
        <w:jc w:val="left"/>
        <w:rPr>
          <w:rFonts w:ascii="Arial" w:hAnsi="Arial" w:cs="Arial"/>
        </w:rPr>
      </w:pPr>
      <w:r>
        <w:rPr>
          <w:rFonts w:ascii="Arial" w:hAnsi="Arial" w:cs="Arial"/>
        </w:rPr>
        <w:t>“</w:t>
      </w:r>
      <w:r w:rsidRPr="001654AC">
        <w:rPr>
          <w:rFonts w:ascii="Arial" w:hAnsi="Arial" w:cs="Arial"/>
        </w:rPr>
        <w:t>We are committed to our plan and to building a strong business for the long-term. As part of this commitment, we have taken the decision to exit Russia, Spain and Portugal. This will allow us to apply our strategy with more focus and efficiency in our main markets</w:t>
      </w:r>
      <w:bookmarkStart w:id="2" w:name="_GoBack"/>
      <w:bookmarkEnd w:id="2"/>
      <w:r w:rsidRPr="001654AC">
        <w:rPr>
          <w:rFonts w:ascii="Arial" w:hAnsi="Arial" w:cs="Arial"/>
        </w:rPr>
        <w:t xml:space="preserve"> where we have</w:t>
      </w:r>
      <w:r w:rsidR="0024140E">
        <w:rPr>
          <w:rFonts w:ascii="Arial" w:hAnsi="Arial" w:cs="Arial"/>
        </w:rPr>
        <w:t>,</w:t>
      </w:r>
      <w:r w:rsidRPr="001654AC">
        <w:rPr>
          <w:rFonts w:ascii="Arial" w:hAnsi="Arial" w:cs="Arial"/>
        </w:rPr>
        <w:t xml:space="preserve"> or can reach</w:t>
      </w:r>
      <w:r w:rsidR="0024140E">
        <w:rPr>
          <w:rFonts w:ascii="Arial" w:hAnsi="Arial" w:cs="Arial"/>
        </w:rPr>
        <w:t>,</w:t>
      </w:r>
      <w:r w:rsidRPr="001654AC">
        <w:rPr>
          <w:rFonts w:ascii="Arial" w:hAnsi="Arial" w:cs="Arial"/>
        </w:rPr>
        <w:t xml:space="preserve"> a market</w:t>
      </w:r>
      <w:r w:rsidR="00DB644E">
        <w:rPr>
          <w:rFonts w:ascii="Arial" w:hAnsi="Arial" w:cs="Arial"/>
        </w:rPr>
        <w:t xml:space="preserve"> </w:t>
      </w:r>
      <w:r w:rsidR="00DB644E" w:rsidRPr="001654AC">
        <w:rPr>
          <w:rFonts w:ascii="Arial" w:hAnsi="Arial" w:cs="Arial"/>
        </w:rPr>
        <w:t>leading</w:t>
      </w:r>
      <w:r w:rsidRPr="001654AC">
        <w:rPr>
          <w:rFonts w:ascii="Arial" w:hAnsi="Arial" w:cs="Arial"/>
        </w:rPr>
        <w:t xml:space="preserve"> position and create good homes by making home improvement accessible for everyone.</w:t>
      </w:r>
      <w:r w:rsidR="00DB644E">
        <w:rPr>
          <w:rFonts w:ascii="Arial" w:hAnsi="Arial" w:cs="Arial"/>
        </w:rPr>
        <w:t xml:space="preserve"> </w:t>
      </w:r>
    </w:p>
    <w:p w14:paraId="7F08FF12" w14:textId="77777777" w:rsidR="001654AC" w:rsidRPr="001654AC" w:rsidRDefault="001654AC" w:rsidP="001654AC">
      <w:pPr>
        <w:jc w:val="left"/>
        <w:rPr>
          <w:rFonts w:ascii="Arial" w:hAnsi="Arial" w:cs="Arial"/>
        </w:rPr>
      </w:pPr>
    </w:p>
    <w:p w14:paraId="59078D35" w14:textId="37B67825" w:rsidR="00F76FEF" w:rsidRDefault="001654AC" w:rsidP="001654AC">
      <w:pPr>
        <w:jc w:val="left"/>
        <w:rPr>
          <w:rFonts w:ascii="Arial" w:hAnsi="Arial" w:cs="Arial"/>
        </w:rPr>
      </w:pPr>
      <w:r>
        <w:rPr>
          <w:rFonts w:ascii="Arial" w:hAnsi="Arial" w:cs="Arial"/>
        </w:rPr>
        <w:t>“</w:t>
      </w:r>
      <w:r w:rsidRPr="001654AC">
        <w:rPr>
          <w:rFonts w:ascii="Arial" w:hAnsi="Arial" w:cs="Arial"/>
        </w:rPr>
        <w:t>Finally, I’m pleased to announce we are also returning a further £50m via share buyback which completes our £600m capital return commitment in the first three years of the plan.”</w:t>
      </w:r>
    </w:p>
    <w:p w14:paraId="5EAE5025" w14:textId="3B2040D9" w:rsidR="00566F4C" w:rsidRDefault="00566F4C" w:rsidP="00F76FEF">
      <w:pPr>
        <w:jc w:val="left"/>
        <w:rPr>
          <w:rFonts w:ascii="Arial" w:hAnsi="Arial" w:cs="Arial"/>
        </w:rPr>
      </w:pPr>
    </w:p>
    <w:p w14:paraId="5F649860" w14:textId="7B0387F9" w:rsidR="00566F4C" w:rsidRDefault="00566F4C" w:rsidP="00F76FEF">
      <w:pPr>
        <w:jc w:val="left"/>
        <w:rPr>
          <w:rFonts w:ascii="Arial" w:hAnsi="Arial" w:cs="Arial"/>
        </w:rPr>
      </w:pPr>
    </w:p>
    <w:p w14:paraId="51844794" w14:textId="7AAFF6F8" w:rsidR="00566F4C" w:rsidRDefault="00566F4C" w:rsidP="00F76FEF">
      <w:pPr>
        <w:jc w:val="left"/>
        <w:rPr>
          <w:rFonts w:ascii="Arial" w:hAnsi="Arial" w:cs="Arial"/>
        </w:rPr>
      </w:pPr>
    </w:p>
    <w:p w14:paraId="4BA28C7E" w14:textId="44C6F05F" w:rsidR="00566F4C" w:rsidRDefault="00566F4C" w:rsidP="00F76FEF">
      <w:pPr>
        <w:jc w:val="left"/>
        <w:rPr>
          <w:rFonts w:ascii="Arial" w:hAnsi="Arial" w:cs="Arial"/>
        </w:rPr>
      </w:pPr>
    </w:p>
    <w:p w14:paraId="1F003E56" w14:textId="57509083" w:rsidR="00DB644E" w:rsidRDefault="00DB644E" w:rsidP="00F76FEF">
      <w:pPr>
        <w:jc w:val="left"/>
        <w:rPr>
          <w:rFonts w:ascii="Arial" w:hAnsi="Arial" w:cs="Arial"/>
        </w:rPr>
      </w:pPr>
    </w:p>
    <w:p w14:paraId="48C4D3F8" w14:textId="77777777" w:rsidR="00DB644E" w:rsidRDefault="00DB644E" w:rsidP="00F76FEF">
      <w:pPr>
        <w:jc w:val="left"/>
        <w:rPr>
          <w:rFonts w:ascii="Arial" w:hAnsi="Arial" w:cs="Arial"/>
        </w:rPr>
      </w:pPr>
    </w:p>
    <w:p w14:paraId="4C94BC12" w14:textId="2AA55179" w:rsidR="00566F4C" w:rsidRDefault="00566F4C" w:rsidP="00F76FEF">
      <w:pPr>
        <w:jc w:val="left"/>
        <w:rPr>
          <w:rFonts w:ascii="Arial" w:hAnsi="Arial" w:cs="Arial"/>
        </w:rPr>
      </w:pPr>
    </w:p>
    <w:p w14:paraId="233349ED" w14:textId="61472414" w:rsidR="00566F4C" w:rsidRDefault="00566F4C" w:rsidP="00F76FEF">
      <w:pPr>
        <w:jc w:val="left"/>
        <w:rPr>
          <w:rFonts w:ascii="Arial" w:hAnsi="Arial" w:cs="Arial"/>
        </w:rPr>
      </w:pPr>
    </w:p>
    <w:p w14:paraId="013FF6ED" w14:textId="6E598600" w:rsidR="006C5BF3" w:rsidRDefault="006C5BF3" w:rsidP="00F76FEF">
      <w:pPr>
        <w:jc w:val="left"/>
        <w:rPr>
          <w:rFonts w:ascii="Arial" w:hAnsi="Arial" w:cs="Arial"/>
        </w:rPr>
      </w:pPr>
    </w:p>
    <w:p w14:paraId="7B76A9B4" w14:textId="0FEB5428" w:rsidR="006C5BF3" w:rsidRDefault="006C5BF3" w:rsidP="00F76FEF">
      <w:pPr>
        <w:jc w:val="left"/>
        <w:rPr>
          <w:rFonts w:ascii="Arial" w:hAnsi="Arial" w:cs="Arial"/>
        </w:rPr>
      </w:pPr>
    </w:p>
    <w:p w14:paraId="52084045" w14:textId="58F51EB4" w:rsidR="006C5BF3" w:rsidRDefault="006C5BF3" w:rsidP="00F76FEF">
      <w:pPr>
        <w:jc w:val="left"/>
        <w:rPr>
          <w:rFonts w:ascii="Arial" w:hAnsi="Arial" w:cs="Arial"/>
        </w:rPr>
      </w:pPr>
    </w:p>
    <w:p w14:paraId="56CB6E25" w14:textId="77777777" w:rsidR="00F25313" w:rsidRPr="001C5BA1" w:rsidRDefault="00F25313" w:rsidP="00F25313">
      <w:pPr>
        <w:jc w:val="left"/>
        <w:rPr>
          <w:rFonts w:ascii="Arial" w:hAnsi="Arial" w:cs="Arial"/>
          <w:b/>
        </w:rPr>
      </w:pPr>
      <w:r>
        <w:rPr>
          <w:rFonts w:ascii="Arial" w:hAnsi="Arial" w:cs="Arial"/>
          <w:b/>
        </w:rPr>
        <w:t>Strategic decisions</w:t>
      </w:r>
    </w:p>
    <w:p w14:paraId="15C49309" w14:textId="163C82B9" w:rsidR="00F25313" w:rsidRDefault="000B20B3" w:rsidP="00F25313">
      <w:pPr>
        <w:pStyle w:val="ListParagraph"/>
        <w:numPr>
          <w:ilvl w:val="0"/>
          <w:numId w:val="3"/>
        </w:numPr>
        <w:jc w:val="left"/>
        <w:rPr>
          <w:rFonts w:ascii="Arial" w:hAnsi="Arial" w:cs="Arial"/>
        </w:rPr>
      </w:pPr>
      <w:bookmarkStart w:id="3" w:name="_Hlk529866804"/>
      <w:r>
        <w:rPr>
          <w:rFonts w:ascii="Arial" w:hAnsi="Arial" w:cs="Arial"/>
          <w:color w:val="000000"/>
        </w:rPr>
        <w:t>Exiting</w:t>
      </w:r>
      <w:r w:rsidR="00F25313">
        <w:rPr>
          <w:rFonts w:ascii="Arial" w:hAnsi="Arial" w:cs="Arial"/>
          <w:color w:val="000000"/>
        </w:rPr>
        <w:t xml:space="preserve"> Russia, Spain &amp; </w:t>
      </w:r>
      <w:proofErr w:type="gramStart"/>
      <w:r w:rsidR="00F25313">
        <w:rPr>
          <w:rFonts w:ascii="Arial" w:hAnsi="Arial" w:cs="Arial"/>
          <w:color w:val="000000"/>
        </w:rPr>
        <w:t>Portugal</w:t>
      </w:r>
      <w:r w:rsidR="00F25313">
        <w:rPr>
          <w:rFonts w:ascii="Arial" w:hAnsi="Arial" w:cs="Arial"/>
          <w:vertAlign w:val="superscript"/>
        </w:rPr>
        <w:t xml:space="preserve">  </w:t>
      </w:r>
      <w:r w:rsidR="00F25313">
        <w:rPr>
          <w:rFonts w:ascii="Arial" w:hAnsi="Arial" w:cs="Arial"/>
        </w:rPr>
        <w:t>to</w:t>
      </w:r>
      <w:proofErr w:type="gramEnd"/>
      <w:r w:rsidR="00F25313">
        <w:rPr>
          <w:rFonts w:ascii="Arial" w:hAnsi="Arial" w:cs="Arial"/>
        </w:rPr>
        <w:t xml:space="preserve"> focus on markets where </w:t>
      </w:r>
      <w:r w:rsidR="00A25AE4">
        <w:rPr>
          <w:rFonts w:ascii="Arial" w:hAnsi="Arial" w:cs="Arial"/>
        </w:rPr>
        <w:t xml:space="preserve">we </w:t>
      </w:r>
      <w:r w:rsidR="000D3A48">
        <w:rPr>
          <w:rFonts w:ascii="Arial" w:hAnsi="Arial" w:cs="Arial"/>
        </w:rPr>
        <w:t>have</w:t>
      </w:r>
      <w:r w:rsidR="0024140E">
        <w:rPr>
          <w:rFonts w:ascii="Arial" w:hAnsi="Arial" w:cs="Arial"/>
        </w:rPr>
        <w:t>,</w:t>
      </w:r>
      <w:r w:rsidR="000D3A48">
        <w:rPr>
          <w:rFonts w:ascii="Arial" w:hAnsi="Arial" w:cs="Arial"/>
        </w:rPr>
        <w:t xml:space="preserve"> or can reach</w:t>
      </w:r>
      <w:r w:rsidR="0024140E">
        <w:rPr>
          <w:rFonts w:ascii="Arial" w:hAnsi="Arial" w:cs="Arial"/>
        </w:rPr>
        <w:t>,</w:t>
      </w:r>
      <w:r w:rsidR="000D3A48">
        <w:rPr>
          <w:rFonts w:ascii="Arial" w:hAnsi="Arial" w:cs="Arial"/>
        </w:rPr>
        <w:t xml:space="preserve"> a market leading position</w:t>
      </w:r>
    </w:p>
    <w:bookmarkEnd w:id="3"/>
    <w:p w14:paraId="5BB21E5D" w14:textId="77777777" w:rsidR="00F25313" w:rsidRPr="00F25313" w:rsidRDefault="00F25313" w:rsidP="00F25313">
      <w:pPr>
        <w:pStyle w:val="ListParagraph"/>
        <w:jc w:val="left"/>
        <w:rPr>
          <w:rFonts w:ascii="Arial" w:hAnsi="Arial" w:cs="Arial"/>
          <w:b/>
        </w:rPr>
      </w:pPr>
    </w:p>
    <w:p w14:paraId="168F4C1B" w14:textId="07296E24" w:rsidR="00F32161" w:rsidRDefault="00F32161" w:rsidP="00F32161">
      <w:pPr>
        <w:jc w:val="left"/>
        <w:rPr>
          <w:rFonts w:ascii="Arial" w:hAnsi="Arial" w:cs="Arial"/>
          <w:b/>
        </w:rPr>
      </w:pPr>
      <w:r>
        <w:rPr>
          <w:rFonts w:ascii="Arial" w:hAnsi="Arial" w:cs="Arial"/>
          <w:b/>
        </w:rPr>
        <w:t>Q3</w:t>
      </w:r>
      <w:r w:rsidRPr="001C5BA1">
        <w:rPr>
          <w:rFonts w:ascii="Arial" w:hAnsi="Arial" w:cs="Arial"/>
          <w:b/>
        </w:rPr>
        <w:t xml:space="preserve"> </w:t>
      </w:r>
      <w:r w:rsidR="005B2340">
        <w:rPr>
          <w:rFonts w:ascii="Arial" w:hAnsi="Arial" w:cs="Arial"/>
          <w:b/>
        </w:rPr>
        <w:t>performance</w:t>
      </w:r>
    </w:p>
    <w:p w14:paraId="220072E0" w14:textId="77777777" w:rsidR="00F32161" w:rsidRDefault="00F32161" w:rsidP="00F32161">
      <w:pPr>
        <w:pStyle w:val="ListParagraph"/>
        <w:numPr>
          <w:ilvl w:val="0"/>
          <w:numId w:val="3"/>
        </w:numPr>
        <w:jc w:val="left"/>
        <w:rPr>
          <w:rFonts w:ascii="Arial" w:hAnsi="Arial" w:cs="Arial"/>
        </w:rPr>
      </w:pPr>
      <w:r w:rsidRPr="00BF2289">
        <w:rPr>
          <w:rFonts w:ascii="Arial" w:hAnsi="Arial" w:cs="Arial"/>
        </w:rPr>
        <w:t>Q</w:t>
      </w:r>
      <w:r>
        <w:rPr>
          <w:rFonts w:ascii="Arial" w:hAnsi="Arial" w:cs="Arial"/>
        </w:rPr>
        <w:t>3</w:t>
      </w:r>
      <w:r w:rsidRPr="00BF2289">
        <w:rPr>
          <w:rFonts w:ascii="Arial" w:hAnsi="Arial" w:cs="Arial"/>
        </w:rPr>
        <w:t xml:space="preserve"> </w:t>
      </w:r>
      <w:r>
        <w:rPr>
          <w:rFonts w:ascii="Arial" w:hAnsi="Arial" w:cs="Arial"/>
        </w:rPr>
        <w:t xml:space="preserve">total sales up 1.2% in </w:t>
      </w:r>
      <w:r w:rsidRPr="00745E46">
        <w:rPr>
          <w:rFonts w:ascii="Arial" w:hAnsi="Arial" w:cs="Arial"/>
        </w:rPr>
        <w:t>constant currency</w:t>
      </w:r>
      <w:r>
        <w:rPr>
          <w:rFonts w:ascii="Arial" w:hAnsi="Arial" w:cs="Arial"/>
        </w:rPr>
        <w:t xml:space="preserve">, </w:t>
      </w:r>
      <w:r w:rsidRPr="00BF2289">
        <w:rPr>
          <w:rFonts w:ascii="Arial" w:hAnsi="Arial" w:cs="Arial"/>
        </w:rPr>
        <w:t xml:space="preserve">LFL </w:t>
      </w:r>
      <w:r w:rsidRPr="00473E4B">
        <w:rPr>
          <w:rFonts w:ascii="Arial" w:hAnsi="Arial" w:cs="Arial"/>
        </w:rPr>
        <w:t xml:space="preserve">down </w:t>
      </w:r>
      <w:r>
        <w:rPr>
          <w:rFonts w:ascii="Arial" w:hAnsi="Arial" w:cs="Arial"/>
        </w:rPr>
        <w:t>1</w:t>
      </w:r>
      <w:r w:rsidRPr="00473E4B">
        <w:rPr>
          <w:rFonts w:ascii="Arial" w:hAnsi="Arial" w:cs="Arial"/>
        </w:rPr>
        <w:t>.</w:t>
      </w:r>
      <w:r>
        <w:rPr>
          <w:rFonts w:ascii="Arial" w:hAnsi="Arial" w:cs="Arial"/>
        </w:rPr>
        <w:t>3</w:t>
      </w:r>
      <w:r w:rsidRPr="00473E4B">
        <w:rPr>
          <w:rFonts w:ascii="Arial" w:hAnsi="Arial" w:cs="Arial"/>
        </w:rPr>
        <w:t xml:space="preserve">% </w:t>
      </w:r>
      <w:r w:rsidRPr="00987131">
        <w:rPr>
          <w:rFonts w:ascii="Arial" w:hAnsi="Arial" w:cs="Arial"/>
        </w:rPr>
        <w:t>reflecting</w:t>
      </w:r>
      <w:r>
        <w:rPr>
          <w:rFonts w:ascii="Arial" w:hAnsi="Arial" w:cs="Arial"/>
        </w:rPr>
        <w:t xml:space="preserve"> continued weak sales in Castorama France </w:t>
      </w:r>
    </w:p>
    <w:p w14:paraId="0643BD9E" w14:textId="51730788" w:rsidR="00F32161" w:rsidRPr="00F25313" w:rsidRDefault="00F32161" w:rsidP="00F32161">
      <w:pPr>
        <w:pStyle w:val="ListParagraph"/>
        <w:numPr>
          <w:ilvl w:val="0"/>
          <w:numId w:val="3"/>
        </w:numPr>
        <w:jc w:val="left"/>
        <w:rPr>
          <w:rFonts w:ascii="Arial" w:hAnsi="Arial" w:cs="Arial"/>
        </w:rPr>
      </w:pPr>
      <w:r w:rsidRPr="00F25313">
        <w:rPr>
          <w:rFonts w:ascii="Arial" w:hAnsi="Arial" w:cs="Arial"/>
        </w:rPr>
        <w:t>Q3</w:t>
      </w:r>
      <w:r w:rsidRPr="00F25313">
        <w:rPr>
          <w:rFonts w:ascii="Arial" w:hAnsi="Arial" w:cs="Arial"/>
          <w:color w:val="000000"/>
        </w:rPr>
        <w:t xml:space="preserve"> Group gross margin after clearance up </w:t>
      </w:r>
      <w:r w:rsidR="006964C6" w:rsidRPr="00F25313">
        <w:rPr>
          <w:rFonts w:ascii="Arial" w:hAnsi="Arial" w:cs="Arial"/>
          <w:color w:val="000000"/>
        </w:rPr>
        <w:t xml:space="preserve">40bps </w:t>
      </w:r>
      <w:r w:rsidRPr="00F25313">
        <w:rPr>
          <w:rFonts w:ascii="Arial" w:hAnsi="Arial" w:cs="Arial"/>
          <w:color w:val="000000"/>
        </w:rPr>
        <w:t>versus</w:t>
      </w:r>
      <w:r w:rsidR="00B23098" w:rsidRPr="00F25313">
        <w:rPr>
          <w:rFonts w:ascii="Arial" w:hAnsi="Arial" w:cs="Arial"/>
          <w:color w:val="000000"/>
        </w:rPr>
        <w:t xml:space="preserve"> Q3</w:t>
      </w:r>
      <w:r w:rsidRPr="00F25313">
        <w:rPr>
          <w:rFonts w:ascii="Arial" w:hAnsi="Arial" w:cs="Arial"/>
          <w:color w:val="000000"/>
        </w:rPr>
        <w:t xml:space="preserve"> last year</w:t>
      </w:r>
      <w:r w:rsidR="00B82B33" w:rsidRPr="00F25313">
        <w:rPr>
          <w:rFonts w:ascii="Arial" w:hAnsi="Arial" w:cs="Arial"/>
          <w:color w:val="000000"/>
        </w:rPr>
        <w:t xml:space="preserve"> (H1</w:t>
      </w:r>
      <w:r w:rsidR="00F02936">
        <w:rPr>
          <w:rFonts w:ascii="Arial" w:hAnsi="Arial" w:cs="Arial"/>
          <w:color w:val="000000"/>
        </w:rPr>
        <w:t xml:space="preserve"> down </w:t>
      </w:r>
      <w:r w:rsidR="00B82B33" w:rsidRPr="00F25313">
        <w:rPr>
          <w:rFonts w:ascii="Arial" w:hAnsi="Arial" w:cs="Arial"/>
          <w:color w:val="000000"/>
        </w:rPr>
        <w:t>40bps)</w:t>
      </w:r>
    </w:p>
    <w:p w14:paraId="7B10A8BA" w14:textId="2F9FE470" w:rsidR="00B82B33" w:rsidRPr="006964C6" w:rsidRDefault="00B82B33" w:rsidP="00F32161">
      <w:pPr>
        <w:pStyle w:val="ListParagraph"/>
        <w:numPr>
          <w:ilvl w:val="0"/>
          <w:numId w:val="3"/>
        </w:numPr>
        <w:jc w:val="left"/>
        <w:rPr>
          <w:rFonts w:ascii="Arial" w:hAnsi="Arial" w:cs="Arial"/>
        </w:rPr>
      </w:pPr>
      <w:r>
        <w:rPr>
          <w:rFonts w:ascii="Arial" w:hAnsi="Arial" w:cs="Arial"/>
        </w:rPr>
        <w:t xml:space="preserve">Year to date gross margin after clearance is up in UK, Poland and </w:t>
      </w:r>
      <w:r w:rsidRPr="00B82B33">
        <w:rPr>
          <w:rFonts w:ascii="Arial" w:hAnsi="Arial" w:cs="Arial"/>
          <w:bCs/>
        </w:rPr>
        <w:t xml:space="preserve">Brico </w:t>
      </w:r>
      <w:proofErr w:type="spellStart"/>
      <w:r w:rsidRPr="00B82B33">
        <w:rPr>
          <w:rFonts w:ascii="Arial" w:hAnsi="Arial" w:cs="Arial"/>
          <w:bCs/>
        </w:rPr>
        <w:t>Dépôt</w:t>
      </w:r>
      <w:proofErr w:type="spellEnd"/>
      <w:r>
        <w:rPr>
          <w:rFonts w:ascii="Arial" w:hAnsi="Arial" w:cs="Arial"/>
          <w:bCs/>
        </w:rPr>
        <w:t xml:space="preserve"> France</w:t>
      </w:r>
    </w:p>
    <w:p w14:paraId="0337CDC2" w14:textId="77777777" w:rsidR="00F25313" w:rsidRDefault="00F25313" w:rsidP="00F32161">
      <w:pPr>
        <w:rPr>
          <w:rFonts w:ascii="Arial" w:hAnsi="Arial" w:cs="Arial"/>
          <w:b/>
        </w:rPr>
      </w:pPr>
    </w:p>
    <w:p w14:paraId="23D73D2D" w14:textId="62AF6F6C" w:rsidR="00F32161" w:rsidRDefault="00F25313" w:rsidP="00F32161">
      <w:r>
        <w:rPr>
          <w:rFonts w:ascii="Arial" w:hAnsi="Arial" w:cs="Arial"/>
          <w:b/>
        </w:rPr>
        <w:t xml:space="preserve">FY 18/19 technical guidance </w:t>
      </w:r>
    </w:p>
    <w:p w14:paraId="1F3032AC" w14:textId="36F54217" w:rsidR="00F25313" w:rsidRPr="0045597A" w:rsidRDefault="00F25313" w:rsidP="00F25313">
      <w:pPr>
        <w:pStyle w:val="ListParagraph"/>
        <w:numPr>
          <w:ilvl w:val="0"/>
          <w:numId w:val="3"/>
        </w:numPr>
        <w:jc w:val="left"/>
        <w:rPr>
          <w:rFonts w:ascii="Arial" w:hAnsi="Arial" w:cs="Arial"/>
        </w:rPr>
      </w:pPr>
      <w:r w:rsidRPr="0045597A">
        <w:rPr>
          <w:rFonts w:ascii="Arial" w:hAnsi="Arial" w:cs="Arial"/>
        </w:rPr>
        <w:t>In FY 18/19 expect to grow the gross margin</w:t>
      </w:r>
      <w:r w:rsidR="00866F4D">
        <w:rPr>
          <w:rFonts w:ascii="Arial" w:hAnsi="Arial" w:cs="Arial"/>
        </w:rPr>
        <w:t xml:space="preserve"> after clearance</w:t>
      </w:r>
      <w:r w:rsidRPr="0045597A">
        <w:rPr>
          <w:rFonts w:ascii="Arial" w:hAnsi="Arial" w:cs="Arial"/>
        </w:rPr>
        <w:t xml:space="preserve"> in the UK</w:t>
      </w:r>
      <w:r>
        <w:rPr>
          <w:rFonts w:ascii="Arial" w:hAnsi="Arial" w:cs="Arial"/>
        </w:rPr>
        <w:t xml:space="preserve">, </w:t>
      </w:r>
      <w:r w:rsidRPr="0045597A">
        <w:rPr>
          <w:rFonts w:ascii="Arial" w:hAnsi="Arial" w:cs="Arial"/>
        </w:rPr>
        <w:t xml:space="preserve">Poland </w:t>
      </w:r>
      <w:r>
        <w:rPr>
          <w:rFonts w:ascii="Arial" w:hAnsi="Arial" w:cs="Arial"/>
        </w:rPr>
        <w:t xml:space="preserve">and </w:t>
      </w:r>
      <w:r w:rsidRPr="00B82B33">
        <w:rPr>
          <w:rFonts w:ascii="Arial" w:hAnsi="Arial" w:cs="Arial"/>
          <w:bCs/>
        </w:rPr>
        <w:t xml:space="preserve">Brico </w:t>
      </w:r>
      <w:proofErr w:type="spellStart"/>
      <w:r w:rsidRPr="00B82B33">
        <w:rPr>
          <w:rFonts w:ascii="Arial" w:hAnsi="Arial" w:cs="Arial"/>
          <w:bCs/>
        </w:rPr>
        <w:t>Dépôt</w:t>
      </w:r>
      <w:proofErr w:type="spellEnd"/>
      <w:r>
        <w:rPr>
          <w:rFonts w:ascii="Arial" w:hAnsi="Arial" w:cs="Arial"/>
          <w:bCs/>
        </w:rPr>
        <w:t xml:space="preserve"> France</w:t>
      </w:r>
      <w:r>
        <w:rPr>
          <w:rFonts w:ascii="Arial" w:hAnsi="Arial" w:cs="Arial"/>
        </w:rPr>
        <w:t xml:space="preserve"> </w:t>
      </w:r>
      <w:r w:rsidRPr="0045597A">
        <w:rPr>
          <w:rFonts w:ascii="Arial" w:hAnsi="Arial" w:cs="Arial"/>
        </w:rPr>
        <w:t xml:space="preserve">however the outlook for </w:t>
      </w:r>
      <w:r>
        <w:rPr>
          <w:rFonts w:ascii="Arial" w:hAnsi="Arial" w:cs="Arial"/>
        </w:rPr>
        <w:t>Castorama</w:t>
      </w:r>
      <w:r w:rsidRPr="0045597A">
        <w:rPr>
          <w:rFonts w:ascii="Arial" w:hAnsi="Arial" w:cs="Arial"/>
        </w:rPr>
        <w:t xml:space="preserve"> </w:t>
      </w:r>
      <w:r w:rsidR="00837F3A">
        <w:rPr>
          <w:rFonts w:ascii="Arial" w:hAnsi="Arial" w:cs="Arial"/>
        </w:rPr>
        <w:t xml:space="preserve">France </w:t>
      </w:r>
      <w:r w:rsidRPr="0045597A">
        <w:rPr>
          <w:rFonts w:ascii="Arial" w:hAnsi="Arial" w:cs="Arial"/>
        </w:rPr>
        <w:t>is more uncertain given difficult trading</w:t>
      </w:r>
      <w:r w:rsidR="00F801FC">
        <w:rPr>
          <w:rFonts w:ascii="Arial" w:hAnsi="Arial" w:cs="Arial"/>
        </w:rPr>
        <w:t xml:space="preserve"> and the</w:t>
      </w:r>
      <w:r w:rsidR="00796F58">
        <w:rPr>
          <w:rFonts w:ascii="Arial" w:hAnsi="Arial" w:cs="Arial"/>
        </w:rPr>
        <w:t xml:space="preserve"> ongoing</w:t>
      </w:r>
      <w:r w:rsidR="00F801FC">
        <w:rPr>
          <w:rFonts w:ascii="Arial" w:hAnsi="Arial" w:cs="Arial"/>
        </w:rPr>
        <w:t xml:space="preserve"> impact of recent national demonstrations </w:t>
      </w:r>
    </w:p>
    <w:p w14:paraId="1714BF89" w14:textId="15789C3B" w:rsidR="00F25313" w:rsidRPr="00A579E8" w:rsidRDefault="00F25313" w:rsidP="00F25313">
      <w:pPr>
        <w:pStyle w:val="ListParagraph"/>
        <w:numPr>
          <w:ilvl w:val="0"/>
          <w:numId w:val="3"/>
        </w:numPr>
        <w:jc w:val="left"/>
        <w:rPr>
          <w:rFonts w:ascii="Arial" w:hAnsi="Arial" w:cs="Arial"/>
        </w:rPr>
      </w:pPr>
      <w:r>
        <w:rPr>
          <w:rFonts w:ascii="Arial" w:hAnsi="Arial" w:cs="Arial"/>
        </w:rPr>
        <w:t xml:space="preserve">Completing the final £50m tranche of </w:t>
      </w:r>
      <w:r w:rsidR="00BE3B5B">
        <w:rPr>
          <w:rFonts w:ascii="Arial" w:hAnsi="Arial" w:cs="Arial"/>
        </w:rPr>
        <w:t>c.</w:t>
      </w:r>
      <w:r>
        <w:rPr>
          <w:rFonts w:ascii="Arial" w:hAnsi="Arial" w:cs="Arial"/>
        </w:rPr>
        <w:t xml:space="preserve">£600m capital return </w:t>
      </w:r>
      <w:proofErr w:type="gramStart"/>
      <w:r>
        <w:rPr>
          <w:rFonts w:ascii="Arial" w:hAnsi="Arial" w:cs="Arial"/>
        </w:rPr>
        <w:t>commitment</w:t>
      </w:r>
      <w:r w:rsidR="007C4DF9" w:rsidRPr="003722E0">
        <w:rPr>
          <w:rFonts w:ascii="Arial" w:hAnsi="Arial" w:cs="Arial"/>
          <w:vertAlign w:val="superscript"/>
        </w:rPr>
        <w:t>(</w:t>
      </w:r>
      <w:proofErr w:type="gramEnd"/>
      <w:r w:rsidR="007C4DF9" w:rsidRPr="003722E0">
        <w:rPr>
          <w:rFonts w:ascii="Arial" w:hAnsi="Arial" w:cs="Arial"/>
          <w:vertAlign w:val="superscript"/>
        </w:rPr>
        <w:t>5)</w:t>
      </w:r>
      <w:r>
        <w:rPr>
          <w:rFonts w:ascii="Arial" w:hAnsi="Arial" w:cs="Arial"/>
        </w:rPr>
        <w:t xml:space="preserve"> </w:t>
      </w:r>
      <w:r w:rsidR="003D4000">
        <w:rPr>
          <w:rFonts w:ascii="Arial" w:hAnsi="Arial" w:cs="Arial"/>
        </w:rPr>
        <w:t>via share buyback (£140m</w:t>
      </w:r>
      <w:r w:rsidR="00FA322D">
        <w:rPr>
          <w:rFonts w:ascii="Arial" w:hAnsi="Arial" w:cs="Arial"/>
        </w:rPr>
        <w:t xml:space="preserve"> by end of FY</w:t>
      </w:r>
      <w:r w:rsidR="00C15E48">
        <w:rPr>
          <w:rFonts w:ascii="Arial" w:hAnsi="Arial" w:cs="Arial"/>
        </w:rPr>
        <w:t xml:space="preserve"> </w:t>
      </w:r>
      <w:r w:rsidR="00FA322D">
        <w:rPr>
          <w:rFonts w:ascii="Arial" w:hAnsi="Arial" w:cs="Arial"/>
        </w:rPr>
        <w:t>18/19</w:t>
      </w:r>
      <w:r w:rsidR="003D4000">
        <w:rPr>
          <w:rFonts w:ascii="Arial" w:hAnsi="Arial" w:cs="Arial"/>
        </w:rPr>
        <w:t>)</w:t>
      </w:r>
      <w:r>
        <w:rPr>
          <w:rFonts w:ascii="Arial" w:hAnsi="Arial" w:cs="Arial"/>
        </w:rPr>
        <w:t xml:space="preserve"> </w:t>
      </w:r>
    </w:p>
    <w:p w14:paraId="5BB02666" w14:textId="77777777" w:rsidR="00F25313" w:rsidRDefault="00F25313" w:rsidP="00B44D96">
      <w:pPr>
        <w:jc w:val="left"/>
        <w:rPr>
          <w:rFonts w:ascii="Arial" w:hAnsi="Arial" w:cs="Arial"/>
          <w:b/>
        </w:rPr>
      </w:pPr>
    </w:p>
    <w:bookmarkEnd w:id="0"/>
    <w:bookmarkEnd w:id="1"/>
    <w:tbl>
      <w:tblPr>
        <w:tblStyle w:val="TableGrid"/>
        <w:tblW w:w="0" w:type="auto"/>
        <w:tblLook w:val="04A0" w:firstRow="1" w:lastRow="0" w:firstColumn="1" w:lastColumn="0" w:noHBand="0" w:noVBand="1"/>
      </w:tblPr>
      <w:tblGrid>
        <w:gridCol w:w="9771"/>
      </w:tblGrid>
      <w:tr w:rsidR="00DF64BD" w:rsidRPr="006A4324" w14:paraId="64F28819" w14:textId="77777777" w:rsidTr="00DF64BD">
        <w:tc>
          <w:tcPr>
            <w:tcW w:w="9771" w:type="dxa"/>
          </w:tcPr>
          <w:p w14:paraId="3AB18F8D" w14:textId="77777777" w:rsidR="00DF64BD" w:rsidRPr="00BF2289" w:rsidRDefault="00DF64BD" w:rsidP="00DF64BD">
            <w:pPr>
              <w:jc w:val="left"/>
              <w:rPr>
                <w:rFonts w:ascii="Arial" w:hAnsi="Arial" w:cs="Arial"/>
                <w:b/>
                <w:szCs w:val="22"/>
              </w:rPr>
            </w:pPr>
          </w:p>
          <w:p w14:paraId="48DCDDE1" w14:textId="77777777" w:rsidR="00DF64BD" w:rsidRPr="00BF2289" w:rsidRDefault="00DF64BD" w:rsidP="00DF64BD">
            <w:pPr>
              <w:jc w:val="left"/>
              <w:rPr>
                <w:rFonts w:ascii="Arial" w:hAnsi="Arial" w:cs="Arial"/>
                <w:color w:val="000000"/>
                <w:szCs w:val="22"/>
              </w:rPr>
            </w:pPr>
            <w:r w:rsidRPr="00BF2289">
              <w:rPr>
                <w:rFonts w:ascii="Arial" w:hAnsi="Arial" w:cs="Arial"/>
                <w:b/>
                <w:szCs w:val="22"/>
              </w:rPr>
              <w:t>Q</w:t>
            </w:r>
            <w:r w:rsidR="003A4927">
              <w:rPr>
                <w:rFonts w:ascii="Arial" w:hAnsi="Arial" w:cs="Arial"/>
                <w:b/>
                <w:szCs w:val="22"/>
              </w:rPr>
              <w:t>3</w:t>
            </w:r>
            <w:r w:rsidRPr="00BF2289">
              <w:rPr>
                <w:rFonts w:ascii="Arial" w:hAnsi="Arial" w:cs="Arial"/>
                <w:b/>
                <w:szCs w:val="22"/>
              </w:rPr>
              <w:t xml:space="preserve"> trading highlights by division (in constant currencies):</w:t>
            </w:r>
          </w:p>
          <w:p w14:paraId="5C38C96B" w14:textId="77777777" w:rsidR="00F86B99" w:rsidRPr="00BF2289" w:rsidRDefault="00F86B99" w:rsidP="00F86B99">
            <w:pPr>
              <w:jc w:val="left"/>
              <w:rPr>
                <w:rFonts w:ascii="Arial" w:hAnsi="Arial" w:cs="Arial"/>
                <w:b/>
                <w:szCs w:val="22"/>
                <w:highlight w:val="yellow"/>
              </w:rPr>
            </w:pPr>
          </w:p>
          <w:p w14:paraId="0993EF0F" w14:textId="77777777" w:rsidR="00F86B99" w:rsidRPr="00BF2289" w:rsidRDefault="00F86B99" w:rsidP="00F86B99">
            <w:pPr>
              <w:jc w:val="left"/>
              <w:rPr>
                <w:rFonts w:ascii="Arial" w:hAnsi="Arial" w:cs="Arial"/>
                <w:i/>
                <w:iCs/>
                <w:szCs w:val="22"/>
              </w:rPr>
            </w:pPr>
            <w:r w:rsidRPr="00BF2289">
              <w:rPr>
                <w:rFonts w:ascii="Arial" w:hAnsi="Arial" w:cs="Arial"/>
                <w:b/>
                <w:szCs w:val="22"/>
              </w:rPr>
              <w:t>UK &amp; IRELAND</w:t>
            </w:r>
          </w:p>
          <w:p w14:paraId="0F0D231F" w14:textId="4114DA53" w:rsidR="00F25313" w:rsidRDefault="00F86B99" w:rsidP="00F25313">
            <w:pPr>
              <w:jc w:val="left"/>
              <w:rPr>
                <w:rFonts w:ascii="Arial" w:hAnsi="Arial" w:cs="Arial"/>
                <w:bCs/>
              </w:rPr>
            </w:pPr>
            <w:r w:rsidRPr="000B1016">
              <w:rPr>
                <w:rFonts w:ascii="Arial" w:hAnsi="Arial" w:cs="Arial"/>
                <w:bCs/>
              </w:rPr>
              <w:t xml:space="preserve">Total sales </w:t>
            </w:r>
            <w:r w:rsidR="00D0591A" w:rsidRPr="000B1016">
              <w:rPr>
                <w:rFonts w:ascii="Arial" w:hAnsi="Arial" w:cs="Arial"/>
                <w:bCs/>
              </w:rPr>
              <w:t>+</w:t>
            </w:r>
            <w:r w:rsidR="00674711" w:rsidRPr="000B1016">
              <w:rPr>
                <w:rFonts w:ascii="Arial" w:hAnsi="Arial" w:cs="Arial"/>
                <w:bCs/>
              </w:rPr>
              <w:t>1.4</w:t>
            </w:r>
            <w:r w:rsidRPr="000B1016">
              <w:rPr>
                <w:rFonts w:ascii="Arial" w:hAnsi="Arial" w:cs="Arial"/>
                <w:bCs/>
              </w:rPr>
              <w:t>%</w:t>
            </w:r>
            <w:r w:rsidR="00F25313">
              <w:rPr>
                <w:rFonts w:ascii="Arial" w:hAnsi="Arial" w:cs="Arial"/>
                <w:bCs/>
              </w:rPr>
              <w:t xml:space="preserve"> (</w:t>
            </w:r>
            <w:r w:rsidRPr="000B1016">
              <w:rPr>
                <w:rFonts w:ascii="Arial" w:hAnsi="Arial" w:cs="Arial"/>
                <w:bCs/>
              </w:rPr>
              <w:t xml:space="preserve">LFL </w:t>
            </w:r>
            <w:r w:rsidR="00873B2D" w:rsidRPr="000B1016">
              <w:rPr>
                <w:rFonts w:ascii="Arial" w:hAnsi="Arial" w:cs="Arial"/>
                <w:bCs/>
              </w:rPr>
              <w:t>-</w:t>
            </w:r>
            <w:r w:rsidR="00674711" w:rsidRPr="000B1016">
              <w:rPr>
                <w:rFonts w:ascii="Arial" w:hAnsi="Arial" w:cs="Arial"/>
                <w:bCs/>
              </w:rPr>
              <w:t>0.7</w:t>
            </w:r>
            <w:r w:rsidRPr="000B1016">
              <w:rPr>
                <w:rFonts w:ascii="Arial" w:hAnsi="Arial" w:cs="Arial"/>
                <w:bCs/>
              </w:rPr>
              <w:t>%</w:t>
            </w:r>
            <w:r w:rsidR="00F25313">
              <w:rPr>
                <w:rFonts w:ascii="Arial" w:hAnsi="Arial" w:cs="Arial"/>
                <w:bCs/>
              </w:rPr>
              <w:t>)</w:t>
            </w:r>
          </w:p>
          <w:p w14:paraId="32C5620F" w14:textId="2FCDE90D" w:rsidR="00F86B99" w:rsidRPr="00F25313" w:rsidRDefault="00F86B99" w:rsidP="00F25313">
            <w:pPr>
              <w:pStyle w:val="ListParagraph"/>
              <w:numPr>
                <w:ilvl w:val="0"/>
                <w:numId w:val="20"/>
              </w:numPr>
              <w:jc w:val="left"/>
              <w:rPr>
                <w:rFonts w:ascii="Arial" w:hAnsi="Arial" w:cs="Arial"/>
              </w:rPr>
            </w:pPr>
            <w:r w:rsidRPr="00F25313">
              <w:rPr>
                <w:rFonts w:ascii="Arial" w:hAnsi="Arial" w:cs="Arial"/>
                <w:b/>
              </w:rPr>
              <w:t xml:space="preserve">B&amp;Q UK &amp; Ireland </w:t>
            </w:r>
            <w:r w:rsidRPr="00F25313">
              <w:rPr>
                <w:rFonts w:ascii="Arial" w:hAnsi="Arial" w:cs="Arial"/>
              </w:rPr>
              <w:t xml:space="preserve">sales </w:t>
            </w:r>
            <w:r w:rsidR="000B2D0F" w:rsidRPr="00F25313">
              <w:rPr>
                <w:rFonts w:ascii="Arial" w:hAnsi="Arial" w:cs="Arial"/>
              </w:rPr>
              <w:t>-</w:t>
            </w:r>
            <w:r w:rsidR="00674711" w:rsidRPr="00F25313">
              <w:rPr>
                <w:rFonts w:ascii="Arial" w:hAnsi="Arial" w:cs="Arial"/>
              </w:rPr>
              <w:t>2.8</w:t>
            </w:r>
            <w:r w:rsidRPr="00F25313">
              <w:rPr>
                <w:rFonts w:ascii="Arial" w:hAnsi="Arial" w:cs="Arial"/>
              </w:rPr>
              <w:t>%</w:t>
            </w:r>
            <w:r w:rsidR="000B1016" w:rsidRPr="00F25313">
              <w:rPr>
                <w:rFonts w:ascii="Arial" w:hAnsi="Arial" w:cs="Arial"/>
              </w:rPr>
              <w:t>.</w:t>
            </w:r>
            <w:r w:rsidR="000B2D0F" w:rsidRPr="00F25313">
              <w:rPr>
                <w:rFonts w:ascii="Arial" w:hAnsi="Arial" w:cs="Arial"/>
              </w:rPr>
              <w:t xml:space="preserve"> </w:t>
            </w:r>
            <w:r w:rsidR="00B727D2" w:rsidRPr="00F25313">
              <w:rPr>
                <w:rFonts w:ascii="Arial" w:hAnsi="Arial" w:cs="Arial"/>
              </w:rPr>
              <w:t>LFL -</w:t>
            </w:r>
            <w:r w:rsidR="00CF13E1" w:rsidRPr="00F25313">
              <w:rPr>
                <w:rFonts w:ascii="Arial" w:hAnsi="Arial" w:cs="Arial"/>
              </w:rPr>
              <w:t>2.9</w:t>
            </w:r>
            <w:r w:rsidR="00B727D2" w:rsidRPr="00F25313">
              <w:rPr>
                <w:rFonts w:ascii="Arial" w:hAnsi="Arial" w:cs="Arial"/>
              </w:rPr>
              <w:t xml:space="preserve">% </w:t>
            </w:r>
            <w:r w:rsidR="00552101" w:rsidRPr="00F25313">
              <w:rPr>
                <w:rFonts w:ascii="Arial" w:hAnsi="Arial" w:cs="Arial"/>
              </w:rPr>
              <w:t>including</w:t>
            </w:r>
            <w:r w:rsidR="00857D32" w:rsidRPr="00F25313">
              <w:rPr>
                <w:rFonts w:ascii="Arial" w:hAnsi="Arial" w:cs="Arial"/>
              </w:rPr>
              <w:t xml:space="preserve"> -</w:t>
            </w:r>
            <w:r w:rsidR="00491917" w:rsidRPr="00F25313">
              <w:rPr>
                <w:rFonts w:ascii="Arial" w:hAnsi="Arial" w:cs="Arial"/>
              </w:rPr>
              <w:t>c.</w:t>
            </w:r>
            <w:r w:rsidR="00BF70E4" w:rsidRPr="00F25313">
              <w:rPr>
                <w:rFonts w:ascii="Arial" w:hAnsi="Arial" w:cs="Arial"/>
              </w:rPr>
              <w:t>1.</w:t>
            </w:r>
            <w:r w:rsidR="00491917" w:rsidRPr="00F25313">
              <w:rPr>
                <w:rFonts w:ascii="Arial" w:hAnsi="Arial" w:cs="Arial"/>
              </w:rPr>
              <w:t>5</w:t>
            </w:r>
            <w:r w:rsidR="00A53B03" w:rsidRPr="00F25313">
              <w:rPr>
                <w:rFonts w:ascii="Arial" w:hAnsi="Arial" w:cs="Arial"/>
              </w:rPr>
              <w:t xml:space="preserve">% impact from the </w:t>
            </w:r>
            <w:r w:rsidR="00490779" w:rsidRPr="00F25313">
              <w:rPr>
                <w:rFonts w:ascii="Arial" w:hAnsi="Arial" w:cs="Arial"/>
              </w:rPr>
              <w:t>discontinuation</w:t>
            </w:r>
            <w:r w:rsidR="00A53B03" w:rsidRPr="00F25313">
              <w:rPr>
                <w:rFonts w:ascii="Arial" w:hAnsi="Arial" w:cs="Arial"/>
              </w:rPr>
              <w:t xml:space="preserve"> of </w:t>
            </w:r>
            <w:r w:rsidR="001844D6" w:rsidRPr="00F25313">
              <w:rPr>
                <w:rFonts w:ascii="Arial" w:hAnsi="Arial" w:cs="Arial"/>
              </w:rPr>
              <w:t>showroom</w:t>
            </w:r>
            <w:r w:rsidR="00A53B03" w:rsidRPr="00F25313">
              <w:rPr>
                <w:rFonts w:ascii="Arial" w:hAnsi="Arial" w:cs="Arial"/>
              </w:rPr>
              <w:t xml:space="preserve"> installation</w:t>
            </w:r>
            <w:r w:rsidR="006A58BC" w:rsidRPr="00F25313">
              <w:rPr>
                <w:rFonts w:ascii="Arial" w:hAnsi="Arial" w:cs="Arial"/>
              </w:rPr>
              <w:t xml:space="preserve"> services</w:t>
            </w:r>
            <w:r w:rsidR="00F25313">
              <w:rPr>
                <w:rFonts w:ascii="Arial" w:hAnsi="Arial" w:cs="Arial"/>
              </w:rPr>
              <w:t xml:space="preserve"> </w:t>
            </w:r>
          </w:p>
          <w:p w14:paraId="594FA606" w14:textId="367B8846" w:rsidR="00F86B99" w:rsidRPr="00BF2289" w:rsidRDefault="00F86B99" w:rsidP="000B1016">
            <w:pPr>
              <w:pStyle w:val="ListParagraph"/>
              <w:numPr>
                <w:ilvl w:val="0"/>
                <w:numId w:val="2"/>
              </w:numPr>
              <w:jc w:val="left"/>
              <w:rPr>
                <w:rFonts w:ascii="Arial" w:hAnsi="Arial" w:cs="Arial"/>
                <w:b/>
              </w:rPr>
            </w:pPr>
            <w:r w:rsidRPr="00BF2289">
              <w:rPr>
                <w:rFonts w:ascii="Arial" w:hAnsi="Arial" w:cs="Arial"/>
                <w:b/>
              </w:rPr>
              <w:t>Screwfix</w:t>
            </w:r>
            <w:r w:rsidRPr="00BF2289">
              <w:rPr>
                <w:rFonts w:ascii="Arial" w:hAnsi="Arial" w:cs="Arial"/>
              </w:rPr>
              <w:t xml:space="preserve"> sales +</w:t>
            </w:r>
            <w:r w:rsidR="00CA5204">
              <w:rPr>
                <w:rFonts w:ascii="Arial" w:hAnsi="Arial" w:cs="Arial"/>
              </w:rPr>
              <w:t>10.</w:t>
            </w:r>
            <w:r w:rsidR="00674711">
              <w:rPr>
                <w:rFonts w:ascii="Arial" w:hAnsi="Arial" w:cs="Arial"/>
              </w:rPr>
              <w:t>6</w:t>
            </w:r>
            <w:r w:rsidRPr="00473E4B">
              <w:rPr>
                <w:rFonts w:ascii="Arial" w:hAnsi="Arial" w:cs="Arial"/>
              </w:rPr>
              <w:t>%.</w:t>
            </w:r>
            <w:r w:rsidRPr="00BF2289">
              <w:rPr>
                <w:rFonts w:ascii="Arial" w:hAnsi="Arial" w:cs="Arial"/>
              </w:rPr>
              <w:t xml:space="preserve"> LFL </w:t>
            </w:r>
            <w:r w:rsidRPr="00473E4B">
              <w:rPr>
                <w:rFonts w:ascii="Arial" w:hAnsi="Arial" w:cs="Arial"/>
              </w:rPr>
              <w:t>+</w:t>
            </w:r>
            <w:r w:rsidR="00674711">
              <w:rPr>
                <w:rFonts w:ascii="Arial" w:hAnsi="Arial" w:cs="Arial"/>
              </w:rPr>
              <w:t>4.1</w:t>
            </w:r>
            <w:r w:rsidRPr="00BF2289">
              <w:rPr>
                <w:rFonts w:ascii="Arial" w:hAnsi="Arial" w:cs="Arial"/>
              </w:rPr>
              <w:t>%</w:t>
            </w:r>
            <w:r w:rsidR="00126165">
              <w:rPr>
                <w:rFonts w:ascii="Arial" w:hAnsi="Arial" w:cs="Arial"/>
              </w:rPr>
              <w:t xml:space="preserve"> with </w:t>
            </w:r>
            <w:r w:rsidR="009A3160">
              <w:rPr>
                <w:rFonts w:ascii="Arial" w:hAnsi="Arial" w:cs="Arial"/>
              </w:rPr>
              <w:t xml:space="preserve">9 </w:t>
            </w:r>
            <w:r w:rsidR="00A53B03" w:rsidRPr="00A53B03">
              <w:rPr>
                <w:rFonts w:ascii="Arial" w:hAnsi="Arial" w:cs="Arial"/>
              </w:rPr>
              <w:t>new outlets opened during Q</w:t>
            </w:r>
            <w:r w:rsidR="00A53B03">
              <w:rPr>
                <w:rFonts w:ascii="Arial" w:hAnsi="Arial" w:cs="Arial"/>
              </w:rPr>
              <w:t>3</w:t>
            </w:r>
          </w:p>
          <w:p w14:paraId="5FA12672" w14:textId="77777777" w:rsidR="00DF64BD" w:rsidRPr="00BF2289" w:rsidRDefault="00DF64BD" w:rsidP="00DF64BD">
            <w:pPr>
              <w:autoSpaceDE w:val="0"/>
              <w:autoSpaceDN w:val="0"/>
              <w:adjustRightInd w:val="0"/>
              <w:jc w:val="left"/>
              <w:rPr>
                <w:rFonts w:ascii="Arial" w:hAnsi="Arial" w:cs="Arial"/>
                <w:b/>
                <w:szCs w:val="22"/>
              </w:rPr>
            </w:pPr>
          </w:p>
          <w:p w14:paraId="444CBD54" w14:textId="77777777" w:rsidR="00DF64BD" w:rsidRPr="00BF2289" w:rsidRDefault="00DF64BD" w:rsidP="00DF64BD">
            <w:pPr>
              <w:autoSpaceDE w:val="0"/>
              <w:autoSpaceDN w:val="0"/>
              <w:adjustRightInd w:val="0"/>
              <w:jc w:val="left"/>
              <w:rPr>
                <w:rFonts w:ascii="Arial" w:hAnsi="Arial" w:cs="Arial"/>
                <w:szCs w:val="22"/>
              </w:rPr>
            </w:pPr>
            <w:r w:rsidRPr="00BF2289">
              <w:rPr>
                <w:rFonts w:ascii="Arial" w:hAnsi="Arial" w:cs="Arial"/>
                <w:b/>
                <w:szCs w:val="22"/>
              </w:rPr>
              <w:t xml:space="preserve">FRANCE </w:t>
            </w:r>
          </w:p>
          <w:p w14:paraId="4F081828" w14:textId="221D7259" w:rsidR="00DF64BD" w:rsidRPr="000B1016" w:rsidRDefault="00DF64BD" w:rsidP="000B1016">
            <w:pPr>
              <w:jc w:val="left"/>
              <w:rPr>
                <w:rFonts w:ascii="Arial" w:hAnsi="Arial" w:cs="Arial"/>
              </w:rPr>
            </w:pPr>
            <w:r w:rsidRPr="000B1016">
              <w:rPr>
                <w:rFonts w:ascii="Arial" w:hAnsi="Arial" w:cs="Arial"/>
              </w:rPr>
              <w:t xml:space="preserve">Total sales </w:t>
            </w:r>
            <w:r w:rsidR="00CD0D25" w:rsidRPr="000B1016">
              <w:rPr>
                <w:rFonts w:ascii="Arial" w:hAnsi="Arial" w:cs="Arial"/>
              </w:rPr>
              <w:t>-</w:t>
            </w:r>
            <w:r w:rsidR="0024201B">
              <w:rPr>
                <w:rFonts w:ascii="Arial" w:hAnsi="Arial" w:cs="Arial"/>
              </w:rPr>
              <w:t>3.1</w:t>
            </w:r>
            <w:r w:rsidRPr="000B1016">
              <w:rPr>
                <w:rFonts w:ascii="Arial" w:hAnsi="Arial" w:cs="Arial"/>
              </w:rPr>
              <w:t>%</w:t>
            </w:r>
            <w:r w:rsidR="00124B95" w:rsidRPr="000B1016">
              <w:rPr>
                <w:rFonts w:ascii="Arial" w:hAnsi="Arial" w:cs="Arial"/>
              </w:rPr>
              <w:t xml:space="preserve"> (</w:t>
            </w:r>
            <w:r w:rsidRPr="000B1016">
              <w:rPr>
                <w:rFonts w:ascii="Arial" w:hAnsi="Arial" w:cs="Arial"/>
              </w:rPr>
              <w:t xml:space="preserve">LFL </w:t>
            </w:r>
            <w:r w:rsidR="00603B93" w:rsidRPr="000B1016">
              <w:rPr>
                <w:rFonts w:ascii="Arial" w:hAnsi="Arial" w:cs="Arial"/>
              </w:rPr>
              <w:t>-</w:t>
            </w:r>
            <w:r w:rsidR="0024201B">
              <w:rPr>
                <w:rFonts w:ascii="Arial" w:hAnsi="Arial" w:cs="Arial"/>
              </w:rPr>
              <w:t>3.4</w:t>
            </w:r>
            <w:r w:rsidRPr="000B1016">
              <w:rPr>
                <w:rFonts w:ascii="Arial" w:hAnsi="Arial" w:cs="Arial"/>
              </w:rPr>
              <w:t>%</w:t>
            </w:r>
            <w:r w:rsidR="00124B95" w:rsidRPr="000B1016">
              <w:rPr>
                <w:rFonts w:ascii="Arial" w:hAnsi="Arial" w:cs="Arial"/>
              </w:rPr>
              <w:t>)</w:t>
            </w:r>
            <w:r w:rsidR="000B1016">
              <w:rPr>
                <w:rFonts w:ascii="Arial" w:hAnsi="Arial" w:cs="Arial"/>
              </w:rPr>
              <w:t xml:space="preserve">. </w:t>
            </w:r>
            <w:r w:rsidRPr="000B1016">
              <w:rPr>
                <w:rFonts w:ascii="Arial" w:hAnsi="Arial" w:cs="Arial"/>
                <w:bCs/>
              </w:rPr>
              <w:t xml:space="preserve">Sales for the home improvement market (Banque de France </w:t>
            </w:r>
            <w:proofErr w:type="gramStart"/>
            <w:r w:rsidRPr="000B1016">
              <w:rPr>
                <w:rFonts w:ascii="Arial" w:hAnsi="Arial" w:cs="Arial"/>
                <w:bCs/>
              </w:rPr>
              <w:t>data</w:t>
            </w:r>
            <w:r w:rsidR="00355659" w:rsidRPr="000B1016">
              <w:rPr>
                <w:rFonts w:ascii="Arial" w:hAnsi="Arial" w:cs="Arial"/>
                <w:bCs/>
                <w:vertAlign w:val="superscript"/>
              </w:rPr>
              <w:t>(</w:t>
            </w:r>
            <w:proofErr w:type="gramEnd"/>
            <w:r w:rsidR="003722E0" w:rsidRPr="000B1016">
              <w:rPr>
                <w:rFonts w:ascii="Arial" w:hAnsi="Arial" w:cs="Arial"/>
                <w:bCs/>
                <w:vertAlign w:val="superscript"/>
              </w:rPr>
              <w:t>6</w:t>
            </w:r>
            <w:r w:rsidR="00355659" w:rsidRPr="000B1016">
              <w:rPr>
                <w:rFonts w:ascii="Arial" w:hAnsi="Arial" w:cs="Arial"/>
                <w:bCs/>
                <w:vertAlign w:val="superscript"/>
              </w:rPr>
              <w:t>)</w:t>
            </w:r>
            <w:r w:rsidRPr="000B1016">
              <w:rPr>
                <w:rFonts w:ascii="Arial" w:hAnsi="Arial" w:cs="Arial"/>
                <w:bCs/>
              </w:rPr>
              <w:t xml:space="preserve">) </w:t>
            </w:r>
            <w:r w:rsidR="006E1C55">
              <w:rPr>
                <w:rFonts w:ascii="Arial" w:hAnsi="Arial" w:cs="Arial"/>
                <w:bCs/>
              </w:rPr>
              <w:t>were flat</w:t>
            </w:r>
            <w:r w:rsidR="00BC2056" w:rsidRPr="000B1016">
              <w:rPr>
                <w:rFonts w:ascii="Arial" w:hAnsi="Arial" w:cs="Arial"/>
                <w:bCs/>
              </w:rPr>
              <w:t xml:space="preserve"> in </w:t>
            </w:r>
            <w:r w:rsidR="003A4927" w:rsidRPr="000B1016">
              <w:rPr>
                <w:rFonts w:ascii="Arial" w:hAnsi="Arial" w:cs="Arial"/>
                <w:bCs/>
              </w:rPr>
              <w:t xml:space="preserve">Q3 </w:t>
            </w:r>
          </w:p>
          <w:p w14:paraId="3367A0F9" w14:textId="75FC77E8" w:rsidR="00552101" w:rsidRDefault="00DF64BD" w:rsidP="000B1016">
            <w:pPr>
              <w:pStyle w:val="ListParagraph"/>
              <w:numPr>
                <w:ilvl w:val="0"/>
                <w:numId w:val="1"/>
              </w:numPr>
              <w:jc w:val="left"/>
              <w:rPr>
                <w:rFonts w:ascii="Arial" w:hAnsi="Arial" w:cs="Arial"/>
                <w:bCs/>
              </w:rPr>
            </w:pPr>
            <w:r w:rsidRPr="00BF2289">
              <w:rPr>
                <w:rFonts w:ascii="Arial" w:hAnsi="Arial" w:cs="Arial"/>
                <w:b/>
                <w:bCs/>
              </w:rPr>
              <w:t>Castorama</w:t>
            </w:r>
            <w:r w:rsidRPr="00BF2289">
              <w:rPr>
                <w:rFonts w:ascii="Arial" w:hAnsi="Arial" w:cs="Arial"/>
                <w:bCs/>
              </w:rPr>
              <w:t xml:space="preserve"> sales </w:t>
            </w:r>
            <w:r w:rsidR="00CD0D25" w:rsidRPr="00BF2289">
              <w:rPr>
                <w:rFonts w:ascii="Arial" w:hAnsi="Arial" w:cs="Arial"/>
                <w:bCs/>
              </w:rPr>
              <w:t>-</w:t>
            </w:r>
            <w:r w:rsidR="00CA5204">
              <w:rPr>
                <w:rFonts w:ascii="Arial" w:hAnsi="Arial" w:cs="Arial"/>
                <w:bCs/>
              </w:rPr>
              <w:t>7.</w:t>
            </w:r>
            <w:r w:rsidR="0024201B">
              <w:rPr>
                <w:rFonts w:ascii="Arial" w:hAnsi="Arial" w:cs="Arial"/>
                <w:bCs/>
              </w:rPr>
              <w:t>6</w:t>
            </w:r>
            <w:r w:rsidRPr="00BF2289">
              <w:rPr>
                <w:rFonts w:ascii="Arial" w:hAnsi="Arial" w:cs="Arial"/>
                <w:bCs/>
              </w:rPr>
              <w:t>%</w:t>
            </w:r>
            <w:r w:rsidR="000B1016">
              <w:rPr>
                <w:rFonts w:ascii="Arial" w:hAnsi="Arial" w:cs="Arial"/>
                <w:bCs/>
              </w:rPr>
              <w:t>.</w:t>
            </w:r>
            <w:r w:rsidRPr="00BF2289">
              <w:rPr>
                <w:rFonts w:ascii="Arial" w:hAnsi="Arial" w:cs="Arial"/>
                <w:bCs/>
              </w:rPr>
              <w:t xml:space="preserve"> LFL </w:t>
            </w:r>
            <w:r w:rsidRPr="00D0591A">
              <w:rPr>
                <w:rFonts w:ascii="Arial" w:hAnsi="Arial" w:cs="Arial"/>
                <w:bCs/>
              </w:rPr>
              <w:t>-</w:t>
            </w:r>
            <w:r w:rsidR="006F4A51">
              <w:rPr>
                <w:rFonts w:ascii="Arial" w:hAnsi="Arial" w:cs="Arial"/>
                <w:bCs/>
              </w:rPr>
              <w:t>7.</w:t>
            </w:r>
            <w:r w:rsidR="00857D32">
              <w:rPr>
                <w:rFonts w:ascii="Arial" w:hAnsi="Arial" w:cs="Arial"/>
                <w:bCs/>
              </w:rPr>
              <w:t>3</w:t>
            </w:r>
            <w:r w:rsidRPr="00545399">
              <w:rPr>
                <w:rFonts w:ascii="Arial" w:hAnsi="Arial" w:cs="Arial"/>
                <w:bCs/>
              </w:rPr>
              <w:t>%</w:t>
            </w:r>
            <w:r w:rsidR="000B1016">
              <w:rPr>
                <w:rFonts w:ascii="Arial" w:hAnsi="Arial" w:cs="Arial"/>
                <w:bCs/>
              </w:rPr>
              <w:t xml:space="preserve"> </w:t>
            </w:r>
            <w:r w:rsidR="006A58BC">
              <w:rPr>
                <w:rFonts w:ascii="Arial" w:hAnsi="Arial" w:cs="Arial"/>
                <w:bCs/>
              </w:rPr>
              <w:t xml:space="preserve">reflecting continued </w:t>
            </w:r>
            <w:r w:rsidR="00EC577C">
              <w:rPr>
                <w:rFonts w:ascii="Arial" w:hAnsi="Arial" w:cs="Arial"/>
                <w:bCs/>
              </w:rPr>
              <w:t>weak</w:t>
            </w:r>
            <w:r w:rsidR="006A58BC">
              <w:rPr>
                <w:rFonts w:ascii="Arial" w:hAnsi="Arial" w:cs="Arial"/>
                <w:bCs/>
              </w:rPr>
              <w:t xml:space="preserve"> footfall </w:t>
            </w:r>
            <w:r w:rsidR="006A58BC" w:rsidRPr="00C02330">
              <w:rPr>
                <w:rFonts w:ascii="Arial" w:hAnsi="Arial" w:cs="Arial"/>
                <w:bCs/>
              </w:rPr>
              <w:t>and the impact of transformation-related activity</w:t>
            </w:r>
            <w:r w:rsidR="00175BC3">
              <w:rPr>
                <w:rFonts w:ascii="Arial" w:hAnsi="Arial" w:cs="Arial"/>
                <w:bCs/>
              </w:rPr>
              <w:t xml:space="preserve"> </w:t>
            </w:r>
          </w:p>
          <w:p w14:paraId="2B670613" w14:textId="46C49694" w:rsidR="00510395" w:rsidRPr="00552101" w:rsidRDefault="00DF64BD" w:rsidP="000B1016">
            <w:pPr>
              <w:pStyle w:val="ListParagraph"/>
              <w:numPr>
                <w:ilvl w:val="0"/>
                <w:numId w:val="1"/>
              </w:numPr>
              <w:jc w:val="left"/>
              <w:rPr>
                <w:rFonts w:ascii="Arial" w:hAnsi="Arial" w:cs="Arial"/>
                <w:bCs/>
              </w:rPr>
            </w:pPr>
            <w:r w:rsidRPr="00552101">
              <w:rPr>
                <w:rFonts w:ascii="Arial" w:hAnsi="Arial" w:cs="Arial"/>
                <w:b/>
                <w:bCs/>
              </w:rPr>
              <w:t xml:space="preserve">Brico </w:t>
            </w:r>
            <w:proofErr w:type="spellStart"/>
            <w:r w:rsidRPr="00552101">
              <w:rPr>
                <w:rFonts w:ascii="Arial" w:hAnsi="Arial" w:cs="Arial"/>
                <w:b/>
                <w:bCs/>
              </w:rPr>
              <w:t>Dépôt</w:t>
            </w:r>
            <w:proofErr w:type="spellEnd"/>
            <w:r w:rsidRPr="00552101">
              <w:rPr>
                <w:rFonts w:ascii="Arial" w:hAnsi="Arial" w:cs="Arial"/>
                <w:b/>
                <w:bCs/>
              </w:rPr>
              <w:t xml:space="preserve"> </w:t>
            </w:r>
            <w:r w:rsidRPr="00552101">
              <w:rPr>
                <w:rFonts w:ascii="Arial" w:hAnsi="Arial" w:cs="Arial"/>
                <w:bCs/>
              </w:rPr>
              <w:t xml:space="preserve">sales </w:t>
            </w:r>
            <w:r w:rsidR="00A53B03" w:rsidRPr="00552101">
              <w:rPr>
                <w:rFonts w:ascii="Arial" w:hAnsi="Arial" w:cs="Arial"/>
                <w:bCs/>
              </w:rPr>
              <w:t>+</w:t>
            </w:r>
            <w:r w:rsidR="00CA5204" w:rsidRPr="00552101">
              <w:rPr>
                <w:rFonts w:ascii="Arial" w:hAnsi="Arial" w:cs="Arial"/>
                <w:bCs/>
              </w:rPr>
              <w:t>2.4</w:t>
            </w:r>
            <w:r w:rsidRPr="00552101">
              <w:rPr>
                <w:rFonts w:ascii="Arial" w:hAnsi="Arial" w:cs="Arial"/>
                <w:bCs/>
              </w:rPr>
              <w:t>%</w:t>
            </w:r>
            <w:r w:rsidR="000B1016">
              <w:rPr>
                <w:rFonts w:ascii="Arial" w:hAnsi="Arial" w:cs="Arial"/>
                <w:bCs/>
              </w:rPr>
              <w:t>.</w:t>
            </w:r>
            <w:r w:rsidRPr="00552101">
              <w:rPr>
                <w:rFonts w:ascii="Arial" w:hAnsi="Arial" w:cs="Arial"/>
                <w:bCs/>
              </w:rPr>
              <w:t xml:space="preserve"> LFL </w:t>
            </w:r>
            <w:r w:rsidR="00A53B03" w:rsidRPr="00552101">
              <w:rPr>
                <w:rFonts w:ascii="Arial" w:hAnsi="Arial" w:cs="Arial"/>
                <w:bCs/>
              </w:rPr>
              <w:t>+1</w:t>
            </w:r>
            <w:r w:rsidR="002A2396" w:rsidRPr="00552101">
              <w:rPr>
                <w:rFonts w:ascii="Arial" w:hAnsi="Arial" w:cs="Arial"/>
                <w:bCs/>
              </w:rPr>
              <w:t>.</w:t>
            </w:r>
            <w:r w:rsidR="004126A7">
              <w:rPr>
                <w:rFonts w:ascii="Arial" w:hAnsi="Arial" w:cs="Arial"/>
                <w:bCs/>
              </w:rPr>
              <w:t>1</w:t>
            </w:r>
            <w:r w:rsidRPr="00552101">
              <w:rPr>
                <w:rFonts w:ascii="Arial" w:hAnsi="Arial" w:cs="Arial"/>
                <w:bCs/>
              </w:rPr>
              <w:t>%</w:t>
            </w:r>
            <w:r w:rsidR="00F317E8" w:rsidRPr="00552101">
              <w:rPr>
                <w:rFonts w:ascii="Arial" w:hAnsi="Arial" w:cs="Arial"/>
                <w:bCs/>
              </w:rPr>
              <w:t xml:space="preserve"> </w:t>
            </w:r>
            <w:r w:rsidR="006A58BC" w:rsidRPr="00552101">
              <w:rPr>
                <w:rFonts w:ascii="Arial" w:hAnsi="Arial" w:cs="Arial"/>
                <w:bCs/>
              </w:rPr>
              <w:t>reflecting good growth from the new unified ranges</w:t>
            </w:r>
            <w:r w:rsidR="00126165" w:rsidRPr="00552101">
              <w:rPr>
                <w:rFonts w:ascii="Arial" w:hAnsi="Arial" w:cs="Arial"/>
                <w:bCs/>
              </w:rPr>
              <w:t xml:space="preserve">, which continue to re-energise the Brico </w:t>
            </w:r>
            <w:proofErr w:type="spellStart"/>
            <w:r w:rsidR="00126165" w:rsidRPr="00552101">
              <w:rPr>
                <w:rFonts w:ascii="Arial" w:hAnsi="Arial" w:cs="Arial"/>
                <w:bCs/>
              </w:rPr>
              <w:t>Dépôt</w:t>
            </w:r>
            <w:proofErr w:type="spellEnd"/>
            <w:r w:rsidR="00126165" w:rsidRPr="00552101">
              <w:rPr>
                <w:rFonts w:ascii="Arial" w:hAnsi="Arial" w:cs="Arial"/>
                <w:bCs/>
              </w:rPr>
              <w:t xml:space="preserve"> offer</w:t>
            </w:r>
          </w:p>
          <w:p w14:paraId="2A60CF23" w14:textId="77777777" w:rsidR="00DF64BD" w:rsidRPr="00BF2289" w:rsidRDefault="00DF64BD" w:rsidP="00DF64BD">
            <w:pPr>
              <w:pStyle w:val="ListParagraph"/>
              <w:jc w:val="left"/>
              <w:rPr>
                <w:rFonts w:ascii="Arial" w:hAnsi="Arial" w:cs="Arial"/>
                <w:b/>
                <w:highlight w:val="yellow"/>
              </w:rPr>
            </w:pPr>
          </w:p>
          <w:p w14:paraId="5EF72916" w14:textId="77777777" w:rsidR="00DF64BD" w:rsidRPr="00BF2289" w:rsidRDefault="00DF64BD" w:rsidP="00DF64BD">
            <w:pPr>
              <w:jc w:val="left"/>
              <w:rPr>
                <w:rFonts w:ascii="Arial" w:hAnsi="Arial" w:cs="Arial"/>
                <w:szCs w:val="22"/>
              </w:rPr>
            </w:pPr>
            <w:r w:rsidRPr="00BF2289">
              <w:rPr>
                <w:rFonts w:ascii="Arial" w:hAnsi="Arial" w:cs="Arial"/>
                <w:b/>
                <w:szCs w:val="22"/>
              </w:rPr>
              <w:t>OTHER INTERNATIONAL</w:t>
            </w:r>
          </w:p>
          <w:p w14:paraId="4AF013BF" w14:textId="6C35D00A" w:rsidR="00DF64BD" w:rsidRPr="000B1016" w:rsidRDefault="000B1016" w:rsidP="000B1016">
            <w:pPr>
              <w:jc w:val="left"/>
              <w:rPr>
                <w:rFonts w:ascii="Arial" w:hAnsi="Arial" w:cs="Arial"/>
              </w:rPr>
            </w:pPr>
            <w:r>
              <w:rPr>
                <w:rFonts w:ascii="Arial" w:hAnsi="Arial" w:cs="Arial"/>
              </w:rPr>
              <w:t>Total s</w:t>
            </w:r>
            <w:r w:rsidR="00DF64BD" w:rsidRPr="000B1016">
              <w:rPr>
                <w:rFonts w:ascii="Arial" w:hAnsi="Arial" w:cs="Arial"/>
              </w:rPr>
              <w:t>ales in</w:t>
            </w:r>
            <w:r w:rsidR="00DF64BD" w:rsidRPr="000B1016">
              <w:rPr>
                <w:rFonts w:ascii="Arial" w:hAnsi="Arial" w:cs="Arial"/>
                <w:b/>
              </w:rPr>
              <w:t xml:space="preserve"> Poland </w:t>
            </w:r>
            <w:r w:rsidR="00DF64BD" w:rsidRPr="000B1016">
              <w:rPr>
                <w:rFonts w:ascii="Arial" w:hAnsi="Arial" w:cs="Arial"/>
              </w:rPr>
              <w:t>+</w:t>
            </w:r>
            <w:r w:rsidR="0024201B">
              <w:rPr>
                <w:rFonts w:ascii="Arial" w:hAnsi="Arial" w:cs="Arial"/>
              </w:rPr>
              <w:t>3.9</w:t>
            </w:r>
            <w:r w:rsidR="00DF64BD" w:rsidRPr="000B1016">
              <w:rPr>
                <w:rFonts w:ascii="Arial" w:hAnsi="Arial" w:cs="Arial"/>
              </w:rPr>
              <w:t>% (LFL +</w:t>
            </w:r>
            <w:r w:rsidR="00126165" w:rsidRPr="000B1016">
              <w:rPr>
                <w:rFonts w:ascii="Arial" w:hAnsi="Arial" w:cs="Arial"/>
              </w:rPr>
              <w:t>1.</w:t>
            </w:r>
            <w:r w:rsidR="0024201B">
              <w:rPr>
                <w:rFonts w:ascii="Arial" w:hAnsi="Arial" w:cs="Arial"/>
              </w:rPr>
              <w:t>4</w:t>
            </w:r>
            <w:r w:rsidR="00DF64BD" w:rsidRPr="000B1016">
              <w:rPr>
                <w:rFonts w:ascii="Arial" w:hAnsi="Arial" w:cs="Arial"/>
              </w:rPr>
              <w:t xml:space="preserve">%) </w:t>
            </w:r>
            <w:r w:rsidR="006A58BC" w:rsidRPr="000B1016">
              <w:rPr>
                <w:rFonts w:ascii="Arial" w:hAnsi="Arial" w:cs="Arial"/>
              </w:rPr>
              <w:t xml:space="preserve">despite the introduction of new laws on Sunday trading and </w:t>
            </w:r>
            <w:r w:rsidR="009840B6" w:rsidRPr="000B1016">
              <w:rPr>
                <w:rFonts w:ascii="Arial" w:hAnsi="Arial" w:cs="Arial"/>
              </w:rPr>
              <w:t>against a strong comparative (Q3 1</w:t>
            </w:r>
            <w:r w:rsidR="006A58BC" w:rsidRPr="000B1016">
              <w:rPr>
                <w:rFonts w:ascii="Arial" w:hAnsi="Arial" w:cs="Arial"/>
              </w:rPr>
              <w:t>7</w:t>
            </w:r>
            <w:r w:rsidR="009840B6" w:rsidRPr="000B1016">
              <w:rPr>
                <w:rFonts w:ascii="Arial" w:hAnsi="Arial" w:cs="Arial"/>
              </w:rPr>
              <w:t>/1</w:t>
            </w:r>
            <w:r w:rsidR="006A58BC" w:rsidRPr="000B1016">
              <w:rPr>
                <w:rFonts w:ascii="Arial" w:hAnsi="Arial" w:cs="Arial"/>
              </w:rPr>
              <w:t>8</w:t>
            </w:r>
            <w:r w:rsidR="00312421">
              <w:rPr>
                <w:rFonts w:ascii="Arial" w:hAnsi="Arial" w:cs="Arial"/>
              </w:rPr>
              <w:t xml:space="preserve"> LFL</w:t>
            </w:r>
            <w:r w:rsidR="009840B6" w:rsidRPr="000B1016">
              <w:rPr>
                <w:rFonts w:ascii="Arial" w:hAnsi="Arial" w:cs="Arial"/>
              </w:rPr>
              <w:t>: +</w:t>
            </w:r>
            <w:r w:rsidR="006A58BC" w:rsidRPr="000B1016">
              <w:rPr>
                <w:rFonts w:ascii="Arial" w:hAnsi="Arial" w:cs="Arial"/>
              </w:rPr>
              <w:t>6</w:t>
            </w:r>
            <w:r w:rsidR="009840B6" w:rsidRPr="000B1016">
              <w:rPr>
                <w:rFonts w:ascii="Arial" w:hAnsi="Arial" w:cs="Arial"/>
              </w:rPr>
              <w:t>.</w:t>
            </w:r>
            <w:r w:rsidR="006A58BC" w:rsidRPr="000B1016">
              <w:rPr>
                <w:rFonts w:ascii="Arial" w:hAnsi="Arial" w:cs="Arial"/>
              </w:rPr>
              <w:t>0</w:t>
            </w:r>
            <w:r w:rsidR="009840B6" w:rsidRPr="000B1016">
              <w:rPr>
                <w:rFonts w:ascii="Arial" w:hAnsi="Arial" w:cs="Arial"/>
              </w:rPr>
              <w:t>%)</w:t>
            </w:r>
            <w:r w:rsidR="006A58BC" w:rsidRPr="000B1016">
              <w:rPr>
                <w:rFonts w:ascii="Arial" w:hAnsi="Arial" w:cs="Arial"/>
              </w:rPr>
              <w:t xml:space="preserve"> </w:t>
            </w:r>
          </w:p>
          <w:p w14:paraId="77326FA8" w14:textId="77777777" w:rsidR="00DF64BD" w:rsidRPr="00BF2289" w:rsidRDefault="00DF64BD" w:rsidP="00036D3F">
            <w:pPr>
              <w:pStyle w:val="ListParagraph"/>
              <w:ind w:left="754"/>
              <w:jc w:val="left"/>
              <w:rPr>
                <w:rFonts w:ascii="Arial" w:hAnsi="Arial" w:cs="Arial"/>
                <w:b/>
              </w:rPr>
            </w:pPr>
          </w:p>
        </w:tc>
      </w:tr>
    </w:tbl>
    <w:p w14:paraId="475C21E4" w14:textId="77777777" w:rsidR="006A5258" w:rsidRDefault="006A5258" w:rsidP="003A3D0F">
      <w:pPr>
        <w:pStyle w:val="ListParagraph"/>
        <w:ind w:left="754"/>
        <w:jc w:val="left"/>
        <w:rPr>
          <w:rFonts w:ascii="Arial" w:hAnsi="Arial" w:cs="Arial"/>
          <w:b/>
          <w:sz w:val="24"/>
          <w:szCs w:val="24"/>
        </w:rPr>
      </w:pPr>
    </w:p>
    <w:p w14:paraId="04644343" w14:textId="77777777" w:rsidR="006A4324" w:rsidRPr="00BF02AE" w:rsidRDefault="006A4324" w:rsidP="006A4324">
      <w:pPr>
        <w:jc w:val="left"/>
        <w:rPr>
          <w:rFonts w:ascii="Arial" w:hAnsi="Arial" w:cs="Arial"/>
          <w:color w:val="000000"/>
          <w:sz w:val="24"/>
          <w:szCs w:val="24"/>
        </w:rPr>
      </w:pPr>
      <w:r>
        <w:rPr>
          <w:rFonts w:ascii="Arial" w:hAnsi="Arial" w:cs="Arial"/>
          <w:b/>
          <w:sz w:val="24"/>
          <w:szCs w:val="24"/>
        </w:rPr>
        <w:t>Footnotes</w:t>
      </w:r>
    </w:p>
    <w:p w14:paraId="1575132C" w14:textId="77777777" w:rsidR="006A4324" w:rsidRDefault="006A4324" w:rsidP="006A4324">
      <w:pPr>
        <w:jc w:val="left"/>
        <w:rPr>
          <w:rFonts w:ascii="Arial" w:hAnsi="Arial" w:cs="Arial"/>
          <w:b/>
          <w:sz w:val="24"/>
          <w:szCs w:val="24"/>
        </w:rPr>
      </w:pPr>
    </w:p>
    <w:p w14:paraId="476D2A71" w14:textId="77777777" w:rsidR="006A4324" w:rsidRDefault="006A4324" w:rsidP="006A4324">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 </w:t>
      </w:r>
    </w:p>
    <w:p w14:paraId="65746109" w14:textId="0D1150DF" w:rsidR="001654AC" w:rsidRDefault="001654AC" w:rsidP="001654AC">
      <w:pPr>
        <w:jc w:val="left"/>
        <w:rPr>
          <w:rFonts w:ascii="Arial" w:hAnsi="Arial" w:cs="Arial"/>
          <w:bCs/>
          <w:szCs w:val="22"/>
        </w:rPr>
      </w:pPr>
      <w:r w:rsidRPr="004148A3">
        <w:rPr>
          <w:rFonts w:ascii="Arial" w:hAnsi="Arial" w:cs="Arial"/>
          <w:bCs/>
          <w:szCs w:val="22"/>
          <w:vertAlign w:val="superscript"/>
        </w:rPr>
        <w:t>(</w:t>
      </w:r>
      <w:r>
        <w:rPr>
          <w:rFonts w:ascii="Arial" w:hAnsi="Arial" w:cs="Arial"/>
          <w:bCs/>
          <w:szCs w:val="22"/>
          <w:vertAlign w:val="superscript"/>
        </w:rPr>
        <w:t>2</w:t>
      </w:r>
      <w:r w:rsidRPr="004148A3">
        <w:rPr>
          <w:rFonts w:ascii="Arial" w:hAnsi="Arial" w:cs="Arial"/>
          <w:bCs/>
          <w:szCs w:val="22"/>
          <w:vertAlign w:val="superscript"/>
        </w:rPr>
        <w:t>)</w:t>
      </w:r>
      <w:r w:rsidRPr="004148A3">
        <w:rPr>
          <w:rFonts w:ascii="Arial" w:hAnsi="Arial" w:cs="Arial"/>
          <w:bCs/>
          <w:szCs w:val="22"/>
        </w:rPr>
        <w:t xml:space="preserve"> </w:t>
      </w:r>
      <w:r w:rsidR="00990883">
        <w:rPr>
          <w:rFonts w:ascii="Arial" w:hAnsi="Arial" w:cs="Arial"/>
          <w:bCs/>
          <w:szCs w:val="22"/>
        </w:rPr>
        <w:t xml:space="preserve">Brico </w:t>
      </w:r>
      <w:proofErr w:type="spellStart"/>
      <w:r w:rsidR="00990883" w:rsidRPr="00B602EA">
        <w:rPr>
          <w:rFonts w:ascii="Arial" w:hAnsi="Arial" w:cs="Arial"/>
          <w:bCs/>
        </w:rPr>
        <w:t>D</w:t>
      </w:r>
      <w:r w:rsidR="00990883">
        <w:rPr>
          <w:rFonts w:ascii="Arial" w:hAnsi="Arial" w:cs="Arial"/>
          <w:bCs/>
        </w:rPr>
        <w:t>e</w:t>
      </w:r>
      <w:r w:rsidR="00990883" w:rsidRPr="00B602EA">
        <w:rPr>
          <w:rFonts w:ascii="Arial" w:hAnsi="Arial" w:cs="Arial"/>
          <w:bCs/>
        </w:rPr>
        <w:t>pôt</w:t>
      </w:r>
      <w:proofErr w:type="spellEnd"/>
      <w:r w:rsidR="00990883">
        <w:rPr>
          <w:rFonts w:ascii="Arial" w:hAnsi="Arial" w:cs="Arial"/>
          <w:bCs/>
          <w:szCs w:val="22"/>
        </w:rPr>
        <w:t xml:space="preserve"> Spain &amp; Portugal</w:t>
      </w:r>
      <w:r w:rsidR="00282F73">
        <w:rPr>
          <w:rFonts w:ascii="Arial" w:hAnsi="Arial" w:cs="Arial"/>
          <w:bCs/>
          <w:szCs w:val="22"/>
        </w:rPr>
        <w:t xml:space="preserve">. Brico </w:t>
      </w:r>
      <w:proofErr w:type="spellStart"/>
      <w:r w:rsidR="00282F73" w:rsidRPr="00B602EA">
        <w:rPr>
          <w:rFonts w:ascii="Arial" w:hAnsi="Arial" w:cs="Arial"/>
          <w:bCs/>
        </w:rPr>
        <w:t>Dépôt</w:t>
      </w:r>
      <w:proofErr w:type="spellEnd"/>
      <w:r w:rsidR="00282F73">
        <w:rPr>
          <w:rFonts w:ascii="Arial" w:hAnsi="Arial" w:cs="Arial"/>
          <w:bCs/>
          <w:szCs w:val="22"/>
        </w:rPr>
        <w:t xml:space="preserve"> Spain </w:t>
      </w:r>
      <w:r w:rsidR="00282F73" w:rsidRPr="003722E0">
        <w:rPr>
          <w:rFonts w:ascii="Arial" w:hAnsi="Arial" w:cs="Arial"/>
          <w:bCs/>
          <w:szCs w:val="22"/>
        </w:rPr>
        <w:t xml:space="preserve">reported </w:t>
      </w:r>
      <w:r w:rsidR="00282F73">
        <w:rPr>
          <w:rFonts w:ascii="Arial" w:hAnsi="Arial" w:cs="Arial"/>
          <w:bCs/>
          <w:szCs w:val="22"/>
        </w:rPr>
        <w:t xml:space="preserve">an </w:t>
      </w:r>
      <w:r w:rsidR="00282F73" w:rsidRPr="003722E0">
        <w:rPr>
          <w:rFonts w:ascii="Arial" w:hAnsi="Arial" w:cs="Arial"/>
          <w:bCs/>
          <w:szCs w:val="22"/>
        </w:rPr>
        <w:t>operating profit of £</w:t>
      </w:r>
      <w:r w:rsidR="00282F73">
        <w:rPr>
          <w:rFonts w:ascii="Arial" w:hAnsi="Arial" w:cs="Arial"/>
          <w:bCs/>
          <w:szCs w:val="22"/>
        </w:rPr>
        <w:t>2</w:t>
      </w:r>
      <w:r w:rsidR="00282F73" w:rsidRPr="003722E0">
        <w:rPr>
          <w:rFonts w:ascii="Arial" w:hAnsi="Arial" w:cs="Arial"/>
          <w:bCs/>
          <w:szCs w:val="22"/>
        </w:rPr>
        <w:t>m</w:t>
      </w:r>
      <w:r w:rsidR="00282F73">
        <w:rPr>
          <w:rFonts w:ascii="Arial" w:hAnsi="Arial" w:cs="Arial"/>
          <w:bCs/>
          <w:szCs w:val="22"/>
        </w:rPr>
        <w:t xml:space="preserve"> &amp; Portugal </w:t>
      </w:r>
      <w:r w:rsidR="00282F73" w:rsidRPr="003722E0">
        <w:rPr>
          <w:rFonts w:ascii="Arial" w:hAnsi="Arial" w:cs="Arial"/>
          <w:bCs/>
          <w:szCs w:val="22"/>
        </w:rPr>
        <w:t xml:space="preserve">reported </w:t>
      </w:r>
      <w:r w:rsidR="00282F73">
        <w:rPr>
          <w:rFonts w:ascii="Arial" w:hAnsi="Arial" w:cs="Arial"/>
          <w:bCs/>
          <w:szCs w:val="22"/>
        </w:rPr>
        <w:t xml:space="preserve">an </w:t>
      </w:r>
      <w:r w:rsidR="00282F73" w:rsidRPr="003722E0">
        <w:rPr>
          <w:rFonts w:ascii="Arial" w:hAnsi="Arial" w:cs="Arial"/>
          <w:bCs/>
          <w:szCs w:val="22"/>
        </w:rPr>
        <w:t xml:space="preserve">operating </w:t>
      </w:r>
      <w:r w:rsidR="00282F73">
        <w:rPr>
          <w:rFonts w:ascii="Arial" w:hAnsi="Arial" w:cs="Arial"/>
          <w:bCs/>
          <w:szCs w:val="22"/>
        </w:rPr>
        <w:t>loss</w:t>
      </w:r>
      <w:r w:rsidR="00282F73" w:rsidRPr="003722E0">
        <w:rPr>
          <w:rFonts w:ascii="Arial" w:hAnsi="Arial" w:cs="Arial"/>
          <w:bCs/>
          <w:szCs w:val="22"/>
        </w:rPr>
        <w:t xml:space="preserve"> of £</w:t>
      </w:r>
      <w:r w:rsidR="00282F73">
        <w:rPr>
          <w:rFonts w:ascii="Arial" w:hAnsi="Arial" w:cs="Arial"/>
          <w:bCs/>
          <w:szCs w:val="22"/>
        </w:rPr>
        <w:t>2</w:t>
      </w:r>
      <w:r w:rsidR="00282F73" w:rsidRPr="003722E0">
        <w:rPr>
          <w:rFonts w:ascii="Arial" w:hAnsi="Arial" w:cs="Arial"/>
          <w:bCs/>
          <w:szCs w:val="22"/>
        </w:rPr>
        <w:t xml:space="preserve">m in </w:t>
      </w:r>
      <w:r w:rsidR="00282F73">
        <w:rPr>
          <w:rFonts w:ascii="Arial" w:hAnsi="Arial" w:cs="Arial"/>
          <w:bCs/>
          <w:szCs w:val="22"/>
        </w:rPr>
        <w:t>FY 17/18</w:t>
      </w:r>
    </w:p>
    <w:p w14:paraId="3B5AD0DB" w14:textId="28754AA8" w:rsidR="00282F73" w:rsidRDefault="00282F73" w:rsidP="00282F73">
      <w:pPr>
        <w:jc w:val="left"/>
        <w:rPr>
          <w:rFonts w:ascii="Arial" w:hAnsi="Arial" w:cs="Arial"/>
          <w:bCs/>
          <w:szCs w:val="22"/>
        </w:rPr>
      </w:pPr>
      <w:r w:rsidRPr="004148A3">
        <w:rPr>
          <w:rFonts w:ascii="Arial" w:hAnsi="Arial" w:cs="Arial"/>
          <w:bCs/>
          <w:szCs w:val="22"/>
          <w:vertAlign w:val="superscript"/>
        </w:rPr>
        <w:t>(</w:t>
      </w:r>
      <w:r>
        <w:rPr>
          <w:rFonts w:ascii="Arial" w:hAnsi="Arial" w:cs="Arial"/>
          <w:bCs/>
          <w:szCs w:val="22"/>
          <w:vertAlign w:val="superscript"/>
        </w:rPr>
        <w:t>3</w:t>
      </w:r>
      <w:r w:rsidRPr="004148A3">
        <w:rPr>
          <w:rFonts w:ascii="Arial" w:hAnsi="Arial" w:cs="Arial"/>
          <w:bCs/>
          <w:szCs w:val="22"/>
          <w:vertAlign w:val="superscript"/>
        </w:rPr>
        <w:t>)</w:t>
      </w:r>
      <w:r w:rsidRPr="004148A3">
        <w:rPr>
          <w:rFonts w:ascii="Arial" w:hAnsi="Arial" w:cs="Arial"/>
          <w:bCs/>
          <w:szCs w:val="22"/>
        </w:rPr>
        <w:t xml:space="preserve"> </w:t>
      </w:r>
      <w:r>
        <w:rPr>
          <w:rFonts w:ascii="Arial" w:hAnsi="Arial" w:cs="Arial"/>
          <w:bCs/>
          <w:szCs w:val="22"/>
        </w:rPr>
        <w:t xml:space="preserve">Russia reported an operating loss </w:t>
      </w:r>
      <w:r w:rsidRPr="003722E0">
        <w:rPr>
          <w:rFonts w:ascii="Arial" w:hAnsi="Arial" w:cs="Arial"/>
          <w:bCs/>
          <w:szCs w:val="22"/>
        </w:rPr>
        <w:t>of £</w:t>
      </w:r>
      <w:r>
        <w:rPr>
          <w:rFonts w:ascii="Arial" w:hAnsi="Arial" w:cs="Arial"/>
          <w:bCs/>
          <w:szCs w:val="22"/>
        </w:rPr>
        <w:t>8</w:t>
      </w:r>
      <w:r w:rsidRPr="003722E0">
        <w:rPr>
          <w:rFonts w:ascii="Arial" w:hAnsi="Arial" w:cs="Arial"/>
          <w:bCs/>
          <w:szCs w:val="22"/>
        </w:rPr>
        <w:t xml:space="preserve">m in </w:t>
      </w:r>
      <w:r>
        <w:rPr>
          <w:rFonts w:ascii="Arial" w:hAnsi="Arial" w:cs="Arial"/>
          <w:bCs/>
          <w:szCs w:val="22"/>
        </w:rPr>
        <w:t>FY 17/18</w:t>
      </w:r>
    </w:p>
    <w:p w14:paraId="3F1F5DE9" w14:textId="6A55D8E2" w:rsidR="00074A75" w:rsidRDefault="00074A75" w:rsidP="00074A75">
      <w:pPr>
        <w:jc w:val="left"/>
        <w:rPr>
          <w:rFonts w:ascii="Arial" w:hAnsi="Arial" w:cs="Arial"/>
          <w:bCs/>
          <w:szCs w:val="22"/>
        </w:rPr>
      </w:pPr>
      <w:r w:rsidRPr="004148A3">
        <w:rPr>
          <w:rFonts w:ascii="Arial" w:hAnsi="Arial" w:cs="Arial"/>
          <w:bCs/>
          <w:szCs w:val="22"/>
          <w:vertAlign w:val="superscript"/>
        </w:rPr>
        <w:t>(</w:t>
      </w:r>
      <w:r w:rsidR="00282F73">
        <w:rPr>
          <w:rFonts w:ascii="Arial" w:hAnsi="Arial" w:cs="Arial"/>
          <w:bCs/>
          <w:szCs w:val="22"/>
          <w:vertAlign w:val="superscript"/>
        </w:rPr>
        <w:t>4</w:t>
      </w:r>
      <w:r w:rsidRPr="004148A3">
        <w:rPr>
          <w:rFonts w:ascii="Arial" w:hAnsi="Arial" w:cs="Arial"/>
          <w:bCs/>
          <w:szCs w:val="22"/>
          <w:vertAlign w:val="superscript"/>
        </w:rPr>
        <w:t>)</w:t>
      </w:r>
      <w:r w:rsidRPr="004148A3">
        <w:rPr>
          <w:rFonts w:ascii="Arial" w:hAnsi="Arial" w:cs="Arial"/>
          <w:bCs/>
          <w:szCs w:val="22"/>
        </w:rPr>
        <w:t xml:space="preserve"> </w:t>
      </w:r>
      <w:r w:rsidRPr="003722E0">
        <w:rPr>
          <w:rFonts w:ascii="Arial" w:hAnsi="Arial" w:cs="Arial"/>
          <w:bCs/>
          <w:szCs w:val="22"/>
        </w:rPr>
        <w:t xml:space="preserve">Includes </w:t>
      </w:r>
      <w:proofErr w:type="spellStart"/>
      <w:r w:rsidRPr="003722E0">
        <w:rPr>
          <w:rFonts w:ascii="Arial" w:hAnsi="Arial" w:cs="Arial"/>
          <w:bCs/>
          <w:szCs w:val="22"/>
        </w:rPr>
        <w:t>Praktiker</w:t>
      </w:r>
      <w:proofErr w:type="spellEnd"/>
      <w:r w:rsidRPr="003722E0">
        <w:rPr>
          <w:rFonts w:ascii="Arial" w:hAnsi="Arial" w:cs="Arial"/>
          <w:bCs/>
          <w:szCs w:val="22"/>
        </w:rPr>
        <w:t xml:space="preserve"> Romania acquired on 30 November 2017</w:t>
      </w:r>
    </w:p>
    <w:p w14:paraId="344DF68D" w14:textId="580BD207" w:rsidR="006A4324" w:rsidRPr="003616A3" w:rsidRDefault="003722E0" w:rsidP="006A4324">
      <w:pPr>
        <w:jc w:val="left"/>
        <w:rPr>
          <w:rFonts w:ascii="Arial" w:hAnsi="Arial" w:cs="Arial"/>
          <w:bCs/>
          <w:sz w:val="20"/>
          <w:szCs w:val="22"/>
        </w:rPr>
      </w:pPr>
      <w:r w:rsidRPr="004148A3">
        <w:rPr>
          <w:rFonts w:ascii="Arial" w:hAnsi="Arial" w:cs="Arial"/>
          <w:bCs/>
          <w:szCs w:val="22"/>
          <w:vertAlign w:val="superscript"/>
        </w:rPr>
        <w:t>(</w:t>
      </w:r>
      <w:r w:rsidR="00282F73">
        <w:rPr>
          <w:rFonts w:ascii="Arial" w:hAnsi="Arial" w:cs="Arial"/>
          <w:bCs/>
          <w:szCs w:val="22"/>
          <w:vertAlign w:val="superscript"/>
        </w:rPr>
        <w:t>5</w:t>
      </w:r>
      <w:r w:rsidRPr="004148A3">
        <w:rPr>
          <w:rFonts w:ascii="Arial" w:hAnsi="Arial" w:cs="Arial"/>
          <w:bCs/>
          <w:szCs w:val="22"/>
          <w:vertAlign w:val="superscript"/>
        </w:rPr>
        <w:t>)</w:t>
      </w:r>
      <w:r w:rsidRPr="003722E0">
        <w:rPr>
          <w:rFonts w:ascii="Arial" w:hAnsi="Arial" w:cs="Arial"/>
          <w:bCs/>
          <w:szCs w:val="22"/>
        </w:rPr>
        <w:t xml:space="preserve"> Through to end of FY 2018/19 (over and above the annual ordinary dividend)</w:t>
      </w:r>
      <w:r w:rsidRPr="003722E0">
        <w:rPr>
          <w:rFonts w:ascii="Arial" w:hAnsi="Arial" w:cs="Arial"/>
          <w:bCs/>
          <w:szCs w:val="22"/>
        </w:rPr>
        <w:cr/>
      </w:r>
      <w:r w:rsidR="006A4324" w:rsidRPr="004148A3">
        <w:rPr>
          <w:rFonts w:ascii="Arial" w:hAnsi="Arial" w:cs="Arial"/>
          <w:bCs/>
          <w:szCs w:val="22"/>
          <w:vertAlign w:val="superscript"/>
        </w:rPr>
        <w:t>(</w:t>
      </w:r>
      <w:r w:rsidR="00282F73">
        <w:rPr>
          <w:rFonts w:ascii="Arial" w:hAnsi="Arial" w:cs="Arial"/>
          <w:bCs/>
          <w:szCs w:val="22"/>
          <w:vertAlign w:val="superscript"/>
        </w:rPr>
        <w:t>6</w:t>
      </w:r>
      <w:r w:rsidR="006A4324" w:rsidRPr="004148A3">
        <w:rPr>
          <w:rFonts w:ascii="Arial" w:hAnsi="Arial" w:cs="Arial"/>
          <w:bCs/>
          <w:szCs w:val="22"/>
          <w:vertAlign w:val="superscript"/>
        </w:rPr>
        <w:t>)</w:t>
      </w:r>
      <w:r w:rsidR="006A4324" w:rsidRPr="004148A3">
        <w:rPr>
          <w:rFonts w:ascii="Arial" w:hAnsi="Arial" w:cs="Arial"/>
          <w:bCs/>
          <w:szCs w:val="22"/>
        </w:rPr>
        <w:t xml:space="preserve"> Includes relocated and extended stores </w:t>
      </w:r>
      <w:hyperlink r:id="rId8" w:history="1">
        <w:r w:rsidR="006A4324" w:rsidRPr="00F31CA1">
          <w:rPr>
            <w:rStyle w:val="Hyperlink"/>
            <w:rFonts w:ascii="Arial" w:hAnsi="Arial" w:cs="Arial"/>
            <w:iCs/>
            <w:szCs w:val="22"/>
          </w:rPr>
          <w:t>http://webstat.banque-france.fr/en/browse.do?node=5384326</w:t>
        </w:r>
      </w:hyperlink>
    </w:p>
    <w:p w14:paraId="5ECDE0BD" w14:textId="77777777" w:rsidR="00A82207" w:rsidRDefault="00A82207" w:rsidP="006A4324">
      <w:pPr>
        <w:jc w:val="left"/>
        <w:rPr>
          <w:rFonts w:ascii="Arial" w:hAnsi="Arial" w:cs="Arial"/>
          <w:b/>
          <w:sz w:val="24"/>
          <w:szCs w:val="24"/>
        </w:rPr>
      </w:pPr>
    </w:p>
    <w:p w14:paraId="5C348F44" w14:textId="0EE1FB20" w:rsidR="00F25313" w:rsidRDefault="00F25313" w:rsidP="006A4324">
      <w:pPr>
        <w:jc w:val="left"/>
        <w:rPr>
          <w:rFonts w:ascii="Arial" w:hAnsi="Arial" w:cs="Arial"/>
          <w:b/>
          <w:sz w:val="24"/>
          <w:szCs w:val="24"/>
        </w:rPr>
      </w:pPr>
    </w:p>
    <w:p w14:paraId="0E6BB1B4" w14:textId="19691274" w:rsidR="00F25313" w:rsidRDefault="00F25313" w:rsidP="006A4324">
      <w:pPr>
        <w:jc w:val="left"/>
        <w:rPr>
          <w:rFonts w:ascii="Arial" w:hAnsi="Arial" w:cs="Arial"/>
          <w:b/>
          <w:sz w:val="24"/>
          <w:szCs w:val="24"/>
        </w:rPr>
      </w:pPr>
    </w:p>
    <w:p w14:paraId="6EF5AA8E" w14:textId="5A3F6F1D" w:rsidR="00AA06CB" w:rsidRDefault="00AA06CB" w:rsidP="006A4324">
      <w:pPr>
        <w:jc w:val="left"/>
        <w:rPr>
          <w:rFonts w:ascii="Arial" w:hAnsi="Arial" w:cs="Arial"/>
          <w:b/>
          <w:sz w:val="24"/>
          <w:szCs w:val="24"/>
        </w:rPr>
      </w:pPr>
    </w:p>
    <w:p w14:paraId="4E969FC0" w14:textId="670B78C9" w:rsidR="00AA06CB" w:rsidRDefault="00AA06CB" w:rsidP="006A4324">
      <w:pPr>
        <w:jc w:val="left"/>
        <w:rPr>
          <w:rFonts w:ascii="Arial" w:hAnsi="Arial" w:cs="Arial"/>
          <w:b/>
          <w:sz w:val="24"/>
          <w:szCs w:val="24"/>
        </w:rPr>
      </w:pPr>
    </w:p>
    <w:p w14:paraId="3E25998D" w14:textId="77777777" w:rsidR="00EB0D1B" w:rsidRDefault="00EB0D1B" w:rsidP="006A4324">
      <w:pPr>
        <w:jc w:val="left"/>
        <w:rPr>
          <w:rFonts w:ascii="Arial" w:hAnsi="Arial" w:cs="Arial"/>
          <w:b/>
          <w:sz w:val="24"/>
          <w:szCs w:val="24"/>
        </w:rPr>
      </w:pPr>
    </w:p>
    <w:p w14:paraId="2C1E853E" w14:textId="364A5FCB" w:rsidR="006A4324" w:rsidRPr="00BF02AE" w:rsidRDefault="006A4324" w:rsidP="006A4324">
      <w:pPr>
        <w:jc w:val="left"/>
        <w:rPr>
          <w:rFonts w:ascii="Arial" w:hAnsi="Arial" w:cs="Arial"/>
          <w:color w:val="000000"/>
          <w:sz w:val="24"/>
          <w:szCs w:val="24"/>
        </w:rPr>
      </w:pPr>
      <w:r>
        <w:rPr>
          <w:rFonts w:ascii="Arial" w:hAnsi="Arial" w:cs="Arial"/>
          <w:b/>
          <w:sz w:val="24"/>
          <w:szCs w:val="24"/>
        </w:rPr>
        <w:t xml:space="preserve">Contacts </w:t>
      </w:r>
    </w:p>
    <w:tbl>
      <w:tblPr>
        <w:tblW w:w="5000" w:type="pct"/>
        <w:tblInd w:w="-106" w:type="dxa"/>
        <w:tblLook w:val="01E0" w:firstRow="1" w:lastRow="1" w:firstColumn="1" w:lastColumn="1" w:noHBand="0" w:noVBand="0"/>
      </w:tblPr>
      <w:tblGrid>
        <w:gridCol w:w="3257"/>
        <w:gridCol w:w="3003"/>
        <w:gridCol w:w="3521"/>
      </w:tblGrid>
      <w:tr w:rsidR="006A4324" w14:paraId="1D428C2B" w14:textId="77777777" w:rsidTr="00783D32">
        <w:tc>
          <w:tcPr>
            <w:tcW w:w="1665" w:type="pct"/>
            <w:hideMark/>
          </w:tcPr>
          <w:p w14:paraId="29EA7451" w14:textId="77777777" w:rsidR="006A4324" w:rsidRDefault="006A4324" w:rsidP="00783D32">
            <w:pPr>
              <w:jc w:val="left"/>
              <w:rPr>
                <w:rFonts w:ascii="Arial" w:hAnsi="Arial" w:cs="Arial"/>
              </w:rPr>
            </w:pPr>
          </w:p>
          <w:p w14:paraId="227D0445" w14:textId="77777777" w:rsidR="006A4324" w:rsidRPr="00794BC4" w:rsidRDefault="006A4324" w:rsidP="00783D32">
            <w:pPr>
              <w:jc w:val="left"/>
              <w:rPr>
                <w:rFonts w:ascii="Arial" w:hAnsi="Arial" w:cs="Arial"/>
              </w:rPr>
            </w:pPr>
            <w:r w:rsidRPr="00794BC4">
              <w:rPr>
                <w:rFonts w:ascii="Arial" w:hAnsi="Arial" w:cs="Arial"/>
              </w:rPr>
              <w:t>Investor Relations</w:t>
            </w:r>
          </w:p>
        </w:tc>
        <w:tc>
          <w:tcPr>
            <w:tcW w:w="1535" w:type="pct"/>
            <w:hideMark/>
          </w:tcPr>
          <w:p w14:paraId="3119916D" w14:textId="77777777" w:rsidR="006A4324" w:rsidRPr="00794BC4" w:rsidRDefault="006A4324" w:rsidP="00783D32">
            <w:pPr>
              <w:jc w:val="right"/>
              <w:rPr>
                <w:rFonts w:ascii="Arial" w:hAnsi="Arial" w:cs="Arial"/>
              </w:rPr>
            </w:pPr>
            <w:r w:rsidRPr="00794BC4">
              <w:rPr>
                <w:rFonts w:ascii="Arial" w:hAnsi="Arial" w:cs="Arial"/>
              </w:rPr>
              <w:t>Tel:</w:t>
            </w:r>
          </w:p>
          <w:p w14:paraId="3CECCB94" w14:textId="77777777" w:rsidR="006A4324" w:rsidRPr="00794BC4" w:rsidRDefault="006A4324" w:rsidP="00783D32">
            <w:pPr>
              <w:jc w:val="right"/>
              <w:rPr>
                <w:rFonts w:ascii="Arial" w:hAnsi="Arial" w:cs="Arial"/>
              </w:rPr>
            </w:pPr>
            <w:r w:rsidRPr="00794BC4">
              <w:rPr>
                <w:rFonts w:ascii="Arial" w:hAnsi="Arial" w:cs="Arial"/>
              </w:rPr>
              <w:t>+44 (0) 20 7644 1082</w:t>
            </w:r>
          </w:p>
        </w:tc>
        <w:tc>
          <w:tcPr>
            <w:tcW w:w="1800" w:type="pct"/>
          </w:tcPr>
          <w:p w14:paraId="634AC375" w14:textId="77777777" w:rsidR="006A4324" w:rsidRPr="00794BC4" w:rsidRDefault="006A4324" w:rsidP="00783D32">
            <w:pPr>
              <w:jc w:val="right"/>
              <w:rPr>
                <w:rFonts w:ascii="Arial" w:hAnsi="Arial" w:cs="Arial"/>
              </w:rPr>
            </w:pPr>
            <w:r w:rsidRPr="00794BC4">
              <w:rPr>
                <w:rFonts w:ascii="Arial" w:hAnsi="Arial" w:cs="Arial"/>
              </w:rPr>
              <w:t>Email:</w:t>
            </w:r>
          </w:p>
          <w:p w14:paraId="46393F69" w14:textId="77777777" w:rsidR="006A4324" w:rsidRPr="00794BC4" w:rsidRDefault="006A4324" w:rsidP="00783D32">
            <w:pPr>
              <w:jc w:val="right"/>
              <w:rPr>
                <w:rFonts w:ascii="Arial" w:hAnsi="Arial" w:cs="Arial"/>
              </w:rPr>
            </w:pPr>
            <w:r w:rsidRPr="00794BC4">
              <w:rPr>
                <w:rFonts w:ascii="Arial" w:hAnsi="Arial" w:cs="Arial"/>
              </w:rPr>
              <w:t>investorenquiries@kingfisher.com</w:t>
            </w:r>
          </w:p>
        </w:tc>
      </w:tr>
      <w:tr w:rsidR="006A4324" w14:paraId="209DD6E6" w14:textId="77777777" w:rsidTr="00783D32">
        <w:tc>
          <w:tcPr>
            <w:tcW w:w="1665" w:type="pct"/>
            <w:hideMark/>
          </w:tcPr>
          <w:p w14:paraId="1D080C1D" w14:textId="77777777" w:rsidR="006A4324" w:rsidRPr="00794BC4" w:rsidRDefault="006A4324" w:rsidP="00783D32">
            <w:pPr>
              <w:jc w:val="left"/>
              <w:rPr>
                <w:rFonts w:ascii="Arial" w:hAnsi="Arial" w:cs="Arial"/>
              </w:rPr>
            </w:pPr>
            <w:r w:rsidRPr="00794BC4">
              <w:rPr>
                <w:rFonts w:ascii="Arial" w:hAnsi="Arial" w:cs="Arial"/>
              </w:rPr>
              <w:t>Media Relations</w:t>
            </w:r>
          </w:p>
        </w:tc>
        <w:tc>
          <w:tcPr>
            <w:tcW w:w="1535" w:type="pct"/>
            <w:hideMark/>
          </w:tcPr>
          <w:p w14:paraId="58C57ABE" w14:textId="77777777" w:rsidR="006A4324" w:rsidRPr="00794BC4" w:rsidRDefault="006A4324" w:rsidP="00783D32">
            <w:pPr>
              <w:jc w:val="right"/>
              <w:rPr>
                <w:rFonts w:ascii="Arial" w:hAnsi="Arial" w:cs="Arial"/>
              </w:rPr>
            </w:pPr>
            <w:r w:rsidRPr="00794BC4">
              <w:rPr>
                <w:rFonts w:ascii="Arial" w:hAnsi="Arial" w:cs="Arial"/>
              </w:rPr>
              <w:t>+44 (0) 20 7644 1030</w:t>
            </w:r>
          </w:p>
        </w:tc>
        <w:tc>
          <w:tcPr>
            <w:tcW w:w="1800" w:type="pct"/>
          </w:tcPr>
          <w:p w14:paraId="2B02AC6F" w14:textId="77777777" w:rsidR="006A4324" w:rsidRPr="00794BC4" w:rsidRDefault="006A4324" w:rsidP="00783D32">
            <w:pPr>
              <w:jc w:val="right"/>
              <w:rPr>
                <w:rFonts w:ascii="Arial" w:hAnsi="Arial" w:cs="Arial"/>
              </w:rPr>
            </w:pPr>
            <w:r>
              <w:rPr>
                <w:rFonts w:ascii="Arial" w:hAnsi="Arial" w:cs="Arial"/>
              </w:rPr>
              <w:t>corpcomms</w:t>
            </w:r>
            <w:r w:rsidRPr="00794BC4">
              <w:rPr>
                <w:rFonts w:ascii="Arial" w:hAnsi="Arial" w:cs="Arial"/>
              </w:rPr>
              <w:t>@kingfisher.com</w:t>
            </w:r>
          </w:p>
        </w:tc>
      </w:tr>
      <w:tr w:rsidR="006A4324" w14:paraId="5709816D" w14:textId="77777777" w:rsidTr="00783D32">
        <w:tc>
          <w:tcPr>
            <w:tcW w:w="1665" w:type="pct"/>
            <w:hideMark/>
          </w:tcPr>
          <w:p w14:paraId="6249EE59" w14:textId="66B681AA" w:rsidR="006A4324" w:rsidRPr="00794BC4" w:rsidRDefault="006A4324" w:rsidP="00783D32">
            <w:pPr>
              <w:jc w:val="left"/>
              <w:rPr>
                <w:rFonts w:ascii="Arial" w:hAnsi="Arial" w:cs="Arial"/>
              </w:rPr>
            </w:pPr>
            <w:proofErr w:type="spellStart"/>
            <w:r w:rsidRPr="00794BC4">
              <w:rPr>
                <w:rFonts w:ascii="Arial" w:hAnsi="Arial" w:cs="Arial"/>
              </w:rPr>
              <w:t>Teneo</w:t>
            </w:r>
            <w:proofErr w:type="spellEnd"/>
            <w:r w:rsidRPr="00794BC4">
              <w:rPr>
                <w:rFonts w:ascii="Arial" w:hAnsi="Arial" w:cs="Arial"/>
              </w:rPr>
              <w:t xml:space="preserve"> </w:t>
            </w:r>
          </w:p>
        </w:tc>
        <w:tc>
          <w:tcPr>
            <w:tcW w:w="1535" w:type="pct"/>
            <w:hideMark/>
          </w:tcPr>
          <w:p w14:paraId="4949C065" w14:textId="77777777" w:rsidR="006A4324" w:rsidRPr="00794BC4" w:rsidRDefault="006A4324" w:rsidP="00783D32">
            <w:pPr>
              <w:jc w:val="right"/>
              <w:rPr>
                <w:rFonts w:ascii="Arial" w:hAnsi="Arial" w:cs="Arial"/>
              </w:rPr>
            </w:pPr>
            <w:r w:rsidRPr="00794BC4">
              <w:rPr>
                <w:rFonts w:ascii="Arial" w:hAnsi="Arial" w:cs="Arial"/>
              </w:rPr>
              <w:t>+44 (0) 20 7260 2700</w:t>
            </w:r>
          </w:p>
          <w:p w14:paraId="2D66CA65" w14:textId="77777777" w:rsidR="006A4324" w:rsidRPr="00794BC4" w:rsidRDefault="006A4324" w:rsidP="00783D32">
            <w:pPr>
              <w:jc w:val="right"/>
              <w:rPr>
                <w:rFonts w:ascii="Arial" w:hAnsi="Arial" w:cs="Arial"/>
              </w:rPr>
            </w:pPr>
          </w:p>
        </w:tc>
        <w:tc>
          <w:tcPr>
            <w:tcW w:w="1800" w:type="pct"/>
          </w:tcPr>
          <w:p w14:paraId="5B6F4727" w14:textId="02994DD3" w:rsidR="006A4324" w:rsidRPr="00794BC4" w:rsidRDefault="006A4324" w:rsidP="00783D32">
            <w:pPr>
              <w:jc w:val="right"/>
              <w:rPr>
                <w:rFonts w:ascii="Arial" w:hAnsi="Arial" w:cs="Arial"/>
              </w:rPr>
            </w:pPr>
            <w:r w:rsidRPr="00794BC4">
              <w:rPr>
                <w:rFonts w:ascii="Arial" w:hAnsi="Arial" w:cs="Arial"/>
              </w:rPr>
              <w:t>Kfteam@teneo.com</w:t>
            </w:r>
          </w:p>
        </w:tc>
      </w:tr>
    </w:tbl>
    <w:p w14:paraId="4889A06F" w14:textId="77777777" w:rsidR="006A58BC" w:rsidRDefault="006A58BC" w:rsidP="006D30E6">
      <w:pPr>
        <w:jc w:val="left"/>
        <w:rPr>
          <w:rFonts w:ascii="Arial" w:hAnsi="Arial" w:cs="Arial"/>
          <w:bCs/>
        </w:rPr>
      </w:pPr>
    </w:p>
    <w:p w14:paraId="22B71FC5" w14:textId="430AEF26" w:rsidR="00F16A72" w:rsidRPr="00F55522" w:rsidRDefault="009124D5" w:rsidP="006D30E6">
      <w:pPr>
        <w:jc w:val="left"/>
        <w:rPr>
          <w:rFonts w:ascii="Arial" w:hAnsi="Arial" w:cs="Arial"/>
          <w:szCs w:val="22"/>
        </w:rPr>
      </w:pPr>
      <w:r w:rsidRPr="00F55522">
        <w:rPr>
          <w:rFonts w:ascii="Arial" w:hAnsi="Arial" w:cs="Arial"/>
          <w:bCs/>
        </w:rPr>
        <w:t>T</w:t>
      </w:r>
      <w:r w:rsidR="00FD3242" w:rsidRPr="00F55522">
        <w:rPr>
          <w:rFonts w:ascii="Arial" w:hAnsi="Arial" w:cs="Arial"/>
          <w:bCs/>
        </w:rPr>
        <w:t>his announcement can be downloaded from</w:t>
      </w:r>
      <w:r w:rsidR="00FD3242" w:rsidRPr="00BF2289">
        <w:rPr>
          <w:rFonts w:ascii="Arial" w:hAnsi="Arial" w:cs="Arial"/>
          <w:sz w:val="20"/>
        </w:rPr>
        <w:t xml:space="preserve"> </w:t>
      </w:r>
      <w:hyperlink r:id="rId9" w:history="1">
        <w:r w:rsidR="00AA3F63" w:rsidRPr="00F31CA1">
          <w:rPr>
            <w:rStyle w:val="Hyperlink"/>
            <w:rFonts w:ascii="Arial" w:hAnsi="Arial" w:cs="Arial"/>
            <w:szCs w:val="22"/>
          </w:rPr>
          <w:t>www.kingfisher.com</w:t>
        </w:r>
      </w:hyperlink>
      <w:r w:rsidR="00F8083A" w:rsidRPr="00F31CA1">
        <w:rPr>
          <w:rFonts w:ascii="Arial" w:hAnsi="Arial" w:cs="Arial"/>
          <w:bCs/>
          <w:szCs w:val="22"/>
        </w:rPr>
        <w:t>.</w:t>
      </w:r>
      <w:r w:rsidR="00F8083A">
        <w:rPr>
          <w:rFonts w:ascii="Arial" w:hAnsi="Arial" w:cs="Arial"/>
          <w:bCs/>
        </w:rPr>
        <w:t xml:space="preserve"> </w:t>
      </w:r>
      <w:r w:rsidR="004C718E" w:rsidRPr="00F55522">
        <w:rPr>
          <w:rFonts w:ascii="Arial" w:hAnsi="Arial" w:cs="Arial"/>
          <w:bCs/>
        </w:rPr>
        <w:t xml:space="preserve">Data tables for </w:t>
      </w:r>
      <w:r w:rsidR="004C463D" w:rsidRPr="00F55522">
        <w:rPr>
          <w:rFonts w:ascii="Arial" w:hAnsi="Arial" w:cs="Arial"/>
          <w:bCs/>
        </w:rPr>
        <w:t>Q</w:t>
      </w:r>
      <w:r w:rsidR="004C463D">
        <w:rPr>
          <w:rFonts w:ascii="Arial" w:hAnsi="Arial" w:cs="Arial"/>
          <w:bCs/>
        </w:rPr>
        <w:t>3</w:t>
      </w:r>
      <w:r w:rsidR="004C463D" w:rsidRPr="00F55522">
        <w:rPr>
          <w:rFonts w:ascii="Arial" w:hAnsi="Arial" w:cs="Arial"/>
          <w:bCs/>
        </w:rPr>
        <w:t xml:space="preserve"> </w:t>
      </w:r>
      <w:r w:rsidR="001B6AB7" w:rsidRPr="00F55522">
        <w:rPr>
          <w:rFonts w:ascii="Arial" w:hAnsi="Arial" w:cs="Arial"/>
          <w:bCs/>
        </w:rPr>
        <w:t>sales</w:t>
      </w:r>
      <w:r w:rsidR="004C718E" w:rsidRPr="00F55522">
        <w:rPr>
          <w:rFonts w:ascii="Arial" w:hAnsi="Arial" w:cs="Arial"/>
          <w:bCs/>
        </w:rPr>
        <w:t xml:space="preserve"> </w:t>
      </w:r>
      <w:r w:rsidR="00AD5AAC">
        <w:rPr>
          <w:rFonts w:ascii="Arial" w:hAnsi="Arial" w:cs="Arial"/>
          <w:bCs/>
        </w:rPr>
        <w:t>FY</w:t>
      </w:r>
      <w:r w:rsidR="004C718E" w:rsidRPr="00F55522">
        <w:rPr>
          <w:rFonts w:ascii="Arial" w:hAnsi="Arial" w:cs="Arial"/>
          <w:bCs/>
        </w:rPr>
        <w:t>1</w:t>
      </w:r>
      <w:r w:rsidR="006A58BC">
        <w:rPr>
          <w:rFonts w:ascii="Arial" w:hAnsi="Arial" w:cs="Arial"/>
          <w:bCs/>
        </w:rPr>
        <w:t>8</w:t>
      </w:r>
      <w:r w:rsidR="00355659" w:rsidRPr="00F55522">
        <w:rPr>
          <w:rFonts w:ascii="Arial" w:hAnsi="Arial" w:cs="Arial"/>
          <w:bCs/>
        </w:rPr>
        <w:t>/1</w:t>
      </w:r>
      <w:r w:rsidR="006A58BC">
        <w:rPr>
          <w:rFonts w:ascii="Arial" w:hAnsi="Arial" w:cs="Arial"/>
          <w:bCs/>
        </w:rPr>
        <w:t>9</w:t>
      </w:r>
      <w:r w:rsidR="004C718E" w:rsidRPr="00F55522">
        <w:rPr>
          <w:rFonts w:ascii="Arial" w:hAnsi="Arial" w:cs="Arial"/>
          <w:bCs/>
        </w:rPr>
        <w:t xml:space="preserve"> are available for download in excel format at </w:t>
      </w:r>
      <w:hyperlink r:id="rId10" w:history="1">
        <w:r w:rsidR="004C718E" w:rsidRPr="00F31CA1">
          <w:rPr>
            <w:rStyle w:val="Hyperlink"/>
            <w:rFonts w:ascii="Arial" w:hAnsi="Arial" w:cs="Arial"/>
            <w:szCs w:val="22"/>
          </w:rPr>
          <w:t>http://www.kingfisher.com/index.asp?pageid=59</w:t>
        </w:r>
      </w:hyperlink>
      <w:r w:rsidR="001F78C9">
        <w:rPr>
          <w:rFonts w:ascii="Arial" w:hAnsi="Arial" w:cs="Arial"/>
          <w:bCs/>
        </w:rPr>
        <w:t xml:space="preserve">. </w:t>
      </w:r>
      <w:r w:rsidR="00FD3242" w:rsidRPr="00F55522">
        <w:rPr>
          <w:rFonts w:ascii="Arial" w:hAnsi="Arial" w:cs="Arial"/>
          <w:bCs/>
        </w:rPr>
        <w:t xml:space="preserve">We can be followed on </w:t>
      </w:r>
      <w:r w:rsidR="00FD420C" w:rsidRPr="00F55522">
        <w:rPr>
          <w:rFonts w:ascii="Arial" w:hAnsi="Arial" w:cs="Arial"/>
          <w:bCs/>
        </w:rPr>
        <w:t>T</w:t>
      </w:r>
      <w:r w:rsidR="00FD3242" w:rsidRPr="00F55522">
        <w:rPr>
          <w:rFonts w:ascii="Arial" w:hAnsi="Arial" w:cs="Arial"/>
          <w:bCs/>
        </w:rPr>
        <w:t>witter @</w:t>
      </w:r>
      <w:proofErr w:type="spellStart"/>
      <w:r w:rsidR="00FD3242" w:rsidRPr="00F55522">
        <w:rPr>
          <w:rFonts w:ascii="Arial" w:hAnsi="Arial" w:cs="Arial"/>
          <w:bCs/>
        </w:rPr>
        <w:t>kingfisherplc</w:t>
      </w:r>
      <w:proofErr w:type="spellEnd"/>
      <w:r w:rsidR="00585BFB" w:rsidRPr="00F55522">
        <w:rPr>
          <w:rFonts w:ascii="Arial" w:hAnsi="Arial" w:cs="Arial"/>
          <w:bCs/>
        </w:rPr>
        <w:t xml:space="preserve"> with the </w:t>
      </w:r>
      <w:r w:rsidR="004C463D" w:rsidRPr="00F55522">
        <w:rPr>
          <w:rFonts w:ascii="Arial" w:hAnsi="Arial" w:cs="Arial"/>
          <w:bCs/>
        </w:rPr>
        <w:t>Q</w:t>
      </w:r>
      <w:r w:rsidR="004C463D">
        <w:rPr>
          <w:rFonts w:ascii="Arial" w:hAnsi="Arial" w:cs="Arial"/>
          <w:bCs/>
        </w:rPr>
        <w:t>3</w:t>
      </w:r>
      <w:r w:rsidR="004C463D" w:rsidRPr="00F55522">
        <w:rPr>
          <w:rFonts w:ascii="Arial" w:hAnsi="Arial" w:cs="Arial"/>
          <w:bCs/>
        </w:rPr>
        <w:t xml:space="preserve"> </w:t>
      </w:r>
      <w:r w:rsidR="00585BFB" w:rsidRPr="00F55522">
        <w:rPr>
          <w:rFonts w:ascii="Arial" w:hAnsi="Arial" w:cs="Arial"/>
          <w:bCs/>
        </w:rPr>
        <w:t>results tag #</w:t>
      </w:r>
      <w:r w:rsidR="004C463D" w:rsidRPr="00F55522">
        <w:rPr>
          <w:rFonts w:ascii="Arial" w:hAnsi="Arial" w:cs="Arial"/>
          <w:bCs/>
        </w:rPr>
        <w:t>KGFQ</w:t>
      </w:r>
      <w:r w:rsidR="004C463D">
        <w:rPr>
          <w:rFonts w:ascii="Arial" w:hAnsi="Arial" w:cs="Arial"/>
          <w:bCs/>
        </w:rPr>
        <w:t>3</w:t>
      </w:r>
      <w:r w:rsidR="00E16337" w:rsidRPr="00F55522">
        <w:rPr>
          <w:rFonts w:ascii="Arial" w:hAnsi="Arial" w:cs="Arial"/>
          <w:bCs/>
        </w:rPr>
        <w:t xml:space="preserve">. </w:t>
      </w:r>
      <w:r w:rsidR="00FD3242" w:rsidRPr="00F55522">
        <w:rPr>
          <w:rFonts w:ascii="Arial" w:hAnsi="Arial" w:cs="Arial"/>
          <w:bCs/>
        </w:rPr>
        <w:t xml:space="preserve">Kingfisher American Depository Receipts are traded in the US on the OTCQX platform:(OTCQX: KGFHY) </w:t>
      </w:r>
      <w:hyperlink r:id="rId11" w:history="1">
        <w:r w:rsidR="00AA3F63" w:rsidRPr="00F31CA1">
          <w:rPr>
            <w:rStyle w:val="Hyperlink"/>
            <w:rFonts w:ascii="Arial" w:hAnsi="Arial" w:cs="Arial"/>
            <w:szCs w:val="22"/>
          </w:rPr>
          <w:t>http://www.otcmarkets.com/stock/KGFHY/quote</w:t>
        </w:r>
      </w:hyperlink>
      <w:r w:rsidR="00AA3F63" w:rsidRPr="00F55522">
        <w:rPr>
          <w:rFonts w:ascii="Arial" w:hAnsi="Arial" w:cs="Arial"/>
          <w:szCs w:val="22"/>
        </w:rPr>
        <w:t xml:space="preserve"> </w:t>
      </w:r>
    </w:p>
    <w:p w14:paraId="664A94FE" w14:textId="77777777" w:rsidR="00777885" w:rsidRPr="00355659" w:rsidRDefault="00777885" w:rsidP="006D30E6">
      <w:pPr>
        <w:jc w:val="left"/>
        <w:rPr>
          <w:rFonts w:ascii="Arial" w:hAnsi="Arial" w:cs="Arial"/>
          <w:sz w:val="20"/>
        </w:rPr>
      </w:pPr>
    </w:p>
    <w:p w14:paraId="5642B89A" w14:textId="6ED42FBD" w:rsidR="00AD08EF" w:rsidRPr="00F55522" w:rsidRDefault="00AD08EF" w:rsidP="00AD08EF">
      <w:pPr>
        <w:jc w:val="left"/>
        <w:rPr>
          <w:rFonts w:ascii="Arial" w:hAnsi="Arial" w:cs="Arial"/>
          <w:bCs/>
        </w:rPr>
      </w:pPr>
      <w:r w:rsidRPr="00F55522">
        <w:rPr>
          <w:rFonts w:ascii="Arial" w:hAnsi="Arial" w:cs="Arial"/>
          <w:bCs/>
        </w:rPr>
        <w:t xml:space="preserve">Our next announcement will be </w:t>
      </w:r>
      <w:r w:rsidR="00F8083A">
        <w:rPr>
          <w:rFonts w:ascii="Arial" w:hAnsi="Arial" w:cs="Arial"/>
          <w:bCs/>
        </w:rPr>
        <w:t>our</w:t>
      </w:r>
      <w:r w:rsidRPr="00F55522">
        <w:rPr>
          <w:rFonts w:ascii="Arial" w:hAnsi="Arial" w:cs="Arial"/>
          <w:bCs/>
        </w:rPr>
        <w:t xml:space="preserve"> </w:t>
      </w:r>
      <w:r w:rsidR="001F78C9">
        <w:rPr>
          <w:rFonts w:ascii="Arial" w:hAnsi="Arial" w:cs="Arial"/>
          <w:bCs/>
        </w:rPr>
        <w:t>f</w:t>
      </w:r>
      <w:r w:rsidR="004C463D">
        <w:rPr>
          <w:rFonts w:ascii="Arial" w:hAnsi="Arial" w:cs="Arial"/>
          <w:bCs/>
        </w:rPr>
        <w:t>ull</w:t>
      </w:r>
      <w:r w:rsidR="004C463D" w:rsidRPr="00F55522">
        <w:rPr>
          <w:rFonts w:ascii="Arial" w:hAnsi="Arial" w:cs="Arial"/>
          <w:bCs/>
        </w:rPr>
        <w:t xml:space="preserve"> </w:t>
      </w:r>
      <w:r w:rsidR="001F78C9">
        <w:rPr>
          <w:rFonts w:ascii="Arial" w:hAnsi="Arial" w:cs="Arial"/>
          <w:bCs/>
        </w:rPr>
        <w:t>y</w:t>
      </w:r>
      <w:r w:rsidR="004D1FDC" w:rsidRPr="00F55522">
        <w:rPr>
          <w:rFonts w:ascii="Arial" w:hAnsi="Arial" w:cs="Arial"/>
          <w:bCs/>
        </w:rPr>
        <w:t xml:space="preserve">ear </w:t>
      </w:r>
      <w:r w:rsidR="001F78C9">
        <w:rPr>
          <w:rFonts w:ascii="Arial" w:hAnsi="Arial" w:cs="Arial"/>
          <w:bCs/>
        </w:rPr>
        <w:t>r</w:t>
      </w:r>
      <w:r w:rsidRPr="00F55522">
        <w:rPr>
          <w:rFonts w:ascii="Arial" w:hAnsi="Arial" w:cs="Arial"/>
          <w:bCs/>
        </w:rPr>
        <w:t xml:space="preserve">esults on </w:t>
      </w:r>
      <w:r w:rsidR="004C463D" w:rsidRPr="00F55522">
        <w:rPr>
          <w:rFonts w:ascii="Arial" w:hAnsi="Arial" w:cs="Arial"/>
          <w:bCs/>
        </w:rPr>
        <w:t>2</w:t>
      </w:r>
      <w:r w:rsidR="004C463D">
        <w:rPr>
          <w:rFonts w:ascii="Arial" w:hAnsi="Arial" w:cs="Arial"/>
          <w:bCs/>
        </w:rPr>
        <w:t>1</w:t>
      </w:r>
      <w:r w:rsidR="004C463D" w:rsidRPr="00F55522">
        <w:rPr>
          <w:rFonts w:ascii="Arial" w:hAnsi="Arial" w:cs="Arial"/>
          <w:bCs/>
        </w:rPr>
        <w:t xml:space="preserve"> </w:t>
      </w:r>
      <w:r w:rsidR="004C463D">
        <w:rPr>
          <w:rFonts w:ascii="Arial" w:hAnsi="Arial" w:cs="Arial"/>
          <w:bCs/>
        </w:rPr>
        <w:t>March</w:t>
      </w:r>
      <w:r w:rsidR="004C463D" w:rsidRPr="00F55522">
        <w:rPr>
          <w:rFonts w:ascii="Arial" w:hAnsi="Arial" w:cs="Arial"/>
          <w:bCs/>
        </w:rPr>
        <w:t xml:space="preserve"> 201</w:t>
      </w:r>
      <w:r w:rsidR="006A58BC">
        <w:rPr>
          <w:rFonts w:ascii="Arial" w:hAnsi="Arial" w:cs="Arial"/>
          <w:bCs/>
        </w:rPr>
        <w:t>9</w:t>
      </w:r>
      <w:r w:rsidR="008B7F8C" w:rsidRPr="00F55522">
        <w:rPr>
          <w:rFonts w:ascii="Arial" w:hAnsi="Arial" w:cs="Arial"/>
          <w:bCs/>
        </w:rPr>
        <w:t xml:space="preserve">. </w:t>
      </w:r>
    </w:p>
    <w:p w14:paraId="6C0EF922" w14:textId="4696E5ED" w:rsidR="004C3749" w:rsidRDefault="004C3749">
      <w:pPr>
        <w:jc w:val="left"/>
        <w:rPr>
          <w:rFonts w:ascii="Arial" w:hAnsi="Arial" w:cs="Arial"/>
          <w:b/>
          <w:sz w:val="24"/>
          <w:szCs w:val="24"/>
        </w:rPr>
      </w:pPr>
    </w:p>
    <w:p w14:paraId="4924268E" w14:textId="6B9C73AF" w:rsidR="0019076F" w:rsidRPr="00473E4B" w:rsidRDefault="0019076F" w:rsidP="00F55522">
      <w:pPr>
        <w:jc w:val="left"/>
        <w:rPr>
          <w:rFonts w:ascii="Arial" w:hAnsi="Arial" w:cs="Arial"/>
          <w:b/>
          <w:sz w:val="24"/>
          <w:szCs w:val="24"/>
        </w:rPr>
      </w:pPr>
      <w:r w:rsidRPr="00473E4B">
        <w:rPr>
          <w:rFonts w:ascii="Arial" w:hAnsi="Arial" w:cs="Arial"/>
          <w:b/>
          <w:sz w:val="24"/>
          <w:szCs w:val="24"/>
        </w:rPr>
        <w:t>Forward-looking statements</w:t>
      </w:r>
    </w:p>
    <w:p w14:paraId="0AE7E709" w14:textId="77777777" w:rsidR="0019076F" w:rsidRPr="00473E4B" w:rsidRDefault="0019076F" w:rsidP="0019076F">
      <w:pPr>
        <w:jc w:val="left"/>
        <w:rPr>
          <w:rFonts w:ascii="Arial" w:hAnsi="Arial" w:cs="Arial"/>
          <w:sz w:val="24"/>
          <w:szCs w:val="24"/>
        </w:rPr>
      </w:pPr>
    </w:p>
    <w:p w14:paraId="116E96F3" w14:textId="77777777" w:rsidR="005E6467" w:rsidRPr="006B39C7" w:rsidRDefault="005E6467" w:rsidP="005E6467">
      <w:pPr>
        <w:jc w:val="left"/>
        <w:rPr>
          <w:rFonts w:ascii="Arial" w:hAnsi="Arial" w:cs="Arial"/>
        </w:rPr>
      </w:pPr>
      <w:r w:rsidRPr="006B39C7">
        <w:rPr>
          <w:rFonts w:ascii="Arial" w:hAnsi="Arial" w:cs="Arial"/>
        </w:rPr>
        <w:t>You are not to construe the content of this announcement as investment, legal or tax advice and you should make you</w:t>
      </w:r>
      <w:r>
        <w:rPr>
          <w:rFonts w:ascii="Arial" w:hAnsi="Arial" w:cs="Arial"/>
        </w:rPr>
        <w:t>r</w:t>
      </w:r>
      <w:r w:rsidRPr="006B39C7">
        <w:rPr>
          <w:rFonts w:ascii="Arial" w:hAnsi="Arial" w:cs="Arial"/>
        </w:rPr>
        <w:t xml:space="preserve"> own evaluation of the Company and the market.</w:t>
      </w:r>
      <w:r>
        <w:rPr>
          <w:rFonts w:ascii="Arial" w:hAnsi="Arial" w:cs="Arial"/>
        </w:rPr>
        <w:t xml:space="preserve"> </w:t>
      </w:r>
      <w:r w:rsidRPr="006B39C7">
        <w:rPr>
          <w:rFonts w:ascii="Arial" w:hAnsi="Arial" w:cs="Arial"/>
        </w:rPr>
        <w:t xml:space="preserve">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5AA1A2CC" w14:textId="77777777" w:rsidR="005E6467" w:rsidRPr="006B39C7" w:rsidRDefault="005E6467" w:rsidP="005E6467">
      <w:pPr>
        <w:jc w:val="left"/>
        <w:rPr>
          <w:rFonts w:ascii="Arial" w:hAnsi="Arial" w:cs="Arial"/>
        </w:rPr>
      </w:pPr>
    </w:p>
    <w:p w14:paraId="05EF40A2" w14:textId="21A6F455" w:rsidR="005E6467" w:rsidRPr="006B39C7" w:rsidRDefault="005E6467" w:rsidP="005E6467">
      <w:pPr>
        <w:jc w:val="left"/>
        <w:rPr>
          <w:rFonts w:ascii="Arial" w:hAnsi="Arial" w:cs="Arial"/>
        </w:rPr>
      </w:pPr>
      <w:r w:rsidRPr="006B39C7">
        <w:rPr>
          <w:rFonts w:ascii="Arial" w:hAnsi="Arial" w:cs="Arial"/>
        </w:rPr>
        <w:t xml:space="preserve">This announcement has been prepared in relation to the financial results for the </w:t>
      </w:r>
      <w:r>
        <w:rPr>
          <w:rFonts w:ascii="Arial" w:hAnsi="Arial" w:cs="Arial"/>
        </w:rPr>
        <w:t xml:space="preserve">Quarter ended 31 </w:t>
      </w:r>
      <w:r w:rsidR="00C47F9B">
        <w:rPr>
          <w:rFonts w:ascii="Arial" w:hAnsi="Arial" w:cs="Arial"/>
        </w:rPr>
        <w:t>October</w:t>
      </w:r>
      <w:r>
        <w:rPr>
          <w:rFonts w:ascii="Arial" w:hAnsi="Arial" w:cs="Arial"/>
        </w:rPr>
        <w:t xml:space="preserve"> </w:t>
      </w:r>
      <w:r w:rsidRPr="006B39C7">
        <w:rPr>
          <w:rFonts w:ascii="Arial" w:hAnsi="Arial" w:cs="Arial"/>
        </w:rPr>
        <w:t>201</w:t>
      </w:r>
      <w:r>
        <w:rPr>
          <w:rFonts w:ascii="Arial" w:hAnsi="Arial" w:cs="Arial"/>
        </w:rPr>
        <w:t>8</w:t>
      </w:r>
      <w:r w:rsidRPr="006B39C7">
        <w:rPr>
          <w:rFonts w:ascii="Arial" w:hAnsi="Arial" w:cs="Arial"/>
        </w:rPr>
        <w:t xml:space="preserve">. The financial information referenced in this announcement is not audited and does not contain sufficient detail to allow a full understanding of the results of the </w:t>
      </w:r>
      <w:r>
        <w:rPr>
          <w:rFonts w:ascii="Arial" w:hAnsi="Arial" w:cs="Arial"/>
        </w:rPr>
        <w:t>G</w:t>
      </w:r>
      <w:r w:rsidRPr="006B39C7">
        <w:rPr>
          <w:rFonts w:ascii="Arial" w:hAnsi="Arial" w:cs="Arial"/>
        </w:rPr>
        <w:t>roup.</w:t>
      </w:r>
      <w:r>
        <w:rPr>
          <w:rFonts w:ascii="Arial" w:hAnsi="Arial" w:cs="Arial"/>
        </w:rPr>
        <w:t xml:space="preserve"> </w:t>
      </w:r>
      <w:r w:rsidRPr="006B39C7">
        <w:rPr>
          <w:rFonts w:ascii="Arial" w:hAnsi="Arial" w:cs="Arial"/>
        </w:rPr>
        <w:t xml:space="preserve">Nothing in this announcement should be construed as either an offer or invitation to sell or any offering of securities or any invitation or inducement to any person to underwrite, subscribe for or otherwise acquire securities in any company within the </w:t>
      </w:r>
      <w:r>
        <w:rPr>
          <w:rFonts w:ascii="Arial" w:hAnsi="Arial" w:cs="Arial"/>
        </w:rPr>
        <w:t>G</w:t>
      </w:r>
      <w:r w:rsidRPr="006B39C7">
        <w:rPr>
          <w:rFonts w:ascii="Arial" w:hAnsi="Arial" w:cs="Arial"/>
        </w:rPr>
        <w:t>roup or an invitation or inducement to engage in investment activity under section 21 of the Financial Services and Markets Act 2000 (as amended).</w:t>
      </w:r>
      <w:r w:rsidRPr="006B39C7">
        <w:t xml:space="preserve"> </w:t>
      </w:r>
    </w:p>
    <w:p w14:paraId="468F3622" w14:textId="77777777" w:rsidR="005E6467" w:rsidRPr="006B39C7" w:rsidRDefault="005E6467" w:rsidP="005E6467">
      <w:pPr>
        <w:jc w:val="left"/>
        <w:rPr>
          <w:rFonts w:ascii="Arial" w:hAnsi="Arial" w:cs="Arial"/>
        </w:rPr>
      </w:pPr>
      <w:r w:rsidRPr="006B39C7">
        <w:rPr>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Pr>
          <w:rFonts w:ascii="Arial" w:hAnsi="Arial" w:cs="Arial"/>
        </w:rPr>
        <w:t>,</w:t>
      </w:r>
      <w:r w:rsidRPr="006B39C7">
        <w:rPr>
          <w:rFonts w:ascii="Arial" w:hAnsi="Arial" w:cs="Arial"/>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w:t>
      </w:r>
      <w:r>
        <w:rPr>
          <w:rFonts w:ascii="Arial" w:hAnsi="Arial" w:cs="Arial"/>
        </w:rPr>
        <w:t xml:space="preserve"> </w:t>
      </w:r>
      <w:r w:rsidRPr="00565437">
        <w:rPr>
          <w:rFonts w:ascii="Arial" w:hAnsi="Arial" w:cs="Arial"/>
        </w:rPr>
        <w:t>changes in global or regional trade conditions</w:t>
      </w:r>
      <w:r>
        <w:rPr>
          <w:rFonts w:ascii="Arial" w:hAnsi="Arial" w:cs="Arial"/>
        </w:rPr>
        <w:t xml:space="preserve">, </w:t>
      </w:r>
      <w:r w:rsidRPr="006B39C7">
        <w:rPr>
          <w:rFonts w:ascii="Arial" w:hAnsi="Arial" w:cs="Arial"/>
        </w:rPr>
        <w:t>changes in tax rates, liquidity, prospects, growth and strategies.</w:t>
      </w:r>
      <w:r>
        <w:rPr>
          <w:rFonts w:ascii="Arial" w:hAnsi="Arial" w:cs="Arial"/>
        </w:rPr>
        <w:t xml:space="preserve"> </w:t>
      </w:r>
      <w:r w:rsidRPr="006B39C7">
        <w:rPr>
          <w:rFonts w:ascii="Arial" w:hAnsi="Arial" w:cs="Arial"/>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7F1C816D" w14:textId="77777777" w:rsidR="005E6467" w:rsidRPr="006B39C7" w:rsidRDefault="005E6467" w:rsidP="005E6467">
      <w:pPr>
        <w:jc w:val="left"/>
        <w:rPr>
          <w:rFonts w:ascii="Arial" w:hAnsi="Arial" w:cs="Arial"/>
        </w:rPr>
      </w:pPr>
    </w:p>
    <w:p w14:paraId="039E32F4" w14:textId="77777777" w:rsidR="005E6467" w:rsidRPr="006B39C7" w:rsidRDefault="005E6467" w:rsidP="005E6467">
      <w:pPr>
        <w:jc w:val="left"/>
        <w:rPr>
          <w:rFonts w:ascii="Arial" w:hAnsi="Arial" w:cs="Arial"/>
        </w:rPr>
      </w:pPr>
      <w:r w:rsidRPr="006B39C7">
        <w:rPr>
          <w:rFonts w:ascii="Arial" w:hAnsi="Arial" w:cs="Arial"/>
        </w:rPr>
        <w:t>The Company does not undertake any obligation to update or revise any forward-looking statement to reflect any change in circumstances or in the Company’s expectations.</w:t>
      </w:r>
    </w:p>
    <w:p w14:paraId="2D1EA47B" w14:textId="03C75759" w:rsidR="0019076F" w:rsidRPr="00F55522" w:rsidRDefault="0019076F" w:rsidP="005E6467">
      <w:pPr>
        <w:jc w:val="left"/>
        <w:rPr>
          <w:rFonts w:ascii="Arial" w:hAnsi="Arial" w:cs="Arial"/>
          <w:bCs/>
        </w:rPr>
      </w:pPr>
    </w:p>
    <w:sectPr w:rsidR="0019076F" w:rsidRPr="00F55522" w:rsidSect="00BC5D7D">
      <w:headerReference w:type="default" r:id="rId12"/>
      <w:footerReference w:type="even" r:id="rId13"/>
      <w:footerReference w:type="default" r:id="rId14"/>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0C43" w14:textId="77777777" w:rsidR="00846B19" w:rsidRDefault="00846B19">
      <w:r>
        <w:separator/>
      </w:r>
    </w:p>
  </w:endnote>
  <w:endnote w:type="continuationSeparator" w:id="0">
    <w:p w14:paraId="4AB689A3" w14:textId="77777777" w:rsidR="00846B19" w:rsidRDefault="0084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9539" w14:textId="77777777" w:rsidR="00846B19" w:rsidRDefault="00846B19"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5E5622D" w14:textId="77777777" w:rsidR="00846B19" w:rsidRDefault="00846B19"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878D" w14:textId="128C8318" w:rsidR="00846B19" w:rsidRDefault="00846B19">
    <w:pPr>
      <w:pStyle w:val="Footer"/>
      <w:jc w:val="right"/>
    </w:pPr>
    <w:r>
      <w:fldChar w:fldCharType="begin"/>
    </w:r>
    <w:r>
      <w:instrText xml:space="preserve"> PAGE   \* MERGEFORMAT </w:instrText>
    </w:r>
    <w:r>
      <w:fldChar w:fldCharType="separate"/>
    </w:r>
    <w:r w:rsidR="00730B69">
      <w:rPr>
        <w:noProof/>
      </w:rPr>
      <w:t>- 1 -</w:t>
    </w:r>
    <w:r>
      <w:fldChar w:fldCharType="end"/>
    </w:r>
  </w:p>
  <w:p w14:paraId="01B41773" w14:textId="77777777" w:rsidR="00846B19" w:rsidRDefault="0084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C945" w14:textId="77777777" w:rsidR="00846B19" w:rsidRDefault="00846B19">
      <w:r>
        <w:separator/>
      </w:r>
    </w:p>
  </w:footnote>
  <w:footnote w:type="continuationSeparator" w:id="0">
    <w:p w14:paraId="3CF2522F" w14:textId="77777777" w:rsidR="00846B19" w:rsidRDefault="0084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D2A8" w14:textId="23E86FCD" w:rsidR="00846B19" w:rsidRDefault="00846B19"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3FC69FF5" wp14:editId="41F357AA">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2E3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E5F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DEBA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2AE9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EA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238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0B0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89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1CF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769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F0630"/>
    <w:multiLevelType w:val="hybridMultilevel"/>
    <w:tmpl w:val="FF2E5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DA2A9B"/>
    <w:multiLevelType w:val="hybridMultilevel"/>
    <w:tmpl w:val="9350D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71408"/>
    <w:multiLevelType w:val="hybridMultilevel"/>
    <w:tmpl w:val="5ADC3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E94F57"/>
    <w:multiLevelType w:val="hybridMultilevel"/>
    <w:tmpl w:val="271841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1A2F93"/>
    <w:multiLevelType w:val="multilevel"/>
    <w:tmpl w:val="9E665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F04097"/>
    <w:multiLevelType w:val="hybridMultilevel"/>
    <w:tmpl w:val="49BC2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3"/>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102E4"/>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2A6"/>
    <w:rsid w:val="000215EE"/>
    <w:rsid w:val="00022BF5"/>
    <w:rsid w:val="000231BE"/>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27F"/>
    <w:rsid w:val="00033DB4"/>
    <w:rsid w:val="0003429F"/>
    <w:rsid w:val="00034397"/>
    <w:rsid w:val="0003439C"/>
    <w:rsid w:val="000345F0"/>
    <w:rsid w:val="00034DDC"/>
    <w:rsid w:val="00035587"/>
    <w:rsid w:val="0003560B"/>
    <w:rsid w:val="00035BE5"/>
    <w:rsid w:val="000367FC"/>
    <w:rsid w:val="00036A8B"/>
    <w:rsid w:val="00036C5B"/>
    <w:rsid w:val="00036CA9"/>
    <w:rsid w:val="00036D3F"/>
    <w:rsid w:val="00036EDB"/>
    <w:rsid w:val="00037404"/>
    <w:rsid w:val="0003750C"/>
    <w:rsid w:val="00040260"/>
    <w:rsid w:val="00040DEB"/>
    <w:rsid w:val="00040F16"/>
    <w:rsid w:val="000411FD"/>
    <w:rsid w:val="000413C4"/>
    <w:rsid w:val="00042416"/>
    <w:rsid w:val="0004294B"/>
    <w:rsid w:val="00043A1A"/>
    <w:rsid w:val="00043EC9"/>
    <w:rsid w:val="000441FF"/>
    <w:rsid w:val="00044499"/>
    <w:rsid w:val="000444A9"/>
    <w:rsid w:val="000445CD"/>
    <w:rsid w:val="00045C32"/>
    <w:rsid w:val="00045F88"/>
    <w:rsid w:val="0004646A"/>
    <w:rsid w:val="00046FBC"/>
    <w:rsid w:val="0004770E"/>
    <w:rsid w:val="000516EB"/>
    <w:rsid w:val="000519D6"/>
    <w:rsid w:val="00051D80"/>
    <w:rsid w:val="00051E57"/>
    <w:rsid w:val="00051EBF"/>
    <w:rsid w:val="00052294"/>
    <w:rsid w:val="0005286F"/>
    <w:rsid w:val="00052B7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4A75"/>
    <w:rsid w:val="000755C1"/>
    <w:rsid w:val="00075FE2"/>
    <w:rsid w:val="00076722"/>
    <w:rsid w:val="00076BC8"/>
    <w:rsid w:val="0007772B"/>
    <w:rsid w:val="00077909"/>
    <w:rsid w:val="00077A28"/>
    <w:rsid w:val="00077EC0"/>
    <w:rsid w:val="00080700"/>
    <w:rsid w:val="0008085C"/>
    <w:rsid w:val="00081200"/>
    <w:rsid w:val="0008137A"/>
    <w:rsid w:val="000819DF"/>
    <w:rsid w:val="00082610"/>
    <w:rsid w:val="000831A4"/>
    <w:rsid w:val="000837D3"/>
    <w:rsid w:val="0008592C"/>
    <w:rsid w:val="000861DC"/>
    <w:rsid w:val="00090092"/>
    <w:rsid w:val="00090C1C"/>
    <w:rsid w:val="00090C45"/>
    <w:rsid w:val="00090E38"/>
    <w:rsid w:val="00091FD4"/>
    <w:rsid w:val="00092033"/>
    <w:rsid w:val="0009277F"/>
    <w:rsid w:val="00092957"/>
    <w:rsid w:val="000942D6"/>
    <w:rsid w:val="00094372"/>
    <w:rsid w:val="000945DE"/>
    <w:rsid w:val="000947A3"/>
    <w:rsid w:val="00094DB3"/>
    <w:rsid w:val="00094F72"/>
    <w:rsid w:val="000955A6"/>
    <w:rsid w:val="00095D0D"/>
    <w:rsid w:val="00096177"/>
    <w:rsid w:val="0009675E"/>
    <w:rsid w:val="00097384"/>
    <w:rsid w:val="00097717"/>
    <w:rsid w:val="000A0683"/>
    <w:rsid w:val="000A0E0D"/>
    <w:rsid w:val="000A25C5"/>
    <w:rsid w:val="000A37AC"/>
    <w:rsid w:val="000A45B1"/>
    <w:rsid w:val="000A57F5"/>
    <w:rsid w:val="000A5F56"/>
    <w:rsid w:val="000A613F"/>
    <w:rsid w:val="000A61ED"/>
    <w:rsid w:val="000A6E50"/>
    <w:rsid w:val="000A7696"/>
    <w:rsid w:val="000A7B7A"/>
    <w:rsid w:val="000B09E7"/>
    <w:rsid w:val="000B0C32"/>
    <w:rsid w:val="000B0E06"/>
    <w:rsid w:val="000B1016"/>
    <w:rsid w:val="000B1AD8"/>
    <w:rsid w:val="000B20B3"/>
    <w:rsid w:val="000B2D0F"/>
    <w:rsid w:val="000B3275"/>
    <w:rsid w:val="000B340F"/>
    <w:rsid w:val="000B35B5"/>
    <w:rsid w:val="000B3FD3"/>
    <w:rsid w:val="000B47B3"/>
    <w:rsid w:val="000B4C5A"/>
    <w:rsid w:val="000B5221"/>
    <w:rsid w:val="000B5337"/>
    <w:rsid w:val="000B55ED"/>
    <w:rsid w:val="000B5C63"/>
    <w:rsid w:val="000B6101"/>
    <w:rsid w:val="000B6CC5"/>
    <w:rsid w:val="000B772A"/>
    <w:rsid w:val="000B7AC7"/>
    <w:rsid w:val="000B7F58"/>
    <w:rsid w:val="000C03E2"/>
    <w:rsid w:val="000C0BAC"/>
    <w:rsid w:val="000C11ED"/>
    <w:rsid w:val="000C198B"/>
    <w:rsid w:val="000C1BB9"/>
    <w:rsid w:val="000C2C25"/>
    <w:rsid w:val="000C305D"/>
    <w:rsid w:val="000C364D"/>
    <w:rsid w:val="000C3AAF"/>
    <w:rsid w:val="000C40B7"/>
    <w:rsid w:val="000C422A"/>
    <w:rsid w:val="000C4AD3"/>
    <w:rsid w:val="000C506B"/>
    <w:rsid w:val="000C55B6"/>
    <w:rsid w:val="000C5B51"/>
    <w:rsid w:val="000C6C27"/>
    <w:rsid w:val="000C6F0F"/>
    <w:rsid w:val="000C7585"/>
    <w:rsid w:val="000D1099"/>
    <w:rsid w:val="000D12FC"/>
    <w:rsid w:val="000D14B6"/>
    <w:rsid w:val="000D22C8"/>
    <w:rsid w:val="000D2F02"/>
    <w:rsid w:val="000D345C"/>
    <w:rsid w:val="000D3A48"/>
    <w:rsid w:val="000D4654"/>
    <w:rsid w:val="000D4723"/>
    <w:rsid w:val="000D4CC8"/>
    <w:rsid w:val="000D5671"/>
    <w:rsid w:val="000D5F1B"/>
    <w:rsid w:val="000D60DF"/>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8D"/>
    <w:rsid w:val="000F50F6"/>
    <w:rsid w:val="000F5E1E"/>
    <w:rsid w:val="000F5E58"/>
    <w:rsid w:val="000F622D"/>
    <w:rsid w:val="000F6403"/>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679"/>
    <w:rsid w:val="00105F84"/>
    <w:rsid w:val="00106A6A"/>
    <w:rsid w:val="00106FB5"/>
    <w:rsid w:val="00107761"/>
    <w:rsid w:val="0010781E"/>
    <w:rsid w:val="00107EBF"/>
    <w:rsid w:val="0011028D"/>
    <w:rsid w:val="00110652"/>
    <w:rsid w:val="0011186D"/>
    <w:rsid w:val="00111CBC"/>
    <w:rsid w:val="001122A5"/>
    <w:rsid w:val="001123EF"/>
    <w:rsid w:val="001125E2"/>
    <w:rsid w:val="00113064"/>
    <w:rsid w:val="00113454"/>
    <w:rsid w:val="00113588"/>
    <w:rsid w:val="00113FDA"/>
    <w:rsid w:val="00114B6C"/>
    <w:rsid w:val="0011509A"/>
    <w:rsid w:val="0011537D"/>
    <w:rsid w:val="00115D90"/>
    <w:rsid w:val="00116170"/>
    <w:rsid w:val="00117870"/>
    <w:rsid w:val="00117B73"/>
    <w:rsid w:val="00117FA6"/>
    <w:rsid w:val="001204B7"/>
    <w:rsid w:val="001213FD"/>
    <w:rsid w:val="001218FC"/>
    <w:rsid w:val="00121ACC"/>
    <w:rsid w:val="00121CD1"/>
    <w:rsid w:val="00122199"/>
    <w:rsid w:val="00122700"/>
    <w:rsid w:val="00122CF3"/>
    <w:rsid w:val="001231E6"/>
    <w:rsid w:val="001234CD"/>
    <w:rsid w:val="0012388E"/>
    <w:rsid w:val="00123BC2"/>
    <w:rsid w:val="001249D9"/>
    <w:rsid w:val="00124AC0"/>
    <w:rsid w:val="00124B95"/>
    <w:rsid w:val="00124BFA"/>
    <w:rsid w:val="00124CDA"/>
    <w:rsid w:val="001256AE"/>
    <w:rsid w:val="00126165"/>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76C"/>
    <w:rsid w:val="00137D76"/>
    <w:rsid w:val="00140B5D"/>
    <w:rsid w:val="00140C5A"/>
    <w:rsid w:val="00140EC5"/>
    <w:rsid w:val="00141147"/>
    <w:rsid w:val="00141725"/>
    <w:rsid w:val="00141E2A"/>
    <w:rsid w:val="00141FE3"/>
    <w:rsid w:val="00142342"/>
    <w:rsid w:val="0014315F"/>
    <w:rsid w:val="00143696"/>
    <w:rsid w:val="001436E6"/>
    <w:rsid w:val="001437A6"/>
    <w:rsid w:val="001438D7"/>
    <w:rsid w:val="00143F5D"/>
    <w:rsid w:val="00144250"/>
    <w:rsid w:val="0014441A"/>
    <w:rsid w:val="00145A34"/>
    <w:rsid w:val="00145C66"/>
    <w:rsid w:val="00146209"/>
    <w:rsid w:val="00146266"/>
    <w:rsid w:val="00146A70"/>
    <w:rsid w:val="001473FE"/>
    <w:rsid w:val="00150EB3"/>
    <w:rsid w:val="00152B9E"/>
    <w:rsid w:val="00152CFF"/>
    <w:rsid w:val="00153DB4"/>
    <w:rsid w:val="00154A96"/>
    <w:rsid w:val="00155115"/>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54AC"/>
    <w:rsid w:val="00165773"/>
    <w:rsid w:val="00166DF9"/>
    <w:rsid w:val="001671D8"/>
    <w:rsid w:val="00167B7F"/>
    <w:rsid w:val="00170BCF"/>
    <w:rsid w:val="00171651"/>
    <w:rsid w:val="00171942"/>
    <w:rsid w:val="00171D80"/>
    <w:rsid w:val="00172333"/>
    <w:rsid w:val="00172838"/>
    <w:rsid w:val="00172F4C"/>
    <w:rsid w:val="0017310F"/>
    <w:rsid w:val="0017311B"/>
    <w:rsid w:val="001732CA"/>
    <w:rsid w:val="0017376F"/>
    <w:rsid w:val="001738C2"/>
    <w:rsid w:val="001739CD"/>
    <w:rsid w:val="00174BAE"/>
    <w:rsid w:val="001758AE"/>
    <w:rsid w:val="00175BC3"/>
    <w:rsid w:val="001760CB"/>
    <w:rsid w:val="00176254"/>
    <w:rsid w:val="001763AC"/>
    <w:rsid w:val="00176576"/>
    <w:rsid w:val="00176593"/>
    <w:rsid w:val="001765AE"/>
    <w:rsid w:val="001770F5"/>
    <w:rsid w:val="001774BF"/>
    <w:rsid w:val="00177CA8"/>
    <w:rsid w:val="00180398"/>
    <w:rsid w:val="00180C4E"/>
    <w:rsid w:val="0018107C"/>
    <w:rsid w:val="0018137E"/>
    <w:rsid w:val="001816B7"/>
    <w:rsid w:val="00181D91"/>
    <w:rsid w:val="00181F6D"/>
    <w:rsid w:val="001820E7"/>
    <w:rsid w:val="0018319D"/>
    <w:rsid w:val="001833F9"/>
    <w:rsid w:val="001840A0"/>
    <w:rsid w:val="00184390"/>
    <w:rsid w:val="001844D6"/>
    <w:rsid w:val="00184A69"/>
    <w:rsid w:val="001854D3"/>
    <w:rsid w:val="00185741"/>
    <w:rsid w:val="0018656E"/>
    <w:rsid w:val="00186E37"/>
    <w:rsid w:val="00187888"/>
    <w:rsid w:val="0018794C"/>
    <w:rsid w:val="0018796F"/>
    <w:rsid w:val="0019076F"/>
    <w:rsid w:val="001907B5"/>
    <w:rsid w:val="0019141E"/>
    <w:rsid w:val="00191DC0"/>
    <w:rsid w:val="001920A3"/>
    <w:rsid w:val="00192377"/>
    <w:rsid w:val="00194390"/>
    <w:rsid w:val="00194568"/>
    <w:rsid w:val="0019505E"/>
    <w:rsid w:val="001956EB"/>
    <w:rsid w:val="00195FB6"/>
    <w:rsid w:val="00195FFF"/>
    <w:rsid w:val="001961E6"/>
    <w:rsid w:val="00196601"/>
    <w:rsid w:val="00196BEF"/>
    <w:rsid w:val="001974C1"/>
    <w:rsid w:val="0019757A"/>
    <w:rsid w:val="0019795E"/>
    <w:rsid w:val="00197A2B"/>
    <w:rsid w:val="001A0398"/>
    <w:rsid w:val="001A0886"/>
    <w:rsid w:val="001A09B2"/>
    <w:rsid w:val="001A09C1"/>
    <w:rsid w:val="001A2823"/>
    <w:rsid w:val="001A2E65"/>
    <w:rsid w:val="001A3181"/>
    <w:rsid w:val="001A333A"/>
    <w:rsid w:val="001A35EE"/>
    <w:rsid w:val="001A35FE"/>
    <w:rsid w:val="001A3734"/>
    <w:rsid w:val="001A595D"/>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6AB7"/>
    <w:rsid w:val="001B73F1"/>
    <w:rsid w:val="001B7E72"/>
    <w:rsid w:val="001C08C7"/>
    <w:rsid w:val="001C16B6"/>
    <w:rsid w:val="001C256E"/>
    <w:rsid w:val="001C2934"/>
    <w:rsid w:val="001C2A11"/>
    <w:rsid w:val="001C3044"/>
    <w:rsid w:val="001C3837"/>
    <w:rsid w:val="001C3FF6"/>
    <w:rsid w:val="001C42C7"/>
    <w:rsid w:val="001C4699"/>
    <w:rsid w:val="001C5AC5"/>
    <w:rsid w:val="001C5B5A"/>
    <w:rsid w:val="001C5B7D"/>
    <w:rsid w:val="001C5BA1"/>
    <w:rsid w:val="001C61AF"/>
    <w:rsid w:val="001C688E"/>
    <w:rsid w:val="001C6B19"/>
    <w:rsid w:val="001C7290"/>
    <w:rsid w:val="001C74EC"/>
    <w:rsid w:val="001C7AD1"/>
    <w:rsid w:val="001C7E48"/>
    <w:rsid w:val="001D0357"/>
    <w:rsid w:val="001D07AE"/>
    <w:rsid w:val="001D09ED"/>
    <w:rsid w:val="001D0FEA"/>
    <w:rsid w:val="001D1193"/>
    <w:rsid w:val="001D159E"/>
    <w:rsid w:val="001D3667"/>
    <w:rsid w:val="001D3AF5"/>
    <w:rsid w:val="001D4AFC"/>
    <w:rsid w:val="001D4BC4"/>
    <w:rsid w:val="001D59F5"/>
    <w:rsid w:val="001D5ED2"/>
    <w:rsid w:val="001D5F26"/>
    <w:rsid w:val="001D6653"/>
    <w:rsid w:val="001D6C52"/>
    <w:rsid w:val="001D70DE"/>
    <w:rsid w:val="001E02EB"/>
    <w:rsid w:val="001E0742"/>
    <w:rsid w:val="001E0A5D"/>
    <w:rsid w:val="001E0ADF"/>
    <w:rsid w:val="001E160F"/>
    <w:rsid w:val="001E16DC"/>
    <w:rsid w:val="001E1A34"/>
    <w:rsid w:val="001E1EDB"/>
    <w:rsid w:val="001E26A5"/>
    <w:rsid w:val="001E29CA"/>
    <w:rsid w:val="001E2D1A"/>
    <w:rsid w:val="001E2E2D"/>
    <w:rsid w:val="001E37B5"/>
    <w:rsid w:val="001E385E"/>
    <w:rsid w:val="001E3F03"/>
    <w:rsid w:val="001E40C2"/>
    <w:rsid w:val="001E421C"/>
    <w:rsid w:val="001E4423"/>
    <w:rsid w:val="001E5554"/>
    <w:rsid w:val="001E6656"/>
    <w:rsid w:val="001E7744"/>
    <w:rsid w:val="001E7C85"/>
    <w:rsid w:val="001F128C"/>
    <w:rsid w:val="001F151F"/>
    <w:rsid w:val="001F1BF6"/>
    <w:rsid w:val="001F1FD9"/>
    <w:rsid w:val="001F240F"/>
    <w:rsid w:val="001F2DF6"/>
    <w:rsid w:val="001F4090"/>
    <w:rsid w:val="001F472B"/>
    <w:rsid w:val="001F5C94"/>
    <w:rsid w:val="001F64C9"/>
    <w:rsid w:val="001F692A"/>
    <w:rsid w:val="001F78C9"/>
    <w:rsid w:val="00200001"/>
    <w:rsid w:val="00200B27"/>
    <w:rsid w:val="00200CC5"/>
    <w:rsid w:val="00201064"/>
    <w:rsid w:val="002024D9"/>
    <w:rsid w:val="00202D9D"/>
    <w:rsid w:val="00203083"/>
    <w:rsid w:val="0020368F"/>
    <w:rsid w:val="002038F7"/>
    <w:rsid w:val="00203952"/>
    <w:rsid w:val="00203C7F"/>
    <w:rsid w:val="00204F22"/>
    <w:rsid w:val="0020546E"/>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FA4"/>
    <w:rsid w:val="00216069"/>
    <w:rsid w:val="002166EF"/>
    <w:rsid w:val="0021692F"/>
    <w:rsid w:val="00216B3D"/>
    <w:rsid w:val="00217078"/>
    <w:rsid w:val="002228BA"/>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5B6E"/>
    <w:rsid w:val="002372D8"/>
    <w:rsid w:val="002403F5"/>
    <w:rsid w:val="0024097C"/>
    <w:rsid w:val="00240CC0"/>
    <w:rsid w:val="00240DC3"/>
    <w:rsid w:val="002412C2"/>
    <w:rsid w:val="002412C3"/>
    <w:rsid w:val="0024140E"/>
    <w:rsid w:val="00241779"/>
    <w:rsid w:val="0024201B"/>
    <w:rsid w:val="00242382"/>
    <w:rsid w:val="00242856"/>
    <w:rsid w:val="00242C5F"/>
    <w:rsid w:val="00242C6C"/>
    <w:rsid w:val="00242DA1"/>
    <w:rsid w:val="00243A8E"/>
    <w:rsid w:val="00243B9E"/>
    <w:rsid w:val="0024423B"/>
    <w:rsid w:val="00244A79"/>
    <w:rsid w:val="00244C5B"/>
    <w:rsid w:val="00245446"/>
    <w:rsid w:val="002460FE"/>
    <w:rsid w:val="0024623F"/>
    <w:rsid w:val="00246754"/>
    <w:rsid w:val="00246CE6"/>
    <w:rsid w:val="00246D8E"/>
    <w:rsid w:val="00247B65"/>
    <w:rsid w:val="0025016E"/>
    <w:rsid w:val="002507AE"/>
    <w:rsid w:val="002508EA"/>
    <w:rsid w:val="0025121F"/>
    <w:rsid w:val="002516D9"/>
    <w:rsid w:val="00251764"/>
    <w:rsid w:val="002517A9"/>
    <w:rsid w:val="00251BCB"/>
    <w:rsid w:val="0025247E"/>
    <w:rsid w:val="00252497"/>
    <w:rsid w:val="002532AE"/>
    <w:rsid w:val="002535DD"/>
    <w:rsid w:val="0025400C"/>
    <w:rsid w:val="002551F2"/>
    <w:rsid w:val="002552C7"/>
    <w:rsid w:val="0025641A"/>
    <w:rsid w:val="00257C2E"/>
    <w:rsid w:val="00257E44"/>
    <w:rsid w:val="00260036"/>
    <w:rsid w:val="002608E5"/>
    <w:rsid w:val="00260964"/>
    <w:rsid w:val="0026099E"/>
    <w:rsid w:val="002609E7"/>
    <w:rsid w:val="00261F43"/>
    <w:rsid w:val="00262B01"/>
    <w:rsid w:val="00263074"/>
    <w:rsid w:val="002634A9"/>
    <w:rsid w:val="002639E3"/>
    <w:rsid w:val="00265280"/>
    <w:rsid w:val="0026532B"/>
    <w:rsid w:val="00265A71"/>
    <w:rsid w:val="00265C03"/>
    <w:rsid w:val="00267340"/>
    <w:rsid w:val="00267890"/>
    <w:rsid w:val="00267E43"/>
    <w:rsid w:val="00270491"/>
    <w:rsid w:val="002704FC"/>
    <w:rsid w:val="0027091A"/>
    <w:rsid w:val="00270D3D"/>
    <w:rsid w:val="00270E05"/>
    <w:rsid w:val="00271BBB"/>
    <w:rsid w:val="00271E01"/>
    <w:rsid w:val="00271E4E"/>
    <w:rsid w:val="00272C73"/>
    <w:rsid w:val="0027357D"/>
    <w:rsid w:val="00273A46"/>
    <w:rsid w:val="002749FB"/>
    <w:rsid w:val="00275065"/>
    <w:rsid w:val="002750E5"/>
    <w:rsid w:val="00275969"/>
    <w:rsid w:val="002768EE"/>
    <w:rsid w:val="00276AA6"/>
    <w:rsid w:val="00276C5C"/>
    <w:rsid w:val="002775F1"/>
    <w:rsid w:val="0028019D"/>
    <w:rsid w:val="0028027F"/>
    <w:rsid w:val="002818C1"/>
    <w:rsid w:val="002819D9"/>
    <w:rsid w:val="00281EFF"/>
    <w:rsid w:val="00282EBE"/>
    <w:rsid w:val="00282F73"/>
    <w:rsid w:val="00282FD7"/>
    <w:rsid w:val="0028321F"/>
    <w:rsid w:val="00283232"/>
    <w:rsid w:val="002832E3"/>
    <w:rsid w:val="002834A8"/>
    <w:rsid w:val="00283E3C"/>
    <w:rsid w:val="002856DB"/>
    <w:rsid w:val="00285D1A"/>
    <w:rsid w:val="002860CE"/>
    <w:rsid w:val="002861CD"/>
    <w:rsid w:val="00286C7F"/>
    <w:rsid w:val="00287050"/>
    <w:rsid w:val="00287909"/>
    <w:rsid w:val="00287EC7"/>
    <w:rsid w:val="0029040C"/>
    <w:rsid w:val="00290CB8"/>
    <w:rsid w:val="00290D10"/>
    <w:rsid w:val="00290D4D"/>
    <w:rsid w:val="00290D81"/>
    <w:rsid w:val="00292B39"/>
    <w:rsid w:val="002934CB"/>
    <w:rsid w:val="002938E0"/>
    <w:rsid w:val="00293D20"/>
    <w:rsid w:val="00294F30"/>
    <w:rsid w:val="00296B19"/>
    <w:rsid w:val="00296FDC"/>
    <w:rsid w:val="00297606"/>
    <w:rsid w:val="002A108D"/>
    <w:rsid w:val="002A1610"/>
    <w:rsid w:val="002A1E4F"/>
    <w:rsid w:val="002A2396"/>
    <w:rsid w:val="002A254E"/>
    <w:rsid w:val="002A292F"/>
    <w:rsid w:val="002A4361"/>
    <w:rsid w:val="002A47E5"/>
    <w:rsid w:val="002A4C6F"/>
    <w:rsid w:val="002A5858"/>
    <w:rsid w:val="002A603A"/>
    <w:rsid w:val="002A648C"/>
    <w:rsid w:val="002A66E4"/>
    <w:rsid w:val="002A672B"/>
    <w:rsid w:val="002A68DD"/>
    <w:rsid w:val="002A6AFF"/>
    <w:rsid w:val="002A6D20"/>
    <w:rsid w:val="002A713D"/>
    <w:rsid w:val="002A7585"/>
    <w:rsid w:val="002A7658"/>
    <w:rsid w:val="002A78F9"/>
    <w:rsid w:val="002B014D"/>
    <w:rsid w:val="002B0FF7"/>
    <w:rsid w:val="002B1626"/>
    <w:rsid w:val="002B2101"/>
    <w:rsid w:val="002B4261"/>
    <w:rsid w:val="002B666F"/>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40E5"/>
    <w:rsid w:val="002C5280"/>
    <w:rsid w:val="002C52BE"/>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2D9"/>
    <w:rsid w:val="002D5316"/>
    <w:rsid w:val="002D5648"/>
    <w:rsid w:val="002D5DF0"/>
    <w:rsid w:val="002D6056"/>
    <w:rsid w:val="002D69A7"/>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6194"/>
    <w:rsid w:val="002E787D"/>
    <w:rsid w:val="002F01B5"/>
    <w:rsid w:val="002F026E"/>
    <w:rsid w:val="002F07C1"/>
    <w:rsid w:val="002F0BC7"/>
    <w:rsid w:val="002F23A0"/>
    <w:rsid w:val="002F2642"/>
    <w:rsid w:val="002F3202"/>
    <w:rsid w:val="002F3432"/>
    <w:rsid w:val="002F3595"/>
    <w:rsid w:val="002F385A"/>
    <w:rsid w:val="002F3D42"/>
    <w:rsid w:val="002F3EE3"/>
    <w:rsid w:val="002F4045"/>
    <w:rsid w:val="002F4C41"/>
    <w:rsid w:val="002F53CF"/>
    <w:rsid w:val="002F73E3"/>
    <w:rsid w:val="002F7837"/>
    <w:rsid w:val="0030015E"/>
    <w:rsid w:val="003001FD"/>
    <w:rsid w:val="00300361"/>
    <w:rsid w:val="00300767"/>
    <w:rsid w:val="00300C03"/>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06ACF"/>
    <w:rsid w:val="00307972"/>
    <w:rsid w:val="0031024F"/>
    <w:rsid w:val="003102FF"/>
    <w:rsid w:val="00311447"/>
    <w:rsid w:val="00311AB5"/>
    <w:rsid w:val="003123B2"/>
    <w:rsid w:val="00312421"/>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710"/>
    <w:rsid w:val="00326D1C"/>
    <w:rsid w:val="00330567"/>
    <w:rsid w:val="003318B8"/>
    <w:rsid w:val="00331CB8"/>
    <w:rsid w:val="0033239D"/>
    <w:rsid w:val="003325C3"/>
    <w:rsid w:val="003329AF"/>
    <w:rsid w:val="0033302F"/>
    <w:rsid w:val="00333172"/>
    <w:rsid w:val="00333859"/>
    <w:rsid w:val="003338FD"/>
    <w:rsid w:val="00333BF7"/>
    <w:rsid w:val="00334344"/>
    <w:rsid w:val="00334ED3"/>
    <w:rsid w:val="003354CA"/>
    <w:rsid w:val="00335AF9"/>
    <w:rsid w:val="00335D4D"/>
    <w:rsid w:val="00336309"/>
    <w:rsid w:val="003364FD"/>
    <w:rsid w:val="00336D63"/>
    <w:rsid w:val="00337E5E"/>
    <w:rsid w:val="00337EF6"/>
    <w:rsid w:val="00337F3C"/>
    <w:rsid w:val="00340F5A"/>
    <w:rsid w:val="00340F6A"/>
    <w:rsid w:val="0034153E"/>
    <w:rsid w:val="003423F3"/>
    <w:rsid w:val="00342457"/>
    <w:rsid w:val="003429D4"/>
    <w:rsid w:val="003431CE"/>
    <w:rsid w:val="003437E5"/>
    <w:rsid w:val="00343882"/>
    <w:rsid w:val="003438D6"/>
    <w:rsid w:val="00343C22"/>
    <w:rsid w:val="00343C2C"/>
    <w:rsid w:val="00344271"/>
    <w:rsid w:val="0034489E"/>
    <w:rsid w:val="003453BF"/>
    <w:rsid w:val="00345A21"/>
    <w:rsid w:val="00345A85"/>
    <w:rsid w:val="00346673"/>
    <w:rsid w:val="00346A57"/>
    <w:rsid w:val="003473FD"/>
    <w:rsid w:val="00347B3B"/>
    <w:rsid w:val="00347F1D"/>
    <w:rsid w:val="00350257"/>
    <w:rsid w:val="0035036F"/>
    <w:rsid w:val="0035099A"/>
    <w:rsid w:val="00351478"/>
    <w:rsid w:val="003519FA"/>
    <w:rsid w:val="00351BC6"/>
    <w:rsid w:val="00351C1D"/>
    <w:rsid w:val="00351D6B"/>
    <w:rsid w:val="00352860"/>
    <w:rsid w:val="00352DAD"/>
    <w:rsid w:val="003530A2"/>
    <w:rsid w:val="003535EE"/>
    <w:rsid w:val="003537B8"/>
    <w:rsid w:val="00353ECF"/>
    <w:rsid w:val="0035444D"/>
    <w:rsid w:val="0035459E"/>
    <w:rsid w:val="00354CD5"/>
    <w:rsid w:val="003550E8"/>
    <w:rsid w:val="0035524F"/>
    <w:rsid w:val="00355659"/>
    <w:rsid w:val="00355B53"/>
    <w:rsid w:val="00356425"/>
    <w:rsid w:val="00356791"/>
    <w:rsid w:val="00356A19"/>
    <w:rsid w:val="003575F9"/>
    <w:rsid w:val="00357CF8"/>
    <w:rsid w:val="00357EB6"/>
    <w:rsid w:val="00360651"/>
    <w:rsid w:val="00360995"/>
    <w:rsid w:val="00360D0D"/>
    <w:rsid w:val="00360DDB"/>
    <w:rsid w:val="003612BD"/>
    <w:rsid w:val="003616A3"/>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2E0"/>
    <w:rsid w:val="003728F0"/>
    <w:rsid w:val="00372FF5"/>
    <w:rsid w:val="0037380C"/>
    <w:rsid w:val="0037475A"/>
    <w:rsid w:val="00374D4A"/>
    <w:rsid w:val="00375646"/>
    <w:rsid w:val="003761FF"/>
    <w:rsid w:val="00376FA8"/>
    <w:rsid w:val="00377119"/>
    <w:rsid w:val="00377577"/>
    <w:rsid w:val="00377C47"/>
    <w:rsid w:val="00377C9E"/>
    <w:rsid w:val="0038053F"/>
    <w:rsid w:val="00380852"/>
    <w:rsid w:val="00380EE9"/>
    <w:rsid w:val="00381008"/>
    <w:rsid w:val="00381B39"/>
    <w:rsid w:val="00382473"/>
    <w:rsid w:val="00383478"/>
    <w:rsid w:val="00383ECF"/>
    <w:rsid w:val="003844BC"/>
    <w:rsid w:val="00384905"/>
    <w:rsid w:val="0038502C"/>
    <w:rsid w:val="0038510F"/>
    <w:rsid w:val="0038594B"/>
    <w:rsid w:val="003863AD"/>
    <w:rsid w:val="003866FD"/>
    <w:rsid w:val="00386ADA"/>
    <w:rsid w:val="0038707C"/>
    <w:rsid w:val="00387239"/>
    <w:rsid w:val="0039024B"/>
    <w:rsid w:val="0039059F"/>
    <w:rsid w:val="0039243F"/>
    <w:rsid w:val="00393220"/>
    <w:rsid w:val="00393636"/>
    <w:rsid w:val="00393FBA"/>
    <w:rsid w:val="00394D30"/>
    <w:rsid w:val="00394D99"/>
    <w:rsid w:val="003959B3"/>
    <w:rsid w:val="00396571"/>
    <w:rsid w:val="00397258"/>
    <w:rsid w:val="00397EE5"/>
    <w:rsid w:val="00397FC3"/>
    <w:rsid w:val="003A0A4F"/>
    <w:rsid w:val="003A0B61"/>
    <w:rsid w:val="003A0F53"/>
    <w:rsid w:val="003A118F"/>
    <w:rsid w:val="003A14A6"/>
    <w:rsid w:val="003A1710"/>
    <w:rsid w:val="003A1AA5"/>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927"/>
    <w:rsid w:val="003A4D48"/>
    <w:rsid w:val="003A5059"/>
    <w:rsid w:val="003A52D0"/>
    <w:rsid w:val="003A5578"/>
    <w:rsid w:val="003A55EF"/>
    <w:rsid w:val="003A5D78"/>
    <w:rsid w:val="003A64AA"/>
    <w:rsid w:val="003A6CF7"/>
    <w:rsid w:val="003A7015"/>
    <w:rsid w:val="003A77D8"/>
    <w:rsid w:val="003B09E7"/>
    <w:rsid w:val="003B0E8F"/>
    <w:rsid w:val="003B19B0"/>
    <w:rsid w:val="003B1E36"/>
    <w:rsid w:val="003B1F01"/>
    <w:rsid w:val="003B307C"/>
    <w:rsid w:val="003B429D"/>
    <w:rsid w:val="003B4DD3"/>
    <w:rsid w:val="003B5509"/>
    <w:rsid w:val="003B5D01"/>
    <w:rsid w:val="003B65A6"/>
    <w:rsid w:val="003B67C3"/>
    <w:rsid w:val="003B6917"/>
    <w:rsid w:val="003B7439"/>
    <w:rsid w:val="003C0078"/>
    <w:rsid w:val="003C081C"/>
    <w:rsid w:val="003C0D04"/>
    <w:rsid w:val="003C0E7E"/>
    <w:rsid w:val="003C1372"/>
    <w:rsid w:val="003C14D5"/>
    <w:rsid w:val="003C1DD2"/>
    <w:rsid w:val="003C1F40"/>
    <w:rsid w:val="003C240A"/>
    <w:rsid w:val="003C2724"/>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000"/>
    <w:rsid w:val="003D4317"/>
    <w:rsid w:val="003D497F"/>
    <w:rsid w:val="003D560B"/>
    <w:rsid w:val="003D60C2"/>
    <w:rsid w:val="003D75E5"/>
    <w:rsid w:val="003D768A"/>
    <w:rsid w:val="003E063F"/>
    <w:rsid w:val="003E15A2"/>
    <w:rsid w:val="003E2437"/>
    <w:rsid w:val="003E3225"/>
    <w:rsid w:val="003E32C2"/>
    <w:rsid w:val="003E3975"/>
    <w:rsid w:val="003E3EF5"/>
    <w:rsid w:val="003E484B"/>
    <w:rsid w:val="003E4D08"/>
    <w:rsid w:val="003E54D2"/>
    <w:rsid w:val="003E6116"/>
    <w:rsid w:val="003E6298"/>
    <w:rsid w:val="003E7125"/>
    <w:rsid w:val="003E7420"/>
    <w:rsid w:val="003E7435"/>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478"/>
    <w:rsid w:val="0040483E"/>
    <w:rsid w:val="00405CCB"/>
    <w:rsid w:val="0040609F"/>
    <w:rsid w:val="004060A9"/>
    <w:rsid w:val="004069F6"/>
    <w:rsid w:val="00406D9E"/>
    <w:rsid w:val="00407079"/>
    <w:rsid w:val="00407D50"/>
    <w:rsid w:val="0041026B"/>
    <w:rsid w:val="00410AC4"/>
    <w:rsid w:val="004117C3"/>
    <w:rsid w:val="004126A7"/>
    <w:rsid w:val="00412F10"/>
    <w:rsid w:val="00413B3F"/>
    <w:rsid w:val="00413EF3"/>
    <w:rsid w:val="00414645"/>
    <w:rsid w:val="00414961"/>
    <w:rsid w:val="00414B06"/>
    <w:rsid w:val="004153FD"/>
    <w:rsid w:val="00415458"/>
    <w:rsid w:val="00417116"/>
    <w:rsid w:val="00417AAD"/>
    <w:rsid w:val="00417DF1"/>
    <w:rsid w:val="0042011F"/>
    <w:rsid w:val="00420465"/>
    <w:rsid w:val="00420737"/>
    <w:rsid w:val="00420A4D"/>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9C6"/>
    <w:rsid w:val="00435BBA"/>
    <w:rsid w:val="00435F18"/>
    <w:rsid w:val="004362C1"/>
    <w:rsid w:val="00436618"/>
    <w:rsid w:val="0043675C"/>
    <w:rsid w:val="00436A26"/>
    <w:rsid w:val="00436F51"/>
    <w:rsid w:val="00437195"/>
    <w:rsid w:val="00437D04"/>
    <w:rsid w:val="0044256B"/>
    <w:rsid w:val="00442FA7"/>
    <w:rsid w:val="004430DC"/>
    <w:rsid w:val="004436C1"/>
    <w:rsid w:val="00444016"/>
    <w:rsid w:val="004442B3"/>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38E"/>
    <w:rsid w:val="0045494E"/>
    <w:rsid w:val="004553AA"/>
    <w:rsid w:val="00455447"/>
    <w:rsid w:val="0045556A"/>
    <w:rsid w:val="0045584E"/>
    <w:rsid w:val="0045590D"/>
    <w:rsid w:val="0045597A"/>
    <w:rsid w:val="00456A0C"/>
    <w:rsid w:val="0045706C"/>
    <w:rsid w:val="00457B0D"/>
    <w:rsid w:val="004601A0"/>
    <w:rsid w:val="004601EE"/>
    <w:rsid w:val="004607C4"/>
    <w:rsid w:val="00460E2E"/>
    <w:rsid w:val="00461327"/>
    <w:rsid w:val="00461DE1"/>
    <w:rsid w:val="00461F2D"/>
    <w:rsid w:val="0046218A"/>
    <w:rsid w:val="004621D3"/>
    <w:rsid w:val="00464C82"/>
    <w:rsid w:val="0046500E"/>
    <w:rsid w:val="004650C8"/>
    <w:rsid w:val="004656CE"/>
    <w:rsid w:val="00466666"/>
    <w:rsid w:val="00466711"/>
    <w:rsid w:val="00466859"/>
    <w:rsid w:val="0046698E"/>
    <w:rsid w:val="004673F8"/>
    <w:rsid w:val="00467CAC"/>
    <w:rsid w:val="00470074"/>
    <w:rsid w:val="004700B0"/>
    <w:rsid w:val="004704FF"/>
    <w:rsid w:val="0047074E"/>
    <w:rsid w:val="00470842"/>
    <w:rsid w:val="00470919"/>
    <w:rsid w:val="00470DA0"/>
    <w:rsid w:val="004712DA"/>
    <w:rsid w:val="0047145F"/>
    <w:rsid w:val="00471B06"/>
    <w:rsid w:val="0047250A"/>
    <w:rsid w:val="00472BA8"/>
    <w:rsid w:val="00473360"/>
    <w:rsid w:val="004737D9"/>
    <w:rsid w:val="00473B7E"/>
    <w:rsid w:val="00473E4B"/>
    <w:rsid w:val="0047528C"/>
    <w:rsid w:val="0047568E"/>
    <w:rsid w:val="00477096"/>
    <w:rsid w:val="0047719F"/>
    <w:rsid w:val="00477B80"/>
    <w:rsid w:val="004803FB"/>
    <w:rsid w:val="00480788"/>
    <w:rsid w:val="00480E80"/>
    <w:rsid w:val="004818BA"/>
    <w:rsid w:val="00482915"/>
    <w:rsid w:val="00482992"/>
    <w:rsid w:val="00482E64"/>
    <w:rsid w:val="004831DF"/>
    <w:rsid w:val="004843D8"/>
    <w:rsid w:val="004849CC"/>
    <w:rsid w:val="00484C10"/>
    <w:rsid w:val="00485155"/>
    <w:rsid w:val="00486116"/>
    <w:rsid w:val="00486D58"/>
    <w:rsid w:val="004874D8"/>
    <w:rsid w:val="00487C8F"/>
    <w:rsid w:val="00487DAE"/>
    <w:rsid w:val="00490435"/>
    <w:rsid w:val="00490602"/>
    <w:rsid w:val="00490779"/>
    <w:rsid w:val="00490922"/>
    <w:rsid w:val="00490D64"/>
    <w:rsid w:val="00490F9A"/>
    <w:rsid w:val="004915C1"/>
    <w:rsid w:val="00491616"/>
    <w:rsid w:val="00491917"/>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5F3"/>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1458"/>
    <w:rsid w:val="004B1BB2"/>
    <w:rsid w:val="004B2349"/>
    <w:rsid w:val="004B28DB"/>
    <w:rsid w:val="004B3C13"/>
    <w:rsid w:val="004B3D33"/>
    <w:rsid w:val="004B5D5A"/>
    <w:rsid w:val="004B60C2"/>
    <w:rsid w:val="004B6707"/>
    <w:rsid w:val="004B7872"/>
    <w:rsid w:val="004B7F22"/>
    <w:rsid w:val="004C1137"/>
    <w:rsid w:val="004C1367"/>
    <w:rsid w:val="004C151F"/>
    <w:rsid w:val="004C1E72"/>
    <w:rsid w:val="004C209E"/>
    <w:rsid w:val="004C27BD"/>
    <w:rsid w:val="004C2B82"/>
    <w:rsid w:val="004C2DD2"/>
    <w:rsid w:val="004C2EE2"/>
    <w:rsid w:val="004C317C"/>
    <w:rsid w:val="004C3259"/>
    <w:rsid w:val="004C3341"/>
    <w:rsid w:val="004C371A"/>
    <w:rsid w:val="004C3749"/>
    <w:rsid w:val="004C463D"/>
    <w:rsid w:val="004C490D"/>
    <w:rsid w:val="004C4BFE"/>
    <w:rsid w:val="004C52FE"/>
    <w:rsid w:val="004C5D94"/>
    <w:rsid w:val="004C6280"/>
    <w:rsid w:val="004C66D3"/>
    <w:rsid w:val="004C718E"/>
    <w:rsid w:val="004C7BB6"/>
    <w:rsid w:val="004D0095"/>
    <w:rsid w:val="004D01A5"/>
    <w:rsid w:val="004D0299"/>
    <w:rsid w:val="004D0E42"/>
    <w:rsid w:val="004D123D"/>
    <w:rsid w:val="004D19B5"/>
    <w:rsid w:val="004D1FDC"/>
    <w:rsid w:val="004D298D"/>
    <w:rsid w:val="004D29C4"/>
    <w:rsid w:val="004D32EA"/>
    <w:rsid w:val="004D34DC"/>
    <w:rsid w:val="004D36D3"/>
    <w:rsid w:val="004D466C"/>
    <w:rsid w:val="004D4844"/>
    <w:rsid w:val="004D4FF0"/>
    <w:rsid w:val="004D5513"/>
    <w:rsid w:val="004D5A9D"/>
    <w:rsid w:val="004D66CD"/>
    <w:rsid w:val="004D693C"/>
    <w:rsid w:val="004D7296"/>
    <w:rsid w:val="004E0DA7"/>
    <w:rsid w:val="004E0DB6"/>
    <w:rsid w:val="004E1023"/>
    <w:rsid w:val="004E1B62"/>
    <w:rsid w:val="004E1E61"/>
    <w:rsid w:val="004E21F2"/>
    <w:rsid w:val="004E222D"/>
    <w:rsid w:val="004E2523"/>
    <w:rsid w:val="004E3575"/>
    <w:rsid w:val="004E386B"/>
    <w:rsid w:val="004E432D"/>
    <w:rsid w:val="004E4499"/>
    <w:rsid w:val="004E46FE"/>
    <w:rsid w:val="004E5ACE"/>
    <w:rsid w:val="004E6632"/>
    <w:rsid w:val="004E6649"/>
    <w:rsid w:val="004E697F"/>
    <w:rsid w:val="004E69A0"/>
    <w:rsid w:val="004E710C"/>
    <w:rsid w:val="004E7E33"/>
    <w:rsid w:val="004F0665"/>
    <w:rsid w:val="004F06DB"/>
    <w:rsid w:val="004F15C6"/>
    <w:rsid w:val="004F1E5A"/>
    <w:rsid w:val="004F1EE8"/>
    <w:rsid w:val="004F2DCA"/>
    <w:rsid w:val="004F3750"/>
    <w:rsid w:val="004F396C"/>
    <w:rsid w:val="004F4054"/>
    <w:rsid w:val="004F447C"/>
    <w:rsid w:val="004F4989"/>
    <w:rsid w:val="004F4E08"/>
    <w:rsid w:val="004F5A64"/>
    <w:rsid w:val="004F5E66"/>
    <w:rsid w:val="004F6218"/>
    <w:rsid w:val="004F63B9"/>
    <w:rsid w:val="004F7906"/>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5EFD"/>
    <w:rsid w:val="0050681C"/>
    <w:rsid w:val="00506E12"/>
    <w:rsid w:val="005075A0"/>
    <w:rsid w:val="005076B1"/>
    <w:rsid w:val="00510395"/>
    <w:rsid w:val="00510473"/>
    <w:rsid w:val="00514394"/>
    <w:rsid w:val="00514F1C"/>
    <w:rsid w:val="00515032"/>
    <w:rsid w:val="0051543B"/>
    <w:rsid w:val="005157E5"/>
    <w:rsid w:val="005158AB"/>
    <w:rsid w:val="00516001"/>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22"/>
    <w:rsid w:val="005261BE"/>
    <w:rsid w:val="00526FB8"/>
    <w:rsid w:val="005279EC"/>
    <w:rsid w:val="00527B73"/>
    <w:rsid w:val="00527CA8"/>
    <w:rsid w:val="00530853"/>
    <w:rsid w:val="00530A12"/>
    <w:rsid w:val="0053135F"/>
    <w:rsid w:val="00531B17"/>
    <w:rsid w:val="00531C15"/>
    <w:rsid w:val="00532020"/>
    <w:rsid w:val="00532519"/>
    <w:rsid w:val="00532A00"/>
    <w:rsid w:val="00532B5C"/>
    <w:rsid w:val="00532B9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399"/>
    <w:rsid w:val="005457E2"/>
    <w:rsid w:val="005458E8"/>
    <w:rsid w:val="00545CC4"/>
    <w:rsid w:val="00545D1D"/>
    <w:rsid w:val="0054623A"/>
    <w:rsid w:val="005468F8"/>
    <w:rsid w:val="00546CD6"/>
    <w:rsid w:val="00547173"/>
    <w:rsid w:val="005471C5"/>
    <w:rsid w:val="0054774E"/>
    <w:rsid w:val="005501F0"/>
    <w:rsid w:val="00550CA7"/>
    <w:rsid w:val="00551952"/>
    <w:rsid w:val="00551EB2"/>
    <w:rsid w:val="00552101"/>
    <w:rsid w:val="005536EB"/>
    <w:rsid w:val="005538FA"/>
    <w:rsid w:val="00553CA0"/>
    <w:rsid w:val="00555468"/>
    <w:rsid w:val="005559BF"/>
    <w:rsid w:val="00555A0A"/>
    <w:rsid w:val="005567B3"/>
    <w:rsid w:val="00556B63"/>
    <w:rsid w:val="005574A1"/>
    <w:rsid w:val="00557535"/>
    <w:rsid w:val="00557B40"/>
    <w:rsid w:val="00560193"/>
    <w:rsid w:val="005602B1"/>
    <w:rsid w:val="005604E8"/>
    <w:rsid w:val="0056050B"/>
    <w:rsid w:val="0056096F"/>
    <w:rsid w:val="00560A2A"/>
    <w:rsid w:val="005610F4"/>
    <w:rsid w:val="005610FB"/>
    <w:rsid w:val="005614FF"/>
    <w:rsid w:val="00561AF9"/>
    <w:rsid w:val="00562BEA"/>
    <w:rsid w:val="0056300B"/>
    <w:rsid w:val="00564B4B"/>
    <w:rsid w:val="00564CCE"/>
    <w:rsid w:val="00564D12"/>
    <w:rsid w:val="00564DB6"/>
    <w:rsid w:val="005653D4"/>
    <w:rsid w:val="00565D5B"/>
    <w:rsid w:val="005667C5"/>
    <w:rsid w:val="00566BF3"/>
    <w:rsid w:val="00566F4C"/>
    <w:rsid w:val="0056783C"/>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585"/>
    <w:rsid w:val="00586B05"/>
    <w:rsid w:val="005871C7"/>
    <w:rsid w:val="00587323"/>
    <w:rsid w:val="00587663"/>
    <w:rsid w:val="00587A64"/>
    <w:rsid w:val="00590D15"/>
    <w:rsid w:val="005911A0"/>
    <w:rsid w:val="005914BF"/>
    <w:rsid w:val="00591B65"/>
    <w:rsid w:val="00592371"/>
    <w:rsid w:val="00593E23"/>
    <w:rsid w:val="00595BCC"/>
    <w:rsid w:val="005962BC"/>
    <w:rsid w:val="005965AE"/>
    <w:rsid w:val="005968C7"/>
    <w:rsid w:val="00596CF6"/>
    <w:rsid w:val="00597747"/>
    <w:rsid w:val="00597B3D"/>
    <w:rsid w:val="005A02F9"/>
    <w:rsid w:val="005A11A5"/>
    <w:rsid w:val="005A250A"/>
    <w:rsid w:val="005A2999"/>
    <w:rsid w:val="005A30CA"/>
    <w:rsid w:val="005A3C93"/>
    <w:rsid w:val="005A5637"/>
    <w:rsid w:val="005A5A5F"/>
    <w:rsid w:val="005A61AB"/>
    <w:rsid w:val="005A62A8"/>
    <w:rsid w:val="005A68D5"/>
    <w:rsid w:val="005A7722"/>
    <w:rsid w:val="005A7A82"/>
    <w:rsid w:val="005B02D8"/>
    <w:rsid w:val="005B0CDF"/>
    <w:rsid w:val="005B0E5D"/>
    <w:rsid w:val="005B1801"/>
    <w:rsid w:val="005B205F"/>
    <w:rsid w:val="005B2340"/>
    <w:rsid w:val="005B2D22"/>
    <w:rsid w:val="005B42B6"/>
    <w:rsid w:val="005B4611"/>
    <w:rsid w:val="005B47E1"/>
    <w:rsid w:val="005B5483"/>
    <w:rsid w:val="005B5CF0"/>
    <w:rsid w:val="005B62D2"/>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73F"/>
    <w:rsid w:val="005C76D8"/>
    <w:rsid w:val="005C7F24"/>
    <w:rsid w:val="005D0206"/>
    <w:rsid w:val="005D0CC8"/>
    <w:rsid w:val="005D1261"/>
    <w:rsid w:val="005D1338"/>
    <w:rsid w:val="005D25A2"/>
    <w:rsid w:val="005D2A11"/>
    <w:rsid w:val="005D33B0"/>
    <w:rsid w:val="005D3F1D"/>
    <w:rsid w:val="005D50E8"/>
    <w:rsid w:val="005D5187"/>
    <w:rsid w:val="005D537C"/>
    <w:rsid w:val="005D571A"/>
    <w:rsid w:val="005D5E70"/>
    <w:rsid w:val="005D5ED6"/>
    <w:rsid w:val="005D67BE"/>
    <w:rsid w:val="005D6A72"/>
    <w:rsid w:val="005D6B6F"/>
    <w:rsid w:val="005D7524"/>
    <w:rsid w:val="005D77BD"/>
    <w:rsid w:val="005E0431"/>
    <w:rsid w:val="005E12AB"/>
    <w:rsid w:val="005E1624"/>
    <w:rsid w:val="005E2152"/>
    <w:rsid w:val="005E2EFA"/>
    <w:rsid w:val="005E3566"/>
    <w:rsid w:val="005E3F5A"/>
    <w:rsid w:val="005E45E8"/>
    <w:rsid w:val="005E4B9E"/>
    <w:rsid w:val="005E4C5B"/>
    <w:rsid w:val="005E4FDE"/>
    <w:rsid w:val="005E5229"/>
    <w:rsid w:val="005E5407"/>
    <w:rsid w:val="005E5670"/>
    <w:rsid w:val="005E6467"/>
    <w:rsid w:val="005E7BE8"/>
    <w:rsid w:val="005F012B"/>
    <w:rsid w:val="005F0889"/>
    <w:rsid w:val="005F0A5B"/>
    <w:rsid w:val="005F13F7"/>
    <w:rsid w:val="005F2A4E"/>
    <w:rsid w:val="005F3F68"/>
    <w:rsid w:val="005F4B2C"/>
    <w:rsid w:val="005F4CB0"/>
    <w:rsid w:val="005F529A"/>
    <w:rsid w:val="005F58AE"/>
    <w:rsid w:val="005F6838"/>
    <w:rsid w:val="005F711B"/>
    <w:rsid w:val="005F7D6B"/>
    <w:rsid w:val="00600C1F"/>
    <w:rsid w:val="00600CC3"/>
    <w:rsid w:val="00600DC1"/>
    <w:rsid w:val="006010FB"/>
    <w:rsid w:val="00601311"/>
    <w:rsid w:val="006015C8"/>
    <w:rsid w:val="006016C1"/>
    <w:rsid w:val="0060245E"/>
    <w:rsid w:val="006031C1"/>
    <w:rsid w:val="00603385"/>
    <w:rsid w:val="006038DE"/>
    <w:rsid w:val="006039E8"/>
    <w:rsid w:val="00603B93"/>
    <w:rsid w:val="006040A0"/>
    <w:rsid w:val="0060468E"/>
    <w:rsid w:val="00604A54"/>
    <w:rsid w:val="006050FE"/>
    <w:rsid w:val="00605233"/>
    <w:rsid w:val="0060540C"/>
    <w:rsid w:val="00605414"/>
    <w:rsid w:val="006057E8"/>
    <w:rsid w:val="00605CB4"/>
    <w:rsid w:val="00605EF3"/>
    <w:rsid w:val="00605F0B"/>
    <w:rsid w:val="00606309"/>
    <w:rsid w:val="006073D7"/>
    <w:rsid w:val="00607ADA"/>
    <w:rsid w:val="006100DA"/>
    <w:rsid w:val="00610175"/>
    <w:rsid w:val="00610693"/>
    <w:rsid w:val="006117F6"/>
    <w:rsid w:val="006119B1"/>
    <w:rsid w:val="0061245C"/>
    <w:rsid w:val="0061307A"/>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306"/>
    <w:rsid w:val="00623681"/>
    <w:rsid w:val="00623956"/>
    <w:rsid w:val="006247FB"/>
    <w:rsid w:val="00624E3F"/>
    <w:rsid w:val="00625979"/>
    <w:rsid w:val="00625E6C"/>
    <w:rsid w:val="006277CC"/>
    <w:rsid w:val="00627FAD"/>
    <w:rsid w:val="00627FB6"/>
    <w:rsid w:val="0063009F"/>
    <w:rsid w:val="0063020D"/>
    <w:rsid w:val="006303EE"/>
    <w:rsid w:val="00630E81"/>
    <w:rsid w:val="00630F89"/>
    <w:rsid w:val="00631C71"/>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6FC"/>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10"/>
    <w:rsid w:val="00656C7F"/>
    <w:rsid w:val="006579B2"/>
    <w:rsid w:val="00660AC8"/>
    <w:rsid w:val="006611F4"/>
    <w:rsid w:val="00662179"/>
    <w:rsid w:val="00662D84"/>
    <w:rsid w:val="00663138"/>
    <w:rsid w:val="006638FD"/>
    <w:rsid w:val="00663B39"/>
    <w:rsid w:val="00663D7A"/>
    <w:rsid w:val="00664150"/>
    <w:rsid w:val="006642F2"/>
    <w:rsid w:val="00664360"/>
    <w:rsid w:val="006647A4"/>
    <w:rsid w:val="00664A9B"/>
    <w:rsid w:val="00664FAC"/>
    <w:rsid w:val="0066512F"/>
    <w:rsid w:val="0066526D"/>
    <w:rsid w:val="006663B0"/>
    <w:rsid w:val="00666A01"/>
    <w:rsid w:val="00666CAC"/>
    <w:rsid w:val="0066756D"/>
    <w:rsid w:val="006677DD"/>
    <w:rsid w:val="00667AC2"/>
    <w:rsid w:val="006707D5"/>
    <w:rsid w:val="006710C3"/>
    <w:rsid w:val="006710C4"/>
    <w:rsid w:val="00672392"/>
    <w:rsid w:val="0067253F"/>
    <w:rsid w:val="00672D2C"/>
    <w:rsid w:val="006730A6"/>
    <w:rsid w:val="00674711"/>
    <w:rsid w:val="00674995"/>
    <w:rsid w:val="00674AA4"/>
    <w:rsid w:val="00674C99"/>
    <w:rsid w:val="00675224"/>
    <w:rsid w:val="00675C6D"/>
    <w:rsid w:val="0067647F"/>
    <w:rsid w:val="00676499"/>
    <w:rsid w:val="00676511"/>
    <w:rsid w:val="006775D3"/>
    <w:rsid w:val="00677EF5"/>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D32"/>
    <w:rsid w:val="00685DDE"/>
    <w:rsid w:val="00686460"/>
    <w:rsid w:val="00687144"/>
    <w:rsid w:val="0068735D"/>
    <w:rsid w:val="0068738C"/>
    <w:rsid w:val="006909D0"/>
    <w:rsid w:val="006912B1"/>
    <w:rsid w:val="00693284"/>
    <w:rsid w:val="00693709"/>
    <w:rsid w:val="006941EE"/>
    <w:rsid w:val="00695D1F"/>
    <w:rsid w:val="00696334"/>
    <w:rsid w:val="006964C6"/>
    <w:rsid w:val="00696886"/>
    <w:rsid w:val="006969AA"/>
    <w:rsid w:val="006970E8"/>
    <w:rsid w:val="00697D6B"/>
    <w:rsid w:val="006A05A6"/>
    <w:rsid w:val="006A0C08"/>
    <w:rsid w:val="006A0F77"/>
    <w:rsid w:val="006A1B2A"/>
    <w:rsid w:val="006A28F6"/>
    <w:rsid w:val="006A40D0"/>
    <w:rsid w:val="006A4324"/>
    <w:rsid w:val="006A43E1"/>
    <w:rsid w:val="006A4512"/>
    <w:rsid w:val="006A4640"/>
    <w:rsid w:val="006A4C5B"/>
    <w:rsid w:val="006A4FC6"/>
    <w:rsid w:val="006A522E"/>
    <w:rsid w:val="006A5258"/>
    <w:rsid w:val="006A5334"/>
    <w:rsid w:val="006A58BC"/>
    <w:rsid w:val="006A5F66"/>
    <w:rsid w:val="006A685A"/>
    <w:rsid w:val="006A6BD2"/>
    <w:rsid w:val="006A6D34"/>
    <w:rsid w:val="006A6F7A"/>
    <w:rsid w:val="006A6F9A"/>
    <w:rsid w:val="006A70DD"/>
    <w:rsid w:val="006A71E0"/>
    <w:rsid w:val="006A725E"/>
    <w:rsid w:val="006A7978"/>
    <w:rsid w:val="006A7D0B"/>
    <w:rsid w:val="006B0455"/>
    <w:rsid w:val="006B0C65"/>
    <w:rsid w:val="006B110C"/>
    <w:rsid w:val="006B129A"/>
    <w:rsid w:val="006B12B9"/>
    <w:rsid w:val="006B1542"/>
    <w:rsid w:val="006B1BB9"/>
    <w:rsid w:val="006B2614"/>
    <w:rsid w:val="006B36B2"/>
    <w:rsid w:val="006B3891"/>
    <w:rsid w:val="006B4485"/>
    <w:rsid w:val="006B46B3"/>
    <w:rsid w:val="006B55E0"/>
    <w:rsid w:val="006B55FC"/>
    <w:rsid w:val="006B5A2D"/>
    <w:rsid w:val="006B5CDA"/>
    <w:rsid w:val="006B605B"/>
    <w:rsid w:val="006B623D"/>
    <w:rsid w:val="006B6E73"/>
    <w:rsid w:val="006C073C"/>
    <w:rsid w:val="006C1AF0"/>
    <w:rsid w:val="006C231D"/>
    <w:rsid w:val="006C2944"/>
    <w:rsid w:val="006C3837"/>
    <w:rsid w:val="006C4099"/>
    <w:rsid w:val="006C57C1"/>
    <w:rsid w:val="006C5853"/>
    <w:rsid w:val="006C5BF3"/>
    <w:rsid w:val="006C5D44"/>
    <w:rsid w:val="006C5E62"/>
    <w:rsid w:val="006C60AA"/>
    <w:rsid w:val="006C79FA"/>
    <w:rsid w:val="006C7ADC"/>
    <w:rsid w:val="006C7B0D"/>
    <w:rsid w:val="006D003A"/>
    <w:rsid w:val="006D0067"/>
    <w:rsid w:val="006D0F7D"/>
    <w:rsid w:val="006D1223"/>
    <w:rsid w:val="006D201B"/>
    <w:rsid w:val="006D2608"/>
    <w:rsid w:val="006D30E6"/>
    <w:rsid w:val="006D31F9"/>
    <w:rsid w:val="006D406A"/>
    <w:rsid w:val="006D4A03"/>
    <w:rsid w:val="006D503C"/>
    <w:rsid w:val="006D513D"/>
    <w:rsid w:val="006D51FC"/>
    <w:rsid w:val="006D549D"/>
    <w:rsid w:val="006D54CC"/>
    <w:rsid w:val="006D58C5"/>
    <w:rsid w:val="006D5A60"/>
    <w:rsid w:val="006D6D16"/>
    <w:rsid w:val="006D7243"/>
    <w:rsid w:val="006D77D7"/>
    <w:rsid w:val="006D7993"/>
    <w:rsid w:val="006D7DA3"/>
    <w:rsid w:val="006D7E76"/>
    <w:rsid w:val="006E100A"/>
    <w:rsid w:val="006E1495"/>
    <w:rsid w:val="006E182A"/>
    <w:rsid w:val="006E18D1"/>
    <w:rsid w:val="006E1C55"/>
    <w:rsid w:val="006E1C65"/>
    <w:rsid w:val="006E274A"/>
    <w:rsid w:val="006E2917"/>
    <w:rsid w:val="006E33DB"/>
    <w:rsid w:val="006E365F"/>
    <w:rsid w:val="006E3A04"/>
    <w:rsid w:val="006E3AE7"/>
    <w:rsid w:val="006E3D39"/>
    <w:rsid w:val="006E4291"/>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18F"/>
    <w:rsid w:val="006F46B4"/>
    <w:rsid w:val="006F4A51"/>
    <w:rsid w:val="006F4B6D"/>
    <w:rsid w:val="006F5F3D"/>
    <w:rsid w:val="006F637E"/>
    <w:rsid w:val="006F6BBB"/>
    <w:rsid w:val="006F6D7C"/>
    <w:rsid w:val="006F76E8"/>
    <w:rsid w:val="007002E5"/>
    <w:rsid w:val="0070076C"/>
    <w:rsid w:val="007008AE"/>
    <w:rsid w:val="00701765"/>
    <w:rsid w:val="00701D3A"/>
    <w:rsid w:val="007030CD"/>
    <w:rsid w:val="00703183"/>
    <w:rsid w:val="00703766"/>
    <w:rsid w:val="00703981"/>
    <w:rsid w:val="00703DD6"/>
    <w:rsid w:val="0070448F"/>
    <w:rsid w:val="007045CC"/>
    <w:rsid w:val="0070618E"/>
    <w:rsid w:val="007069D9"/>
    <w:rsid w:val="00706E78"/>
    <w:rsid w:val="00706FB4"/>
    <w:rsid w:val="0070731F"/>
    <w:rsid w:val="007073A3"/>
    <w:rsid w:val="00710770"/>
    <w:rsid w:val="0071151D"/>
    <w:rsid w:val="00711B1D"/>
    <w:rsid w:val="007124A8"/>
    <w:rsid w:val="0071272C"/>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C6C"/>
    <w:rsid w:val="00720F71"/>
    <w:rsid w:val="00721BA2"/>
    <w:rsid w:val="00721C3D"/>
    <w:rsid w:val="00721F8F"/>
    <w:rsid w:val="00722291"/>
    <w:rsid w:val="007222FB"/>
    <w:rsid w:val="007225D7"/>
    <w:rsid w:val="00722753"/>
    <w:rsid w:val="007236AA"/>
    <w:rsid w:val="007247DA"/>
    <w:rsid w:val="00725508"/>
    <w:rsid w:val="0072676F"/>
    <w:rsid w:val="0072710D"/>
    <w:rsid w:val="00727315"/>
    <w:rsid w:val="0072775B"/>
    <w:rsid w:val="00727FC8"/>
    <w:rsid w:val="007300FB"/>
    <w:rsid w:val="0073026D"/>
    <w:rsid w:val="0073091E"/>
    <w:rsid w:val="00730B69"/>
    <w:rsid w:val="00730C3B"/>
    <w:rsid w:val="00731D01"/>
    <w:rsid w:val="007322B8"/>
    <w:rsid w:val="00732DBA"/>
    <w:rsid w:val="00733F7D"/>
    <w:rsid w:val="00734294"/>
    <w:rsid w:val="007347A6"/>
    <w:rsid w:val="00734991"/>
    <w:rsid w:val="00734E12"/>
    <w:rsid w:val="00735064"/>
    <w:rsid w:val="007352B7"/>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440"/>
    <w:rsid w:val="0074491E"/>
    <w:rsid w:val="0074598B"/>
    <w:rsid w:val="00745AFB"/>
    <w:rsid w:val="00745C19"/>
    <w:rsid w:val="00745E46"/>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4F27"/>
    <w:rsid w:val="007652EE"/>
    <w:rsid w:val="00765675"/>
    <w:rsid w:val="007658EF"/>
    <w:rsid w:val="00767237"/>
    <w:rsid w:val="00767927"/>
    <w:rsid w:val="00770D4B"/>
    <w:rsid w:val="00771258"/>
    <w:rsid w:val="0077144D"/>
    <w:rsid w:val="00772719"/>
    <w:rsid w:val="007727BA"/>
    <w:rsid w:val="00773A33"/>
    <w:rsid w:val="00774C94"/>
    <w:rsid w:val="007751DF"/>
    <w:rsid w:val="007760FA"/>
    <w:rsid w:val="00777885"/>
    <w:rsid w:val="007800AC"/>
    <w:rsid w:val="007801CC"/>
    <w:rsid w:val="0078044E"/>
    <w:rsid w:val="00781E9A"/>
    <w:rsid w:val="00782840"/>
    <w:rsid w:val="00782C60"/>
    <w:rsid w:val="00782CBF"/>
    <w:rsid w:val="00782E22"/>
    <w:rsid w:val="00782F98"/>
    <w:rsid w:val="00783D32"/>
    <w:rsid w:val="00784032"/>
    <w:rsid w:val="007840B4"/>
    <w:rsid w:val="00784A58"/>
    <w:rsid w:val="00785034"/>
    <w:rsid w:val="0078670F"/>
    <w:rsid w:val="007870F3"/>
    <w:rsid w:val="00787676"/>
    <w:rsid w:val="00787F4B"/>
    <w:rsid w:val="00790012"/>
    <w:rsid w:val="007906B9"/>
    <w:rsid w:val="0079123D"/>
    <w:rsid w:val="00791B66"/>
    <w:rsid w:val="00791F16"/>
    <w:rsid w:val="00791F8F"/>
    <w:rsid w:val="00792064"/>
    <w:rsid w:val="007921FC"/>
    <w:rsid w:val="0079326C"/>
    <w:rsid w:val="0079336F"/>
    <w:rsid w:val="007936B9"/>
    <w:rsid w:val="0079399B"/>
    <w:rsid w:val="007939A2"/>
    <w:rsid w:val="00793B5B"/>
    <w:rsid w:val="00794AA4"/>
    <w:rsid w:val="00794ED5"/>
    <w:rsid w:val="00796ABE"/>
    <w:rsid w:val="00796DE2"/>
    <w:rsid w:val="00796F58"/>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6DC2"/>
    <w:rsid w:val="007A7E78"/>
    <w:rsid w:val="007B095C"/>
    <w:rsid w:val="007B124B"/>
    <w:rsid w:val="007B1423"/>
    <w:rsid w:val="007B1995"/>
    <w:rsid w:val="007B25CB"/>
    <w:rsid w:val="007B27A1"/>
    <w:rsid w:val="007B3E50"/>
    <w:rsid w:val="007B4EE3"/>
    <w:rsid w:val="007B5424"/>
    <w:rsid w:val="007B596F"/>
    <w:rsid w:val="007B5DAC"/>
    <w:rsid w:val="007B68A9"/>
    <w:rsid w:val="007B6FE4"/>
    <w:rsid w:val="007B794C"/>
    <w:rsid w:val="007B7E59"/>
    <w:rsid w:val="007C07B0"/>
    <w:rsid w:val="007C13E8"/>
    <w:rsid w:val="007C17A2"/>
    <w:rsid w:val="007C1E41"/>
    <w:rsid w:val="007C2CEE"/>
    <w:rsid w:val="007C33D5"/>
    <w:rsid w:val="007C3B39"/>
    <w:rsid w:val="007C3D38"/>
    <w:rsid w:val="007C4280"/>
    <w:rsid w:val="007C42B6"/>
    <w:rsid w:val="007C473D"/>
    <w:rsid w:val="007C4DF9"/>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1AAD"/>
    <w:rsid w:val="007D2064"/>
    <w:rsid w:val="007D232F"/>
    <w:rsid w:val="007D2B98"/>
    <w:rsid w:val="007D2C68"/>
    <w:rsid w:val="007D34FE"/>
    <w:rsid w:val="007D4CDA"/>
    <w:rsid w:val="007D500C"/>
    <w:rsid w:val="007D50DE"/>
    <w:rsid w:val="007D5203"/>
    <w:rsid w:val="007D5B2C"/>
    <w:rsid w:val="007D5CF6"/>
    <w:rsid w:val="007D6571"/>
    <w:rsid w:val="007D6D55"/>
    <w:rsid w:val="007D77DB"/>
    <w:rsid w:val="007D788B"/>
    <w:rsid w:val="007E0159"/>
    <w:rsid w:val="007E1441"/>
    <w:rsid w:val="007E1FAB"/>
    <w:rsid w:val="007E2E9F"/>
    <w:rsid w:val="007E2F3B"/>
    <w:rsid w:val="007E33AA"/>
    <w:rsid w:val="007E364E"/>
    <w:rsid w:val="007E3F73"/>
    <w:rsid w:val="007E410D"/>
    <w:rsid w:val="007E4D4C"/>
    <w:rsid w:val="007E52E1"/>
    <w:rsid w:val="007E5D7D"/>
    <w:rsid w:val="007E5F0B"/>
    <w:rsid w:val="007E7185"/>
    <w:rsid w:val="007E735F"/>
    <w:rsid w:val="007E7D06"/>
    <w:rsid w:val="007E7F59"/>
    <w:rsid w:val="007F06FF"/>
    <w:rsid w:val="007F126D"/>
    <w:rsid w:val="007F1495"/>
    <w:rsid w:val="007F1694"/>
    <w:rsid w:val="007F2B01"/>
    <w:rsid w:val="007F2BA4"/>
    <w:rsid w:val="007F2C6F"/>
    <w:rsid w:val="007F2C8D"/>
    <w:rsid w:val="007F2CDE"/>
    <w:rsid w:val="007F467C"/>
    <w:rsid w:val="007F4727"/>
    <w:rsid w:val="007F5104"/>
    <w:rsid w:val="007F51AA"/>
    <w:rsid w:val="007F586A"/>
    <w:rsid w:val="007F587B"/>
    <w:rsid w:val="007F5927"/>
    <w:rsid w:val="007F5B71"/>
    <w:rsid w:val="007F6251"/>
    <w:rsid w:val="007F6872"/>
    <w:rsid w:val="007F727B"/>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07F2C"/>
    <w:rsid w:val="008100C3"/>
    <w:rsid w:val="008101FA"/>
    <w:rsid w:val="00810C5C"/>
    <w:rsid w:val="008110F7"/>
    <w:rsid w:val="008111F0"/>
    <w:rsid w:val="0081130F"/>
    <w:rsid w:val="0081150C"/>
    <w:rsid w:val="00811A69"/>
    <w:rsid w:val="00811D3A"/>
    <w:rsid w:val="00812698"/>
    <w:rsid w:val="00812794"/>
    <w:rsid w:val="008127F7"/>
    <w:rsid w:val="00813399"/>
    <w:rsid w:val="00813A4F"/>
    <w:rsid w:val="00814948"/>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276FA"/>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6679"/>
    <w:rsid w:val="008370FD"/>
    <w:rsid w:val="008379AC"/>
    <w:rsid w:val="00837B9F"/>
    <w:rsid w:val="00837F3A"/>
    <w:rsid w:val="008407D7"/>
    <w:rsid w:val="00840B0D"/>
    <w:rsid w:val="00840B22"/>
    <w:rsid w:val="00841578"/>
    <w:rsid w:val="00841AC7"/>
    <w:rsid w:val="00841ED1"/>
    <w:rsid w:val="00842907"/>
    <w:rsid w:val="00842931"/>
    <w:rsid w:val="00843701"/>
    <w:rsid w:val="008442F2"/>
    <w:rsid w:val="00844F62"/>
    <w:rsid w:val="00844F9E"/>
    <w:rsid w:val="0084555B"/>
    <w:rsid w:val="008457C6"/>
    <w:rsid w:val="00845DD8"/>
    <w:rsid w:val="00846780"/>
    <w:rsid w:val="00846B19"/>
    <w:rsid w:val="00846C50"/>
    <w:rsid w:val="00846DFB"/>
    <w:rsid w:val="00846E63"/>
    <w:rsid w:val="008473EB"/>
    <w:rsid w:val="008475B4"/>
    <w:rsid w:val="008476A1"/>
    <w:rsid w:val="00847BE7"/>
    <w:rsid w:val="00847C39"/>
    <w:rsid w:val="00847DDD"/>
    <w:rsid w:val="00850185"/>
    <w:rsid w:val="008502DB"/>
    <w:rsid w:val="00850782"/>
    <w:rsid w:val="00850E87"/>
    <w:rsid w:val="00851F84"/>
    <w:rsid w:val="00852736"/>
    <w:rsid w:val="0085288D"/>
    <w:rsid w:val="00853767"/>
    <w:rsid w:val="00853B5E"/>
    <w:rsid w:val="00853FEC"/>
    <w:rsid w:val="00854476"/>
    <w:rsid w:val="00854C26"/>
    <w:rsid w:val="00855025"/>
    <w:rsid w:val="0085535C"/>
    <w:rsid w:val="008555D6"/>
    <w:rsid w:val="0085664D"/>
    <w:rsid w:val="008576F4"/>
    <w:rsid w:val="00857D32"/>
    <w:rsid w:val="00857FD9"/>
    <w:rsid w:val="0086027F"/>
    <w:rsid w:val="008604EA"/>
    <w:rsid w:val="00860B7E"/>
    <w:rsid w:val="0086145B"/>
    <w:rsid w:val="00861A09"/>
    <w:rsid w:val="008622BC"/>
    <w:rsid w:val="00863FC8"/>
    <w:rsid w:val="008642CD"/>
    <w:rsid w:val="008646B1"/>
    <w:rsid w:val="008646ED"/>
    <w:rsid w:val="00864E3A"/>
    <w:rsid w:val="008655F6"/>
    <w:rsid w:val="00865600"/>
    <w:rsid w:val="00866867"/>
    <w:rsid w:val="00866A20"/>
    <w:rsid w:val="00866ADF"/>
    <w:rsid w:val="00866F4D"/>
    <w:rsid w:val="00867159"/>
    <w:rsid w:val="00867388"/>
    <w:rsid w:val="008674BE"/>
    <w:rsid w:val="00867615"/>
    <w:rsid w:val="008676A1"/>
    <w:rsid w:val="0087034F"/>
    <w:rsid w:val="008704AB"/>
    <w:rsid w:val="00870B42"/>
    <w:rsid w:val="00870C9E"/>
    <w:rsid w:val="008714F7"/>
    <w:rsid w:val="00871E23"/>
    <w:rsid w:val="0087314D"/>
    <w:rsid w:val="0087365F"/>
    <w:rsid w:val="00873A35"/>
    <w:rsid w:val="00873B2D"/>
    <w:rsid w:val="008740F6"/>
    <w:rsid w:val="00874DEB"/>
    <w:rsid w:val="00875372"/>
    <w:rsid w:val="008753CD"/>
    <w:rsid w:val="0087667E"/>
    <w:rsid w:val="008766BD"/>
    <w:rsid w:val="00876D99"/>
    <w:rsid w:val="00877063"/>
    <w:rsid w:val="008778C9"/>
    <w:rsid w:val="008810B4"/>
    <w:rsid w:val="00881A5E"/>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1337"/>
    <w:rsid w:val="00891B31"/>
    <w:rsid w:val="00891C10"/>
    <w:rsid w:val="008920FC"/>
    <w:rsid w:val="00892147"/>
    <w:rsid w:val="008928BF"/>
    <w:rsid w:val="00893DF4"/>
    <w:rsid w:val="00893E4F"/>
    <w:rsid w:val="00894178"/>
    <w:rsid w:val="0089442E"/>
    <w:rsid w:val="008949F6"/>
    <w:rsid w:val="00894D5E"/>
    <w:rsid w:val="00894E5E"/>
    <w:rsid w:val="008959E1"/>
    <w:rsid w:val="0089653C"/>
    <w:rsid w:val="008A132F"/>
    <w:rsid w:val="008A173F"/>
    <w:rsid w:val="008A1C38"/>
    <w:rsid w:val="008A2B9B"/>
    <w:rsid w:val="008A3A24"/>
    <w:rsid w:val="008A3A28"/>
    <w:rsid w:val="008A3F12"/>
    <w:rsid w:val="008A4974"/>
    <w:rsid w:val="008A4E0D"/>
    <w:rsid w:val="008A515C"/>
    <w:rsid w:val="008A53D2"/>
    <w:rsid w:val="008A6A37"/>
    <w:rsid w:val="008A6F12"/>
    <w:rsid w:val="008A7143"/>
    <w:rsid w:val="008A7B93"/>
    <w:rsid w:val="008B0415"/>
    <w:rsid w:val="008B0DED"/>
    <w:rsid w:val="008B1FD9"/>
    <w:rsid w:val="008B39F4"/>
    <w:rsid w:val="008B4B9D"/>
    <w:rsid w:val="008B5C3D"/>
    <w:rsid w:val="008B5E9F"/>
    <w:rsid w:val="008B5FA5"/>
    <w:rsid w:val="008B61B2"/>
    <w:rsid w:val="008B62FB"/>
    <w:rsid w:val="008B6E54"/>
    <w:rsid w:val="008B7123"/>
    <w:rsid w:val="008B7BC1"/>
    <w:rsid w:val="008B7F8C"/>
    <w:rsid w:val="008C054F"/>
    <w:rsid w:val="008C05FF"/>
    <w:rsid w:val="008C13D2"/>
    <w:rsid w:val="008C2DBC"/>
    <w:rsid w:val="008C3C06"/>
    <w:rsid w:val="008C4024"/>
    <w:rsid w:val="008C48EB"/>
    <w:rsid w:val="008C50C2"/>
    <w:rsid w:val="008C5443"/>
    <w:rsid w:val="008C54ED"/>
    <w:rsid w:val="008C5ECC"/>
    <w:rsid w:val="008C63F2"/>
    <w:rsid w:val="008C788B"/>
    <w:rsid w:val="008C7C56"/>
    <w:rsid w:val="008C7C9D"/>
    <w:rsid w:val="008D110A"/>
    <w:rsid w:val="008D1580"/>
    <w:rsid w:val="008D1CFF"/>
    <w:rsid w:val="008D26C5"/>
    <w:rsid w:val="008D3301"/>
    <w:rsid w:val="008D4A0F"/>
    <w:rsid w:val="008D4F2F"/>
    <w:rsid w:val="008D5050"/>
    <w:rsid w:val="008D5685"/>
    <w:rsid w:val="008D7A0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1A21"/>
    <w:rsid w:val="008F1AC4"/>
    <w:rsid w:val="008F1EF8"/>
    <w:rsid w:val="008F263C"/>
    <w:rsid w:val="008F2875"/>
    <w:rsid w:val="008F3220"/>
    <w:rsid w:val="008F33FA"/>
    <w:rsid w:val="008F3B5E"/>
    <w:rsid w:val="008F3B88"/>
    <w:rsid w:val="008F4103"/>
    <w:rsid w:val="008F5E4F"/>
    <w:rsid w:val="008F60FF"/>
    <w:rsid w:val="008F64B0"/>
    <w:rsid w:val="008F6565"/>
    <w:rsid w:val="008F6583"/>
    <w:rsid w:val="008F66CE"/>
    <w:rsid w:val="008F6781"/>
    <w:rsid w:val="008F7A88"/>
    <w:rsid w:val="009010C9"/>
    <w:rsid w:val="009014CE"/>
    <w:rsid w:val="009016BE"/>
    <w:rsid w:val="00902319"/>
    <w:rsid w:val="00902BF6"/>
    <w:rsid w:val="00902EBC"/>
    <w:rsid w:val="0090404F"/>
    <w:rsid w:val="00904F5D"/>
    <w:rsid w:val="00905246"/>
    <w:rsid w:val="00905DB2"/>
    <w:rsid w:val="00905DB4"/>
    <w:rsid w:val="009065FA"/>
    <w:rsid w:val="009073B2"/>
    <w:rsid w:val="00907C54"/>
    <w:rsid w:val="00907CDC"/>
    <w:rsid w:val="00907E06"/>
    <w:rsid w:val="00907EBC"/>
    <w:rsid w:val="00910E9A"/>
    <w:rsid w:val="009110E7"/>
    <w:rsid w:val="00911553"/>
    <w:rsid w:val="0091243D"/>
    <w:rsid w:val="009124D5"/>
    <w:rsid w:val="00912612"/>
    <w:rsid w:val="009130DF"/>
    <w:rsid w:val="00914B18"/>
    <w:rsid w:val="00915261"/>
    <w:rsid w:val="00915273"/>
    <w:rsid w:val="00916626"/>
    <w:rsid w:val="00916A29"/>
    <w:rsid w:val="00916D46"/>
    <w:rsid w:val="00916F4E"/>
    <w:rsid w:val="00917282"/>
    <w:rsid w:val="009203CA"/>
    <w:rsid w:val="009206DC"/>
    <w:rsid w:val="009209D7"/>
    <w:rsid w:val="00921676"/>
    <w:rsid w:val="009216CE"/>
    <w:rsid w:val="009217DA"/>
    <w:rsid w:val="00921A22"/>
    <w:rsid w:val="00921E34"/>
    <w:rsid w:val="009225E6"/>
    <w:rsid w:val="009227A0"/>
    <w:rsid w:val="00923642"/>
    <w:rsid w:val="00923ED5"/>
    <w:rsid w:val="0092417F"/>
    <w:rsid w:val="00925E4C"/>
    <w:rsid w:val="009264DE"/>
    <w:rsid w:val="00926D6C"/>
    <w:rsid w:val="00926DAA"/>
    <w:rsid w:val="00926E7F"/>
    <w:rsid w:val="00926ED0"/>
    <w:rsid w:val="00926FC5"/>
    <w:rsid w:val="00930575"/>
    <w:rsid w:val="0093078A"/>
    <w:rsid w:val="00930AA1"/>
    <w:rsid w:val="0093201D"/>
    <w:rsid w:val="00932B53"/>
    <w:rsid w:val="009333A5"/>
    <w:rsid w:val="00933929"/>
    <w:rsid w:val="00934937"/>
    <w:rsid w:val="00934D57"/>
    <w:rsid w:val="009360AA"/>
    <w:rsid w:val="009364D2"/>
    <w:rsid w:val="009369D4"/>
    <w:rsid w:val="0093703A"/>
    <w:rsid w:val="00937794"/>
    <w:rsid w:val="0093786E"/>
    <w:rsid w:val="0094099F"/>
    <w:rsid w:val="009413B5"/>
    <w:rsid w:val="009414DB"/>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6C4E"/>
    <w:rsid w:val="00946FE6"/>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3C62"/>
    <w:rsid w:val="00954097"/>
    <w:rsid w:val="009541B9"/>
    <w:rsid w:val="009542B4"/>
    <w:rsid w:val="00954FE4"/>
    <w:rsid w:val="00955229"/>
    <w:rsid w:val="00955F74"/>
    <w:rsid w:val="009562FA"/>
    <w:rsid w:val="00956C1E"/>
    <w:rsid w:val="00957005"/>
    <w:rsid w:val="0095717D"/>
    <w:rsid w:val="00957196"/>
    <w:rsid w:val="0095719B"/>
    <w:rsid w:val="00957225"/>
    <w:rsid w:val="00957385"/>
    <w:rsid w:val="00960266"/>
    <w:rsid w:val="0096037E"/>
    <w:rsid w:val="0096042B"/>
    <w:rsid w:val="009605A5"/>
    <w:rsid w:val="0096067A"/>
    <w:rsid w:val="0096079A"/>
    <w:rsid w:val="0096153F"/>
    <w:rsid w:val="00961832"/>
    <w:rsid w:val="009618C2"/>
    <w:rsid w:val="00962F3C"/>
    <w:rsid w:val="00963B2B"/>
    <w:rsid w:val="00964046"/>
    <w:rsid w:val="0096420E"/>
    <w:rsid w:val="00964B96"/>
    <w:rsid w:val="0096510C"/>
    <w:rsid w:val="00965341"/>
    <w:rsid w:val="00965469"/>
    <w:rsid w:val="00965C5D"/>
    <w:rsid w:val="00965D34"/>
    <w:rsid w:val="00966637"/>
    <w:rsid w:val="00966FDB"/>
    <w:rsid w:val="0096715D"/>
    <w:rsid w:val="009677F3"/>
    <w:rsid w:val="00970C40"/>
    <w:rsid w:val="00970EDB"/>
    <w:rsid w:val="00972D30"/>
    <w:rsid w:val="0097328D"/>
    <w:rsid w:val="00973C3A"/>
    <w:rsid w:val="00973E68"/>
    <w:rsid w:val="0097448B"/>
    <w:rsid w:val="00974A0F"/>
    <w:rsid w:val="00974E40"/>
    <w:rsid w:val="0097501D"/>
    <w:rsid w:val="009750F2"/>
    <w:rsid w:val="009757BF"/>
    <w:rsid w:val="00975B6A"/>
    <w:rsid w:val="0097669C"/>
    <w:rsid w:val="00976F17"/>
    <w:rsid w:val="009770BC"/>
    <w:rsid w:val="009773AA"/>
    <w:rsid w:val="009814FF"/>
    <w:rsid w:val="00981834"/>
    <w:rsid w:val="00981B73"/>
    <w:rsid w:val="00982580"/>
    <w:rsid w:val="00982DE0"/>
    <w:rsid w:val="009840B6"/>
    <w:rsid w:val="00985858"/>
    <w:rsid w:val="00986A80"/>
    <w:rsid w:val="00987131"/>
    <w:rsid w:val="0099084B"/>
    <w:rsid w:val="00990883"/>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6B55"/>
    <w:rsid w:val="009974AE"/>
    <w:rsid w:val="00997F68"/>
    <w:rsid w:val="009A0160"/>
    <w:rsid w:val="009A1131"/>
    <w:rsid w:val="009A1A16"/>
    <w:rsid w:val="009A1B99"/>
    <w:rsid w:val="009A241E"/>
    <w:rsid w:val="009A2816"/>
    <w:rsid w:val="009A28AE"/>
    <w:rsid w:val="009A3141"/>
    <w:rsid w:val="009A3160"/>
    <w:rsid w:val="009A468D"/>
    <w:rsid w:val="009A4D67"/>
    <w:rsid w:val="009A4EA0"/>
    <w:rsid w:val="009A69BB"/>
    <w:rsid w:val="009A69C5"/>
    <w:rsid w:val="009A6C1D"/>
    <w:rsid w:val="009A6E0A"/>
    <w:rsid w:val="009A7377"/>
    <w:rsid w:val="009B0A8D"/>
    <w:rsid w:val="009B0FEA"/>
    <w:rsid w:val="009B2316"/>
    <w:rsid w:val="009B2703"/>
    <w:rsid w:val="009B3F84"/>
    <w:rsid w:val="009B41C1"/>
    <w:rsid w:val="009B426A"/>
    <w:rsid w:val="009B4EF3"/>
    <w:rsid w:val="009B65AA"/>
    <w:rsid w:val="009B6A50"/>
    <w:rsid w:val="009B7B4B"/>
    <w:rsid w:val="009C0DE5"/>
    <w:rsid w:val="009C1050"/>
    <w:rsid w:val="009C12E7"/>
    <w:rsid w:val="009C1907"/>
    <w:rsid w:val="009C3295"/>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1E17"/>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BAA"/>
    <w:rsid w:val="009E6E42"/>
    <w:rsid w:val="009E7874"/>
    <w:rsid w:val="009E7999"/>
    <w:rsid w:val="009E7F98"/>
    <w:rsid w:val="009F0937"/>
    <w:rsid w:val="009F0C05"/>
    <w:rsid w:val="009F0D42"/>
    <w:rsid w:val="009F1475"/>
    <w:rsid w:val="009F155C"/>
    <w:rsid w:val="009F1C40"/>
    <w:rsid w:val="009F1E88"/>
    <w:rsid w:val="009F1EF2"/>
    <w:rsid w:val="009F27AF"/>
    <w:rsid w:val="009F31FB"/>
    <w:rsid w:val="009F449B"/>
    <w:rsid w:val="009F4A9D"/>
    <w:rsid w:val="009F4E3A"/>
    <w:rsid w:val="009F6FC6"/>
    <w:rsid w:val="009F742A"/>
    <w:rsid w:val="00A003A8"/>
    <w:rsid w:val="00A01515"/>
    <w:rsid w:val="00A01844"/>
    <w:rsid w:val="00A019A0"/>
    <w:rsid w:val="00A01C29"/>
    <w:rsid w:val="00A02D24"/>
    <w:rsid w:val="00A0410A"/>
    <w:rsid w:val="00A0435D"/>
    <w:rsid w:val="00A04766"/>
    <w:rsid w:val="00A04851"/>
    <w:rsid w:val="00A04EF3"/>
    <w:rsid w:val="00A05C9B"/>
    <w:rsid w:val="00A067E0"/>
    <w:rsid w:val="00A06CFB"/>
    <w:rsid w:val="00A070B0"/>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5BC0"/>
    <w:rsid w:val="00A161F8"/>
    <w:rsid w:val="00A16A45"/>
    <w:rsid w:val="00A16D94"/>
    <w:rsid w:val="00A16F3A"/>
    <w:rsid w:val="00A200A5"/>
    <w:rsid w:val="00A201B5"/>
    <w:rsid w:val="00A20F62"/>
    <w:rsid w:val="00A21362"/>
    <w:rsid w:val="00A22316"/>
    <w:rsid w:val="00A227FA"/>
    <w:rsid w:val="00A2312A"/>
    <w:rsid w:val="00A2343C"/>
    <w:rsid w:val="00A249C9"/>
    <w:rsid w:val="00A24A7E"/>
    <w:rsid w:val="00A24DBD"/>
    <w:rsid w:val="00A2574B"/>
    <w:rsid w:val="00A25AE4"/>
    <w:rsid w:val="00A25C5B"/>
    <w:rsid w:val="00A26702"/>
    <w:rsid w:val="00A268B7"/>
    <w:rsid w:val="00A271D8"/>
    <w:rsid w:val="00A272B0"/>
    <w:rsid w:val="00A274AD"/>
    <w:rsid w:val="00A2758D"/>
    <w:rsid w:val="00A300B2"/>
    <w:rsid w:val="00A3037D"/>
    <w:rsid w:val="00A30D94"/>
    <w:rsid w:val="00A30F16"/>
    <w:rsid w:val="00A31C2D"/>
    <w:rsid w:val="00A32E99"/>
    <w:rsid w:val="00A33956"/>
    <w:rsid w:val="00A33CE9"/>
    <w:rsid w:val="00A33ECE"/>
    <w:rsid w:val="00A34178"/>
    <w:rsid w:val="00A3514D"/>
    <w:rsid w:val="00A3573E"/>
    <w:rsid w:val="00A358C0"/>
    <w:rsid w:val="00A361FE"/>
    <w:rsid w:val="00A36758"/>
    <w:rsid w:val="00A36D3F"/>
    <w:rsid w:val="00A431EE"/>
    <w:rsid w:val="00A444AA"/>
    <w:rsid w:val="00A469F0"/>
    <w:rsid w:val="00A5010F"/>
    <w:rsid w:val="00A5041A"/>
    <w:rsid w:val="00A5115F"/>
    <w:rsid w:val="00A521F0"/>
    <w:rsid w:val="00A53B03"/>
    <w:rsid w:val="00A552F3"/>
    <w:rsid w:val="00A55326"/>
    <w:rsid w:val="00A55B3B"/>
    <w:rsid w:val="00A56693"/>
    <w:rsid w:val="00A5709F"/>
    <w:rsid w:val="00A579E8"/>
    <w:rsid w:val="00A60650"/>
    <w:rsid w:val="00A60849"/>
    <w:rsid w:val="00A60C7B"/>
    <w:rsid w:val="00A60E6A"/>
    <w:rsid w:val="00A6118B"/>
    <w:rsid w:val="00A626C0"/>
    <w:rsid w:val="00A62B5B"/>
    <w:rsid w:val="00A63FD2"/>
    <w:rsid w:val="00A640CF"/>
    <w:rsid w:val="00A64FE9"/>
    <w:rsid w:val="00A65264"/>
    <w:rsid w:val="00A657B5"/>
    <w:rsid w:val="00A658B5"/>
    <w:rsid w:val="00A659C8"/>
    <w:rsid w:val="00A65A3F"/>
    <w:rsid w:val="00A65A41"/>
    <w:rsid w:val="00A66015"/>
    <w:rsid w:val="00A6652A"/>
    <w:rsid w:val="00A66837"/>
    <w:rsid w:val="00A66D23"/>
    <w:rsid w:val="00A6702C"/>
    <w:rsid w:val="00A670AC"/>
    <w:rsid w:val="00A676A0"/>
    <w:rsid w:val="00A67737"/>
    <w:rsid w:val="00A67C49"/>
    <w:rsid w:val="00A67CA3"/>
    <w:rsid w:val="00A7096D"/>
    <w:rsid w:val="00A70DEB"/>
    <w:rsid w:val="00A71511"/>
    <w:rsid w:val="00A721A7"/>
    <w:rsid w:val="00A73120"/>
    <w:rsid w:val="00A73648"/>
    <w:rsid w:val="00A758C0"/>
    <w:rsid w:val="00A75C04"/>
    <w:rsid w:val="00A75D52"/>
    <w:rsid w:val="00A7630D"/>
    <w:rsid w:val="00A76687"/>
    <w:rsid w:val="00A76E9C"/>
    <w:rsid w:val="00A7711C"/>
    <w:rsid w:val="00A772BE"/>
    <w:rsid w:val="00A80608"/>
    <w:rsid w:val="00A80CD3"/>
    <w:rsid w:val="00A81A1C"/>
    <w:rsid w:val="00A81C4C"/>
    <w:rsid w:val="00A81E3A"/>
    <w:rsid w:val="00A82207"/>
    <w:rsid w:val="00A82ABA"/>
    <w:rsid w:val="00A833AA"/>
    <w:rsid w:val="00A83846"/>
    <w:rsid w:val="00A84CD7"/>
    <w:rsid w:val="00A84D71"/>
    <w:rsid w:val="00A84F42"/>
    <w:rsid w:val="00A858D5"/>
    <w:rsid w:val="00A865FB"/>
    <w:rsid w:val="00A8709D"/>
    <w:rsid w:val="00A8754D"/>
    <w:rsid w:val="00A877F1"/>
    <w:rsid w:val="00A903BA"/>
    <w:rsid w:val="00A908F1"/>
    <w:rsid w:val="00A90AD2"/>
    <w:rsid w:val="00A91AD3"/>
    <w:rsid w:val="00A91D7D"/>
    <w:rsid w:val="00A91F7C"/>
    <w:rsid w:val="00A92C8E"/>
    <w:rsid w:val="00A92CD1"/>
    <w:rsid w:val="00A935E2"/>
    <w:rsid w:val="00A938CE"/>
    <w:rsid w:val="00A93A94"/>
    <w:rsid w:val="00A93CA5"/>
    <w:rsid w:val="00A94056"/>
    <w:rsid w:val="00A9470F"/>
    <w:rsid w:val="00A94C47"/>
    <w:rsid w:val="00A9568C"/>
    <w:rsid w:val="00A95C8B"/>
    <w:rsid w:val="00A976C0"/>
    <w:rsid w:val="00AA06CB"/>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834"/>
    <w:rsid w:val="00AB03E1"/>
    <w:rsid w:val="00AB0E9C"/>
    <w:rsid w:val="00AB111C"/>
    <w:rsid w:val="00AB1419"/>
    <w:rsid w:val="00AB15E0"/>
    <w:rsid w:val="00AB15F2"/>
    <w:rsid w:val="00AB18C2"/>
    <w:rsid w:val="00AB2010"/>
    <w:rsid w:val="00AB2039"/>
    <w:rsid w:val="00AB3028"/>
    <w:rsid w:val="00AB37CD"/>
    <w:rsid w:val="00AB38E6"/>
    <w:rsid w:val="00AB3B1E"/>
    <w:rsid w:val="00AB3F86"/>
    <w:rsid w:val="00AB446A"/>
    <w:rsid w:val="00AB4753"/>
    <w:rsid w:val="00AB4792"/>
    <w:rsid w:val="00AB4D48"/>
    <w:rsid w:val="00AB54A4"/>
    <w:rsid w:val="00AB5FD9"/>
    <w:rsid w:val="00AB67CE"/>
    <w:rsid w:val="00AB7EF6"/>
    <w:rsid w:val="00AC01FA"/>
    <w:rsid w:val="00AC095A"/>
    <w:rsid w:val="00AC1423"/>
    <w:rsid w:val="00AC1C70"/>
    <w:rsid w:val="00AC1FAC"/>
    <w:rsid w:val="00AC232E"/>
    <w:rsid w:val="00AC4483"/>
    <w:rsid w:val="00AC4A20"/>
    <w:rsid w:val="00AC50CA"/>
    <w:rsid w:val="00AC60C6"/>
    <w:rsid w:val="00AC6889"/>
    <w:rsid w:val="00AD02FE"/>
    <w:rsid w:val="00AD03D1"/>
    <w:rsid w:val="00AD08EF"/>
    <w:rsid w:val="00AD1138"/>
    <w:rsid w:val="00AD1D78"/>
    <w:rsid w:val="00AD2240"/>
    <w:rsid w:val="00AD2402"/>
    <w:rsid w:val="00AD253D"/>
    <w:rsid w:val="00AD2920"/>
    <w:rsid w:val="00AD3B19"/>
    <w:rsid w:val="00AD4519"/>
    <w:rsid w:val="00AD4C5E"/>
    <w:rsid w:val="00AD4E1C"/>
    <w:rsid w:val="00AD5AAC"/>
    <w:rsid w:val="00AD7411"/>
    <w:rsid w:val="00AD7AC2"/>
    <w:rsid w:val="00AE073F"/>
    <w:rsid w:val="00AE2569"/>
    <w:rsid w:val="00AE2809"/>
    <w:rsid w:val="00AE2F7E"/>
    <w:rsid w:val="00AE3F50"/>
    <w:rsid w:val="00AE4832"/>
    <w:rsid w:val="00AE5F44"/>
    <w:rsid w:val="00AE6BB4"/>
    <w:rsid w:val="00AE726A"/>
    <w:rsid w:val="00AE76A7"/>
    <w:rsid w:val="00AE78BD"/>
    <w:rsid w:val="00AE7C36"/>
    <w:rsid w:val="00AE7DBA"/>
    <w:rsid w:val="00AE7FC4"/>
    <w:rsid w:val="00AF1F73"/>
    <w:rsid w:val="00AF2253"/>
    <w:rsid w:val="00AF28BF"/>
    <w:rsid w:val="00AF2ACC"/>
    <w:rsid w:val="00AF2F15"/>
    <w:rsid w:val="00AF39A9"/>
    <w:rsid w:val="00AF3CBE"/>
    <w:rsid w:val="00AF49D6"/>
    <w:rsid w:val="00AF4B1A"/>
    <w:rsid w:val="00AF66A8"/>
    <w:rsid w:val="00AF785E"/>
    <w:rsid w:val="00AF7AE2"/>
    <w:rsid w:val="00AF7F5F"/>
    <w:rsid w:val="00B00844"/>
    <w:rsid w:val="00B01C8A"/>
    <w:rsid w:val="00B02F4C"/>
    <w:rsid w:val="00B034C1"/>
    <w:rsid w:val="00B03594"/>
    <w:rsid w:val="00B03E33"/>
    <w:rsid w:val="00B04973"/>
    <w:rsid w:val="00B05424"/>
    <w:rsid w:val="00B05955"/>
    <w:rsid w:val="00B06705"/>
    <w:rsid w:val="00B06D3F"/>
    <w:rsid w:val="00B1001E"/>
    <w:rsid w:val="00B10320"/>
    <w:rsid w:val="00B105A9"/>
    <w:rsid w:val="00B10ADD"/>
    <w:rsid w:val="00B10CAC"/>
    <w:rsid w:val="00B1164A"/>
    <w:rsid w:val="00B11868"/>
    <w:rsid w:val="00B11ABF"/>
    <w:rsid w:val="00B11D46"/>
    <w:rsid w:val="00B1271C"/>
    <w:rsid w:val="00B12B2C"/>
    <w:rsid w:val="00B12F69"/>
    <w:rsid w:val="00B13BC5"/>
    <w:rsid w:val="00B13C3E"/>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047"/>
    <w:rsid w:val="00B2256B"/>
    <w:rsid w:val="00B22581"/>
    <w:rsid w:val="00B2260E"/>
    <w:rsid w:val="00B23019"/>
    <w:rsid w:val="00B23098"/>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BDC"/>
    <w:rsid w:val="00B33FD2"/>
    <w:rsid w:val="00B3426A"/>
    <w:rsid w:val="00B34BB3"/>
    <w:rsid w:val="00B35520"/>
    <w:rsid w:val="00B361B3"/>
    <w:rsid w:val="00B36284"/>
    <w:rsid w:val="00B37F42"/>
    <w:rsid w:val="00B40DFA"/>
    <w:rsid w:val="00B40F27"/>
    <w:rsid w:val="00B4106C"/>
    <w:rsid w:val="00B41B89"/>
    <w:rsid w:val="00B42E60"/>
    <w:rsid w:val="00B4319A"/>
    <w:rsid w:val="00B43B10"/>
    <w:rsid w:val="00B43CCC"/>
    <w:rsid w:val="00B43D1F"/>
    <w:rsid w:val="00B43FEA"/>
    <w:rsid w:val="00B44B37"/>
    <w:rsid w:val="00B44D96"/>
    <w:rsid w:val="00B4534A"/>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2E49"/>
    <w:rsid w:val="00B53608"/>
    <w:rsid w:val="00B537DD"/>
    <w:rsid w:val="00B539DB"/>
    <w:rsid w:val="00B53AE8"/>
    <w:rsid w:val="00B5468A"/>
    <w:rsid w:val="00B554FB"/>
    <w:rsid w:val="00B555C1"/>
    <w:rsid w:val="00B55FBB"/>
    <w:rsid w:val="00B56320"/>
    <w:rsid w:val="00B5675D"/>
    <w:rsid w:val="00B56D59"/>
    <w:rsid w:val="00B57298"/>
    <w:rsid w:val="00B6001D"/>
    <w:rsid w:val="00B601E9"/>
    <w:rsid w:val="00B608E8"/>
    <w:rsid w:val="00B60912"/>
    <w:rsid w:val="00B60B03"/>
    <w:rsid w:val="00B60FA2"/>
    <w:rsid w:val="00B60FEB"/>
    <w:rsid w:val="00B612CF"/>
    <w:rsid w:val="00B615DC"/>
    <w:rsid w:val="00B62EC3"/>
    <w:rsid w:val="00B67172"/>
    <w:rsid w:val="00B67BCA"/>
    <w:rsid w:val="00B706C7"/>
    <w:rsid w:val="00B70DD6"/>
    <w:rsid w:val="00B719F2"/>
    <w:rsid w:val="00B71AC0"/>
    <w:rsid w:val="00B72469"/>
    <w:rsid w:val="00B7252B"/>
    <w:rsid w:val="00B725B1"/>
    <w:rsid w:val="00B72708"/>
    <w:rsid w:val="00B727D2"/>
    <w:rsid w:val="00B73063"/>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B33"/>
    <w:rsid w:val="00B82D98"/>
    <w:rsid w:val="00B83385"/>
    <w:rsid w:val="00B83858"/>
    <w:rsid w:val="00B83F2E"/>
    <w:rsid w:val="00B840D5"/>
    <w:rsid w:val="00B8430A"/>
    <w:rsid w:val="00B84C8D"/>
    <w:rsid w:val="00B84EF5"/>
    <w:rsid w:val="00B853F9"/>
    <w:rsid w:val="00B85CD0"/>
    <w:rsid w:val="00B85ECA"/>
    <w:rsid w:val="00B863B1"/>
    <w:rsid w:val="00B864C8"/>
    <w:rsid w:val="00B86F35"/>
    <w:rsid w:val="00B87077"/>
    <w:rsid w:val="00B87124"/>
    <w:rsid w:val="00B873EB"/>
    <w:rsid w:val="00B8740D"/>
    <w:rsid w:val="00B875A2"/>
    <w:rsid w:val="00B90415"/>
    <w:rsid w:val="00B90983"/>
    <w:rsid w:val="00B90C2D"/>
    <w:rsid w:val="00B9168A"/>
    <w:rsid w:val="00B917C5"/>
    <w:rsid w:val="00B92CF1"/>
    <w:rsid w:val="00B936C4"/>
    <w:rsid w:val="00B940BD"/>
    <w:rsid w:val="00B949C4"/>
    <w:rsid w:val="00B95554"/>
    <w:rsid w:val="00B96731"/>
    <w:rsid w:val="00B9673A"/>
    <w:rsid w:val="00B972F1"/>
    <w:rsid w:val="00B979B3"/>
    <w:rsid w:val="00B97BB2"/>
    <w:rsid w:val="00BA0DC9"/>
    <w:rsid w:val="00BA12E6"/>
    <w:rsid w:val="00BA174F"/>
    <w:rsid w:val="00BA2066"/>
    <w:rsid w:val="00BA3E79"/>
    <w:rsid w:val="00BA46C7"/>
    <w:rsid w:val="00BA6BD9"/>
    <w:rsid w:val="00BA6E68"/>
    <w:rsid w:val="00BA7743"/>
    <w:rsid w:val="00BA7919"/>
    <w:rsid w:val="00BA7D29"/>
    <w:rsid w:val="00BB038D"/>
    <w:rsid w:val="00BB28D1"/>
    <w:rsid w:val="00BB2A6D"/>
    <w:rsid w:val="00BB2A6F"/>
    <w:rsid w:val="00BB2B1F"/>
    <w:rsid w:val="00BB2B2A"/>
    <w:rsid w:val="00BB32A4"/>
    <w:rsid w:val="00BB3334"/>
    <w:rsid w:val="00BB7979"/>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204"/>
    <w:rsid w:val="00BD3584"/>
    <w:rsid w:val="00BD449D"/>
    <w:rsid w:val="00BD5359"/>
    <w:rsid w:val="00BD540A"/>
    <w:rsid w:val="00BD6919"/>
    <w:rsid w:val="00BD7C92"/>
    <w:rsid w:val="00BE02A0"/>
    <w:rsid w:val="00BE02B5"/>
    <w:rsid w:val="00BE07D5"/>
    <w:rsid w:val="00BE0B26"/>
    <w:rsid w:val="00BE0F76"/>
    <w:rsid w:val="00BE1AD3"/>
    <w:rsid w:val="00BE23FF"/>
    <w:rsid w:val="00BE2421"/>
    <w:rsid w:val="00BE24C3"/>
    <w:rsid w:val="00BE31A3"/>
    <w:rsid w:val="00BE3B5B"/>
    <w:rsid w:val="00BE4296"/>
    <w:rsid w:val="00BE42A1"/>
    <w:rsid w:val="00BE48D5"/>
    <w:rsid w:val="00BE4B16"/>
    <w:rsid w:val="00BE5799"/>
    <w:rsid w:val="00BE5A30"/>
    <w:rsid w:val="00BE5D9E"/>
    <w:rsid w:val="00BE65DA"/>
    <w:rsid w:val="00BE678E"/>
    <w:rsid w:val="00BE69FF"/>
    <w:rsid w:val="00BE6A63"/>
    <w:rsid w:val="00BE71A0"/>
    <w:rsid w:val="00BF017E"/>
    <w:rsid w:val="00BF02AE"/>
    <w:rsid w:val="00BF0723"/>
    <w:rsid w:val="00BF0BF9"/>
    <w:rsid w:val="00BF12AF"/>
    <w:rsid w:val="00BF17E2"/>
    <w:rsid w:val="00BF19A3"/>
    <w:rsid w:val="00BF1C49"/>
    <w:rsid w:val="00BF2050"/>
    <w:rsid w:val="00BF2178"/>
    <w:rsid w:val="00BF2289"/>
    <w:rsid w:val="00BF24C1"/>
    <w:rsid w:val="00BF2BB2"/>
    <w:rsid w:val="00BF2F1E"/>
    <w:rsid w:val="00BF31DB"/>
    <w:rsid w:val="00BF388B"/>
    <w:rsid w:val="00BF399B"/>
    <w:rsid w:val="00BF3FC3"/>
    <w:rsid w:val="00BF47F4"/>
    <w:rsid w:val="00BF5676"/>
    <w:rsid w:val="00BF63DC"/>
    <w:rsid w:val="00BF661B"/>
    <w:rsid w:val="00BF6AD2"/>
    <w:rsid w:val="00BF6C9E"/>
    <w:rsid w:val="00BF6F4C"/>
    <w:rsid w:val="00BF6F7A"/>
    <w:rsid w:val="00BF70CC"/>
    <w:rsid w:val="00BF70E4"/>
    <w:rsid w:val="00C001F1"/>
    <w:rsid w:val="00C002B5"/>
    <w:rsid w:val="00C0031B"/>
    <w:rsid w:val="00C0079D"/>
    <w:rsid w:val="00C018B5"/>
    <w:rsid w:val="00C01E80"/>
    <w:rsid w:val="00C0225F"/>
    <w:rsid w:val="00C02330"/>
    <w:rsid w:val="00C02D5D"/>
    <w:rsid w:val="00C02FEB"/>
    <w:rsid w:val="00C030CD"/>
    <w:rsid w:val="00C03F11"/>
    <w:rsid w:val="00C046C4"/>
    <w:rsid w:val="00C046D2"/>
    <w:rsid w:val="00C0508C"/>
    <w:rsid w:val="00C05739"/>
    <w:rsid w:val="00C05AA2"/>
    <w:rsid w:val="00C05BE3"/>
    <w:rsid w:val="00C06263"/>
    <w:rsid w:val="00C063AF"/>
    <w:rsid w:val="00C06536"/>
    <w:rsid w:val="00C0734F"/>
    <w:rsid w:val="00C10598"/>
    <w:rsid w:val="00C11A83"/>
    <w:rsid w:val="00C126AB"/>
    <w:rsid w:val="00C1286C"/>
    <w:rsid w:val="00C1292F"/>
    <w:rsid w:val="00C14158"/>
    <w:rsid w:val="00C142C3"/>
    <w:rsid w:val="00C15C23"/>
    <w:rsid w:val="00C15E48"/>
    <w:rsid w:val="00C16ED3"/>
    <w:rsid w:val="00C16EE8"/>
    <w:rsid w:val="00C170B0"/>
    <w:rsid w:val="00C171F4"/>
    <w:rsid w:val="00C176E2"/>
    <w:rsid w:val="00C206FD"/>
    <w:rsid w:val="00C21DBE"/>
    <w:rsid w:val="00C22D9E"/>
    <w:rsid w:val="00C22FA5"/>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3F05"/>
    <w:rsid w:val="00C346FB"/>
    <w:rsid w:val="00C34B47"/>
    <w:rsid w:val="00C3506B"/>
    <w:rsid w:val="00C3541D"/>
    <w:rsid w:val="00C35BD5"/>
    <w:rsid w:val="00C37E46"/>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47F9B"/>
    <w:rsid w:val="00C50C42"/>
    <w:rsid w:val="00C514EC"/>
    <w:rsid w:val="00C51901"/>
    <w:rsid w:val="00C51F61"/>
    <w:rsid w:val="00C52215"/>
    <w:rsid w:val="00C525EA"/>
    <w:rsid w:val="00C5354D"/>
    <w:rsid w:val="00C5360A"/>
    <w:rsid w:val="00C53733"/>
    <w:rsid w:val="00C53D24"/>
    <w:rsid w:val="00C54FD0"/>
    <w:rsid w:val="00C5592A"/>
    <w:rsid w:val="00C564FC"/>
    <w:rsid w:val="00C5677E"/>
    <w:rsid w:val="00C56D9B"/>
    <w:rsid w:val="00C5732D"/>
    <w:rsid w:val="00C577F0"/>
    <w:rsid w:val="00C600DF"/>
    <w:rsid w:val="00C602DB"/>
    <w:rsid w:val="00C60469"/>
    <w:rsid w:val="00C60BC2"/>
    <w:rsid w:val="00C61149"/>
    <w:rsid w:val="00C61543"/>
    <w:rsid w:val="00C615F8"/>
    <w:rsid w:val="00C618F3"/>
    <w:rsid w:val="00C61A19"/>
    <w:rsid w:val="00C61EF5"/>
    <w:rsid w:val="00C62651"/>
    <w:rsid w:val="00C62752"/>
    <w:rsid w:val="00C6276E"/>
    <w:rsid w:val="00C62B23"/>
    <w:rsid w:val="00C62DE1"/>
    <w:rsid w:val="00C642A0"/>
    <w:rsid w:val="00C650E5"/>
    <w:rsid w:val="00C6573A"/>
    <w:rsid w:val="00C66022"/>
    <w:rsid w:val="00C661F0"/>
    <w:rsid w:val="00C663F0"/>
    <w:rsid w:val="00C66537"/>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0FA8"/>
    <w:rsid w:val="00C81001"/>
    <w:rsid w:val="00C811D1"/>
    <w:rsid w:val="00C81441"/>
    <w:rsid w:val="00C814D9"/>
    <w:rsid w:val="00C819C5"/>
    <w:rsid w:val="00C81FC8"/>
    <w:rsid w:val="00C8254D"/>
    <w:rsid w:val="00C82560"/>
    <w:rsid w:val="00C82CE2"/>
    <w:rsid w:val="00C82D0E"/>
    <w:rsid w:val="00C830C8"/>
    <w:rsid w:val="00C831AA"/>
    <w:rsid w:val="00C84262"/>
    <w:rsid w:val="00C84DE1"/>
    <w:rsid w:val="00C84EAA"/>
    <w:rsid w:val="00C84EF2"/>
    <w:rsid w:val="00C85379"/>
    <w:rsid w:val="00C86945"/>
    <w:rsid w:val="00C86E1A"/>
    <w:rsid w:val="00C8700A"/>
    <w:rsid w:val="00C871E1"/>
    <w:rsid w:val="00C871FB"/>
    <w:rsid w:val="00C872C2"/>
    <w:rsid w:val="00C87680"/>
    <w:rsid w:val="00C91DF0"/>
    <w:rsid w:val="00C9224B"/>
    <w:rsid w:val="00C932D9"/>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2099"/>
    <w:rsid w:val="00CA391C"/>
    <w:rsid w:val="00CA43A5"/>
    <w:rsid w:val="00CA441A"/>
    <w:rsid w:val="00CA4F40"/>
    <w:rsid w:val="00CA5204"/>
    <w:rsid w:val="00CA5396"/>
    <w:rsid w:val="00CA5A86"/>
    <w:rsid w:val="00CA5B1E"/>
    <w:rsid w:val="00CA5C15"/>
    <w:rsid w:val="00CA680D"/>
    <w:rsid w:val="00CA6F15"/>
    <w:rsid w:val="00CA70B7"/>
    <w:rsid w:val="00CA7106"/>
    <w:rsid w:val="00CA7E67"/>
    <w:rsid w:val="00CB0273"/>
    <w:rsid w:val="00CB152A"/>
    <w:rsid w:val="00CB15A5"/>
    <w:rsid w:val="00CB15B4"/>
    <w:rsid w:val="00CB188D"/>
    <w:rsid w:val="00CB19B9"/>
    <w:rsid w:val="00CB1B2F"/>
    <w:rsid w:val="00CB2449"/>
    <w:rsid w:val="00CB290C"/>
    <w:rsid w:val="00CB2A06"/>
    <w:rsid w:val="00CB2FE9"/>
    <w:rsid w:val="00CB309C"/>
    <w:rsid w:val="00CB33FE"/>
    <w:rsid w:val="00CB379C"/>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4FC9"/>
    <w:rsid w:val="00CC5C2A"/>
    <w:rsid w:val="00CC5DC3"/>
    <w:rsid w:val="00CC60A0"/>
    <w:rsid w:val="00CC677D"/>
    <w:rsid w:val="00CC6ECD"/>
    <w:rsid w:val="00CC7657"/>
    <w:rsid w:val="00CC772F"/>
    <w:rsid w:val="00CC7DA8"/>
    <w:rsid w:val="00CC7EB4"/>
    <w:rsid w:val="00CD01B3"/>
    <w:rsid w:val="00CD01F5"/>
    <w:rsid w:val="00CD0CAF"/>
    <w:rsid w:val="00CD0D25"/>
    <w:rsid w:val="00CD16B8"/>
    <w:rsid w:val="00CD1C56"/>
    <w:rsid w:val="00CD1E42"/>
    <w:rsid w:val="00CD28D5"/>
    <w:rsid w:val="00CD33AE"/>
    <w:rsid w:val="00CD38FD"/>
    <w:rsid w:val="00CD43D0"/>
    <w:rsid w:val="00CD44A0"/>
    <w:rsid w:val="00CD4C15"/>
    <w:rsid w:val="00CD5527"/>
    <w:rsid w:val="00CD5C57"/>
    <w:rsid w:val="00CD63CC"/>
    <w:rsid w:val="00CD686F"/>
    <w:rsid w:val="00CD6965"/>
    <w:rsid w:val="00CD72DA"/>
    <w:rsid w:val="00CD7F41"/>
    <w:rsid w:val="00CE0DCF"/>
    <w:rsid w:val="00CE0DFE"/>
    <w:rsid w:val="00CE1C06"/>
    <w:rsid w:val="00CE1E70"/>
    <w:rsid w:val="00CE1E8E"/>
    <w:rsid w:val="00CE3605"/>
    <w:rsid w:val="00CE36F1"/>
    <w:rsid w:val="00CE3FDD"/>
    <w:rsid w:val="00CE4015"/>
    <w:rsid w:val="00CE41FF"/>
    <w:rsid w:val="00CE50CC"/>
    <w:rsid w:val="00CE50E3"/>
    <w:rsid w:val="00CE5365"/>
    <w:rsid w:val="00CE5499"/>
    <w:rsid w:val="00CE5755"/>
    <w:rsid w:val="00CE5840"/>
    <w:rsid w:val="00CE58A8"/>
    <w:rsid w:val="00CE5ED7"/>
    <w:rsid w:val="00CE6767"/>
    <w:rsid w:val="00CE6F08"/>
    <w:rsid w:val="00CE707F"/>
    <w:rsid w:val="00CE76F0"/>
    <w:rsid w:val="00CE7728"/>
    <w:rsid w:val="00CE7967"/>
    <w:rsid w:val="00CE79EF"/>
    <w:rsid w:val="00CF0485"/>
    <w:rsid w:val="00CF05C7"/>
    <w:rsid w:val="00CF08DE"/>
    <w:rsid w:val="00CF0F54"/>
    <w:rsid w:val="00CF13E1"/>
    <w:rsid w:val="00CF175E"/>
    <w:rsid w:val="00CF1EDF"/>
    <w:rsid w:val="00CF34A2"/>
    <w:rsid w:val="00CF4939"/>
    <w:rsid w:val="00CF49A9"/>
    <w:rsid w:val="00CF60F9"/>
    <w:rsid w:val="00CF6407"/>
    <w:rsid w:val="00CF655C"/>
    <w:rsid w:val="00CF6CE7"/>
    <w:rsid w:val="00CF6DDD"/>
    <w:rsid w:val="00CF6ED9"/>
    <w:rsid w:val="00CF7401"/>
    <w:rsid w:val="00CF7577"/>
    <w:rsid w:val="00CF7B72"/>
    <w:rsid w:val="00D001F9"/>
    <w:rsid w:val="00D0051C"/>
    <w:rsid w:val="00D00873"/>
    <w:rsid w:val="00D01C46"/>
    <w:rsid w:val="00D02176"/>
    <w:rsid w:val="00D021A6"/>
    <w:rsid w:val="00D026D2"/>
    <w:rsid w:val="00D02F43"/>
    <w:rsid w:val="00D03014"/>
    <w:rsid w:val="00D030EE"/>
    <w:rsid w:val="00D03402"/>
    <w:rsid w:val="00D03FEE"/>
    <w:rsid w:val="00D0407D"/>
    <w:rsid w:val="00D0483D"/>
    <w:rsid w:val="00D04A1B"/>
    <w:rsid w:val="00D053A3"/>
    <w:rsid w:val="00D05583"/>
    <w:rsid w:val="00D0591A"/>
    <w:rsid w:val="00D05C56"/>
    <w:rsid w:val="00D06449"/>
    <w:rsid w:val="00D06B5F"/>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550"/>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5EB"/>
    <w:rsid w:val="00D43605"/>
    <w:rsid w:val="00D443AA"/>
    <w:rsid w:val="00D44721"/>
    <w:rsid w:val="00D456CD"/>
    <w:rsid w:val="00D46ABD"/>
    <w:rsid w:val="00D46F6B"/>
    <w:rsid w:val="00D470CF"/>
    <w:rsid w:val="00D47ACE"/>
    <w:rsid w:val="00D47D03"/>
    <w:rsid w:val="00D47F15"/>
    <w:rsid w:val="00D500D6"/>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0FF"/>
    <w:rsid w:val="00D602A8"/>
    <w:rsid w:val="00D605BD"/>
    <w:rsid w:val="00D608A3"/>
    <w:rsid w:val="00D609F0"/>
    <w:rsid w:val="00D60D4F"/>
    <w:rsid w:val="00D60F43"/>
    <w:rsid w:val="00D617EA"/>
    <w:rsid w:val="00D61FBE"/>
    <w:rsid w:val="00D62FC0"/>
    <w:rsid w:val="00D6316E"/>
    <w:rsid w:val="00D63AB4"/>
    <w:rsid w:val="00D63C0E"/>
    <w:rsid w:val="00D63FE4"/>
    <w:rsid w:val="00D645A3"/>
    <w:rsid w:val="00D6471B"/>
    <w:rsid w:val="00D647B3"/>
    <w:rsid w:val="00D65351"/>
    <w:rsid w:val="00D65C1F"/>
    <w:rsid w:val="00D66784"/>
    <w:rsid w:val="00D66F88"/>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DA"/>
    <w:rsid w:val="00D77DEB"/>
    <w:rsid w:val="00D77E01"/>
    <w:rsid w:val="00D81BF4"/>
    <w:rsid w:val="00D81C7D"/>
    <w:rsid w:val="00D826AD"/>
    <w:rsid w:val="00D82E22"/>
    <w:rsid w:val="00D83369"/>
    <w:rsid w:val="00D83BD5"/>
    <w:rsid w:val="00D84592"/>
    <w:rsid w:val="00D84F78"/>
    <w:rsid w:val="00D8514F"/>
    <w:rsid w:val="00D85E0A"/>
    <w:rsid w:val="00D86727"/>
    <w:rsid w:val="00D868F7"/>
    <w:rsid w:val="00D869E5"/>
    <w:rsid w:val="00D86E9B"/>
    <w:rsid w:val="00D8711B"/>
    <w:rsid w:val="00D8742A"/>
    <w:rsid w:val="00D90ADB"/>
    <w:rsid w:val="00D913FA"/>
    <w:rsid w:val="00D9206D"/>
    <w:rsid w:val="00D933B8"/>
    <w:rsid w:val="00D93444"/>
    <w:rsid w:val="00D93445"/>
    <w:rsid w:val="00D93643"/>
    <w:rsid w:val="00D94407"/>
    <w:rsid w:val="00D94528"/>
    <w:rsid w:val="00D9470D"/>
    <w:rsid w:val="00D951C6"/>
    <w:rsid w:val="00D956EB"/>
    <w:rsid w:val="00D959C2"/>
    <w:rsid w:val="00D95AC6"/>
    <w:rsid w:val="00D95DD9"/>
    <w:rsid w:val="00D95E34"/>
    <w:rsid w:val="00D97400"/>
    <w:rsid w:val="00D97E00"/>
    <w:rsid w:val="00DA0D5C"/>
    <w:rsid w:val="00DA0DB5"/>
    <w:rsid w:val="00DA0E03"/>
    <w:rsid w:val="00DA3BDA"/>
    <w:rsid w:val="00DA3DBE"/>
    <w:rsid w:val="00DA51A6"/>
    <w:rsid w:val="00DA546C"/>
    <w:rsid w:val="00DA5A5C"/>
    <w:rsid w:val="00DA71D0"/>
    <w:rsid w:val="00DA7954"/>
    <w:rsid w:val="00DB01AC"/>
    <w:rsid w:val="00DB157D"/>
    <w:rsid w:val="00DB2CDD"/>
    <w:rsid w:val="00DB31AF"/>
    <w:rsid w:val="00DB38D9"/>
    <w:rsid w:val="00DB3BC7"/>
    <w:rsid w:val="00DB3FD9"/>
    <w:rsid w:val="00DB4282"/>
    <w:rsid w:val="00DB48FF"/>
    <w:rsid w:val="00DB4991"/>
    <w:rsid w:val="00DB4C11"/>
    <w:rsid w:val="00DB5105"/>
    <w:rsid w:val="00DB51AA"/>
    <w:rsid w:val="00DB55CE"/>
    <w:rsid w:val="00DB55D6"/>
    <w:rsid w:val="00DB5F4E"/>
    <w:rsid w:val="00DB644E"/>
    <w:rsid w:val="00DB670E"/>
    <w:rsid w:val="00DB694A"/>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5020"/>
    <w:rsid w:val="00DC5B20"/>
    <w:rsid w:val="00DC62B1"/>
    <w:rsid w:val="00DC6544"/>
    <w:rsid w:val="00DC6ED6"/>
    <w:rsid w:val="00DC78B3"/>
    <w:rsid w:val="00DD0513"/>
    <w:rsid w:val="00DD0D38"/>
    <w:rsid w:val="00DD0D67"/>
    <w:rsid w:val="00DD16E2"/>
    <w:rsid w:val="00DD1CD2"/>
    <w:rsid w:val="00DD458E"/>
    <w:rsid w:val="00DD4CC1"/>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F0775"/>
    <w:rsid w:val="00DF1976"/>
    <w:rsid w:val="00DF19E2"/>
    <w:rsid w:val="00DF19E6"/>
    <w:rsid w:val="00DF2434"/>
    <w:rsid w:val="00DF2965"/>
    <w:rsid w:val="00DF2F5D"/>
    <w:rsid w:val="00DF312F"/>
    <w:rsid w:val="00DF3BC1"/>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A69"/>
    <w:rsid w:val="00E00BD4"/>
    <w:rsid w:val="00E00C1D"/>
    <w:rsid w:val="00E013EB"/>
    <w:rsid w:val="00E015E4"/>
    <w:rsid w:val="00E02A18"/>
    <w:rsid w:val="00E02B45"/>
    <w:rsid w:val="00E02F68"/>
    <w:rsid w:val="00E038A5"/>
    <w:rsid w:val="00E03A56"/>
    <w:rsid w:val="00E0495D"/>
    <w:rsid w:val="00E04ACA"/>
    <w:rsid w:val="00E04C34"/>
    <w:rsid w:val="00E05262"/>
    <w:rsid w:val="00E069AD"/>
    <w:rsid w:val="00E06A37"/>
    <w:rsid w:val="00E07183"/>
    <w:rsid w:val="00E071DA"/>
    <w:rsid w:val="00E07772"/>
    <w:rsid w:val="00E10551"/>
    <w:rsid w:val="00E10D9C"/>
    <w:rsid w:val="00E11FFD"/>
    <w:rsid w:val="00E1229D"/>
    <w:rsid w:val="00E12EB0"/>
    <w:rsid w:val="00E133A4"/>
    <w:rsid w:val="00E13730"/>
    <w:rsid w:val="00E13807"/>
    <w:rsid w:val="00E13A21"/>
    <w:rsid w:val="00E14A43"/>
    <w:rsid w:val="00E15253"/>
    <w:rsid w:val="00E155FC"/>
    <w:rsid w:val="00E160CC"/>
    <w:rsid w:val="00E16337"/>
    <w:rsid w:val="00E17DEA"/>
    <w:rsid w:val="00E20252"/>
    <w:rsid w:val="00E20547"/>
    <w:rsid w:val="00E20C45"/>
    <w:rsid w:val="00E21446"/>
    <w:rsid w:val="00E223F5"/>
    <w:rsid w:val="00E22734"/>
    <w:rsid w:val="00E228C3"/>
    <w:rsid w:val="00E22D62"/>
    <w:rsid w:val="00E22F18"/>
    <w:rsid w:val="00E230A3"/>
    <w:rsid w:val="00E23253"/>
    <w:rsid w:val="00E2369E"/>
    <w:rsid w:val="00E2381A"/>
    <w:rsid w:val="00E23938"/>
    <w:rsid w:val="00E24E1C"/>
    <w:rsid w:val="00E25BB7"/>
    <w:rsid w:val="00E25C4D"/>
    <w:rsid w:val="00E2617C"/>
    <w:rsid w:val="00E263DF"/>
    <w:rsid w:val="00E26501"/>
    <w:rsid w:val="00E27550"/>
    <w:rsid w:val="00E27CC7"/>
    <w:rsid w:val="00E27E94"/>
    <w:rsid w:val="00E30920"/>
    <w:rsid w:val="00E30EBC"/>
    <w:rsid w:val="00E30EDE"/>
    <w:rsid w:val="00E31891"/>
    <w:rsid w:val="00E32442"/>
    <w:rsid w:val="00E32A4F"/>
    <w:rsid w:val="00E32A99"/>
    <w:rsid w:val="00E334EB"/>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DD1"/>
    <w:rsid w:val="00E46EAD"/>
    <w:rsid w:val="00E47164"/>
    <w:rsid w:val="00E47570"/>
    <w:rsid w:val="00E516C1"/>
    <w:rsid w:val="00E5195C"/>
    <w:rsid w:val="00E51BA9"/>
    <w:rsid w:val="00E52032"/>
    <w:rsid w:val="00E531F6"/>
    <w:rsid w:val="00E53921"/>
    <w:rsid w:val="00E54135"/>
    <w:rsid w:val="00E54F5D"/>
    <w:rsid w:val="00E5528D"/>
    <w:rsid w:val="00E5575A"/>
    <w:rsid w:val="00E557D7"/>
    <w:rsid w:val="00E55EC2"/>
    <w:rsid w:val="00E55F9E"/>
    <w:rsid w:val="00E56AC0"/>
    <w:rsid w:val="00E57D01"/>
    <w:rsid w:val="00E60073"/>
    <w:rsid w:val="00E60D1A"/>
    <w:rsid w:val="00E62740"/>
    <w:rsid w:val="00E62755"/>
    <w:rsid w:val="00E62780"/>
    <w:rsid w:val="00E630F7"/>
    <w:rsid w:val="00E63341"/>
    <w:rsid w:val="00E63667"/>
    <w:rsid w:val="00E63993"/>
    <w:rsid w:val="00E6405A"/>
    <w:rsid w:val="00E641FC"/>
    <w:rsid w:val="00E65485"/>
    <w:rsid w:val="00E65988"/>
    <w:rsid w:val="00E667D7"/>
    <w:rsid w:val="00E6684C"/>
    <w:rsid w:val="00E66933"/>
    <w:rsid w:val="00E66D72"/>
    <w:rsid w:val="00E67109"/>
    <w:rsid w:val="00E67178"/>
    <w:rsid w:val="00E70533"/>
    <w:rsid w:val="00E71F1C"/>
    <w:rsid w:val="00E73C99"/>
    <w:rsid w:val="00E740E0"/>
    <w:rsid w:val="00E74E4C"/>
    <w:rsid w:val="00E75432"/>
    <w:rsid w:val="00E75729"/>
    <w:rsid w:val="00E75C76"/>
    <w:rsid w:val="00E75F28"/>
    <w:rsid w:val="00E7603C"/>
    <w:rsid w:val="00E7750C"/>
    <w:rsid w:val="00E776A1"/>
    <w:rsid w:val="00E80127"/>
    <w:rsid w:val="00E80EBF"/>
    <w:rsid w:val="00E81B1F"/>
    <w:rsid w:val="00E82639"/>
    <w:rsid w:val="00E8270D"/>
    <w:rsid w:val="00E831CE"/>
    <w:rsid w:val="00E83969"/>
    <w:rsid w:val="00E83CA8"/>
    <w:rsid w:val="00E83DF5"/>
    <w:rsid w:val="00E8429C"/>
    <w:rsid w:val="00E847EF"/>
    <w:rsid w:val="00E85205"/>
    <w:rsid w:val="00E852AE"/>
    <w:rsid w:val="00E854FC"/>
    <w:rsid w:val="00E85877"/>
    <w:rsid w:val="00E862BE"/>
    <w:rsid w:val="00E8674C"/>
    <w:rsid w:val="00E86E34"/>
    <w:rsid w:val="00E874B8"/>
    <w:rsid w:val="00E87510"/>
    <w:rsid w:val="00E87A30"/>
    <w:rsid w:val="00E90B74"/>
    <w:rsid w:val="00E90E56"/>
    <w:rsid w:val="00E914AE"/>
    <w:rsid w:val="00E91A90"/>
    <w:rsid w:val="00E91D3C"/>
    <w:rsid w:val="00E92345"/>
    <w:rsid w:val="00E9298C"/>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19A1"/>
    <w:rsid w:val="00EA2218"/>
    <w:rsid w:val="00EA39CE"/>
    <w:rsid w:val="00EA3AFB"/>
    <w:rsid w:val="00EA5010"/>
    <w:rsid w:val="00EA524B"/>
    <w:rsid w:val="00EA59AC"/>
    <w:rsid w:val="00EA61EC"/>
    <w:rsid w:val="00EA6966"/>
    <w:rsid w:val="00EA7048"/>
    <w:rsid w:val="00EA72FC"/>
    <w:rsid w:val="00EA77FC"/>
    <w:rsid w:val="00EA7A50"/>
    <w:rsid w:val="00EA7C55"/>
    <w:rsid w:val="00EB0718"/>
    <w:rsid w:val="00EB0D1B"/>
    <w:rsid w:val="00EB127D"/>
    <w:rsid w:val="00EB1675"/>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082D"/>
    <w:rsid w:val="00EC10D1"/>
    <w:rsid w:val="00EC1431"/>
    <w:rsid w:val="00EC1885"/>
    <w:rsid w:val="00EC1A5E"/>
    <w:rsid w:val="00EC1CAC"/>
    <w:rsid w:val="00EC2463"/>
    <w:rsid w:val="00EC290B"/>
    <w:rsid w:val="00EC2F21"/>
    <w:rsid w:val="00EC46E9"/>
    <w:rsid w:val="00EC4DE4"/>
    <w:rsid w:val="00EC577C"/>
    <w:rsid w:val="00EC6EDD"/>
    <w:rsid w:val="00EC706B"/>
    <w:rsid w:val="00ED0998"/>
    <w:rsid w:val="00ED0DAF"/>
    <w:rsid w:val="00ED0EA6"/>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3FC"/>
    <w:rsid w:val="00EE5AD9"/>
    <w:rsid w:val="00EE6240"/>
    <w:rsid w:val="00EE632D"/>
    <w:rsid w:val="00EE6DE7"/>
    <w:rsid w:val="00EE722F"/>
    <w:rsid w:val="00EE75A0"/>
    <w:rsid w:val="00EE78E6"/>
    <w:rsid w:val="00EE7960"/>
    <w:rsid w:val="00EE7A61"/>
    <w:rsid w:val="00EF087A"/>
    <w:rsid w:val="00EF0C8C"/>
    <w:rsid w:val="00EF1991"/>
    <w:rsid w:val="00EF1C38"/>
    <w:rsid w:val="00EF2D18"/>
    <w:rsid w:val="00EF320E"/>
    <w:rsid w:val="00EF389E"/>
    <w:rsid w:val="00EF3FB5"/>
    <w:rsid w:val="00EF4FB5"/>
    <w:rsid w:val="00EF5077"/>
    <w:rsid w:val="00EF5FB2"/>
    <w:rsid w:val="00EF6290"/>
    <w:rsid w:val="00EF6D4E"/>
    <w:rsid w:val="00F0046C"/>
    <w:rsid w:val="00F0095F"/>
    <w:rsid w:val="00F00B7D"/>
    <w:rsid w:val="00F012B1"/>
    <w:rsid w:val="00F01F70"/>
    <w:rsid w:val="00F02936"/>
    <w:rsid w:val="00F02B4A"/>
    <w:rsid w:val="00F03393"/>
    <w:rsid w:val="00F0340D"/>
    <w:rsid w:val="00F03F65"/>
    <w:rsid w:val="00F049FE"/>
    <w:rsid w:val="00F04A19"/>
    <w:rsid w:val="00F04F03"/>
    <w:rsid w:val="00F05002"/>
    <w:rsid w:val="00F055E1"/>
    <w:rsid w:val="00F06B9D"/>
    <w:rsid w:val="00F0786B"/>
    <w:rsid w:val="00F07AC8"/>
    <w:rsid w:val="00F10419"/>
    <w:rsid w:val="00F1052B"/>
    <w:rsid w:val="00F119C8"/>
    <w:rsid w:val="00F11CBE"/>
    <w:rsid w:val="00F11E1A"/>
    <w:rsid w:val="00F12741"/>
    <w:rsid w:val="00F12E60"/>
    <w:rsid w:val="00F12FE9"/>
    <w:rsid w:val="00F13073"/>
    <w:rsid w:val="00F1414E"/>
    <w:rsid w:val="00F14D01"/>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5313"/>
    <w:rsid w:val="00F25806"/>
    <w:rsid w:val="00F25EF9"/>
    <w:rsid w:val="00F2647F"/>
    <w:rsid w:val="00F26E48"/>
    <w:rsid w:val="00F2706F"/>
    <w:rsid w:val="00F274C4"/>
    <w:rsid w:val="00F275DF"/>
    <w:rsid w:val="00F27CA4"/>
    <w:rsid w:val="00F304F7"/>
    <w:rsid w:val="00F3065F"/>
    <w:rsid w:val="00F309EF"/>
    <w:rsid w:val="00F31596"/>
    <w:rsid w:val="00F31597"/>
    <w:rsid w:val="00F317E8"/>
    <w:rsid w:val="00F31CA1"/>
    <w:rsid w:val="00F32161"/>
    <w:rsid w:val="00F321F9"/>
    <w:rsid w:val="00F32A1C"/>
    <w:rsid w:val="00F32BE4"/>
    <w:rsid w:val="00F32DF8"/>
    <w:rsid w:val="00F331EE"/>
    <w:rsid w:val="00F338ED"/>
    <w:rsid w:val="00F33A51"/>
    <w:rsid w:val="00F33B83"/>
    <w:rsid w:val="00F347C4"/>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0C63"/>
    <w:rsid w:val="00F51250"/>
    <w:rsid w:val="00F52363"/>
    <w:rsid w:val="00F53CB2"/>
    <w:rsid w:val="00F54208"/>
    <w:rsid w:val="00F54757"/>
    <w:rsid w:val="00F55522"/>
    <w:rsid w:val="00F55BEC"/>
    <w:rsid w:val="00F563DA"/>
    <w:rsid w:val="00F56B3C"/>
    <w:rsid w:val="00F57717"/>
    <w:rsid w:val="00F57934"/>
    <w:rsid w:val="00F57B09"/>
    <w:rsid w:val="00F57B9A"/>
    <w:rsid w:val="00F60EB2"/>
    <w:rsid w:val="00F61611"/>
    <w:rsid w:val="00F6236C"/>
    <w:rsid w:val="00F63679"/>
    <w:rsid w:val="00F637BB"/>
    <w:rsid w:val="00F64F6E"/>
    <w:rsid w:val="00F656DB"/>
    <w:rsid w:val="00F657F3"/>
    <w:rsid w:val="00F663C3"/>
    <w:rsid w:val="00F6697B"/>
    <w:rsid w:val="00F672BA"/>
    <w:rsid w:val="00F67536"/>
    <w:rsid w:val="00F67BE0"/>
    <w:rsid w:val="00F70521"/>
    <w:rsid w:val="00F70A51"/>
    <w:rsid w:val="00F70C4A"/>
    <w:rsid w:val="00F70D85"/>
    <w:rsid w:val="00F715F1"/>
    <w:rsid w:val="00F71951"/>
    <w:rsid w:val="00F71FF0"/>
    <w:rsid w:val="00F72B2D"/>
    <w:rsid w:val="00F73344"/>
    <w:rsid w:val="00F733E3"/>
    <w:rsid w:val="00F7416E"/>
    <w:rsid w:val="00F742AB"/>
    <w:rsid w:val="00F74AA9"/>
    <w:rsid w:val="00F74EE4"/>
    <w:rsid w:val="00F75095"/>
    <w:rsid w:val="00F75DCC"/>
    <w:rsid w:val="00F761D5"/>
    <w:rsid w:val="00F7694E"/>
    <w:rsid w:val="00F76FEF"/>
    <w:rsid w:val="00F77689"/>
    <w:rsid w:val="00F801FC"/>
    <w:rsid w:val="00F803E6"/>
    <w:rsid w:val="00F80494"/>
    <w:rsid w:val="00F8083A"/>
    <w:rsid w:val="00F80AEA"/>
    <w:rsid w:val="00F82763"/>
    <w:rsid w:val="00F82874"/>
    <w:rsid w:val="00F832D6"/>
    <w:rsid w:val="00F866AA"/>
    <w:rsid w:val="00F86B99"/>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2D"/>
    <w:rsid w:val="00FA3298"/>
    <w:rsid w:val="00FA3482"/>
    <w:rsid w:val="00FA3667"/>
    <w:rsid w:val="00FA41FF"/>
    <w:rsid w:val="00FA6434"/>
    <w:rsid w:val="00FA6AB6"/>
    <w:rsid w:val="00FA6CEB"/>
    <w:rsid w:val="00FA713D"/>
    <w:rsid w:val="00FA718B"/>
    <w:rsid w:val="00FB0987"/>
    <w:rsid w:val="00FB09F8"/>
    <w:rsid w:val="00FB0AC5"/>
    <w:rsid w:val="00FB1368"/>
    <w:rsid w:val="00FB1AB8"/>
    <w:rsid w:val="00FB1BB6"/>
    <w:rsid w:val="00FB234F"/>
    <w:rsid w:val="00FB2FA3"/>
    <w:rsid w:val="00FB33B3"/>
    <w:rsid w:val="00FB35FC"/>
    <w:rsid w:val="00FB3D7C"/>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BAD"/>
    <w:rsid w:val="00FE1D95"/>
    <w:rsid w:val="00FE2660"/>
    <w:rsid w:val="00FE2B6B"/>
    <w:rsid w:val="00FE3A60"/>
    <w:rsid w:val="00FE458E"/>
    <w:rsid w:val="00FE4890"/>
    <w:rsid w:val="00FE4FED"/>
    <w:rsid w:val="00FE5347"/>
    <w:rsid w:val="00FE690E"/>
    <w:rsid w:val="00FE719D"/>
    <w:rsid w:val="00FE71FE"/>
    <w:rsid w:val="00FE7ADC"/>
    <w:rsid w:val="00FE7D0B"/>
    <w:rsid w:val="00FF021B"/>
    <w:rsid w:val="00FF093B"/>
    <w:rsid w:val="00FF0D8C"/>
    <w:rsid w:val="00FF1609"/>
    <w:rsid w:val="00FF243E"/>
    <w:rsid w:val="00FF2B6F"/>
    <w:rsid w:val="00FF3432"/>
    <w:rsid w:val="00FF3748"/>
    <w:rsid w:val="00FF3804"/>
    <w:rsid w:val="00FF3FEF"/>
    <w:rsid w:val="00FF400E"/>
    <w:rsid w:val="00FF5543"/>
    <w:rsid w:val="00FF57C9"/>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ocId w14:val="00F6F1E5"/>
  <w15:docId w15:val="{AFB73A97-EC06-4947-8725-9FA10739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Bibliography">
    <w:name w:val="Bibliography"/>
    <w:basedOn w:val="Normal"/>
    <w:next w:val="Normal"/>
    <w:uiPriority w:val="37"/>
    <w:semiHidden/>
    <w:unhideWhenUsed/>
    <w:rsid w:val="009F1C40"/>
  </w:style>
  <w:style w:type="paragraph" w:styleId="BlockText">
    <w:name w:val="Block Text"/>
    <w:basedOn w:val="Normal"/>
    <w:uiPriority w:val="99"/>
    <w:semiHidden/>
    <w:unhideWhenUsed/>
    <w:locked/>
    <w:rsid w:val="009F1C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9F1C40"/>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9F1C40"/>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9F1C40"/>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9F1C40"/>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9F1C4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9F1C40"/>
    <w:pPr>
      <w:ind w:left="4252"/>
    </w:pPr>
  </w:style>
  <w:style w:type="character" w:customStyle="1" w:styleId="ClosingChar">
    <w:name w:val="Closing Char"/>
    <w:basedOn w:val="DefaultParagraphFont"/>
    <w:link w:val="Closing"/>
    <w:uiPriority w:val="99"/>
    <w:semiHidden/>
    <w:rsid w:val="009F1C40"/>
    <w:rPr>
      <w:rFonts w:ascii="ZapfCalligr BT" w:hAnsi="ZapfCalligr BT"/>
      <w:sz w:val="22"/>
    </w:rPr>
  </w:style>
  <w:style w:type="paragraph" w:styleId="CommentSubject">
    <w:name w:val="annotation subject"/>
    <w:basedOn w:val="CommentText"/>
    <w:next w:val="CommentText"/>
    <w:link w:val="CommentSubjectChar"/>
    <w:uiPriority w:val="99"/>
    <w:semiHidden/>
    <w:unhideWhenUsed/>
    <w:locked/>
    <w:rsid w:val="009F1C40"/>
    <w:rPr>
      <w:b/>
      <w:bCs/>
    </w:rPr>
  </w:style>
  <w:style w:type="character" w:customStyle="1" w:styleId="CommentSubjectChar">
    <w:name w:val="Comment Subject Char"/>
    <w:basedOn w:val="CommentTextChar"/>
    <w:link w:val="CommentSubject"/>
    <w:uiPriority w:val="99"/>
    <w:semiHidden/>
    <w:rsid w:val="009F1C40"/>
    <w:rPr>
      <w:rFonts w:ascii="ZapfCalligr BT" w:hAnsi="ZapfCalligr BT"/>
      <w:b/>
      <w:bCs/>
    </w:rPr>
  </w:style>
  <w:style w:type="paragraph" w:styleId="Date">
    <w:name w:val="Date"/>
    <w:basedOn w:val="Normal"/>
    <w:next w:val="Normal"/>
    <w:link w:val="DateChar"/>
    <w:uiPriority w:val="99"/>
    <w:semiHidden/>
    <w:unhideWhenUsed/>
    <w:locked/>
    <w:rsid w:val="009F1C40"/>
  </w:style>
  <w:style w:type="character" w:customStyle="1" w:styleId="DateChar">
    <w:name w:val="Date Char"/>
    <w:basedOn w:val="DefaultParagraphFont"/>
    <w:link w:val="Date"/>
    <w:uiPriority w:val="99"/>
    <w:semiHidden/>
    <w:rsid w:val="009F1C40"/>
    <w:rPr>
      <w:rFonts w:ascii="ZapfCalligr BT" w:hAnsi="ZapfCalligr BT"/>
      <w:sz w:val="22"/>
    </w:rPr>
  </w:style>
  <w:style w:type="paragraph" w:styleId="DocumentMap">
    <w:name w:val="Document Map"/>
    <w:basedOn w:val="Normal"/>
    <w:link w:val="DocumentMapChar"/>
    <w:uiPriority w:val="99"/>
    <w:semiHidden/>
    <w:unhideWhenUsed/>
    <w:locked/>
    <w:rsid w:val="009F1C4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1C4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9F1C40"/>
  </w:style>
  <w:style w:type="character" w:customStyle="1" w:styleId="E-mailSignatureChar">
    <w:name w:val="E-mail Signature Char"/>
    <w:basedOn w:val="DefaultParagraphFont"/>
    <w:link w:val="E-mailSignature"/>
    <w:uiPriority w:val="99"/>
    <w:semiHidden/>
    <w:rsid w:val="009F1C40"/>
    <w:rPr>
      <w:rFonts w:ascii="ZapfCalligr BT" w:hAnsi="ZapfCalligr BT"/>
      <w:sz w:val="22"/>
    </w:rPr>
  </w:style>
  <w:style w:type="paragraph" w:styleId="EndnoteText">
    <w:name w:val="endnote text"/>
    <w:basedOn w:val="Normal"/>
    <w:link w:val="EndnoteTextChar"/>
    <w:uiPriority w:val="99"/>
    <w:semiHidden/>
    <w:unhideWhenUsed/>
    <w:locked/>
    <w:rsid w:val="009F1C40"/>
    <w:rPr>
      <w:sz w:val="20"/>
    </w:rPr>
  </w:style>
  <w:style w:type="character" w:customStyle="1" w:styleId="EndnoteTextChar">
    <w:name w:val="Endnote Text Char"/>
    <w:basedOn w:val="DefaultParagraphFont"/>
    <w:link w:val="EndnoteText"/>
    <w:uiPriority w:val="99"/>
    <w:semiHidden/>
    <w:rsid w:val="009F1C40"/>
    <w:rPr>
      <w:rFonts w:ascii="ZapfCalligr BT" w:hAnsi="ZapfCalligr BT"/>
    </w:rPr>
  </w:style>
  <w:style w:type="paragraph" w:styleId="EnvelopeAddress">
    <w:name w:val="envelope address"/>
    <w:basedOn w:val="Normal"/>
    <w:uiPriority w:val="99"/>
    <w:semiHidden/>
    <w:unhideWhenUsed/>
    <w:locked/>
    <w:rsid w:val="009F1C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9F1C40"/>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9F1C40"/>
    <w:rPr>
      <w:sz w:val="20"/>
    </w:rPr>
  </w:style>
  <w:style w:type="character" w:customStyle="1" w:styleId="FootnoteTextChar">
    <w:name w:val="Footnote Text Char"/>
    <w:basedOn w:val="DefaultParagraphFont"/>
    <w:link w:val="FootnoteText"/>
    <w:uiPriority w:val="99"/>
    <w:semiHidden/>
    <w:rsid w:val="009F1C40"/>
    <w:rPr>
      <w:rFonts w:ascii="ZapfCalligr BT" w:hAnsi="ZapfCalligr BT"/>
    </w:rPr>
  </w:style>
  <w:style w:type="paragraph" w:styleId="HTMLAddress">
    <w:name w:val="HTML Address"/>
    <w:basedOn w:val="Normal"/>
    <w:link w:val="HTMLAddressChar"/>
    <w:uiPriority w:val="99"/>
    <w:semiHidden/>
    <w:unhideWhenUsed/>
    <w:locked/>
    <w:rsid w:val="009F1C40"/>
    <w:rPr>
      <w:i/>
      <w:iCs/>
    </w:rPr>
  </w:style>
  <w:style w:type="character" w:customStyle="1" w:styleId="HTMLAddressChar">
    <w:name w:val="HTML Address Char"/>
    <w:basedOn w:val="DefaultParagraphFont"/>
    <w:link w:val="HTMLAddress"/>
    <w:uiPriority w:val="99"/>
    <w:semiHidden/>
    <w:rsid w:val="009F1C40"/>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9F1C4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F1C40"/>
    <w:rPr>
      <w:rFonts w:ascii="Consolas" w:hAnsi="Consolas" w:cs="Consolas"/>
    </w:rPr>
  </w:style>
  <w:style w:type="paragraph" w:styleId="Index1">
    <w:name w:val="index 1"/>
    <w:basedOn w:val="Normal"/>
    <w:next w:val="Normal"/>
    <w:autoRedefine/>
    <w:uiPriority w:val="99"/>
    <w:semiHidden/>
    <w:unhideWhenUsed/>
    <w:locked/>
    <w:rsid w:val="009F1C40"/>
    <w:pPr>
      <w:ind w:left="220" w:hanging="220"/>
    </w:pPr>
  </w:style>
  <w:style w:type="paragraph" w:styleId="Index2">
    <w:name w:val="index 2"/>
    <w:basedOn w:val="Normal"/>
    <w:next w:val="Normal"/>
    <w:autoRedefine/>
    <w:uiPriority w:val="99"/>
    <w:semiHidden/>
    <w:unhideWhenUsed/>
    <w:locked/>
    <w:rsid w:val="009F1C40"/>
    <w:pPr>
      <w:ind w:left="440" w:hanging="220"/>
    </w:pPr>
  </w:style>
  <w:style w:type="paragraph" w:styleId="Index3">
    <w:name w:val="index 3"/>
    <w:basedOn w:val="Normal"/>
    <w:next w:val="Normal"/>
    <w:autoRedefine/>
    <w:uiPriority w:val="99"/>
    <w:semiHidden/>
    <w:unhideWhenUsed/>
    <w:locked/>
    <w:rsid w:val="009F1C40"/>
    <w:pPr>
      <w:ind w:left="660" w:hanging="220"/>
    </w:pPr>
  </w:style>
  <w:style w:type="paragraph" w:styleId="Index4">
    <w:name w:val="index 4"/>
    <w:basedOn w:val="Normal"/>
    <w:next w:val="Normal"/>
    <w:autoRedefine/>
    <w:uiPriority w:val="99"/>
    <w:semiHidden/>
    <w:unhideWhenUsed/>
    <w:locked/>
    <w:rsid w:val="009F1C40"/>
    <w:pPr>
      <w:ind w:left="880" w:hanging="220"/>
    </w:pPr>
  </w:style>
  <w:style w:type="paragraph" w:styleId="Index5">
    <w:name w:val="index 5"/>
    <w:basedOn w:val="Normal"/>
    <w:next w:val="Normal"/>
    <w:autoRedefine/>
    <w:uiPriority w:val="99"/>
    <w:semiHidden/>
    <w:unhideWhenUsed/>
    <w:locked/>
    <w:rsid w:val="009F1C40"/>
    <w:pPr>
      <w:ind w:left="1100" w:hanging="220"/>
    </w:pPr>
  </w:style>
  <w:style w:type="paragraph" w:styleId="Index6">
    <w:name w:val="index 6"/>
    <w:basedOn w:val="Normal"/>
    <w:next w:val="Normal"/>
    <w:autoRedefine/>
    <w:uiPriority w:val="99"/>
    <w:semiHidden/>
    <w:unhideWhenUsed/>
    <w:locked/>
    <w:rsid w:val="009F1C40"/>
    <w:pPr>
      <w:ind w:left="1320" w:hanging="220"/>
    </w:pPr>
  </w:style>
  <w:style w:type="paragraph" w:styleId="Index7">
    <w:name w:val="index 7"/>
    <w:basedOn w:val="Normal"/>
    <w:next w:val="Normal"/>
    <w:autoRedefine/>
    <w:uiPriority w:val="99"/>
    <w:semiHidden/>
    <w:unhideWhenUsed/>
    <w:locked/>
    <w:rsid w:val="009F1C40"/>
    <w:pPr>
      <w:ind w:left="1540" w:hanging="220"/>
    </w:pPr>
  </w:style>
  <w:style w:type="paragraph" w:styleId="Index8">
    <w:name w:val="index 8"/>
    <w:basedOn w:val="Normal"/>
    <w:next w:val="Normal"/>
    <w:autoRedefine/>
    <w:uiPriority w:val="99"/>
    <w:semiHidden/>
    <w:unhideWhenUsed/>
    <w:locked/>
    <w:rsid w:val="009F1C40"/>
    <w:pPr>
      <w:ind w:left="1760" w:hanging="220"/>
    </w:pPr>
  </w:style>
  <w:style w:type="paragraph" w:styleId="Index9">
    <w:name w:val="index 9"/>
    <w:basedOn w:val="Normal"/>
    <w:next w:val="Normal"/>
    <w:autoRedefine/>
    <w:uiPriority w:val="99"/>
    <w:semiHidden/>
    <w:unhideWhenUsed/>
    <w:locked/>
    <w:rsid w:val="009F1C40"/>
    <w:pPr>
      <w:ind w:left="1980" w:hanging="220"/>
    </w:pPr>
  </w:style>
  <w:style w:type="paragraph" w:styleId="IndexHeading">
    <w:name w:val="index heading"/>
    <w:basedOn w:val="Normal"/>
    <w:next w:val="Index1"/>
    <w:uiPriority w:val="99"/>
    <w:semiHidden/>
    <w:unhideWhenUsed/>
    <w:locked/>
    <w:rsid w:val="009F1C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F1C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1C40"/>
    <w:rPr>
      <w:rFonts w:ascii="ZapfCalligr BT" w:hAnsi="ZapfCalligr BT"/>
      <w:i/>
      <w:iCs/>
      <w:color w:val="4F81BD" w:themeColor="accent1"/>
      <w:sz w:val="22"/>
    </w:rPr>
  </w:style>
  <w:style w:type="paragraph" w:styleId="List">
    <w:name w:val="List"/>
    <w:basedOn w:val="Normal"/>
    <w:uiPriority w:val="99"/>
    <w:semiHidden/>
    <w:unhideWhenUsed/>
    <w:locked/>
    <w:rsid w:val="009F1C40"/>
    <w:pPr>
      <w:ind w:left="283" w:hanging="283"/>
      <w:contextualSpacing/>
    </w:pPr>
  </w:style>
  <w:style w:type="paragraph" w:styleId="List2">
    <w:name w:val="List 2"/>
    <w:basedOn w:val="Normal"/>
    <w:uiPriority w:val="99"/>
    <w:semiHidden/>
    <w:unhideWhenUsed/>
    <w:locked/>
    <w:rsid w:val="009F1C40"/>
    <w:pPr>
      <w:ind w:left="566" w:hanging="283"/>
      <w:contextualSpacing/>
    </w:pPr>
  </w:style>
  <w:style w:type="paragraph" w:styleId="List3">
    <w:name w:val="List 3"/>
    <w:basedOn w:val="Normal"/>
    <w:uiPriority w:val="99"/>
    <w:semiHidden/>
    <w:unhideWhenUsed/>
    <w:locked/>
    <w:rsid w:val="009F1C40"/>
    <w:pPr>
      <w:ind w:left="849" w:hanging="283"/>
      <w:contextualSpacing/>
    </w:pPr>
  </w:style>
  <w:style w:type="paragraph" w:styleId="List4">
    <w:name w:val="List 4"/>
    <w:basedOn w:val="Normal"/>
    <w:uiPriority w:val="99"/>
    <w:semiHidden/>
    <w:unhideWhenUsed/>
    <w:locked/>
    <w:rsid w:val="009F1C40"/>
    <w:pPr>
      <w:ind w:left="1132" w:hanging="283"/>
      <w:contextualSpacing/>
    </w:pPr>
  </w:style>
  <w:style w:type="paragraph" w:styleId="List5">
    <w:name w:val="List 5"/>
    <w:basedOn w:val="Normal"/>
    <w:uiPriority w:val="99"/>
    <w:semiHidden/>
    <w:unhideWhenUsed/>
    <w:locked/>
    <w:rsid w:val="009F1C40"/>
    <w:pPr>
      <w:ind w:left="1415" w:hanging="283"/>
      <w:contextualSpacing/>
    </w:pPr>
  </w:style>
  <w:style w:type="paragraph" w:styleId="ListBullet">
    <w:name w:val="List Bullet"/>
    <w:basedOn w:val="Normal"/>
    <w:uiPriority w:val="99"/>
    <w:semiHidden/>
    <w:unhideWhenUsed/>
    <w:locked/>
    <w:rsid w:val="009F1C40"/>
    <w:pPr>
      <w:numPr>
        <w:numId w:val="4"/>
      </w:numPr>
      <w:contextualSpacing/>
    </w:pPr>
  </w:style>
  <w:style w:type="paragraph" w:styleId="ListBullet2">
    <w:name w:val="List Bullet 2"/>
    <w:basedOn w:val="Normal"/>
    <w:uiPriority w:val="99"/>
    <w:semiHidden/>
    <w:unhideWhenUsed/>
    <w:locked/>
    <w:rsid w:val="009F1C40"/>
    <w:pPr>
      <w:numPr>
        <w:numId w:val="5"/>
      </w:numPr>
      <w:contextualSpacing/>
    </w:pPr>
  </w:style>
  <w:style w:type="paragraph" w:styleId="ListBullet3">
    <w:name w:val="List Bullet 3"/>
    <w:basedOn w:val="Normal"/>
    <w:uiPriority w:val="99"/>
    <w:semiHidden/>
    <w:unhideWhenUsed/>
    <w:locked/>
    <w:rsid w:val="009F1C40"/>
    <w:pPr>
      <w:numPr>
        <w:numId w:val="6"/>
      </w:numPr>
      <w:contextualSpacing/>
    </w:pPr>
  </w:style>
  <w:style w:type="paragraph" w:styleId="ListBullet4">
    <w:name w:val="List Bullet 4"/>
    <w:basedOn w:val="Normal"/>
    <w:uiPriority w:val="99"/>
    <w:semiHidden/>
    <w:unhideWhenUsed/>
    <w:locked/>
    <w:rsid w:val="009F1C40"/>
    <w:pPr>
      <w:numPr>
        <w:numId w:val="7"/>
      </w:numPr>
      <w:contextualSpacing/>
    </w:pPr>
  </w:style>
  <w:style w:type="paragraph" w:styleId="ListBullet5">
    <w:name w:val="List Bullet 5"/>
    <w:basedOn w:val="Normal"/>
    <w:uiPriority w:val="99"/>
    <w:semiHidden/>
    <w:unhideWhenUsed/>
    <w:locked/>
    <w:rsid w:val="009F1C40"/>
    <w:pPr>
      <w:numPr>
        <w:numId w:val="8"/>
      </w:numPr>
      <w:contextualSpacing/>
    </w:pPr>
  </w:style>
  <w:style w:type="paragraph" w:styleId="ListContinue">
    <w:name w:val="List Continue"/>
    <w:basedOn w:val="Normal"/>
    <w:uiPriority w:val="99"/>
    <w:semiHidden/>
    <w:unhideWhenUsed/>
    <w:locked/>
    <w:rsid w:val="009F1C40"/>
    <w:pPr>
      <w:spacing w:after="120"/>
      <w:ind w:left="283"/>
      <w:contextualSpacing/>
    </w:pPr>
  </w:style>
  <w:style w:type="paragraph" w:styleId="ListContinue2">
    <w:name w:val="List Continue 2"/>
    <w:basedOn w:val="Normal"/>
    <w:uiPriority w:val="99"/>
    <w:semiHidden/>
    <w:unhideWhenUsed/>
    <w:locked/>
    <w:rsid w:val="009F1C40"/>
    <w:pPr>
      <w:spacing w:after="120"/>
      <w:ind w:left="566"/>
      <w:contextualSpacing/>
    </w:pPr>
  </w:style>
  <w:style w:type="paragraph" w:styleId="ListContinue3">
    <w:name w:val="List Continue 3"/>
    <w:basedOn w:val="Normal"/>
    <w:uiPriority w:val="99"/>
    <w:semiHidden/>
    <w:unhideWhenUsed/>
    <w:locked/>
    <w:rsid w:val="009F1C40"/>
    <w:pPr>
      <w:spacing w:after="120"/>
      <w:ind w:left="849"/>
      <w:contextualSpacing/>
    </w:pPr>
  </w:style>
  <w:style w:type="paragraph" w:styleId="ListContinue4">
    <w:name w:val="List Continue 4"/>
    <w:basedOn w:val="Normal"/>
    <w:uiPriority w:val="99"/>
    <w:semiHidden/>
    <w:unhideWhenUsed/>
    <w:locked/>
    <w:rsid w:val="009F1C40"/>
    <w:pPr>
      <w:spacing w:after="120"/>
      <w:ind w:left="1132"/>
      <w:contextualSpacing/>
    </w:pPr>
  </w:style>
  <w:style w:type="paragraph" w:styleId="ListContinue5">
    <w:name w:val="List Continue 5"/>
    <w:basedOn w:val="Normal"/>
    <w:uiPriority w:val="99"/>
    <w:semiHidden/>
    <w:unhideWhenUsed/>
    <w:locked/>
    <w:rsid w:val="009F1C40"/>
    <w:pPr>
      <w:spacing w:after="120"/>
      <w:ind w:left="1415"/>
      <w:contextualSpacing/>
    </w:pPr>
  </w:style>
  <w:style w:type="paragraph" w:styleId="ListNumber">
    <w:name w:val="List Number"/>
    <w:basedOn w:val="Normal"/>
    <w:uiPriority w:val="99"/>
    <w:semiHidden/>
    <w:unhideWhenUsed/>
    <w:locked/>
    <w:rsid w:val="009F1C40"/>
    <w:pPr>
      <w:numPr>
        <w:numId w:val="9"/>
      </w:numPr>
      <w:contextualSpacing/>
    </w:pPr>
  </w:style>
  <w:style w:type="paragraph" w:styleId="ListNumber2">
    <w:name w:val="List Number 2"/>
    <w:basedOn w:val="Normal"/>
    <w:uiPriority w:val="99"/>
    <w:semiHidden/>
    <w:unhideWhenUsed/>
    <w:locked/>
    <w:rsid w:val="009F1C40"/>
    <w:pPr>
      <w:numPr>
        <w:numId w:val="10"/>
      </w:numPr>
      <w:contextualSpacing/>
    </w:pPr>
  </w:style>
  <w:style w:type="paragraph" w:styleId="ListNumber3">
    <w:name w:val="List Number 3"/>
    <w:basedOn w:val="Normal"/>
    <w:uiPriority w:val="99"/>
    <w:semiHidden/>
    <w:unhideWhenUsed/>
    <w:locked/>
    <w:rsid w:val="009F1C40"/>
    <w:pPr>
      <w:numPr>
        <w:numId w:val="11"/>
      </w:numPr>
      <w:contextualSpacing/>
    </w:pPr>
  </w:style>
  <w:style w:type="paragraph" w:styleId="ListNumber4">
    <w:name w:val="List Number 4"/>
    <w:basedOn w:val="Normal"/>
    <w:uiPriority w:val="99"/>
    <w:semiHidden/>
    <w:unhideWhenUsed/>
    <w:locked/>
    <w:rsid w:val="009F1C40"/>
    <w:pPr>
      <w:numPr>
        <w:numId w:val="12"/>
      </w:numPr>
      <w:contextualSpacing/>
    </w:pPr>
  </w:style>
  <w:style w:type="paragraph" w:styleId="ListNumber5">
    <w:name w:val="List Number 5"/>
    <w:basedOn w:val="Normal"/>
    <w:uiPriority w:val="99"/>
    <w:semiHidden/>
    <w:unhideWhenUsed/>
    <w:locked/>
    <w:rsid w:val="009F1C40"/>
    <w:pPr>
      <w:numPr>
        <w:numId w:val="13"/>
      </w:numPr>
      <w:contextualSpacing/>
    </w:pPr>
  </w:style>
  <w:style w:type="paragraph" w:styleId="MacroText">
    <w:name w:val="macro"/>
    <w:link w:val="MacroTextChar"/>
    <w:uiPriority w:val="99"/>
    <w:semiHidden/>
    <w:unhideWhenUsed/>
    <w:locked/>
    <w:rsid w:val="009F1C4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9F1C40"/>
    <w:rPr>
      <w:rFonts w:ascii="Consolas" w:hAnsi="Consolas" w:cs="Consolas"/>
    </w:rPr>
  </w:style>
  <w:style w:type="paragraph" w:styleId="MessageHeader">
    <w:name w:val="Message Header"/>
    <w:basedOn w:val="Normal"/>
    <w:link w:val="MessageHeaderChar"/>
    <w:uiPriority w:val="99"/>
    <w:semiHidden/>
    <w:unhideWhenUsed/>
    <w:locked/>
    <w:rsid w:val="009F1C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1C40"/>
    <w:rPr>
      <w:rFonts w:asciiTheme="majorHAnsi" w:eastAsiaTheme="majorEastAsia" w:hAnsiTheme="majorHAnsi" w:cstheme="majorBidi"/>
      <w:sz w:val="24"/>
      <w:szCs w:val="24"/>
      <w:shd w:val="pct20" w:color="auto" w:fill="auto"/>
    </w:rPr>
  </w:style>
  <w:style w:type="paragraph" w:styleId="NoSpacing">
    <w:name w:val="No Spacing"/>
    <w:uiPriority w:val="1"/>
    <w:qFormat/>
    <w:rsid w:val="009F1C40"/>
    <w:pPr>
      <w:jc w:val="both"/>
    </w:pPr>
    <w:rPr>
      <w:rFonts w:ascii="ZapfCalligr BT" w:hAnsi="ZapfCalligr BT"/>
      <w:sz w:val="22"/>
    </w:rPr>
  </w:style>
  <w:style w:type="paragraph" w:styleId="NormalWeb">
    <w:name w:val="Normal (Web)"/>
    <w:basedOn w:val="Normal"/>
    <w:uiPriority w:val="99"/>
    <w:semiHidden/>
    <w:unhideWhenUsed/>
    <w:locked/>
    <w:rsid w:val="009F1C40"/>
    <w:rPr>
      <w:rFonts w:ascii="Times New Roman" w:hAnsi="Times New Roman"/>
      <w:sz w:val="24"/>
      <w:szCs w:val="24"/>
    </w:rPr>
  </w:style>
  <w:style w:type="paragraph" w:styleId="NormalIndent">
    <w:name w:val="Normal Indent"/>
    <w:basedOn w:val="Normal"/>
    <w:uiPriority w:val="99"/>
    <w:semiHidden/>
    <w:unhideWhenUsed/>
    <w:locked/>
    <w:rsid w:val="009F1C40"/>
    <w:pPr>
      <w:ind w:left="720"/>
    </w:pPr>
  </w:style>
  <w:style w:type="paragraph" w:styleId="NoteHeading">
    <w:name w:val="Note Heading"/>
    <w:basedOn w:val="Normal"/>
    <w:next w:val="Normal"/>
    <w:link w:val="NoteHeadingChar"/>
    <w:uiPriority w:val="99"/>
    <w:semiHidden/>
    <w:unhideWhenUsed/>
    <w:locked/>
    <w:rsid w:val="009F1C40"/>
  </w:style>
  <w:style w:type="character" w:customStyle="1" w:styleId="NoteHeadingChar">
    <w:name w:val="Note Heading Char"/>
    <w:basedOn w:val="DefaultParagraphFont"/>
    <w:link w:val="NoteHeading"/>
    <w:uiPriority w:val="99"/>
    <w:semiHidden/>
    <w:rsid w:val="009F1C40"/>
    <w:rPr>
      <w:rFonts w:ascii="ZapfCalligr BT" w:hAnsi="ZapfCalligr BT"/>
      <w:sz w:val="22"/>
    </w:rPr>
  </w:style>
  <w:style w:type="paragraph" w:styleId="Quote">
    <w:name w:val="Quote"/>
    <w:basedOn w:val="Normal"/>
    <w:next w:val="Normal"/>
    <w:link w:val="QuoteChar"/>
    <w:uiPriority w:val="29"/>
    <w:qFormat/>
    <w:rsid w:val="009F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C40"/>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9F1C40"/>
  </w:style>
  <w:style w:type="character" w:customStyle="1" w:styleId="SalutationChar">
    <w:name w:val="Salutation Char"/>
    <w:basedOn w:val="DefaultParagraphFont"/>
    <w:link w:val="Salutation"/>
    <w:uiPriority w:val="99"/>
    <w:semiHidden/>
    <w:rsid w:val="009F1C40"/>
    <w:rPr>
      <w:rFonts w:ascii="ZapfCalligr BT" w:hAnsi="ZapfCalligr BT"/>
      <w:sz w:val="22"/>
    </w:rPr>
  </w:style>
  <w:style w:type="paragraph" w:styleId="Signature">
    <w:name w:val="Signature"/>
    <w:basedOn w:val="Normal"/>
    <w:link w:val="SignatureChar"/>
    <w:uiPriority w:val="99"/>
    <w:semiHidden/>
    <w:unhideWhenUsed/>
    <w:locked/>
    <w:rsid w:val="009F1C40"/>
    <w:pPr>
      <w:ind w:left="4252"/>
    </w:pPr>
  </w:style>
  <w:style w:type="character" w:customStyle="1" w:styleId="SignatureChar">
    <w:name w:val="Signature Char"/>
    <w:basedOn w:val="DefaultParagraphFont"/>
    <w:link w:val="Signature"/>
    <w:uiPriority w:val="99"/>
    <w:semiHidden/>
    <w:rsid w:val="009F1C40"/>
    <w:rPr>
      <w:rFonts w:ascii="ZapfCalligr BT" w:hAnsi="ZapfCalligr BT"/>
      <w:sz w:val="22"/>
    </w:rPr>
  </w:style>
  <w:style w:type="paragraph" w:styleId="Subtitle">
    <w:name w:val="Subtitle"/>
    <w:basedOn w:val="Normal"/>
    <w:next w:val="Normal"/>
    <w:link w:val="SubtitleChar"/>
    <w:uiPriority w:val="11"/>
    <w:qFormat/>
    <w:locked/>
    <w:rsid w:val="009F1C4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C4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9F1C40"/>
    <w:pPr>
      <w:ind w:left="220" w:hanging="220"/>
    </w:pPr>
  </w:style>
  <w:style w:type="paragraph" w:styleId="TableofFigures">
    <w:name w:val="table of figures"/>
    <w:basedOn w:val="Normal"/>
    <w:next w:val="Normal"/>
    <w:uiPriority w:val="99"/>
    <w:semiHidden/>
    <w:unhideWhenUsed/>
    <w:locked/>
    <w:rsid w:val="009F1C40"/>
  </w:style>
  <w:style w:type="paragraph" w:styleId="Title">
    <w:name w:val="Title"/>
    <w:basedOn w:val="Normal"/>
    <w:next w:val="Normal"/>
    <w:link w:val="TitleChar"/>
    <w:uiPriority w:val="10"/>
    <w:qFormat/>
    <w:locked/>
    <w:rsid w:val="009F1C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9F1C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9F1C40"/>
    <w:pPr>
      <w:spacing w:after="100"/>
    </w:pPr>
  </w:style>
  <w:style w:type="paragraph" w:styleId="TOC2">
    <w:name w:val="toc 2"/>
    <w:basedOn w:val="Normal"/>
    <w:next w:val="Normal"/>
    <w:autoRedefine/>
    <w:uiPriority w:val="39"/>
    <w:semiHidden/>
    <w:unhideWhenUsed/>
    <w:locked/>
    <w:rsid w:val="009F1C40"/>
    <w:pPr>
      <w:spacing w:after="100"/>
      <w:ind w:left="220"/>
    </w:pPr>
  </w:style>
  <w:style w:type="paragraph" w:styleId="TOC3">
    <w:name w:val="toc 3"/>
    <w:basedOn w:val="Normal"/>
    <w:next w:val="Normal"/>
    <w:autoRedefine/>
    <w:uiPriority w:val="39"/>
    <w:semiHidden/>
    <w:unhideWhenUsed/>
    <w:locked/>
    <w:rsid w:val="009F1C40"/>
    <w:pPr>
      <w:spacing w:after="100"/>
      <w:ind w:left="440"/>
    </w:pPr>
  </w:style>
  <w:style w:type="paragraph" w:styleId="TOC4">
    <w:name w:val="toc 4"/>
    <w:basedOn w:val="Normal"/>
    <w:next w:val="Normal"/>
    <w:autoRedefine/>
    <w:uiPriority w:val="39"/>
    <w:semiHidden/>
    <w:unhideWhenUsed/>
    <w:locked/>
    <w:rsid w:val="009F1C40"/>
    <w:pPr>
      <w:spacing w:after="100"/>
      <w:ind w:left="660"/>
    </w:pPr>
  </w:style>
  <w:style w:type="paragraph" w:styleId="TOC5">
    <w:name w:val="toc 5"/>
    <w:basedOn w:val="Normal"/>
    <w:next w:val="Normal"/>
    <w:autoRedefine/>
    <w:uiPriority w:val="39"/>
    <w:semiHidden/>
    <w:unhideWhenUsed/>
    <w:locked/>
    <w:rsid w:val="009F1C40"/>
    <w:pPr>
      <w:spacing w:after="100"/>
      <w:ind w:left="880"/>
    </w:pPr>
  </w:style>
  <w:style w:type="paragraph" w:styleId="TOC6">
    <w:name w:val="toc 6"/>
    <w:basedOn w:val="Normal"/>
    <w:next w:val="Normal"/>
    <w:autoRedefine/>
    <w:uiPriority w:val="39"/>
    <w:semiHidden/>
    <w:unhideWhenUsed/>
    <w:locked/>
    <w:rsid w:val="009F1C40"/>
    <w:pPr>
      <w:spacing w:after="100"/>
      <w:ind w:left="1100"/>
    </w:pPr>
  </w:style>
  <w:style w:type="paragraph" w:styleId="TOC7">
    <w:name w:val="toc 7"/>
    <w:basedOn w:val="Normal"/>
    <w:next w:val="Normal"/>
    <w:autoRedefine/>
    <w:uiPriority w:val="39"/>
    <w:semiHidden/>
    <w:unhideWhenUsed/>
    <w:locked/>
    <w:rsid w:val="009F1C40"/>
    <w:pPr>
      <w:spacing w:after="100"/>
      <w:ind w:left="1320"/>
    </w:pPr>
  </w:style>
  <w:style w:type="paragraph" w:styleId="TOC8">
    <w:name w:val="toc 8"/>
    <w:basedOn w:val="Normal"/>
    <w:next w:val="Normal"/>
    <w:autoRedefine/>
    <w:uiPriority w:val="39"/>
    <w:semiHidden/>
    <w:unhideWhenUsed/>
    <w:locked/>
    <w:rsid w:val="009F1C40"/>
    <w:pPr>
      <w:spacing w:after="100"/>
      <w:ind w:left="1540"/>
    </w:pPr>
  </w:style>
  <w:style w:type="paragraph" w:styleId="TOC9">
    <w:name w:val="toc 9"/>
    <w:basedOn w:val="Normal"/>
    <w:next w:val="Normal"/>
    <w:autoRedefine/>
    <w:uiPriority w:val="39"/>
    <w:semiHidden/>
    <w:unhideWhenUsed/>
    <w:locked/>
    <w:rsid w:val="009F1C40"/>
    <w:pPr>
      <w:spacing w:after="100"/>
      <w:ind w:left="1760"/>
    </w:pPr>
  </w:style>
  <w:style w:type="paragraph" w:styleId="TOCHeading">
    <w:name w:val="TOC Heading"/>
    <w:basedOn w:val="Heading1"/>
    <w:next w:val="Normal"/>
    <w:uiPriority w:val="39"/>
    <w:semiHidden/>
    <w:unhideWhenUsed/>
    <w:qFormat/>
    <w:rsid w:val="009F1C4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515272846">
      <w:bodyDiv w:val="1"/>
      <w:marLeft w:val="0"/>
      <w:marRight w:val="0"/>
      <w:marTop w:val="0"/>
      <w:marBottom w:val="0"/>
      <w:divBdr>
        <w:top w:val="none" w:sz="0" w:space="0" w:color="auto"/>
        <w:left w:val="none" w:sz="0" w:space="0" w:color="auto"/>
        <w:bottom w:val="none" w:sz="0" w:space="0" w:color="auto"/>
        <w:right w:val="none" w:sz="0" w:space="0" w:color="auto"/>
      </w:divBdr>
    </w:div>
    <w:div w:id="592517919">
      <w:bodyDiv w:val="1"/>
      <w:marLeft w:val="0"/>
      <w:marRight w:val="0"/>
      <w:marTop w:val="0"/>
      <w:marBottom w:val="0"/>
      <w:divBdr>
        <w:top w:val="none" w:sz="0" w:space="0" w:color="auto"/>
        <w:left w:val="none" w:sz="0" w:space="0" w:color="auto"/>
        <w:bottom w:val="none" w:sz="0" w:space="0" w:color="auto"/>
        <w:right w:val="none" w:sz="0" w:space="0" w:color="auto"/>
      </w:divBdr>
    </w:div>
    <w:div w:id="619646509">
      <w:bodyDiv w:val="1"/>
      <w:marLeft w:val="0"/>
      <w:marRight w:val="0"/>
      <w:marTop w:val="0"/>
      <w:marBottom w:val="0"/>
      <w:divBdr>
        <w:top w:val="none" w:sz="0" w:space="0" w:color="auto"/>
        <w:left w:val="none" w:sz="0" w:space="0" w:color="auto"/>
        <w:bottom w:val="none" w:sz="0" w:space="0" w:color="auto"/>
        <w:right w:val="none" w:sz="0" w:space="0" w:color="auto"/>
      </w:divBdr>
    </w:div>
    <w:div w:id="828251173">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074164004">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3753473">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310204892">
      <w:bodyDiv w:val="1"/>
      <w:marLeft w:val="0"/>
      <w:marRight w:val="0"/>
      <w:marTop w:val="0"/>
      <w:marBottom w:val="0"/>
      <w:divBdr>
        <w:top w:val="none" w:sz="0" w:space="0" w:color="auto"/>
        <w:left w:val="none" w:sz="0" w:space="0" w:color="auto"/>
        <w:bottom w:val="none" w:sz="0" w:space="0" w:color="auto"/>
        <w:right w:val="none" w:sz="0" w:space="0" w:color="auto"/>
      </w:divBdr>
    </w:div>
    <w:div w:id="1350256865">
      <w:bodyDiv w:val="1"/>
      <w:marLeft w:val="0"/>
      <w:marRight w:val="0"/>
      <w:marTop w:val="0"/>
      <w:marBottom w:val="0"/>
      <w:divBdr>
        <w:top w:val="none" w:sz="0" w:space="0" w:color="auto"/>
        <w:left w:val="none" w:sz="0" w:space="0" w:color="auto"/>
        <w:bottom w:val="none" w:sz="0" w:space="0" w:color="auto"/>
        <w:right w:val="none" w:sz="0" w:space="0" w:color="auto"/>
      </w:divBdr>
    </w:div>
    <w:div w:id="1479764788">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80230788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 w:id="19855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tat.banque-france.fr/en/browse.do?node=53843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markets.com/stock/KGFHY/quo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48AA-7030-4B3F-BEB0-FCD5DE34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7915</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Christian</dc:creator>
  <cp:keywords/>
  <dc:description/>
  <cp:lastModifiedBy>Cowley, Christian</cp:lastModifiedBy>
  <cp:revision>3</cp:revision>
  <cp:lastPrinted>2018-11-20T17:13:00Z</cp:lastPrinted>
  <dcterms:created xsi:type="dcterms:W3CDTF">2018-11-20T18:36:00Z</dcterms:created>
  <dcterms:modified xsi:type="dcterms:W3CDTF">2018-11-20T18:36:00Z</dcterms:modified>
</cp:coreProperties>
</file>